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15EDF" w14:textId="77777777" w:rsidR="00681F68" w:rsidRPr="001C6D21" w:rsidRDefault="000A099F" w:rsidP="001C6D21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2A1750C" w14:textId="77777777" w:rsidR="007832D5" w:rsidRPr="001C6D21" w:rsidRDefault="007832D5" w:rsidP="001C6D21">
      <w:pPr>
        <w:spacing w:after="0" w:line="260" w:lineRule="exact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Vračilo DDV</w:t>
      </w:r>
    </w:p>
    <w:p w14:paraId="0713ED48" w14:textId="77777777" w:rsidR="006A06EB" w:rsidRPr="001C6D21" w:rsidRDefault="006A06EB" w:rsidP="001C6D21">
      <w:pPr>
        <w:spacing w:after="0" w:line="260" w:lineRule="exact"/>
        <w:jc w:val="both"/>
        <w:outlineLvl w:val="2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82A52C" w14:textId="77777777" w:rsidR="008B0069" w:rsidRPr="001C6D21" w:rsidRDefault="008B0069" w:rsidP="001C6D21">
      <w:pPr>
        <w:spacing w:after="0" w:line="260" w:lineRule="exact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b/>
          <w:sz w:val="20"/>
          <w:szCs w:val="20"/>
          <w:lang w:eastAsia="sl-SI"/>
        </w:rPr>
        <w:t>Združeno Kraljestvo (GB)</w:t>
      </w:r>
    </w:p>
    <w:p w14:paraId="0907546E" w14:textId="77777777" w:rsidR="008B0069" w:rsidRPr="001C6D21" w:rsidRDefault="008B0069" w:rsidP="001C6D21">
      <w:pPr>
        <w:spacing w:after="0" w:line="260" w:lineRule="exact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93EC72D" w14:textId="77777777" w:rsidR="00C51102" w:rsidRPr="001C6D21" w:rsidRDefault="00C51102" w:rsidP="001C6D21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6C0F47" w14:textId="77777777" w:rsidR="0067335A" w:rsidRPr="001C6D21" w:rsidRDefault="0067335A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Za DDV, plačan </w:t>
      </w:r>
      <w:r w:rsidR="00486928" w:rsidRPr="001C6D21">
        <w:rPr>
          <w:rFonts w:ascii="Arial" w:eastAsia="Times New Roman" w:hAnsi="Arial" w:cs="Arial"/>
          <w:sz w:val="20"/>
          <w:szCs w:val="20"/>
          <w:lang w:eastAsia="sl-SI"/>
        </w:rPr>
        <w:t>do konca leta 2020</w:t>
      </w:r>
      <w:r w:rsidR="004B23D9" w:rsidRPr="001C6D21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se vloge za vračilo</w:t>
      </w:r>
      <w:r w:rsidR="00FB4976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B23D9" w:rsidRPr="001C6D21">
        <w:rPr>
          <w:rFonts w:ascii="Arial" w:eastAsia="Times New Roman" w:hAnsi="Arial" w:cs="Arial"/>
          <w:sz w:val="20"/>
          <w:szCs w:val="20"/>
          <w:lang w:eastAsia="sl-SI"/>
        </w:rPr>
        <w:t>DDV</w:t>
      </w:r>
      <w:r w:rsidR="00135523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>vložijo</w:t>
      </w:r>
      <w:r w:rsidR="004B23D9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>preko elektronskega portal</w:t>
      </w:r>
      <w:r w:rsidR="00FB4976" w:rsidRPr="001C6D21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v državi članici sedeža. Navedeno velja tako za davčne zavezance iz ZK, ki bodo vlagali zahtevke za vračilo</w:t>
      </w:r>
      <w:r w:rsidR="00A16EB8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DDV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v državo članico vračila</w:t>
      </w:r>
      <w:r w:rsidR="00A16EB8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preko elektronskega portala v svoji državi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>, kot za slovenske davčne zavezance, ki bodo vlagali zahtevke za vračilo</w:t>
      </w:r>
      <w:r w:rsidR="00A16EB8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DDV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v ZK</w:t>
      </w:r>
      <w:r w:rsidR="00BF491C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prek </w:t>
      </w:r>
      <w:hyperlink r:id="rId8" w:history="1">
        <w:r w:rsidR="00BF491C" w:rsidRPr="00B924F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eDavkov</w:t>
        </w:r>
      </w:hyperlink>
      <w:r w:rsidR="00486928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(vloga VATR-APP)</w:t>
      </w:r>
      <w:r w:rsidR="00FC4803" w:rsidRPr="001C6D2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Zahtevki</w:t>
      </w:r>
      <w:r w:rsidR="00135523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za vračilo DDV, zaračunan za blago/storitve do vključno 31. 12. 2020</w:t>
      </w:r>
      <w:r w:rsidR="001C6D21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morajo biti vloženi najkasneje do 31. 3. 2021</w:t>
      </w:r>
      <w:r w:rsidR="004B23D9" w:rsidRPr="001C6D2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4931E09" w14:textId="77777777" w:rsidR="00BF491C" w:rsidRPr="001C6D21" w:rsidRDefault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F43A39" w14:textId="77777777" w:rsidR="00486928" w:rsidRPr="009C26F2" w:rsidRDefault="00486928" w:rsidP="009C26F2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C26F2">
        <w:rPr>
          <w:rFonts w:ascii="Arial" w:eastAsia="Times New Roman" w:hAnsi="Arial" w:cs="Arial"/>
          <w:sz w:val="20"/>
          <w:szCs w:val="20"/>
          <w:lang w:eastAsia="sl-SI"/>
        </w:rPr>
        <w:t>Druga pravila iz Direktive o DDV in Direktive 2008/9/ES se za te zahtevke za vračilo in prejšnje zahtevke za vračilo, ki se nanašajo na obveznost plačila DDV pred koncem</w:t>
      </w:r>
      <w:r w:rsidR="001C6D21">
        <w:rPr>
          <w:rFonts w:ascii="Arial" w:eastAsia="Times New Roman" w:hAnsi="Arial" w:cs="Arial"/>
          <w:sz w:val="20"/>
          <w:szCs w:val="20"/>
          <w:lang w:eastAsia="sl-SI"/>
        </w:rPr>
        <w:t xml:space="preserve"> prehodnega obdobja, uporablja</w:t>
      </w:r>
      <w:r w:rsidRPr="009C26F2">
        <w:rPr>
          <w:rFonts w:ascii="Arial" w:eastAsia="Times New Roman" w:hAnsi="Arial" w:cs="Arial"/>
          <w:sz w:val="20"/>
          <w:szCs w:val="20"/>
          <w:lang w:eastAsia="sl-SI"/>
        </w:rPr>
        <w:t xml:space="preserve"> še pet let po koncu prehodnega obdobja.</w:t>
      </w:r>
    </w:p>
    <w:p w14:paraId="066A9FAF" w14:textId="77777777" w:rsidR="00BF491C" w:rsidRPr="009C26F2" w:rsidRDefault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7CC388" w14:textId="77777777" w:rsidR="00486928" w:rsidRDefault="00486928" w:rsidP="009C26F2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C26F2">
        <w:rPr>
          <w:rFonts w:ascii="Arial" w:eastAsia="Times New Roman" w:hAnsi="Arial" w:cs="Arial"/>
          <w:sz w:val="20"/>
          <w:szCs w:val="20"/>
          <w:lang w:eastAsia="sl-SI"/>
        </w:rPr>
        <w:t xml:space="preserve">Vračilo DDV, plačanega v ZK po koncu prehodnega obdobja, </w:t>
      </w:r>
      <w:r w:rsidR="00A478BF">
        <w:rPr>
          <w:rFonts w:ascii="Arial" w:eastAsia="Times New Roman" w:hAnsi="Arial" w:cs="Arial"/>
          <w:sz w:val="20"/>
          <w:szCs w:val="20"/>
          <w:lang w:eastAsia="sl-SI"/>
        </w:rPr>
        <w:t>je</w:t>
      </w:r>
      <w:r w:rsidRPr="009C26F2">
        <w:rPr>
          <w:rFonts w:ascii="Arial" w:eastAsia="Times New Roman" w:hAnsi="Arial" w:cs="Arial"/>
          <w:sz w:val="20"/>
          <w:szCs w:val="20"/>
          <w:lang w:eastAsia="sl-SI"/>
        </w:rPr>
        <w:t xml:space="preserve"> možno pod pogoji in na način, ki jih bo določilo ZK.</w:t>
      </w:r>
      <w:r w:rsidRPr="009C26F2" w:rsidDel="009250E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46612C6" w14:textId="77777777" w:rsidR="001C6D21" w:rsidRPr="009C26F2" w:rsidRDefault="001C6D21" w:rsidP="009C26F2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EAEBA6" w14:textId="6244C23B" w:rsidR="00486928" w:rsidRPr="00B87C4C" w:rsidRDefault="00C51102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Davčni zavezanci iz ZK, ki po koncu prehodnega obdobja </w:t>
      </w:r>
      <w:r w:rsidR="001C6D21">
        <w:rPr>
          <w:rFonts w:ascii="Arial" w:eastAsia="Times New Roman" w:hAnsi="Arial" w:cs="Arial"/>
          <w:sz w:val="20"/>
          <w:szCs w:val="20"/>
          <w:lang w:eastAsia="sl-SI"/>
        </w:rPr>
        <w:t>želijo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uveljavljati vračilo DDV, zaračunanega po 1. 1. 2021 v Sloveniji, </w:t>
      </w:r>
      <w:r w:rsidR="001C6D21">
        <w:rPr>
          <w:rFonts w:ascii="Arial" w:eastAsia="Times New Roman" w:hAnsi="Arial" w:cs="Arial"/>
          <w:sz w:val="20"/>
          <w:szCs w:val="20"/>
          <w:lang w:eastAsia="sl-SI"/>
        </w:rPr>
        <w:t>lahko vložijo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zahtevek za vračilo DDV po pogojih in na način, ki velja za davčne zavezance s sedežem v tretji državi, predpisanimi v 74</w:t>
      </w:r>
      <w:r w:rsidR="001C6D2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i členu ZDDV-1. </w:t>
      </w:r>
      <w:r w:rsidR="00C75DD5" w:rsidRPr="00B87C4C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B51C83" w:rsidRPr="00B87C4C">
        <w:rPr>
          <w:rFonts w:ascii="Arial" w:eastAsia="Times New Roman" w:hAnsi="Arial" w:cs="Arial"/>
          <w:sz w:val="20"/>
          <w:szCs w:val="20"/>
          <w:lang w:eastAsia="sl-SI"/>
        </w:rPr>
        <w:t xml:space="preserve"> ZK je vzpostavljena</w:t>
      </w:r>
      <w:r w:rsidR="00C75DD5" w:rsidRPr="00B87C4C">
        <w:rPr>
          <w:rFonts w:ascii="Arial" w:eastAsia="Times New Roman" w:hAnsi="Arial" w:cs="Arial"/>
          <w:sz w:val="20"/>
          <w:szCs w:val="20"/>
          <w:lang w:eastAsia="sl-SI"/>
        </w:rPr>
        <w:t xml:space="preserve"> popolna vzajemnost, </w:t>
      </w:r>
      <w:r w:rsidR="00B51C83" w:rsidRPr="00B87C4C">
        <w:rPr>
          <w:rFonts w:ascii="Arial" w:eastAsia="Times New Roman" w:hAnsi="Arial" w:cs="Arial"/>
          <w:sz w:val="20"/>
          <w:szCs w:val="20"/>
          <w:lang w:eastAsia="sl-SI"/>
        </w:rPr>
        <w:t>velja od 1. 1. 2021.</w:t>
      </w:r>
      <w:bookmarkStart w:id="0" w:name="_GoBack"/>
      <w:bookmarkEnd w:id="0"/>
    </w:p>
    <w:p w14:paraId="215F4893" w14:textId="77777777" w:rsidR="000C42A0" w:rsidRPr="00B87C4C" w:rsidRDefault="000C42A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F700040" w14:textId="77777777" w:rsidR="00AC5537" w:rsidRPr="001C6D21" w:rsidRDefault="00AC5537">
      <w:pPr>
        <w:spacing w:after="0" w:line="260" w:lineRule="exact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b/>
          <w:sz w:val="20"/>
          <w:szCs w:val="20"/>
          <w:lang w:eastAsia="sl-SI"/>
        </w:rPr>
        <w:t>Severna Irska (XI)</w:t>
      </w:r>
    </w:p>
    <w:p w14:paraId="66C670B6" w14:textId="77777777" w:rsidR="00AC5537" w:rsidRPr="001C6D21" w:rsidRDefault="00AC5537">
      <w:pPr>
        <w:spacing w:after="0" w:line="260" w:lineRule="exact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5DEF1AC" w14:textId="77777777" w:rsidR="001C6D21" w:rsidRDefault="001C6D21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>Za vračil</w:t>
      </w:r>
      <w:r w:rsidR="005E03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DDV, plačanega za dobavljeno blago, </w:t>
      </w:r>
      <w:r w:rsidR="00AC5537" w:rsidRPr="001C6D21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CA0333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e po 1. 1. 2021 </w:t>
      </w:r>
      <w:r w:rsidR="00AC5537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uporablja 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EU </w:t>
      </w:r>
      <w:r w:rsidR="00AC5537" w:rsidRPr="001C6D21">
        <w:rPr>
          <w:rFonts w:ascii="Arial" w:eastAsia="Times New Roman" w:hAnsi="Arial" w:cs="Arial"/>
          <w:sz w:val="20"/>
          <w:szCs w:val="20"/>
          <w:lang w:eastAsia="sl-SI"/>
        </w:rPr>
        <w:t>DDV zakonodaja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>. Za DDV, plačan za opravljene storitve, navedeno ne velja.</w:t>
      </w:r>
      <w:r w:rsidR="00AC5537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34EA417B" w14:textId="77777777" w:rsidR="00A478BF" w:rsidRPr="001C6D21" w:rsidRDefault="00A478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DED80A" w14:textId="77777777" w:rsidR="00AC5537" w:rsidRDefault="00AC5537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>Iz razloga</w:t>
      </w:r>
      <w:r w:rsidR="00486928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razlikovanja med načinom </w:t>
      </w:r>
      <w:r w:rsidR="004F7C4E" w:rsidRPr="001C6D21">
        <w:rPr>
          <w:rFonts w:ascii="Arial" w:eastAsia="Times New Roman" w:hAnsi="Arial" w:cs="Arial"/>
          <w:sz w:val="20"/>
          <w:szCs w:val="20"/>
          <w:lang w:eastAsia="sl-SI"/>
        </w:rPr>
        <w:t>predložitve zahtevka za blago in za storitve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bo možno </w:t>
      </w:r>
      <w:r w:rsidR="00715ED9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zahtevati 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>vračil</w:t>
      </w:r>
      <w:r w:rsidR="00715ED9" w:rsidRPr="001C6D21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DDV </w:t>
      </w:r>
      <w:r w:rsidR="00715ED9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na podlagi 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>dv</w:t>
      </w:r>
      <w:r w:rsidR="00715ED9" w:rsidRPr="001C6D21">
        <w:rPr>
          <w:rFonts w:ascii="Arial" w:eastAsia="Times New Roman" w:hAnsi="Arial" w:cs="Arial"/>
          <w:sz w:val="20"/>
          <w:szCs w:val="20"/>
          <w:lang w:eastAsia="sl-SI"/>
        </w:rPr>
        <w:t>eh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različn</w:t>
      </w:r>
      <w:r w:rsidR="00715ED9" w:rsidRPr="001C6D21"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sistem</w:t>
      </w:r>
      <w:r w:rsidR="00715ED9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ov in 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pod različnimi pogoji:</w:t>
      </w:r>
    </w:p>
    <w:p w14:paraId="1512AEA2" w14:textId="77777777" w:rsidR="00A478BF" w:rsidRPr="001C6D21" w:rsidRDefault="00A478B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C23CC5" w14:textId="77777777" w:rsidR="00AC5537" w:rsidRPr="009C26F2" w:rsidRDefault="00AC5537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C26F2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 xml:space="preserve">Vračila na podlagi </w:t>
      </w:r>
      <w:hyperlink r:id="rId9" w:history="1">
        <w:r w:rsidR="006E1ED0" w:rsidRPr="009C26F2">
          <w:rPr>
            <w:rStyle w:val="Hiperpovezava"/>
            <w:rFonts w:ascii="Arial" w:hAnsi="Arial" w:cs="Arial"/>
            <w:b/>
            <w:sz w:val="20"/>
            <w:szCs w:val="20"/>
          </w:rPr>
          <w:t>Direktiv</w:t>
        </w:r>
        <w:r w:rsidR="0028336F" w:rsidRPr="009C26F2">
          <w:rPr>
            <w:rStyle w:val="Hiperpovezava"/>
            <w:rFonts w:ascii="Arial" w:hAnsi="Arial" w:cs="Arial"/>
            <w:b/>
            <w:sz w:val="20"/>
            <w:szCs w:val="20"/>
          </w:rPr>
          <w:t>e</w:t>
        </w:r>
        <w:r w:rsidR="006E1ED0" w:rsidRPr="009C26F2">
          <w:rPr>
            <w:rStyle w:val="Hiperpovezava"/>
            <w:rFonts w:ascii="Arial" w:hAnsi="Arial" w:cs="Arial"/>
            <w:b/>
            <w:sz w:val="20"/>
            <w:szCs w:val="20"/>
          </w:rPr>
          <w:t xml:space="preserve"> Sveta 2008/9/EU</w:t>
        </w:r>
      </w:hyperlink>
      <w:r w:rsidR="006E1ED0" w:rsidRPr="009C26F2">
        <w:rPr>
          <w:rFonts w:ascii="Arial" w:hAnsi="Arial" w:cs="Arial"/>
          <w:b/>
          <w:sz w:val="20"/>
          <w:szCs w:val="20"/>
        </w:rPr>
        <w:t xml:space="preserve"> (</w:t>
      </w:r>
      <w:r w:rsidR="006E1ED0" w:rsidRPr="009C26F2">
        <w:rPr>
          <w:rFonts w:ascii="Arial" w:eastAsia="Times New Roman" w:hAnsi="Arial" w:cs="Arial"/>
          <w:b/>
          <w:sz w:val="20"/>
          <w:szCs w:val="20"/>
          <w:lang w:eastAsia="sl-SI"/>
        </w:rPr>
        <w:t>EU DDV sistem)</w:t>
      </w:r>
      <w:r w:rsidR="001C6D21" w:rsidRPr="001C6D21">
        <w:rPr>
          <w:rFonts w:ascii="Arial" w:eastAsia="Times New Roman" w:hAnsi="Arial" w:cs="Arial"/>
          <w:b/>
          <w:sz w:val="20"/>
          <w:szCs w:val="20"/>
          <w:lang w:eastAsia="sl-SI"/>
        </w:rPr>
        <w:t>, če so izpolnjeni</w:t>
      </w:r>
      <w:r w:rsidRPr="009C26F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naslednjimi pogoji:</w:t>
      </w:r>
    </w:p>
    <w:p w14:paraId="1EA202B9" w14:textId="77777777" w:rsidR="00AC5537" w:rsidRPr="001C6D21" w:rsidRDefault="000E5962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AC5537" w:rsidRPr="001C6D21">
        <w:rPr>
          <w:rFonts w:ascii="Arial" w:eastAsia="Times New Roman" w:hAnsi="Arial" w:cs="Arial"/>
          <w:sz w:val="20"/>
          <w:szCs w:val="20"/>
          <w:lang w:eastAsia="sl-SI"/>
        </w:rPr>
        <w:t>lagatelj zahtevka je davčn</w:t>
      </w:r>
      <w:r w:rsidR="0028336F" w:rsidRPr="001C6D21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AC5537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8336F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zavezanec </w:t>
      </w:r>
      <w:r w:rsidR="00AC5537" w:rsidRPr="001C6D21">
        <w:rPr>
          <w:rFonts w:ascii="Arial" w:eastAsia="Times New Roman" w:hAnsi="Arial" w:cs="Arial"/>
          <w:sz w:val="20"/>
          <w:szCs w:val="20"/>
          <w:lang w:eastAsia="sl-SI"/>
        </w:rPr>
        <w:t>s sedežem v SI ali XI</w:t>
      </w:r>
      <w:r w:rsidR="00663E51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(SI davčni zavezanci, ki bodo vlagali zahtevke v XI, bodo</w:t>
      </w:r>
      <w:r w:rsidR="005E03EF">
        <w:rPr>
          <w:rFonts w:ascii="Arial" w:eastAsia="Times New Roman" w:hAnsi="Arial" w:cs="Arial"/>
          <w:sz w:val="20"/>
          <w:szCs w:val="20"/>
          <w:lang w:eastAsia="sl-SI"/>
        </w:rPr>
        <w:t xml:space="preserve"> le te</w:t>
      </w:r>
      <w:r w:rsidR="00663E51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vložili preko eDavkov</w:t>
      </w:r>
      <w:r w:rsidR="001C6D21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(vloga VATR-APP)</w:t>
      </w:r>
      <w:r w:rsidR="00C67C28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663E51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XI davčni zavezanci bodo vlagali zahtevke preko elektronskega portala v svoji državi</w:t>
      </w:r>
      <w:r w:rsidR="006E1ED0" w:rsidRPr="001C6D2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AC5537" w:rsidRPr="001C6D2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84F2CAD" w14:textId="77777777" w:rsidR="00AC5537" w:rsidRPr="001C6D21" w:rsidRDefault="000E5962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>vlagatelj je identificiran za namene DDV (</w:t>
      </w:r>
      <w:r w:rsidR="001C6D21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predpona 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>SI ali XI),</w:t>
      </w:r>
    </w:p>
    <w:p w14:paraId="2071CEE7" w14:textId="77777777" w:rsidR="006E1ED0" w:rsidRDefault="000E5962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>na računu, na podlagi katerega se zahteva vračilo</w:t>
      </w:r>
      <w:r w:rsidR="001C6D21" w:rsidRPr="001C6D21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je zaračunano </w:t>
      </w:r>
      <w:r w:rsidR="001C6D21" w:rsidRPr="009C26F2">
        <w:rPr>
          <w:rFonts w:ascii="Arial" w:eastAsia="Times New Roman" w:hAnsi="Arial" w:cs="Arial"/>
          <w:sz w:val="20"/>
          <w:szCs w:val="20"/>
          <w:u w:val="single"/>
          <w:lang w:eastAsia="sl-SI"/>
        </w:rPr>
        <w:t>le</w:t>
      </w:r>
      <w:r w:rsidR="001C6D21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>blago</w:t>
      </w:r>
      <w:r w:rsidR="006E1ED0" w:rsidRPr="001C6D2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491B3687" w14:textId="77777777" w:rsidR="00A478BF" w:rsidRPr="001C6D21" w:rsidRDefault="00A478BF" w:rsidP="009C26F2">
      <w:pPr>
        <w:pStyle w:val="Odstavekseznama"/>
        <w:spacing w:after="0" w:line="260" w:lineRule="exact"/>
        <w:ind w:left="108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07C53E" w14:textId="77777777" w:rsidR="000E5962" w:rsidRPr="009C26F2" w:rsidRDefault="000E5962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C26F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Vračila na podlagi </w:t>
      </w:r>
      <w:hyperlink r:id="rId10" w:history="1">
        <w:r w:rsidRPr="009C26F2">
          <w:rPr>
            <w:rStyle w:val="Hiperpovezava"/>
            <w:rFonts w:ascii="Arial" w:eastAsia="Times New Roman" w:hAnsi="Arial" w:cs="Arial"/>
            <w:b/>
            <w:sz w:val="20"/>
            <w:szCs w:val="20"/>
            <w:lang w:eastAsia="sl-SI"/>
          </w:rPr>
          <w:t>13</w:t>
        </w:r>
        <w:r w:rsidR="004F7C4E" w:rsidRPr="009C26F2">
          <w:rPr>
            <w:rStyle w:val="Hiperpovezava"/>
            <w:rFonts w:ascii="Arial" w:eastAsia="Times New Roman" w:hAnsi="Arial" w:cs="Arial"/>
            <w:b/>
            <w:sz w:val="20"/>
            <w:szCs w:val="20"/>
            <w:lang w:eastAsia="sl-SI"/>
          </w:rPr>
          <w:t>.</w:t>
        </w:r>
        <w:r w:rsidRPr="009C26F2">
          <w:rPr>
            <w:rStyle w:val="Hiperpovezava"/>
            <w:rFonts w:ascii="Arial" w:eastAsia="Times New Roman" w:hAnsi="Arial" w:cs="Arial"/>
            <w:b/>
            <w:sz w:val="20"/>
            <w:szCs w:val="20"/>
            <w:lang w:eastAsia="sl-SI"/>
          </w:rPr>
          <w:t xml:space="preserve"> Direktive</w:t>
        </w:r>
      </w:hyperlink>
      <w:r w:rsidR="001C6D21" w:rsidRPr="001C6D21">
        <w:rPr>
          <w:rFonts w:ascii="Arial" w:eastAsia="Times New Roman" w:hAnsi="Arial" w:cs="Arial"/>
          <w:b/>
          <w:sz w:val="20"/>
          <w:szCs w:val="20"/>
          <w:lang w:eastAsia="sl-SI"/>
        </w:rPr>
        <w:t>, če so izpolnjeni</w:t>
      </w:r>
      <w:r w:rsidRPr="009C26F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naslednjimi pogoji:</w:t>
      </w:r>
    </w:p>
    <w:p w14:paraId="29269A17" w14:textId="77777777" w:rsidR="000E5962" w:rsidRPr="001C6D21" w:rsidRDefault="000E5962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>na računu</w:t>
      </w:r>
      <w:r w:rsidR="001C6D21" w:rsidRPr="001C6D21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na podlagi katerega se zahteva vračilo</w:t>
      </w:r>
      <w:r w:rsidR="001C6D21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DDV,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je istočasno zaračunano blago in storitve,</w:t>
      </w:r>
    </w:p>
    <w:p w14:paraId="48F23188" w14:textId="77777777" w:rsidR="000E5962" w:rsidRPr="001C6D21" w:rsidRDefault="000E5962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>na računu</w:t>
      </w:r>
      <w:r w:rsidR="001C6D21" w:rsidRPr="001C6D21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na podlagi katerega se zahteva vračilo</w:t>
      </w:r>
      <w:r w:rsidR="001C6D21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DDV,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so zaračunane samo storitve.</w:t>
      </w:r>
    </w:p>
    <w:p w14:paraId="0E630BB2" w14:textId="77777777" w:rsidR="00C67C28" w:rsidRDefault="00C67C28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C4649D" w14:textId="77777777" w:rsidR="00663E51" w:rsidRPr="001C6D21" w:rsidRDefault="00663E51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SI davčni zavezanci, ki bodo vlagali zahtevke </w:t>
      </w:r>
      <w:r w:rsidR="00A478BF">
        <w:rPr>
          <w:rFonts w:ascii="Arial" w:eastAsia="Times New Roman" w:hAnsi="Arial" w:cs="Arial"/>
          <w:sz w:val="20"/>
          <w:szCs w:val="20"/>
          <w:lang w:eastAsia="sl-SI"/>
        </w:rPr>
        <w:t xml:space="preserve">za vračilo DDV v skladu z 2. točko 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>v XI, se morajo o načinu vložitve zahtevka pozanimati v XI</w:t>
      </w:r>
      <w:r w:rsidR="00A478B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478BF" w:rsidRPr="00CF5A2A">
        <w:rPr>
          <w:rFonts w:ascii="Arial" w:hAnsi="Arial" w:cs="Arial"/>
          <w:sz w:val="20"/>
          <w:szCs w:val="20"/>
        </w:rPr>
        <w:t>(ta DDV ne sme biti zahtevan prek eDavkov)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. XI davčni zavezanci, ki bodo vlagali zahtevke v SI, le tega vložijo preko </w:t>
      </w:r>
      <w:hyperlink r:id="rId11" w:history="1">
        <w:r w:rsidRPr="001C6D21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eDavkov</w:t>
        </w:r>
      </w:hyperlink>
      <w:r w:rsidR="00715ED9"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na obrazcu </w:t>
      </w:r>
      <w:r w:rsidR="00A16EB8" w:rsidRPr="001C6D21">
        <w:rPr>
          <w:rFonts w:ascii="Arial" w:hAnsi="Arial" w:cs="Arial"/>
          <w:sz w:val="20"/>
          <w:szCs w:val="20"/>
          <w:lang w:eastAsia="sl-SI"/>
        </w:rPr>
        <w:t>DDV-VraciloNonEU ((DDV-VTD) Zahtevek za vračilo DDV davčnemu zavezancu s sedežem v tretji državi).</w:t>
      </w:r>
    </w:p>
    <w:p w14:paraId="7154904E" w14:textId="77777777" w:rsidR="00CA0333" w:rsidRPr="001C6D21" w:rsidRDefault="00CA033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310628" w14:textId="77777777" w:rsidR="006E1ED0" w:rsidRPr="001C6D21" w:rsidRDefault="006E1ED0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6D21">
        <w:rPr>
          <w:rFonts w:ascii="Arial" w:eastAsia="Times New Roman" w:hAnsi="Arial" w:cs="Arial"/>
          <w:sz w:val="20"/>
          <w:szCs w:val="20"/>
          <w:lang w:eastAsia="sl-SI"/>
        </w:rPr>
        <w:t>Davčnim zavezancem</w:t>
      </w:r>
      <w:r w:rsidR="00A16EB8" w:rsidRPr="001C6D21">
        <w:rPr>
          <w:rFonts w:ascii="Arial" w:eastAsia="Times New Roman" w:hAnsi="Arial" w:cs="Arial"/>
          <w:sz w:val="20"/>
          <w:szCs w:val="20"/>
          <w:lang w:eastAsia="sl-SI"/>
        </w:rPr>
        <w:t>, ki poslujejo z davčnimi zavezanci iz XI</w:t>
      </w:r>
      <w:r w:rsidR="00A478BF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 na podlagi zgoraj navedenega priporočamo, da </w:t>
      </w:r>
      <w:r w:rsidR="00A478BF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>za istočasno dobavo blaga in storitev izda dva ločena računa</w:t>
      </w:r>
      <w:r w:rsidR="00A478BF">
        <w:rPr>
          <w:rFonts w:ascii="Arial" w:eastAsia="Times New Roman" w:hAnsi="Arial" w:cs="Arial"/>
          <w:sz w:val="20"/>
          <w:szCs w:val="20"/>
          <w:lang w:eastAsia="sl-SI"/>
        </w:rPr>
        <w:t>, če se želi za blago uveljavljati vračilo na način in pod pogoji, določenimi z Direktivo Sveta 2008/9/EU</w:t>
      </w:r>
      <w:r w:rsidRPr="001C6D2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77C61641" w14:textId="77777777" w:rsidR="006E1ED0" w:rsidRPr="001C6D21" w:rsidRDefault="006E1ED0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50A0C5" w14:textId="279E3F37" w:rsidR="004F7C4E" w:rsidRPr="001C6D21" w:rsidRDefault="00A77CD9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Pregled možnih načinov vložitve zahtevka</w:t>
      </w:r>
      <w:r w:rsidR="003C0F7F">
        <w:rPr>
          <w:rFonts w:ascii="Arial" w:eastAsia="Times New Roman" w:hAnsi="Arial" w:cs="Arial"/>
          <w:sz w:val="20"/>
          <w:szCs w:val="20"/>
          <w:lang w:eastAsia="sl-SI"/>
        </w:rPr>
        <w:t xml:space="preserve"> in posameznih primerov pravilnega postopanja v primeru vložitve zahtevka za vračilo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je objavljen tudi na spletni strani </w:t>
      </w:r>
      <w:hyperlink r:id="rId12" w:history="1">
        <w:r w:rsidRPr="003C0F7F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Evropske komisije</w:t>
        </w:r>
      </w:hyperlink>
      <w:r w:rsidR="003C0F7F">
        <w:rPr>
          <w:rFonts w:ascii="Arial" w:eastAsia="Times New Roman" w:hAnsi="Arial" w:cs="Arial"/>
          <w:sz w:val="20"/>
          <w:szCs w:val="20"/>
          <w:lang w:eastAsia="sl-SI"/>
        </w:rPr>
        <w:t xml:space="preserve"> v vseh jezikih</w:t>
      </w:r>
      <w:r w:rsidR="00B7656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3C0F7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sectPr w:rsidR="004F7C4E" w:rsidRPr="001C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8E1B" w14:textId="77777777" w:rsidR="008B6876" w:rsidRDefault="008B6876" w:rsidP="009C4E51">
      <w:pPr>
        <w:spacing w:after="0" w:line="240" w:lineRule="auto"/>
      </w:pPr>
      <w:r>
        <w:separator/>
      </w:r>
    </w:p>
  </w:endnote>
  <w:endnote w:type="continuationSeparator" w:id="0">
    <w:p w14:paraId="1A1AD303" w14:textId="77777777" w:rsidR="008B6876" w:rsidRDefault="008B6876" w:rsidP="009C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E368" w14:textId="77777777" w:rsidR="008B6876" w:rsidRDefault="008B6876" w:rsidP="009C4E51">
      <w:pPr>
        <w:spacing w:after="0" w:line="240" w:lineRule="auto"/>
      </w:pPr>
      <w:r>
        <w:separator/>
      </w:r>
    </w:p>
  </w:footnote>
  <w:footnote w:type="continuationSeparator" w:id="0">
    <w:p w14:paraId="4F0B4D5B" w14:textId="77777777" w:rsidR="008B6876" w:rsidRDefault="008B6876" w:rsidP="009C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7FB6"/>
    <w:multiLevelType w:val="hybridMultilevel"/>
    <w:tmpl w:val="2668D6D4"/>
    <w:lvl w:ilvl="0" w:tplc="940872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07F1E"/>
    <w:multiLevelType w:val="hybridMultilevel"/>
    <w:tmpl w:val="CAEAFEBA"/>
    <w:lvl w:ilvl="0" w:tplc="AC6C501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742E76"/>
    <w:multiLevelType w:val="hybridMultilevel"/>
    <w:tmpl w:val="A224B73E"/>
    <w:lvl w:ilvl="0" w:tplc="EC7C0074">
      <w:numFmt w:val="bullet"/>
      <w:lvlText w:val="-"/>
      <w:lvlJc w:val="left"/>
      <w:pPr>
        <w:ind w:left="720" w:hanging="360"/>
      </w:pPr>
      <w:rPr>
        <w:rFonts w:ascii="RepublikaRegular" w:eastAsia="Times New Roman" w:hAnsi="RepublikaRegular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1EB4"/>
    <w:multiLevelType w:val="hybridMultilevel"/>
    <w:tmpl w:val="FEA48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1EDB"/>
    <w:multiLevelType w:val="hybridMultilevel"/>
    <w:tmpl w:val="E39C77B2"/>
    <w:lvl w:ilvl="0" w:tplc="7BC6DA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D5"/>
    <w:rsid w:val="00001333"/>
    <w:rsid w:val="00025700"/>
    <w:rsid w:val="000763E8"/>
    <w:rsid w:val="000A099F"/>
    <w:rsid w:val="000A6834"/>
    <w:rsid w:val="000C42A0"/>
    <w:rsid w:val="000C7B6B"/>
    <w:rsid w:val="000E3D74"/>
    <w:rsid w:val="000E5962"/>
    <w:rsid w:val="00116E95"/>
    <w:rsid w:val="00120886"/>
    <w:rsid w:val="00132429"/>
    <w:rsid w:val="00134C82"/>
    <w:rsid w:val="00135523"/>
    <w:rsid w:val="00152D6F"/>
    <w:rsid w:val="001740DE"/>
    <w:rsid w:val="001A0879"/>
    <w:rsid w:val="001A1018"/>
    <w:rsid w:val="001C6D21"/>
    <w:rsid w:val="00204629"/>
    <w:rsid w:val="0027251C"/>
    <w:rsid w:val="00276244"/>
    <w:rsid w:val="0028336F"/>
    <w:rsid w:val="00283F7F"/>
    <w:rsid w:val="002972B6"/>
    <w:rsid w:val="002C34AD"/>
    <w:rsid w:val="0031263C"/>
    <w:rsid w:val="0031321F"/>
    <w:rsid w:val="003336A9"/>
    <w:rsid w:val="00355407"/>
    <w:rsid w:val="00363CA3"/>
    <w:rsid w:val="00372449"/>
    <w:rsid w:val="003C0F7F"/>
    <w:rsid w:val="003D7CB3"/>
    <w:rsid w:val="003E0BEF"/>
    <w:rsid w:val="004027C0"/>
    <w:rsid w:val="00463A92"/>
    <w:rsid w:val="00486928"/>
    <w:rsid w:val="004B23D9"/>
    <w:rsid w:val="004C4B75"/>
    <w:rsid w:val="004D0C31"/>
    <w:rsid w:val="004E227D"/>
    <w:rsid w:val="004F3B1D"/>
    <w:rsid w:val="004F7C4E"/>
    <w:rsid w:val="0051367D"/>
    <w:rsid w:val="005228CF"/>
    <w:rsid w:val="00545DE2"/>
    <w:rsid w:val="0055266D"/>
    <w:rsid w:val="00556127"/>
    <w:rsid w:val="00563F3F"/>
    <w:rsid w:val="00565E7F"/>
    <w:rsid w:val="00575E85"/>
    <w:rsid w:val="0057651C"/>
    <w:rsid w:val="005A00EF"/>
    <w:rsid w:val="005A5C4C"/>
    <w:rsid w:val="005C70AF"/>
    <w:rsid w:val="005E03EF"/>
    <w:rsid w:val="005E3BEA"/>
    <w:rsid w:val="00631CEB"/>
    <w:rsid w:val="00633446"/>
    <w:rsid w:val="0064064C"/>
    <w:rsid w:val="00653617"/>
    <w:rsid w:val="00657EDF"/>
    <w:rsid w:val="00660092"/>
    <w:rsid w:val="00663E51"/>
    <w:rsid w:val="0067335A"/>
    <w:rsid w:val="00681F68"/>
    <w:rsid w:val="006866FB"/>
    <w:rsid w:val="006A06EB"/>
    <w:rsid w:val="006B338C"/>
    <w:rsid w:val="006C19A2"/>
    <w:rsid w:val="006E1644"/>
    <w:rsid w:val="006E1ED0"/>
    <w:rsid w:val="006E7802"/>
    <w:rsid w:val="006F6A32"/>
    <w:rsid w:val="007073DB"/>
    <w:rsid w:val="00715ED9"/>
    <w:rsid w:val="0076106A"/>
    <w:rsid w:val="00767D4C"/>
    <w:rsid w:val="007832D5"/>
    <w:rsid w:val="00785B91"/>
    <w:rsid w:val="007B2C0D"/>
    <w:rsid w:val="007C06C1"/>
    <w:rsid w:val="007D5238"/>
    <w:rsid w:val="0081404C"/>
    <w:rsid w:val="008A06F4"/>
    <w:rsid w:val="008B0069"/>
    <w:rsid w:val="008B6876"/>
    <w:rsid w:val="0092656A"/>
    <w:rsid w:val="00954186"/>
    <w:rsid w:val="0096131B"/>
    <w:rsid w:val="00981D7B"/>
    <w:rsid w:val="0098479A"/>
    <w:rsid w:val="009A46A2"/>
    <w:rsid w:val="009B7B9F"/>
    <w:rsid w:val="009C26F2"/>
    <w:rsid w:val="009C3FD9"/>
    <w:rsid w:val="009C4E51"/>
    <w:rsid w:val="009E2135"/>
    <w:rsid w:val="009E38CF"/>
    <w:rsid w:val="00A012F6"/>
    <w:rsid w:val="00A01E5D"/>
    <w:rsid w:val="00A14175"/>
    <w:rsid w:val="00A16EB8"/>
    <w:rsid w:val="00A22127"/>
    <w:rsid w:val="00A478BF"/>
    <w:rsid w:val="00A77CD9"/>
    <w:rsid w:val="00A92B10"/>
    <w:rsid w:val="00AB0DD4"/>
    <w:rsid w:val="00AC5537"/>
    <w:rsid w:val="00AD51AE"/>
    <w:rsid w:val="00AE7570"/>
    <w:rsid w:val="00AF7014"/>
    <w:rsid w:val="00B51C83"/>
    <w:rsid w:val="00B76569"/>
    <w:rsid w:val="00B87C4C"/>
    <w:rsid w:val="00B924FD"/>
    <w:rsid w:val="00BA6522"/>
    <w:rsid w:val="00BD13D4"/>
    <w:rsid w:val="00BF491C"/>
    <w:rsid w:val="00C102DF"/>
    <w:rsid w:val="00C178B4"/>
    <w:rsid w:val="00C32D0A"/>
    <w:rsid w:val="00C42864"/>
    <w:rsid w:val="00C44290"/>
    <w:rsid w:val="00C45151"/>
    <w:rsid w:val="00C47352"/>
    <w:rsid w:val="00C51102"/>
    <w:rsid w:val="00C67C28"/>
    <w:rsid w:val="00C75DD5"/>
    <w:rsid w:val="00CA0333"/>
    <w:rsid w:val="00CC613A"/>
    <w:rsid w:val="00CD57A2"/>
    <w:rsid w:val="00CE4119"/>
    <w:rsid w:val="00D23C1B"/>
    <w:rsid w:val="00D459A3"/>
    <w:rsid w:val="00D735C1"/>
    <w:rsid w:val="00D9195F"/>
    <w:rsid w:val="00DA1E7B"/>
    <w:rsid w:val="00DE13F8"/>
    <w:rsid w:val="00E004AA"/>
    <w:rsid w:val="00E2605C"/>
    <w:rsid w:val="00E54049"/>
    <w:rsid w:val="00E71E46"/>
    <w:rsid w:val="00E874D9"/>
    <w:rsid w:val="00ED2A0D"/>
    <w:rsid w:val="00EE7DD3"/>
    <w:rsid w:val="00F01978"/>
    <w:rsid w:val="00F02748"/>
    <w:rsid w:val="00F2105D"/>
    <w:rsid w:val="00F36C53"/>
    <w:rsid w:val="00F4432A"/>
    <w:rsid w:val="00F46D97"/>
    <w:rsid w:val="00F61144"/>
    <w:rsid w:val="00F87461"/>
    <w:rsid w:val="00F96B30"/>
    <w:rsid w:val="00FB4976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3A22"/>
  <w15:chartTrackingRefBased/>
  <w15:docId w15:val="{1E10DB33-C023-4065-9EC2-E912C08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A01E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1E5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1E5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01E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01E5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E5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63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74D9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B3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B338C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46A2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F96B30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6F6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EdavkiPortal/openportal/CommonPages/Opdynp/PageD.aspx?category=vracilo_druga_clanica_pr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publications/value-added-tax-vat-goods_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avki.durs.si/EdavkiPortal/openportal/CommonPages/Opdynp/PageD.aspx?category=vracilo_davek_tretja_clanica_podjetj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SL/TXT/PDF/?uri=CELEX:31986L0560&amp;qid=1421181682635&amp;from=S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TXT/PDF/?uri=CELEX:32008L0009&amp;qid=1421181568683&amp;from=SL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74C0DB-4A11-45FE-B198-B06167B5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Jeršin</dc:creator>
  <cp:keywords/>
  <dc:description/>
  <cp:lastModifiedBy>Sonja Jeršin</cp:lastModifiedBy>
  <cp:revision>2</cp:revision>
  <dcterms:created xsi:type="dcterms:W3CDTF">2021-01-29T10:15:00Z</dcterms:created>
  <dcterms:modified xsi:type="dcterms:W3CDTF">2021-01-29T10:15:00Z</dcterms:modified>
</cp:coreProperties>
</file>