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1E" w:rsidRDefault="00887E1E" w:rsidP="00CA699D">
      <w:pPr>
        <w:pStyle w:val="datumtevilka"/>
        <w:jc w:val="center"/>
      </w:pPr>
    </w:p>
    <w:p w:rsidR="00887E1E" w:rsidRDefault="00887E1E"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datumtevilka"/>
        <w:jc w:val="center"/>
      </w:pPr>
    </w:p>
    <w:p w:rsidR="00887E1E" w:rsidRDefault="00887E1E" w:rsidP="00CA699D">
      <w:pPr>
        <w:pStyle w:val="datumtevilka"/>
        <w:jc w:val="center"/>
      </w:pPr>
    </w:p>
    <w:p w:rsidR="00887E1E" w:rsidRDefault="00514DA9" w:rsidP="00E853E8">
      <w:pPr>
        <w:pStyle w:val="datumtevilka"/>
        <w:jc w:val="center"/>
        <w:rPr>
          <w:b/>
          <w:sz w:val="32"/>
          <w:szCs w:val="32"/>
        </w:rPr>
      </w:pPr>
      <w:r>
        <w:rPr>
          <w:b/>
          <w:sz w:val="32"/>
          <w:szCs w:val="32"/>
        </w:rPr>
        <w:t>IZVRŠBA NEDAVČNIH OBVEZNOSTI</w:t>
      </w:r>
    </w:p>
    <w:p w:rsidR="00514DA9" w:rsidRDefault="00514DA9" w:rsidP="00E853E8">
      <w:pPr>
        <w:pStyle w:val="datumtevilka"/>
        <w:jc w:val="center"/>
        <w:rPr>
          <w:b/>
          <w:sz w:val="32"/>
          <w:szCs w:val="32"/>
        </w:rPr>
      </w:pPr>
      <w:r>
        <w:rPr>
          <w:b/>
          <w:sz w:val="32"/>
          <w:szCs w:val="32"/>
        </w:rPr>
        <w:t>Uporaba aplikacije eIzvršbe</w:t>
      </w:r>
    </w:p>
    <w:p w:rsidR="00E853E8" w:rsidRPr="00E853E8" w:rsidRDefault="00E853E8" w:rsidP="00E853E8">
      <w:pPr>
        <w:pStyle w:val="datumtevilka"/>
        <w:jc w:val="center"/>
        <w:rPr>
          <w:b/>
          <w:sz w:val="32"/>
          <w:szCs w:val="32"/>
        </w:rPr>
      </w:pPr>
    </w:p>
    <w:p w:rsidR="00887E1E" w:rsidRDefault="00887E1E"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887E1E" w:rsidRDefault="00887E1E" w:rsidP="00E853E8">
      <w:pPr>
        <w:pStyle w:val="datumtevilka"/>
        <w:jc w:val="center"/>
      </w:pPr>
    </w:p>
    <w:p w:rsidR="00F825FF" w:rsidRDefault="00F825FF" w:rsidP="00E853E8">
      <w:pPr>
        <w:pStyle w:val="datumtevilka"/>
        <w:jc w:val="center"/>
      </w:pPr>
    </w:p>
    <w:p w:rsidR="00325557" w:rsidRDefault="00325557" w:rsidP="00E853E8">
      <w:pPr>
        <w:pStyle w:val="datumtevilka"/>
        <w:jc w:val="center"/>
      </w:pPr>
      <w:bookmarkStart w:id="0" w:name="_GoBack"/>
      <w:bookmarkEnd w:id="0"/>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Pr="00424416" w:rsidRDefault="00F825FF" w:rsidP="00CA699D">
      <w:pPr>
        <w:pStyle w:val="datumtevilka"/>
        <w:jc w:val="center"/>
      </w:pPr>
    </w:p>
    <w:p w:rsidR="00887E1E" w:rsidRPr="00424416" w:rsidRDefault="00887E1E" w:rsidP="00CA699D">
      <w:pPr>
        <w:pStyle w:val="podpisi"/>
        <w:jc w:val="center"/>
        <w:rPr>
          <w:lang w:val="sl-SI"/>
        </w:rPr>
      </w:pPr>
    </w:p>
    <w:p w:rsidR="00F825FF" w:rsidRPr="00424416" w:rsidRDefault="00F825FF"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E853E8" w:rsidRPr="00424416" w:rsidRDefault="00E853E8" w:rsidP="00CA699D">
      <w:pPr>
        <w:pStyle w:val="podpisi"/>
        <w:jc w:val="center"/>
        <w:rPr>
          <w:lang w:val="sl-SI"/>
        </w:rPr>
      </w:pPr>
    </w:p>
    <w:p w:rsidR="00E853E8" w:rsidRPr="00424416" w:rsidRDefault="00E853E8" w:rsidP="00CA699D">
      <w:pPr>
        <w:pStyle w:val="podpisi"/>
        <w:jc w:val="center"/>
        <w:rPr>
          <w:lang w:val="sl-SI"/>
        </w:rPr>
      </w:pPr>
    </w:p>
    <w:p w:rsidR="00E853E8" w:rsidRPr="00424416" w:rsidRDefault="00E853E8" w:rsidP="00CA699D">
      <w:pPr>
        <w:pStyle w:val="podpisi"/>
        <w:jc w:val="center"/>
        <w:rPr>
          <w:lang w:val="sl-SI"/>
        </w:rPr>
      </w:pPr>
    </w:p>
    <w:p w:rsidR="00E853E8" w:rsidRPr="00424416" w:rsidRDefault="00E853E8" w:rsidP="00CA699D">
      <w:pPr>
        <w:pStyle w:val="podpisi"/>
        <w:jc w:val="center"/>
        <w:rPr>
          <w:lang w:val="sl-SI"/>
        </w:rPr>
      </w:pPr>
    </w:p>
    <w:p w:rsidR="00E853E8" w:rsidRPr="00424416" w:rsidRDefault="00E853E8" w:rsidP="00CA699D">
      <w:pPr>
        <w:pStyle w:val="podpisi"/>
        <w:jc w:val="center"/>
        <w:rPr>
          <w:lang w:val="sl-SI"/>
        </w:rPr>
      </w:pPr>
    </w:p>
    <w:p w:rsidR="00E853E8" w:rsidRPr="00424416" w:rsidRDefault="00E853E8"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887E1E" w:rsidRPr="00424416" w:rsidRDefault="00887E1E" w:rsidP="00CA699D">
      <w:pPr>
        <w:pStyle w:val="podpisi"/>
        <w:jc w:val="center"/>
        <w:rPr>
          <w:lang w:val="sl-SI"/>
        </w:rPr>
      </w:pPr>
    </w:p>
    <w:p w:rsidR="00CA699D" w:rsidRPr="00424416" w:rsidRDefault="00A46B59" w:rsidP="00F825FF">
      <w:pPr>
        <w:pStyle w:val="podpisi"/>
        <w:jc w:val="center"/>
        <w:rPr>
          <w:b/>
          <w:sz w:val="28"/>
          <w:lang w:val="sl-SI"/>
        </w:rPr>
      </w:pPr>
      <w:r>
        <w:rPr>
          <w:b/>
          <w:sz w:val="28"/>
          <w:lang w:val="sl-SI"/>
        </w:rPr>
        <w:t>4</w:t>
      </w:r>
      <w:r w:rsidR="00E853E8" w:rsidRPr="00424416">
        <w:rPr>
          <w:b/>
          <w:sz w:val="28"/>
          <w:lang w:val="sl-SI"/>
        </w:rPr>
        <w:t xml:space="preserve">. izdaja, </w:t>
      </w:r>
      <w:r>
        <w:rPr>
          <w:b/>
          <w:sz w:val="28"/>
          <w:lang w:val="sl-SI"/>
        </w:rPr>
        <w:t>september</w:t>
      </w:r>
      <w:r w:rsidR="00424416" w:rsidRPr="00424416">
        <w:rPr>
          <w:b/>
          <w:sz w:val="28"/>
          <w:lang w:val="sl-SI"/>
        </w:rPr>
        <w:t xml:space="preserve"> 201</w:t>
      </w:r>
      <w:r>
        <w:rPr>
          <w:b/>
          <w:sz w:val="28"/>
          <w:lang w:val="sl-SI"/>
        </w:rPr>
        <w:t>8</w:t>
      </w:r>
    </w:p>
    <w:p w:rsidR="00DA2C9A" w:rsidRPr="00424416" w:rsidRDefault="00CA699D" w:rsidP="009541F3">
      <w:pPr>
        <w:rPr>
          <w:b/>
          <w:sz w:val="24"/>
          <w:lang w:val="sl-SI"/>
        </w:rPr>
      </w:pPr>
      <w:r w:rsidRPr="00424416">
        <w:rPr>
          <w:sz w:val="28"/>
          <w:lang w:val="sl-SI"/>
        </w:rPr>
        <w:br w:type="page"/>
      </w:r>
      <w:r w:rsidR="00DA2C9A" w:rsidRPr="00424416">
        <w:rPr>
          <w:b/>
          <w:sz w:val="24"/>
          <w:lang w:val="sl-SI"/>
        </w:rPr>
        <w:lastRenderedPageBreak/>
        <w:t>Kazalo</w:t>
      </w:r>
    </w:p>
    <w:p w:rsidR="00DA2C9A" w:rsidRPr="00424416" w:rsidRDefault="00DA2C9A" w:rsidP="009541F3">
      <w:pPr>
        <w:rPr>
          <w:b/>
          <w:sz w:val="24"/>
          <w:lang w:val="sl-SI"/>
        </w:rPr>
      </w:pPr>
    </w:p>
    <w:p w:rsidR="00EF62A9" w:rsidRDefault="009541F3" w:rsidP="00EF62A9">
      <w:pPr>
        <w:pStyle w:val="Kazalovsebine1"/>
        <w:ind w:left="0"/>
        <w:rPr>
          <w:rFonts w:asciiTheme="minorHAnsi" w:eastAsiaTheme="minorEastAsia" w:hAnsiTheme="minorHAnsi" w:cstheme="minorBidi"/>
          <w:noProof/>
          <w:sz w:val="22"/>
          <w:szCs w:val="22"/>
          <w:lang w:val="sl-SI" w:eastAsia="sl-SI"/>
        </w:rPr>
      </w:pPr>
      <w:r w:rsidRPr="00424416">
        <w:rPr>
          <w:sz w:val="28"/>
          <w:lang w:val="sl-SI"/>
        </w:rPr>
        <w:fldChar w:fldCharType="begin"/>
      </w:r>
      <w:r w:rsidRPr="00424416">
        <w:rPr>
          <w:sz w:val="28"/>
          <w:lang w:val="sl-SI"/>
        </w:rPr>
        <w:instrText xml:space="preserve"> TOC \h \z \t "FURS_naslov_1;1" </w:instrText>
      </w:r>
      <w:r w:rsidRPr="00424416">
        <w:rPr>
          <w:sz w:val="28"/>
          <w:lang w:val="sl-SI"/>
        </w:rPr>
        <w:fldChar w:fldCharType="separate"/>
      </w:r>
      <w:hyperlink w:anchor="_Toc523906410" w:history="1">
        <w:r w:rsidR="00EF62A9" w:rsidRPr="00A63B3C">
          <w:rPr>
            <w:rStyle w:val="Hiperpovezava"/>
            <w:noProof/>
          </w:rPr>
          <w:t>Vprašanje 1: Na zavihku "Potrjevanje" ni gumba "Potrdi izbrane". Kaj naj storim? (1. 7. 2015, 20. 1. 2016)</w:t>
        </w:r>
        <w:r w:rsidR="00EF62A9">
          <w:rPr>
            <w:noProof/>
            <w:webHidden/>
          </w:rPr>
          <w:tab/>
        </w:r>
        <w:r w:rsidR="00EF62A9">
          <w:rPr>
            <w:noProof/>
            <w:webHidden/>
          </w:rPr>
          <w:fldChar w:fldCharType="begin"/>
        </w:r>
        <w:r w:rsidR="00EF62A9">
          <w:rPr>
            <w:noProof/>
            <w:webHidden/>
          </w:rPr>
          <w:instrText xml:space="preserve"> PAGEREF _Toc523906410 \h </w:instrText>
        </w:r>
        <w:r w:rsidR="00EF62A9">
          <w:rPr>
            <w:noProof/>
            <w:webHidden/>
          </w:rPr>
        </w:r>
        <w:r w:rsidR="00EF62A9">
          <w:rPr>
            <w:noProof/>
            <w:webHidden/>
          </w:rPr>
          <w:fldChar w:fldCharType="separate"/>
        </w:r>
        <w:r w:rsidR="00EF62A9">
          <w:rPr>
            <w:noProof/>
            <w:webHidden/>
          </w:rPr>
          <w:t>3</w:t>
        </w:r>
        <w:r w:rsidR="00EF62A9">
          <w:rPr>
            <w:noProof/>
            <w:webHidden/>
          </w:rPr>
          <w:fldChar w:fldCharType="end"/>
        </w:r>
      </w:hyperlink>
    </w:p>
    <w:p w:rsidR="00EF62A9" w:rsidRDefault="007E6322" w:rsidP="00EF62A9">
      <w:pPr>
        <w:pStyle w:val="Kazalovsebine1"/>
        <w:ind w:left="0"/>
        <w:rPr>
          <w:rFonts w:asciiTheme="minorHAnsi" w:eastAsiaTheme="minorEastAsia" w:hAnsiTheme="minorHAnsi" w:cstheme="minorBidi"/>
          <w:noProof/>
          <w:sz w:val="22"/>
          <w:szCs w:val="22"/>
          <w:lang w:val="sl-SI" w:eastAsia="sl-SI"/>
        </w:rPr>
      </w:pPr>
      <w:hyperlink w:anchor="_Toc523906411" w:history="1">
        <w:r w:rsidR="00EF62A9" w:rsidRPr="00A63B3C">
          <w:rPr>
            <w:rStyle w:val="Hiperpovezava"/>
            <w:noProof/>
          </w:rPr>
          <w:t>Vprašanje 2: Katere datume zastaranja naj vnesem v aplikacijo v primeru, ko zaradi dejanj v postopku relativno zastaranje doseže absolutnega? (1. 7. 2015)</w:t>
        </w:r>
        <w:r w:rsidR="00EF62A9">
          <w:rPr>
            <w:noProof/>
            <w:webHidden/>
          </w:rPr>
          <w:tab/>
        </w:r>
        <w:r w:rsidR="00EF62A9">
          <w:rPr>
            <w:noProof/>
            <w:webHidden/>
          </w:rPr>
          <w:fldChar w:fldCharType="begin"/>
        </w:r>
        <w:r w:rsidR="00EF62A9">
          <w:rPr>
            <w:noProof/>
            <w:webHidden/>
          </w:rPr>
          <w:instrText xml:space="preserve"> PAGEREF _Toc523906411 \h </w:instrText>
        </w:r>
        <w:r w:rsidR="00EF62A9">
          <w:rPr>
            <w:noProof/>
            <w:webHidden/>
          </w:rPr>
        </w:r>
        <w:r w:rsidR="00EF62A9">
          <w:rPr>
            <w:noProof/>
            <w:webHidden/>
          </w:rPr>
          <w:fldChar w:fldCharType="separate"/>
        </w:r>
        <w:r w:rsidR="00EF62A9">
          <w:rPr>
            <w:noProof/>
            <w:webHidden/>
          </w:rPr>
          <w:t>3</w:t>
        </w:r>
        <w:r w:rsidR="00EF62A9">
          <w:rPr>
            <w:noProof/>
            <w:webHidden/>
          </w:rPr>
          <w:fldChar w:fldCharType="end"/>
        </w:r>
      </w:hyperlink>
    </w:p>
    <w:p w:rsidR="00EF62A9" w:rsidRDefault="007E6322" w:rsidP="00EF62A9">
      <w:pPr>
        <w:pStyle w:val="Kazalovsebine1"/>
        <w:ind w:left="0"/>
        <w:rPr>
          <w:rFonts w:asciiTheme="minorHAnsi" w:eastAsiaTheme="minorEastAsia" w:hAnsiTheme="minorHAnsi" w:cstheme="minorBidi"/>
          <w:noProof/>
          <w:sz w:val="22"/>
          <w:szCs w:val="22"/>
          <w:lang w:val="sl-SI" w:eastAsia="sl-SI"/>
        </w:rPr>
      </w:pPr>
      <w:hyperlink w:anchor="_Toc523906412" w:history="1">
        <w:r w:rsidR="00EF62A9" w:rsidRPr="00A63B3C">
          <w:rPr>
            <w:rStyle w:val="Hiperpovezava"/>
            <w:noProof/>
          </w:rPr>
          <w:t>Vprašanje 3: Pri potrjevanju predlogov aplikacija javi napako »Signing was not succesfull! Error code: - 3. Error mesagge: Uporabnik ni izbral digitalnega potrdila«. Kaj naj storim? (1. 7. 2015)</w:t>
        </w:r>
        <w:r w:rsidR="00EF62A9">
          <w:rPr>
            <w:noProof/>
            <w:webHidden/>
          </w:rPr>
          <w:tab/>
        </w:r>
        <w:r w:rsidR="00EF62A9">
          <w:rPr>
            <w:noProof/>
            <w:webHidden/>
          </w:rPr>
          <w:fldChar w:fldCharType="begin"/>
        </w:r>
        <w:r w:rsidR="00EF62A9">
          <w:rPr>
            <w:noProof/>
            <w:webHidden/>
          </w:rPr>
          <w:instrText xml:space="preserve"> PAGEREF _Toc523906412 \h </w:instrText>
        </w:r>
        <w:r w:rsidR="00EF62A9">
          <w:rPr>
            <w:noProof/>
            <w:webHidden/>
          </w:rPr>
        </w:r>
        <w:r w:rsidR="00EF62A9">
          <w:rPr>
            <w:noProof/>
            <w:webHidden/>
          </w:rPr>
          <w:fldChar w:fldCharType="separate"/>
        </w:r>
        <w:r w:rsidR="00EF62A9">
          <w:rPr>
            <w:noProof/>
            <w:webHidden/>
          </w:rPr>
          <w:t>3</w:t>
        </w:r>
        <w:r w:rsidR="00EF62A9">
          <w:rPr>
            <w:noProof/>
            <w:webHidden/>
          </w:rPr>
          <w:fldChar w:fldCharType="end"/>
        </w:r>
      </w:hyperlink>
    </w:p>
    <w:p w:rsidR="00EF62A9" w:rsidRDefault="007E6322" w:rsidP="00EF62A9">
      <w:pPr>
        <w:pStyle w:val="Kazalovsebine1"/>
        <w:ind w:left="0"/>
        <w:rPr>
          <w:rFonts w:asciiTheme="minorHAnsi" w:eastAsiaTheme="minorEastAsia" w:hAnsiTheme="minorHAnsi" w:cstheme="minorBidi"/>
          <w:noProof/>
          <w:sz w:val="22"/>
          <w:szCs w:val="22"/>
          <w:lang w:val="sl-SI" w:eastAsia="sl-SI"/>
        </w:rPr>
      </w:pPr>
      <w:hyperlink w:anchor="_Toc523906413" w:history="1">
        <w:r w:rsidR="00EF62A9" w:rsidRPr="00A63B3C">
          <w:rPr>
            <w:rStyle w:val="Hiperpovezava"/>
            <w:noProof/>
          </w:rPr>
          <w:t>Vprašanje 4: Do katerega zneska se lahko vložijo predlogi za izvršbo v aplikacijo eIzvršbe? Konkretno nas zanimajo upravne takse. (19. 8. 2015, 20.1.2016, 21. 6. 2016)</w:t>
        </w:r>
        <w:r w:rsidR="00EF62A9">
          <w:rPr>
            <w:noProof/>
            <w:webHidden/>
          </w:rPr>
          <w:tab/>
        </w:r>
        <w:r w:rsidR="00EF62A9">
          <w:rPr>
            <w:noProof/>
            <w:webHidden/>
          </w:rPr>
          <w:fldChar w:fldCharType="begin"/>
        </w:r>
        <w:r w:rsidR="00EF62A9">
          <w:rPr>
            <w:noProof/>
            <w:webHidden/>
          </w:rPr>
          <w:instrText xml:space="preserve"> PAGEREF _Toc523906413 \h </w:instrText>
        </w:r>
        <w:r w:rsidR="00EF62A9">
          <w:rPr>
            <w:noProof/>
            <w:webHidden/>
          </w:rPr>
        </w:r>
        <w:r w:rsidR="00EF62A9">
          <w:rPr>
            <w:noProof/>
            <w:webHidden/>
          </w:rPr>
          <w:fldChar w:fldCharType="separate"/>
        </w:r>
        <w:r w:rsidR="00EF62A9">
          <w:rPr>
            <w:noProof/>
            <w:webHidden/>
          </w:rPr>
          <w:t>4</w:t>
        </w:r>
        <w:r w:rsidR="00EF62A9">
          <w:rPr>
            <w:noProof/>
            <w:webHidden/>
          </w:rPr>
          <w:fldChar w:fldCharType="end"/>
        </w:r>
      </w:hyperlink>
    </w:p>
    <w:p w:rsidR="00EF62A9" w:rsidRDefault="007E6322" w:rsidP="00EF62A9">
      <w:pPr>
        <w:pStyle w:val="Kazalovsebine1"/>
        <w:ind w:left="0"/>
        <w:rPr>
          <w:rFonts w:asciiTheme="minorHAnsi" w:eastAsiaTheme="minorEastAsia" w:hAnsiTheme="minorHAnsi" w:cstheme="minorBidi"/>
          <w:noProof/>
          <w:sz w:val="22"/>
          <w:szCs w:val="22"/>
          <w:lang w:val="sl-SI" w:eastAsia="sl-SI"/>
        </w:rPr>
      </w:pPr>
      <w:hyperlink w:anchor="_Toc523906414" w:history="1">
        <w:r w:rsidR="00EF62A9" w:rsidRPr="00A63B3C">
          <w:rPr>
            <w:rStyle w:val="Hiperpovezava"/>
            <w:noProof/>
          </w:rPr>
          <w:t>Vprašanje 5: Katero pravno podlago uporabiti pri vnašanju datumov zastaranja v aplikacijo eIzvršbe za terjatve, izrečene po Zakonu o kazenskem postopku (ZKP)? ZKP nima posebnih določb o zastaranju pravice do izterjave denarnih terjatev, zato se postavlja vprašanje ali se za presojo zastaranja uporabljajo pravila Obligacijskega zakonika (OZ) ali se glede zastaranja uporabljajo določbe Zakona o davčnem postopku (ZDavP-2), v skladu s katerim davčni organ opravlja davčno izvršbo? (27. 7. 2016)</w:t>
        </w:r>
        <w:r w:rsidR="00EF62A9">
          <w:rPr>
            <w:noProof/>
            <w:webHidden/>
          </w:rPr>
          <w:tab/>
        </w:r>
        <w:r w:rsidR="00EF62A9">
          <w:rPr>
            <w:noProof/>
            <w:webHidden/>
          </w:rPr>
          <w:fldChar w:fldCharType="begin"/>
        </w:r>
        <w:r w:rsidR="00EF62A9">
          <w:rPr>
            <w:noProof/>
            <w:webHidden/>
          </w:rPr>
          <w:instrText xml:space="preserve"> PAGEREF _Toc523906414 \h </w:instrText>
        </w:r>
        <w:r w:rsidR="00EF62A9">
          <w:rPr>
            <w:noProof/>
            <w:webHidden/>
          </w:rPr>
        </w:r>
        <w:r w:rsidR="00EF62A9">
          <w:rPr>
            <w:noProof/>
            <w:webHidden/>
          </w:rPr>
          <w:fldChar w:fldCharType="separate"/>
        </w:r>
        <w:r w:rsidR="00EF62A9">
          <w:rPr>
            <w:noProof/>
            <w:webHidden/>
          </w:rPr>
          <w:t>4</w:t>
        </w:r>
        <w:r w:rsidR="00EF62A9">
          <w:rPr>
            <w:noProof/>
            <w:webHidden/>
          </w:rPr>
          <w:fldChar w:fldCharType="end"/>
        </w:r>
      </w:hyperlink>
    </w:p>
    <w:p w:rsidR="00EF62A9" w:rsidRDefault="007E6322" w:rsidP="00EF62A9">
      <w:pPr>
        <w:pStyle w:val="Kazalovsebine1"/>
        <w:ind w:left="0"/>
        <w:rPr>
          <w:rFonts w:asciiTheme="minorHAnsi" w:eastAsiaTheme="minorEastAsia" w:hAnsiTheme="minorHAnsi" w:cstheme="minorBidi"/>
          <w:noProof/>
          <w:sz w:val="22"/>
          <w:szCs w:val="22"/>
          <w:lang w:val="sl-SI" w:eastAsia="sl-SI"/>
        </w:rPr>
      </w:pPr>
      <w:hyperlink w:anchor="_Toc523906415" w:history="1">
        <w:r w:rsidR="00EF62A9" w:rsidRPr="00A63B3C">
          <w:rPr>
            <w:rStyle w:val="Hiperpovezava"/>
            <w:noProof/>
          </w:rPr>
          <w:t>Vprašanje 6: Kakšen način obračuna obresti se uporablja v času odloga ali obročnega plačila nedavčnih obveznosti? (05. 09. 2018)</w:t>
        </w:r>
        <w:r w:rsidR="00EF62A9">
          <w:rPr>
            <w:noProof/>
            <w:webHidden/>
          </w:rPr>
          <w:tab/>
        </w:r>
        <w:r w:rsidR="00EF62A9">
          <w:rPr>
            <w:noProof/>
            <w:webHidden/>
          </w:rPr>
          <w:fldChar w:fldCharType="begin"/>
        </w:r>
        <w:r w:rsidR="00EF62A9">
          <w:rPr>
            <w:noProof/>
            <w:webHidden/>
          </w:rPr>
          <w:instrText xml:space="preserve"> PAGEREF _Toc523906415 \h </w:instrText>
        </w:r>
        <w:r w:rsidR="00EF62A9">
          <w:rPr>
            <w:noProof/>
            <w:webHidden/>
          </w:rPr>
        </w:r>
        <w:r w:rsidR="00EF62A9">
          <w:rPr>
            <w:noProof/>
            <w:webHidden/>
          </w:rPr>
          <w:fldChar w:fldCharType="separate"/>
        </w:r>
        <w:r w:rsidR="00EF62A9">
          <w:rPr>
            <w:noProof/>
            <w:webHidden/>
          </w:rPr>
          <w:t>5</w:t>
        </w:r>
        <w:r w:rsidR="00EF62A9">
          <w:rPr>
            <w:noProof/>
            <w:webHidden/>
          </w:rPr>
          <w:fldChar w:fldCharType="end"/>
        </w:r>
      </w:hyperlink>
    </w:p>
    <w:p w:rsidR="00887E1E" w:rsidRPr="00424416" w:rsidRDefault="009541F3" w:rsidP="000D3599">
      <w:pPr>
        <w:pStyle w:val="FURSnaslov1"/>
      </w:pPr>
      <w:r w:rsidRPr="00424416">
        <w:rPr>
          <w:sz w:val="28"/>
        </w:rPr>
        <w:fldChar w:fldCharType="end"/>
      </w:r>
      <w:r w:rsidR="00DA2C9A" w:rsidRPr="00424416">
        <w:rPr>
          <w:sz w:val="28"/>
        </w:rPr>
        <w:br w:type="page"/>
      </w:r>
      <w:bookmarkStart w:id="1" w:name="_Toc523906410"/>
      <w:r w:rsidR="00CA699D" w:rsidRPr="00424416">
        <w:lastRenderedPageBreak/>
        <w:t xml:space="preserve">Vprašanje 1: </w:t>
      </w:r>
      <w:r w:rsidR="00424416" w:rsidRPr="00424416">
        <w:t>Na zavihku "Potrjevanje" ni gumba "Potrdi izbrane". Kaj naj storim? (1. 7. 2015</w:t>
      </w:r>
      <w:r w:rsidR="00FB4124">
        <w:t>, 20. 1. 2016</w:t>
      </w:r>
      <w:r w:rsidR="00CA699D" w:rsidRPr="00424416">
        <w:t>)</w:t>
      </w:r>
      <w:bookmarkEnd w:id="1"/>
    </w:p>
    <w:p w:rsidR="00CA699D" w:rsidRPr="00424416" w:rsidRDefault="00CA699D" w:rsidP="0097688B">
      <w:pPr>
        <w:pStyle w:val="podpisi"/>
        <w:rPr>
          <w:b/>
          <w:sz w:val="24"/>
          <w:lang w:val="sl-SI"/>
        </w:rPr>
      </w:pPr>
    </w:p>
    <w:p w:rsidR="00CA699D" w:rsidRPr="00424416" w:rsidRDefault="009541F3" w:rsidP="0097688B">
      <w:pPr>
        <w:pStyle w:val="podpisi"/>
        <w:rPr>
          <w:b/>
          <w:sz w:val="24"/>
          <w:lang w:val="sl-SI"/>
        </w:rPr>
      </w:pPr>
      <w:r w:rsidRPr="00424416">
        <w:rPr>
          <w:b/>
          <w:sz w:val="24"/>
          <w:lang w:val="sl-SI"/>
        </w:rPr>
        <w:t>Odgovor</w:t>
      </w:r>
    </w:p>
    <w:p w:rsidR="00424416" w:rsidRPr="00424416" w:rsidRDefault="00424416" w:rsidP="0097688B">
      <w:pPr>
        <w:jc w:val="both"/>
        <w:rPr>
          <w:lang w:val="sl-SI"/>
        </w:rPr>
      </w:pPr>
      <w:r w:rsidRPr="00424416">
        <w:rPr>
          <w:lang w:val="sl-SI"/>
        </w:rPr>
        <w:t xml:space="preserve">Prosimo, obrnite se na vaše informatike, da vam namestijo komponento za podpisovanje. </w:t>
      </w:r>
    </w:p>
    <w:p w:rsidR="00424416" w:rsidRPr="00424416" w:rsidRDefault="00424416" w:rsidP="0097688B">
      <w:pPr>
        <w:jc w:val="both"/>
        <w:rPr>
          <w:lang w:val="sl-SI"/>
        </w:rPr>
      </w:pPr>
      <w:r w:rsidRPr="00424416">
        <w:rPr>
          <w:lang w:val="sl-SI"/>
        </w:rPr>
        <w:t xml:space="preserve">   </w:t>
      </w:r>
    </w:p>
    <w:p w:rsidR="00424416" w:rsidRPr="00424416" w:rsidRDefault="00424416" w:rsidP="0097688B">
      <w:pPr>
        <w:jc w:val="both"/>
        <w:rPr>
          <w:lang w:val="sl-SI"/>
        </w:rPr>
      </w:pPr>
      <w:r w:rsidRPr="00424416">
        <w:rPr>
          <w:lang w:val="sl-SI"/>
        </w:rPr>
        <w:t xml:space="preserve">Vsak predlog izvršbe mora biti elektronsko podpisan. V okviru aplikacije eIzvršbe, se za kreiranje elektronskega podpisa uporablja komponenta proXSign, ki mora biti nameščena na delovni postaji na kateri se kreira in podpisuje predlog izvršbe. V kolikor komponenta ni nameščena na delovni postaji, potem na maski za potrjevanje ni viden gumb z napisom »Potrdi izbrane«. </w:t>
      </w:r>
    </w:p>
    <w:p w:rsidR="00184FE1" w:rsidRDefault="00184FE1" w:rsidP="00184FE1">
      <w:pPr>
        <w:jc w:val="both"/>
        <w:rPr>
          <w:lang w:val="sl-SI"/>
        </w:rPr>
      </w:pPr>
    </w:p>
    <w:p w:rsidR="00184FE1" w:rsidRPr="00184FE1" w:rsidRDefault="00184FE1" w:rsidP="00184FE1">
      <w:pPr>
        <w:jc w:val="both"/>
        <w:rPr>
          <w:b/>
          <w:color w:val="1F497D"/>
        </w:rPr>
      </w:pPr>
      <w:r w:rsidRPr="00184FE1">
        <w:rPr>
          <w:b/>
          <w:lang w:val="sl-SI"/>
        </w:rPr>
        <w:t xml:space="preserve">Od 1. 2. 2016 </w:t>
      </w:r>
      <w:r>
        <w:rPr>
          <w:b/>
          <w:lang w:val="sl-SI"/>
        </w:rPr>
        <w:t xml:space="preserve">dalje je </w:t>
      </w:r>
      <w:r w:rsidRPr="00184FE1">
        <w:rPr>
          <w:b/>
          <w:lang w:val="sl-SI"/>
        </w:rPr>
        <w:t xml:space="preserve">možno v aplikaciji eIzvršbe </w:t>
      </w:r>
      <w:r>
        <w:rPr>
          <w:b/>
          <w:lang w:val="sl-SI"/>
        </w:rPr>
        <w:t>potrjevati predloge</w:t>
      </w:r>
      <w:r w:rsidRPr="00184FE1">
        <w:rPr>
          <w:b/>
          <w:lang w:val="sl-SI"/>
        </w:rPr>
        <w:t xml:space="preserve"> </w:t>
      </w:r>
      <w:r>
        <w:rPr>
          <w:b/>
          <w:lang w:val="sl-SI"/>
        </w:rPr>
        <w:t xml:space="preserve">za izvršbo </w:t>
      </w:r>
      <w:r w:rsidRPr="00184FE1">
        <w:rPr>
          <w:b/>
          <w:lang w:val="sl-SI"/>
        </w:rPr>
        <w:t xml:space="preserve">le </w:t>
      </w:r>
      <w:r>
        <w:rPr>
          <w:b/>
          <w:lang w:val="sl-SI"/>
        </w:rPr>
        <w:t xml:space="preserve">s </w:t>
      </w:r>
      <w:r w:rsidRPr="00184FE1">
        <w:rPr>
          <w:b/>
          <w:lang w:val="sl-SI"/>
        </w:rPr>
        <w:t>podpisno komponento proXsign druge generacije.</w:t>
      </w:r>
      <w:r w:rsidRPr="00184FE1">
        <w:rPr>
          <w:b/>
          <w:color w:val="1F497D"/>
        </w:rPr>
        <w:t xml:space="preserve"> </w:t>
      </w:r>
    </w:p>
    <w:p w:rsidR="00184FE1" w:rsidRPr="00184FE1" w:rsidRDefault="00184FE1" w:rsidP="00184FE1">
      <w:pPr>
        <w:jc w:val="both"/>
        <w:rPr>
          <w:b/>
          <w:color w:val="1F497D"/>
        </w:rPr>
      </w:pPr>
    </w:p>
    <w:p w:rsidR="00184FE1" w:rsidRPr="00424416" w:rsidRDefault="00184FE1" w:rsidP="00184FE1">
      <w:pPr>
        <w:jc w:val="both"/>
        <w:rPr>
          <w:lang w:val="sl-SI"/>
        </w:rPr>
      </w:pPr>
      <w:r>
        <w:rPr>
          <w:lang w:val="sl-SI"/>
        </w:rPr>
        <w:t>K</w:t>
      </w:r>
      <w:r w:rsidRPr="003E74A3">
        <w:rPr>
          <w:lang w:val="sl-SI"/>
        </w:rPr>
        <w:t>omponenta</w:t>
      </w:r>
      <w:r>
        <w:rPr>
          <w:lang w:val="sl-SI"/>
        </w:rPr>
        <w:t xml:space="preserve"> druge generacije in navodila za njeno namestitev </w:t>
      </w:r>
      <w:r w:rsidRPr="003E74A3">
        <w:rPr>
          <w:lang w:val="sl-SI"/>
        </w:rPr>
        <w:t>se nahaja</w:t>
      </w:r>
      <w:r>
        <w:rPr>
          <w:lang w:val="sl-SI"/>
        </w:rPr>
        <w:t>jo</w:t>
      </w:r>
      <w:r w:rsidRPr="003E74A3">
        <w:rPr>
          <w:lang w:val="sl-SI"/>
        </w:rPr>
        <w:t xml:space="preserve"> na </w:t>
      </w:r>
      <w:hyperlink r:id="rId11" w:history="1">
        <w:r w:rsidRPr="00184FE1">
          <w:rPr>
            <w:rStyle w:val="Hiperpovezava"/>
            <w:lang w:val="sl-SI"/>
          </w:rPr>
          <w:t>spletni strani Ministrstva za javno upravo</w:t>
        </w:r>
      </w:hyperlink>
      <w:r>
        <w:rPr>
          <w:lang w:val="sl-SI"/>
        </w:rPr>
        <w:t>.</w:t>
      </w:r>
    </w:p>
    <w:p w:rsidR="00424416" w:rsidRPr="00424416" w:rsidRDefault="00424416" w:rsidP="0097688B">
      <w:pPr>
        <w:jc w:val="both"/>
        <w:rPr>
          <w:lang w:val="sl-SI"/>
        </w:rPr>
      </w:pPr>
    </w:p>
    <w:p w:rsidR="00424416" w:rsidRPr="00424416" w:rsidRDefault="00424416" w:rsidP="0097688B">
      <w:pPr>
        <w:jc w:val="both"/>
        <w:rPr>
          <w:lang w:val="sl-SI"/>
        </w:rPr>
      </w:pPr>
      <w:r w:rsidRPr="00424416">
        <w:rPr>
          <w:lang w:val="sl-SI"/>
        </w:rPr>
        <w:t xml:space="preserve">Ko se izvede nastavitev komponente za podpisovanje je potrebno zapreti brskalnik in ga znova odpreti. Če se po vnovičnem odprtju brskalnika in odprtju obrazca za potrjevanje pojavi opozorilo, Ne obstaja komponenta za digitalno podpisovanje, in se pojavi vrstica s sledečim tekstom: »Spletna stran želi zagnati naslednje dodatke…«, je potrebno izbrati možnost »Zaženi dodatke«. </w:t>
      </w:r>
    </w:p>
    <w:p w:rsidR="00424416" w:rsidRPr="00424416" w:rsidRDefault="00424416" w:rsidP="0097688B">
      <w:pPr>
        <w:jc w:val="both"/>
        <w:rPr>
          <w:lang w:val="sl-SI"/>
        </w:rPr>
      </w:pPr>
      <w:r w:rsidRPr="00424416">
        <w:rPr>
          <w:lang w:val="sl-SI"/>
        </w:rPr>
        <w:t xml:space="preserve">   </w:t>
      </w:r>
    </w:p>
    <w:p w:rsidR="00424416" w:rsidRPr="00424416" w:rsidRDefault="00424416" w:rsidP="0097688B">
      <w:pPr>
        <w:jc w:val="both"/>
        <w:rPr>
          <w:lang w:val="sl-SI"/>
        </w:rPr>
      </w:pPr>
      <w:r w:rsidRPr="00424416">
        <w:rPr>
          <w:lang w:val="sl-SI"/>
        </w:rPr>
        <w:t xml:space="preserve">Ko je končno komponenta pravilno nameščena, mora biti viden gumb z napisom »Potrdi izbrane« na maski za potrjevanje predlogov izvršb. </w:t>
      </w:r>
    </w:p>
    <w:p w:rsidR="00424416" w:rsidRPr="00424416" w:rsidRDefault="00424416" w:rsidP="0097688B">
      <w:pPr>
        <w:jc w:val="both"/>
        <w:rPr>
          <w:lang w:val="sl-SI"/>
        </w:rPr>
      </w:pPr>
      <w:r w:rsidRPr="00424416">
        <w:rPr>
          <w:lang w:val="sl-SI"/>
        </w:rPr>
        <w:t xml:space="preserve">     </w:t>
      </w:r>
    </w:p>
    <w:p w:rsidR="00424416" w:rsidRDefault="00424416" w:rsidP="0097688B">
      <w:pPr>
        <w:jc w:val="both"/>
        <w:rPr>
          <w:lang w:val="sl-SI"/>
        </w:rPr>
      </w:pPr>
      <w:r w:rsidRPr="00424416">
        <w:rPr>
          <w:lang w:val="sl-SI"/>
        </w:rPr>
        <w:t>Postopek nastavitve komponente za podpisovanje se lahko večkrat ponovi.</w:t>
      </w:r>
    </w:p>
    <w:p w:rsidR="00CA699D" w:rsidRDefault="00CA699D" w:rsidP="0097688B">
      <w:pPr>
        <w:jc w:val="both"/>
        <w:rPr>
          <w:lang w:val="sl-SI"/>
        </w:rPr>
      </w:pPr>
    </w:p>
    <w:p w:rsidR="00EF62A9" w:rsidRPr="00424416" w:rsidRDefault="00EF62A9" w:rsidP="0097688B">
      <w:pPr>
        <w:jc w:val="both"/>
        <w:rPr>
          <w:lang w:val="sl-SI"/>
        </w:rPr>
      </w:pPr>
    </w:p>
    <w:p w:rsidR="00CA699D" w:rsidRPr="00424416" w:rsidRDefault="00CA699D" w:rsidP="0097688B">
      <w:pPr>
        <w:pStyle w:val="FURSnaslov1"/>
      </w:pPr>
      <w:bookmarkStart w:id="2" w:name="_Toc523906411"/>
      <w:r w:rsidRPr="00424416">
        <w:t xml:space="preserve">Vprašanje 2: </w:t>
      </w:r>
      <w:r w:rsidR="00424416" w:rsidRPr="00424416">
        <w:t>Katere datume zastaranja naj vnesem v aplikacijo v primeru, ko zaradi dejanj v postopku relativno zastaranje doseže absolutnega? (1. 7. 2015</w:t>
      </w:r>
      <w:r w:rsidRPr="00424416">
        <w:t>)</w:t>
      </w:r>
      <w:bookmarkEnd w:id="2"/>
    </w:p>
    <w:p w:rsidR="00CA699D" w:rsidRPr="00424416" w:rsidRDefault="00CA699D" w:rsidP="0097688B">
      <w:pPr>
        <w:pStyle w:val="podpisi"/>
        <w:rPr>
          <w:b/>
          <w:sz w:val="24"/>
          <w:lang w:val="sl-SI"/>
        </w:rPr>
      </w:pPr>
    </w:p>
    <w:p w:rsidR="00CA699D" w:rsidRPr="00424416" w:rsidRDefault="00CA699D" w:rsidP="0097688B">
      <w:pPr>
        <w:pStyle w:val="podpisi"/>
        <w:rPr>
          <w:b/>
          <w:sz w:val="24"/>
          <w:lang w:val="sl-SI"/>
        </w:rPr>
      </w:pPr>
      <w:r w:rsidRPr="00424416">
        <w:rPr>
          <w:b/>
          <w:sz w:val="24"/>
          <w:lang w:val="sl-SI"/>
        </w:rPr>
        <w:t>Odgovor</w:t>
      </w:r>
    </w:p>
    <w:p w:rsidR="00424416" w:rsidRPr="00424416" w:rsidRDefault="00424416" w:rsidP="0097688B">
      <w:pPr>
        <w:jc w:val="both"/>
        <w:rPr>
          <w:lang w:val="sl-SI"/>
        </w:rPr>
      </w:pPr>
      <w:r w:rsidRPr="00424416">
        <w:rPr>
          <w:lang w:val="sl-SI"/>
        </w:rPr>
        <w:t xml:space="preserve">V skladu s 44. členom ZP-1 zastaranje pretrga vsako dejanje organa, pristojnega za postopek o prekršku ali izvršitev, ki meri na izvršitev sankcije, torej tudi na primer predlog organa za določitev uklonilnega zapora. Vendar v skladu s 3. odst. 44. člena ZP-1 se sankcije ne smejo začeti izvrševati po preteku 4 let od dneva, ko je odločba s katero je bila sankcija izrečena postala pravnomočna (absolutni zastaralni rok). </w:t>
      </w:r>
    </w:p>
    <w:p w:rsidR="00424416" w:rsidRPr="00424416" w:rsidRDefault="00424416" w:rsidP="0097688B">
      <w:pPr>
        <w:jc w:val="both"/>
        <w:rPr>
          <w:lang w:val="sl-SI"/>
        </w:rPr>
      </w:pPr>
      <w:r w:rsidRPr="00424416">
        <w:rPr>
          <w:lang w:val="sl-SI"/>
        </w:rPr>
        <w:t xml:space="preserve">   </w:t>
      </w:r>
    </w:p>
    <w:p w:rsidR="00424416" w:rsidRPr="00424416" w:rsidRDefault="00424416" w:rsidP="0097688B">
      <w:pPr>
        <w:jc w:val="both"/>
        <w:rPr>
          <w:lang w:val="sl-SI"/>
        </w:rPr>
      </w:pPr>
      <w:r w:rsidRPr="00424416">
        <w:rPr>
          <w:lang w:val="sl-SI"/>
        </w:rPr>
        <w:t xml:space="preserve">Primer: </w:t>
      </w:r>
    </w:p>
    <w:p w:rsidR="00424416" w:rsidRPr="00424416" w:rsidRDefault="00424416" w:rsidP="0097688B">
      <w:pPr>
        <w:jc w:val="both"/>
        <w:rPr>
          <w:lang w:val="sl-SI"/>
        </w:rPr>
      </w:pPr>
      <w:r w:rsidRPr="00424416">
        <w:rPr>
          <w:lang w:val="sl-SI"/>
        </w:rPr>
        <w:t xml:space="preserve">30.05.2008 - izdana odločba o prekršku </w:t>
      </w:r>
    </w:p>
    <w:p w:rsidR="00424416" w:rsidRPr="00424416" w:rsidRDefault="00424416" w:rsidP="0097688B">
      <w:pPr>
        <w:jc w:val="both"/>
        <w:rPr>
          <w:lang w:val="sl-SI"/>
        </w:rPr>
      </w:pPr>
      <w:r w:rsidRPr="00424416">
        <w:rPr>
          <w:lang w:val="sl-SI"/>
        </w:rPr>
        <w:t xml:space="preserve">01.07.2008 - odločba je pravnomočna </w:t>
      </w:r>
    </w:p>
    <w:p w:rsidR="00424416" w:rsidRPr="00424416" w:rsidRDefault="00424416" w:rsidP="0097688B">
      <w:pPr>
        <w:jc w:val="both"/>
        <w:rPr>
          <w:lang w:val="sl-SI"/>
        </w:rPr>
      </w:pPr>
      <w:r w:rsidRPr="00424416">
        <w:rPr>
          <w:lang w:val="sl-SI"/>
        </w:rPr>
        <w:t xml:space="preserve">01.08.2008 - odločba je izvršljiva </w:t>
      </w:r>
    </w:p>
    <w:p w:rsidR="00424416" w:rsidRPr="00424416" w:rsidRDefault="00424416" w:rsidP="0097688B">
      <w:pPr>
        <w:jc w:val="both"/>
        <w:rPr>
          <w:lang w:val="sl-SI"/>
        </w:rPr>
      </w:pPr>
      <w:r w:rsidRPr="00424416">
        <w:rPr>
          <w:lang w:val="sl-SI"/>
        </w:rPr>
        <w:t xml:space="preserve">08.12.2008 - na sodišče poslan predlog za uklonilni zapor (pretrganje zastaranja izvršitve) </w:t>
      </w:r>
    </w:p>
    <w:p w:rsidR="00424416" w:rsidRPr="00424416" w:rsidRDefault="00424416" w:rsidP="0097688B">
      <w:pPr>
        <w:jc w:val="both"/>
        <w:rPr>
          <w:lang w:val="sl-SI"/>
        </w:rPr>
      </w:pPr>
      <w:r w:rsidRPr="00424416">
        <w:rPr>
          <w:lang w:val="sl-SI"/>
        </w:rPr>
        <w:t xml:space="preserve">11.02.2009 - sodišče izda sklep o določitvi uklonilnega zapora </w:t>
      </w:r>
    </w:p>
    <w:p w:rsidR="00424416" w:rsidRPr="00424416" w:rsidRDefault="00424416" w:rsidP="0097688B">
      <w:pPr>
        <w:jc w:val="both"/>
        <w:rPr>
          <w:lang w:val="sl-SI"/>
        </w:rPr>
      </w:pPr>
      <w:r w:rsidRPr="00424416">
        <w:rPr>
          <w:lang w:val="sl-SI"/>
        </w:rPr>
        <w:t xml:space="preserve">19.03.2012 - sodišče izda sklep, da se uklonilni zapor ne izvrši, ampak se globa prisilno izterja </w:t>
      </w:r>
    </w:p>
    <w:p w:rsidR="00424416" w:rsidRPr="00424416" w:rsidRDefault="00424416" w:rsidP="0097688B">
      <w:pPr>
        <w:jc w:val="both"/>
        <w:rPr>
          <w:lang w:val="sl-SI"/>
        </w:rPr>
      </w:pPr>
      <w:r w:rsidRPr="00424416">
        <w:rPr>
          <w:lang w:val="sl-SI"/>
        </w:rPr>
        <w:t xml:space="preserve">    </w:t>
      </w:r>
    </w:p>
    <w:p w:rsidR="00CA699D" w:rsidRPr="00424416" w:rsidRDefault="00424416" w:rsidP="0097688B">
      <w:pPr>
        <w:jc w:val="both"/>
        <w:rPr>
          <w:lang w:val="sl-SI"/>
        </w:rPr>
      </w:pPr>
      <w:r w:rsidRPr="00424416">
        <w:rPr>
          <w:lang w:val="sl-SI"/>
        </w:rPr>
        <w:t>V takšnih primerih se na predlog za izvršbo v polje "Datum relativnega zastaranja" vnese datum 2. 7. 2012, torej datum absolutnega zastaranja.</w:t>
      </w:r>
    </w:p>
    <w:p w:rsidR="00CA699D" w:rsidRDefault="00CA699D" w:rsidP="0097688B">
      <w:pPr>
        <w:jc w:val="both"/>
        <w:rPr>
          <w:lang w:val="sl-SI"/>
        </w:rPr>
      </w:pPr>
    </w:p>
    <w:p w:rsidR="00EF62A9" w:rsidRDefault="00EF62A9" w:rsidP="0097688B">
      <w:pPr>
        <w:jc w:val="both"/>
        <w:rPr>
          <w:lang w:val="sl-SI"/>
        </w:rPr>
      </w:pPr>
    </w:p>
    <w:p w:rsidR="00EF62A9" w:rsidRPr="00424416" w:rsidRDefault="00EF62A9" w:rsidP="0097688B">
      <w:pPr>
        <w:jc w:val="both"/>
        <w:rPr>
          <w:lang w:val="sl-SI"/>
        </w:rPr>
      </w:pPr>
    </w:p>
    <w:p w:rsidR="00CA699D" w:rsidRPr="00424416" w:rsidRDefault="00CA699D" w:rsidP="0097688B">
      <w:pPr>
        <w:pStyle w:val="FURSnaslov1"/>
      </w:pPr>
      <w:bookmarkStart w:id="3" w:name="_Toc523906412"/>
      <w:r w:rsidRPr="00424416">
        <w:lastRenderedPageBreak/>
        <w:t xml:space="preserve">Vprašanje 3: </w:t>
      </w:r>
      <w:r w:rsidR="00424416" w:rsidRPr="00424416">
        <w:t>Pri potrjevanju pr</w:t>
      </w:r>
      <w:r w:rsidR="00424416">
        <w:t>edlogov aplikacija javi napako »</w:t>
      </w:r>
      <w:r w:rsidR="00424416" w:rsidRPr="00424416">
        <w:t>Signing was not succesfull! Error code: - 3. Error mesagge: Uporabnik</w:t>
      </w:r>
      <w:r w:rsidR="00424416">
        <w:t xml:space="preserve"> ni izbral digitalnega potrdila«.</w:t>
      </w:r>
      <w:r w:rsidR="00424416" w:rsidRPr="00424416">
        <w:t xml:space="preserve"> Kaj naj storim? (1. 7. 2015</w:t>
      </w:r>
      <w:r w:rsidRPr="00424416">
        <w:t>)</w:t>
      </w:r>
      <w:bookmarkEnd w:id="3"/>
    </w:p>
    <w:p w:rsidR="00CA699D" w:rsidRPr="00424416" w:rsidRDefault="00CA699D" w:rsidP="0097688B">
      <w:pPr>
        <w:pStyle w:val="podpisi"/>
        <w:rPr>
          <w:b/>
          <w:sz w:val="24"/>
          <w:lang w:val="sl-SI"/>
        </w:rPr>
      </w:pPr>
    </w:p>
    <w:p w:rsidR="00CA699D" w:rsidRPr="00424416" w:rsidRDefault="00CA699D" w:rsidP="0097688B">
      <w:pPr>
        <w:pStyle w:val="podpisi"/>
        <w:rPr>
          <w:b/>
          <w:sz w:val="24"/>
          <w:lang w:val="sl-SI"/>
        </w:rPr>
      </w:pPr>
      <w:r w:rsidRPr="00424416">
        <w:rPr>
          <w:b/>
          <w:sz w:val="24"/>
          <w:lang w:val="sl-SI"/>
        </w:rPr>
        <w:t>Odgovor</w:t>
      </w:r>
    </w:p>
    <w:p w:rsidR="00CA699D" w:rsidRPr="00424416" w:rsidRDefault="00424416" w:rsidP="0097688B">
      <w:pPr>
        <w:jc w:val="both"/>
        <w:rPr>
          <w:lang w:val="sl-SI"/>
        </w:rPr>
      </w:pPr>
      <w:r w:rsidRPr="00424416">
        <w:rPr>
          <w:lang w:val="sl-SI"/>
        </w:rPr>
        <w:t>Podpisno programsko opremo ProXsign zagotavlja Ministrstvo za notranje zadeve, od katerega smo pridobili naslednji odgovor: V primeru te napake pomeni, da uporabljate platformo Windows 7 in Internet Explorer 10. Na platformi Windows 7 z Internet Explorer 10 pri podpisovanju s Proxsign ne deluje prikaz seznama potrdil in izbiranje potrdila za podpis. To se dogaja le na tej platformi in izvajalci, ki so avtorji in vzdrževalci Proxsign, tega ne morejo rešiti, saj obstaja težava pri Microsoftu. Če boste zagotovili, da bo v shrambi nameščeno samo eno potrdilo, ki ustreza pogojem aplikacije, bo podpisovanje delovalo tudi na Win7+IE10. V primeru, da težave ne boste rešili se poslužite drugih platform, npr: Win7 + IE9, Win8 + IE10.</w:t>
      </w:r>
    </w:p>
    <w:p w:rsidR="00424416" w:rsidRDefault="00424416" w:rsidP="00693C4E">
      <w:pPr>
        <w:jc w:val="both"/>
        <w:rPr>
          <w:lang w:val="sl-SI"/>
        </w:rPr>
      </w:pPr>
    </w:p>
    <w:p w:rsidR="00EF62A9" w:rsidRDefault="00EF62A9" w:rsidP="00693C4E">
      <w:pPr>
        <w:jc w:val="both"/>
        <w:rPr>
          <w:lang w:val="sl-SI"/>
        </w:rPr>
      </w:pPr>
    </w:p>
    <w:p w:rsidR="00DE5616" w:rsidRPr="00424416" w:rsidRDefault="00DE5616" w:rsidP="00DE5616">
      <w:pPr>
        <w:pStyle w:val="FURSnaslov1"/>
        <w:jc w:val="both"/>
      </w:pPr>
      <w:bookmarkStart w:id="4" w:name="_Toc523906413"/>
      <w:r>
        <w:t>Vprašanje 4</w:t>
      </w:r>
      <w:r w:rsidRPr="00424416">
        <w:t xml:space="preserve">: </w:t>
      </w:r>
      <w:r>
        <w:t>Do katerega zneska se lahko vložijo predlogi za izvršbo v aplikacijo eIzvršbe? Konkretno nas zanimajo upravne takse. (19. 8. 2015</w:t>
      </w:r>
      <w:r w:rsidR="00FB4124">
        <w:t>, 20.1.2016</w:t>
      </w:r>
      <w:r w:rsidR="00391A65">
        <w:t>, 21. 6. 2016</w:t>
      </w:r>
      <w:r w:rsidRPr="00424416">
        <w:t>)</w:t>
      </w:r>
      <w:bookmarkEnd w:id="4"/>
    </w:p>
    <w:p w:rsidR="00DE5616" w:rsidRPr="00424416" w:rsidRDefault="00DE5616" w:rsidP="00DE5616">
      <w:pPr>
        <w:pStyle w:val="podpisi"/>
        <w:rPr>
          <w:b/>
          <w:sz w:val="24"/>
          <w:lang w:val="sl-SI"/>
        </w:rPr>
      </w:pPr>
    </w:p>
    <w:p w:rsidR="00DE5616" w:rsidRPr="00424416" w:rsidRDefault="00DE5616" w:rsidP="00DE5616">
      <w:pPr>
        <w:pStyle w:val="podpisi"/>
        <w:rPr>
          <w:b/>
          <w:sz w:val="24"/>
          <w:lang w:val="sl-SI"/>
        </w:rPr>
      </w:pPr>
      <w:r w:rsidRPr="00424416">
        <w:rPr>
          <w:b/>
          <w:sz w:val="24"/>
          <w:lang w:val="sl-SI"/>
        </w:rPr>
        <w:t>Odgovor</w:t>
      </w:r>
    </w:p>
    <w:p w:rsidR="00DE5616" w:rsidRPr="00DC5E80" w:rsidRDefault="00DE5616" w:rsidP="00DE5616">
      <w:pPr>
        <w:autoSpaceDE w:val="0"/>
        <w:autoSpaceDN w:val="0"/>
        <w:adjustRightInd w:val="0"/>
        <w:spacing w:line="260" w:lineRule="exact"/>
        <w:jc w:val="both"/>
        <w:rPr>
          <w:color w:val="000000"/>
          <w:lang w:val="es-ES"/>
        </w:rPr>
      </w:pPr>
      <w:r w:rsidRPr="00917834">
        <w:rPr>
          <w:lang w:val="sl-SI"/>
        </w:rPr>
        <w:t>Zakon o upravnih taksah</w:t>
      </w:r>
      <w:r>
        <w:rPr>
          <w:lang w:val="sl-SI"/>
        </w:rPr>
        <w:t xml:space="preserve"> (ZUT)</w:t>
      </w:r>
      <w:r>
        <w:rPr>
          <w:rStyle w:val="Sprotnaopomba-sklic"/>
          <w:lang w:val="sl-SI"/>
        </w:rPr>
        <w:footnoteReference w:id="1"/>
      </w:r>
      <w:r w:rsidRPr="00917834">
        <w:rPr>
          <w:lang w:val="sl-SI"/>
        </w:rPr>
        <w:t xml:space="preserve"> </w:t>
      </w:r>
      <w:r>
        <w:rPr>
          <w:rFonts w:cs="Arial"/>
          <w:lang w:val="sl-SI"/>
        </w:rPr>
        <w:t>v 3. odstavku 19. člena določa, da se n</w:t>
      </w:r>
      <w:r>
        <w:rPr>
          <w:lang w:val="es-ES"/>
        </w:rPr>
        <w:t xml:space="preserve">eplačane takse prisilno ne izterjajo, če znesek neplačane takse </w:t>
      </w:r>
      <w:r w:rsidRPr="00E22BD1">
        <w:rPr>
          <w:u w:val="single"/>
          <w:lang w:val="es-ES"/>
        </w:rPr>
        <w:t>v posamezni zadevi</w:t>
      </w:r>
      <w:r>
        <w:rPr>
          <w:lang w:val="es-ES"/>
        </w:rPr>
        <w:t xml:space="preserve"> </w:t>
      </w:r>
      <w:r w:rsidRPr="00DC5E80">
        <w:rPr>
          <w:color w:val="000000"/>
          <w:lang w:val="es-ES"/>
        </w:rPr>
        <w:t xml:space="preserve">ne presega </w:t>
      </w:r>
      <w:r w:rsidR="00391A65" w:rsidRPr="00DC5E80">
        <w:rPr>
          <w:color w:val="000000"/>
          <w:lang w:val="es-ES"/>
        </w:rPr>
        <w:t xml:space="preserve">70 odstotkov </w:t>
      </w:r>
      <w:r w:rsidR="004E65A8" w:rsidRPr="00DC5E80">
        <w:rPr>
          <w:color w:val="000000"/>
          <w:lang w:val="es-ES"/>
        </w:rPr>
        <w:t xml:space="preserve">vrednosti </w:t>
      </w:r>
      <w:r w:rsidRPr="00DC5E80">
        <w:rPr>
          <w:color w:val="000000"/>
          <w:lang w:val="es-ES"/>
        </w:rPr>
        <w:t xml:space="preserve">zneska, ki je z davčnimi predpisi določen kot znesek, za katerega se ne opravi prisilna izterjava. </w:t>
      </w:r>
    </w:p>
    <w:p w:rsidR="00DE5616" w:rsidRPr="00DC5E80" w:rsidRDefault="00DE5616" w:rsidP="00DE5616">
      <w:pPr>
        <w:autoSpaceDE w:val="0"/>
        <w:autoSpaceDN w:val="0"/>
        <w:adjustRightInd w:val="0"/>
        <w:spacing w:line="260" w:lineRule="exact"/>
        <w:jc w:val="both"/>
        <w:rPr>
          <w:color w:val="000000"/>
          <w:lang w:val="es-ES"/>
        </w:rPr>
      </w:pPr>
    </w:p>
    <w:p w:rsidR="00391A65" w:rsidRPr="00DC5E80" w:rsidRDefault="00247723" w:rsidP="00FB4124">
      <w:pPr>
        <w:pStyle w:val="Default"/>
        <w:jc w:val="both"/>
        <w:rPr>
          <w:sz w:val="20"/>
          <w:szCs w:val="20"/>
        </w:rPr>
      </w:pPr>
      <w:r w:rsidRPr="00DC5E80">
        <w:rPr>
          <w:sz w:val="20"/>
          <w:szCs w:val="20"/>
        </w:rPr>
        <w:t>V davčnih predpisih (149. člen Zakona o davčnem postopku – ZDavP-2</w:t>
      </w:r>
      <w:r w:rsidRPr="00DC5E80">
        <w:rPr>
          <w:rStyle w:val="Sprotnaopomba-sklic"/>
          <w:sz w:val="20"/>
          <w:szCs w:val="20"/>
        </w:rPr>
        <w:footnoteReference w:id="2"/>
      </w:r>
      <w:r w:rsidRPr="00DC5E80">
        <w:rPr>
          <w:sz w:val="20"/>
          <w:szCs w:val="20"/>
        </w:rPr>
        <w:t>) je določeno, da se davčna izvršba ne začne, če znesek davka, razen v primeru iz 146. člena zakona, ne presega 25 eurov.</w:t>
      </w:r>
      <w:r w:rsidR="00391A65" w:rsidRPr="00DC5E80">
        <w:rPr>
          <w:sz w:val="20"/>
          <w:szCs w:val="20"/>
        </w:rPr>
        <w:t xml:space="preserve"> </w:t>
      </w:r>
    </w:p>
    <w:p w:rsidR="00391A65" w:rsidRPr="00DC5E80" w:rsidRDefault="00391A65" w:rsidP="00FB4124">
      <w:pPr>
        <w:pStyle w:val="Default"/>
        <w:jc w:val="both"/>
        <w:rPr>
          <w:sz w:val="20"/>
          <w:szCs w:val="20"/>
        </w:rPr>
      </w:pPr>
    </w:p>
    <w:p w:rsidR="00F96FFB" w:rsidRPr="00DC5E80" w:rsidRDefault="00F96FFB" w:rsidP="00F96FFB">
      <w:pPr>
        <w:autoSpaceDE w:val="0"/>
        <w:autoSpaceDN w:val="0"/>
        <w:spacing w:line="260" w:lineRule="exact"/>
        <w:jc w:val="both"/>
        <w:rPr>
          <w:strike/>
          <w:color w:val="000000"/>
          <w:szCs w:val="20"/>
          <w:lang w:val="sl-SI"/>
        </w:rPr>
      </w:pPr>
      <w:r w:rsidRPr="00DC5E80">
        <w:rPr>
          <w:color w:val="000000"/>
          <w:lang w:val="sl-SI"/>
        </w:rPr>
        <w:t>Glede na navedeno torej upravne takse ni dovoljeno prisilno izterjevati, če oziroma dokler znesek neplačane takse (vključno z zamudnimi obrestmi) po posameznem plačilnem nalogu ne presega 17,50 eurov.</w:t>
      </w:r>
    </w:p>
    <w:p w:rsidR="00F96FFB" w:rsidRPr="00DC5E80" w:rsidRDefault="00F96FFB" w:rsidP="00FB4124">
      <w:pPr>
        <w:autoSpaceDE w:val="0"/>
        <w:autoSpaceDN w:val="0"/>
        <w:adjustRightInd w:val="0"/>
        <w:spacing w:line="260" w:lineRule="exact"/>
        <w:jc w:val="both"/>
        <w:rPr>
          <w:strike/>
          <w:color w:val="000000"/>
          <w:lang w:val="sl-SI"/>
        </w:rPr>
      </w:pPr>
    </w:p>
    <w:p w:rsidR="00F96FFB" w:rsidRPr="00DC5E80" w:rsidRDefault="00F96FFB" w:rsidP="00F96FFB">
      <w:pPr>
        <w:spacing w:line="260" w:lineRule="exact"/>
        <w:jc w:val="both"/>
        <w:rPr>
          <w:color w:val="000000"/>
          <w:lang w:val="es-ES"/>
        </w:rPr>
      </w:pPr>
      <w:r w:rsidRPr="00DC5E80">
        <w:rPr>
          <w:color w:val="000000"/>
          <w:lang w:val="es-ES"/>
        </w:rPr>
        <w:t>V aplikaciji eIzvršbe je od uveljavitve sprememb in dopolnitev Zakona o upravnih taksah (novela ZUT-I) vgrajena kontrola, ki predlagateljem onemogoča vložitev predloga za izvršbo za terjatev iz naslova upravne takse, ki po posameznem plačilnem nalogu ne presega 17,50 EUR.</w:t>
      </w:r>
    </w:p>
    <w:p w:rsidR="00FB4124" w:rsidRPr="00DC5E80" w:rsidRDefault="00FB4124" w:rsidP="00DE5616">
      <w:pPr>
        <w:autoSpaceDE w:val="0"/>
        <w:autoSpaceDN w:val="0"/>
        <w:adjustRightInd w:val="0"/>
        <w:spacing w:line="260" w:lineRule="exact"/>
        <w:jc w:val="both"/>
        <w:rPr>
          <w:color w:val="000000"/>
          <w:lang w:val="sl-SI"/>
        </w:rPr>
      </w:pPr>
    </w:p>
    <w:p w:rsidR="00DE5616" w:rsidRDefault="00DE5616" w:rsidP="00DE5616">
      <w:pPr>
        <w:spacing w:line="260" w:lineRule="exact"/>
        <w:jc w:val="both"/>
        <w:rPr>
          <w:lang w:val="es-ES"/>
        </w:rPr>
      </w:pPr>
      <w:r>
        <w:rPr>
          <w:lang w:val="es-ES"/>
        </w:rPr>
        <w:t>Za ostale nedavčne terjatve zgoraj omenjene omejitve, predpisane v 149. členu ZDavP-2, ne veljajo oziroma veljajo le omejitve, ki so predpisane s področnimi predpisi.</w:t>
      </w:r>
    </w:p>
    <w:p w:rsidR="00DC6B2F" w:rsidRDefault="00DC6B2F" w:rsidP="00DE5616">
      <w:pPr>
        <w:spacing w:line="260" w:lineRule="exact"/>
        <w:jc w:val="both"/>
        <w:rPr>
          <w:lang w:val="es-ES"/>
        </w:rPr>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Default="00B95292" w:rsidP="00B95292">
      <w:pPr>
        <w:pStyle w:val="FURSnaslov1"/>
        <w:jc w:val="both"/>
      </w:pPr>
    </w:p>
    <w:p w:rsidR="00B95292" w:rsidRPr="00424416" w:rsidRDefault="00B95292" w:rsidP="00B95292">
      <w:pPr>
        <w:pStyle w:val="FURSnaslov1"/>
        <w:jc w:val="both"/>
      </w:pPr>
      <w:bookmarkStart w:id="5" w:name="_Toc523906414"/>
      <w:r>
        <w:lastRenderedPageBreak/>
        <w:t>Vprašanje 5</w:t>
      </w:r>
      <w:r w:rsidRPr="00424416">
        <w:t xml:space="preserve">: </w:t>
      </w:r>
      <w:r>
        <w:t xml:space="preserve">Katero pravno podlago uporabiti pri vnašanju datumov zastaranja v aplikacijo eIzvršbe </w:t>
      </w:r>
      <w:r w:rsidRPr="00B95292">
        <w:t>za terjatve, izrečene po Zakonu o kazenskem postopku</w:t>
      </w:r>
      <w:r w:rsidR="00A15348">
        <w:t xml:space="preserve"> </w:t>
      </w:r>
      <w:r w:rsidRPr="00B95292">
        <w:t>(ZKP)</w:t>
      </w:r>
      <w:r w:rsidR="00A15348">
        <w:rPr>
          <w:rStyle w:val="Sprotnaopomba-sklic"/>
        </w:rPr>
        <w:footnoteReference w:id="3"/>
      </w:r>
      <w:r w:rsidRPr="00B95292">
        <w:t>? ZKP nima posebnih določb o zastaranju pravice do izterjave denarnih terjatev, zato se postavlja vprašanje ali se za presojo zastaranja uporabljajo pravila Obligacijskega zakonika (OZ</w:t>
      </w:r>
      <w:r w:rsidR="00911F2A">
        <w:t>)</w:t>
      </w:r>
      <w:r w:rsidR="00A15348">
        <w:rPr>
          <w:rStyle w:val="Sprotnaopomba-sklic"/>
        </w:rPr>
        <w:footnoteReference w:id="4"/>
      </w:r>
      <w:r w:rsidRPr="00B95292">
        <w:t xml:space="preserve"> ali se glede zastaranja uporabljajo določbe Zakona o davčnem postopku (ZDavP-2</w:t>
      </w:r>
      <w:r w:rsidR="00911F2A">
        <w:t>)</w:t>
      </w:r>
      <w:r w:rsidR="00A15348">
        <w:rPr>
          <w:rStyle w:val="Sprotnaopomba-sklic"/>
        </w:rPr>
        <w:footnoteReference w:id="5"/>
      </w:r>
      <w:r w:rsidRPr="00B95292">
        <w:t>, v skladu s katerim davčni organ opravlja davčno izvršbo?</w:t>
      </w:r>
      <w:r>
        <w:t xml:space="preserve"> (27. 7. 2016</w:t>
      </w:r>
      <w:r w:rsidRPr="00424416">
        <w:t>)</w:t>
      </w:r>
      <w:bookmarkEnd w:id="5"/>
    </w:p>
    <w:p w:rsidR="00B95292" w:rsidRDefault="00B95292" w:rsidP="00DE5616">
      <w:pPr>
        <w:spacing w:line="260" w:lineRule="exact"/>
        <w:jc w:val="both"/>
        <w:rPr>
          <w:lang w:val="es-ES"/>
        </w:rPr>
      </w:pPr>
    </w:p>
    <w:p w:rsidR="00B95292" w:rsidRPr="00424416" w:rsidRDefault="00B95292" w:rsidP="00B95292">
      <w:pPr>
        <w:pStyle w:val="podpisi"/>
        <w:rPr>
          <w:b/>
          <w:sz w:val="24"/>
          <w:lang w:val="sl-SI"/>
        </w:rPr>
      </w:pPr>
      <w:r w:rsidRPr="00424416">
        <w:rPr>
          <w:b/>
          <w:sz w:val="24"/>
          <w:lang w:val="sl-SI"/>
        </w:rPr>
        <w:t>Odgovor</w:t>
      </w:r>
    </w:p>
    <w:p w:rsidR="00B95292" w:rsidRPr="00B95292" w:rsidRDefault="00B95292" w:rsidP="00B95292">
      <w:pPr>
        <w:spacing w:line="260" w:lineRule="exact"/>
        <w:jc w:val="both"/>
        <w:rPr>
          <w:lang w:val="sl-SI"/>
        </w:rPr>
      </w:pPr>
      <w:r w:rsidRPr="00B95292">
        <w:rPr>
          <w:lang w:val="sl-SI"/>
        </w:rPr>
        <w:t>Za denarne terjatve, izrečene po ZKP</w:t>
      </w:r>
      <w:r>
        <w:rPr>
          <w:lang w:val="sl-SI"/>
        </w:rPr>
        <w:t xml:space="preserve"> (gre za terjatve v aplikaciji eIzvršbe šifra </w:t>
      </w:r>
      <w:r>
        <w:rPr>
          <w:rFonts w:ascii="ArialMT" w:hAnsi="ArialMT" w:cs="ArialMT"/>
          <w:szCs w:val="20"/>
          <w:lang w:val="sl-SI" w:eastAsia="sl-SI"/>
        </w:rPr>
        <w:t>10020, 20010, 30010 in 30020)</w:t>
      </w:r>
      <w:r w:rsidRPr="00B95292">
        <w:rPr>
          <w:lang w:val="sl-SI"/>
        </w:rPr>
        <w:t>, se upoštevajo zastaralni roki, določeni v ZDavP-2, torej petletni relativni in desetletni absolutni zastaralni rok iz 125. in 126. člena ZDavP-2. Pri postopku davčne izvršbe gre za davčnopravno razmerje, ki je javnopravno razmerje, zara</w:t>
      </w:r>
      <w:r w:rsidR="00911F2A">
        <w:rPr>
          <w:lang w:val="sl-SI"/>
        </w:rPr>
        <w:t xml:space="preserve">di česar je potrebno za presojo </w:t>
      </w:r>
      <w:r w:rsidRPr="00B95292">
        <w:rPr>
          <w:lang w:val="sl-SI"/>
        </w:rPr>
        <w:t>zastaranja uporabiti določbe ZDavP-2 in se torej glede zastaranja ne morejo uporabiti pravila civ</w:t>
      </w:r>
      <w:r w:rsidR="00657E6E">
        <w:rPr>
          <w:lang w:val="sl-SI"/>
        </w:rPr>
        <w:t xml:space="preserve">ilnega prava oziroma določbe OZ </w:t>
      </w:r>
      <w:r w:rsidRPr="00B95292">
        <w:rPr>
          <w:lang w:val="sl-SI"/>
        </w:rPr>
        <w:t>(tako tudi Vrhovno sodišče RS v sodbi, št. I Ips 27374/2013-30 z dne 12. 6. 2014).</w:t>
      </w:r>
    </w:p>
    <w:p w:rsidR="00CA699D" w:rsidRDefault="00CA699D" w:rsidP="00DE5616">
      <w:pPr>
        <w:jc w:val="both"/>
        <w:rPr>
          <w:lang w:val="sl-SI"/>
        </w:rPr>
      </w:pPr>
    </w:p>
    <w:p w:rsidR="005E0E8D" w:rsidRDefault="005E0E8D" w:rsidP="00DE5616">
      <w:pPr>
        <w:jc w:val="both"/>
        <w:rPr>
          <w:lang w:val="sl-SI"/>
        </w:rPr>
      </w:pPr>
    </w:p>
    <w:p w:rsidR="005E0E8D" w:rsidRPr="00424416" w:rsidRDefault="005E0E8D" w:rsidP="005E0E8D">
      <w:pPr>
        <w:pStyle w:val="FURSnaslov1"/>
        <w:jc w:val="both"/>
      </w:pPr>
      <w:bookmarkStart w:id="6" w:name="_Toc523906415"/>
      <w:r>
        <w:t>Vprašanje 6</w:t>
      </w:r>
      <w:r w:rsidRPr="00424416">
        <w:t>:</w:t>
      </w:r>
      <w:r>
        <w:t xml:space="preserve"> Kakšen način obračuna obresti se uporablja v času odloga ali obročnega plačila nedavčnih obveznosti? (05. 09. 2018</w:t>
      </w:r>
      <w:r w:rsidRPr="00424416">
        <w:t>)</w:t>
      </w:r>
      <w:bookmarkEnd w:id="6"/>
    </w:p>
    <w:p w:rsidR="005E0E8D" w:rsidRDefault="005E0E8D" w:rsidP="00DE5616">
      <w:pPr>
        <w:jc w:val="both"/>
        <w:rPr>
          <w:lang w:val="sl-SI"/>
        </w:rPr>
      </w:pPr>
    </w:p>
    <w:p w:rsidR="00EF62A9" w:rsidRPr="00424416" w:rsidRDefault="00EF62A9" w:rsidP="00EF62A9">
      <w:pPr>
        <w:pStyle w:val="podpisi"/>
        <w:rPr>
          <w:b/>
          <w:sz w:val="24"/>
          <w:lang w:val="sl-SI"/>
        </w:rPr>
      </w:pPr>
      <w:r w:rsidRPr="00424416">
        <w:rPr>
          <w:b/>
          <w:sz w:val="24"/>
          <w:lang w:val="sl-SI"/>
        </w:rPr>
        <w:t>Odgovor</w:t>
      </w:r>
    </w:p>
    <w:p w:rsidR="005E0E8D" w:rsidRDefault="005E0E8D" w:rsidP="005E0E8D">
      <w:pPr>
        <w:autoSpaceDE w:val="0"/>
        <w:autoSpaceDN w:val="0"/>
        <w:adjustRightInd w:val="0"/>
        <w:spacing w:line="240" w:lineRule="auto"/>
        <w:jc w:val="both"/>
        <w:rPr>
          <w:rFonts w:ascii="ArialMT" w:hAnsi="ArialMT" w:cs="ArialMT"/>
          <w:szCs w:val="20"/>
          <w:lang w:val="sl-SI" w:eastAsia="sl-SI"/>
        </w:rPr>
      </w:pPr>
      <w:r>
        <w:rPr>
          <w:rFonts w:ascii="ArialMT" w:hAnsi="ArialMT" w:cs="ArialMT"/>
          <w:szCs w:val="20"/>
          <w:lang w:val="sl-SI" w:eastAsia="sl-SI"/>
        </w:rPr>
        <w:t>Zakon o davčnem postopku – ZDavP-2</w:t>
      </w:r>
      <w:r w:rsidR="00696341">
        <w:rPr>
          <w:rStyle w:val="Sprotnaopomba-sklic"/>
          <w:rFonts w:ascii="ArialMT" w:hAnsi="ArialMT" w:cs="ArialMT"/>
          <w:szCs w:val="20"/>
          <w:lang w:val="sl-SI" w:eastAsia="sl-SI"/>
        </w:rPr>
        <w:footnoteReference w:id="6"/>
      </w:r>
      <w:r>
        <w:rPr>
          <w:rFonts w:ascii="ArialMT" w:hAnsi="ArialMT" w:cs="ArialMT"/>
          <w:sz w:val="13"/>
          <w:szCs w:val="13"/>
          <w:lang w:val="sl-SI" w:eastAsia="sl-SI"/>
        </w:rPr>
        <w:t xml:space="preserve"> </w:t>
      </w:r>
      <w:r>
        <w:rPr>
          <w:rFonts w:ascii="ArialMT" w:hAnsi="ArialMT" w:cs="ArialMT"/>
          <w:szCs w:val="20"/>
          <w:lang w:val="sl-SI" w:eastAsia="sl-SI"/>
        </w:rPr>
        <w:t>v 154. členu določa, da davčni organ s sklepom zadrži davčno izvršbo, če je dolžniku dovoljen odlog oziroma obročno plačilo obveznosti. Za čas, ko je davčna izvršba zadržana, se zaračunajo obresti, in sicer po obrestni meri, ki znaša 2% letno. Navedeno velja samo v primerih, kadar o odlogu ali obročnem plačilu odloča davčni organ v skladu z določili ZDavP-2.</w:t>
      </w:r>
    </w:p>
    <w:p w:rsidR="005E0E8D" w:rsidRDefault="005E0E8D" w:rsidP="005E0E8D">
      <w:pPr>
        <w:autoSpaceDE w:val="0"/>
        <w:autoSpaceDN w:val="0"/>
        <w:adjustRightInd w:val="0"/>
        <w:spacing w:line="240" w:lineRule="auto"/>
        <w:jc w:val="both"/>
        <w:rPr>
          <w:rFonts w:ascii="ArialMT" w:hAnsi="ArialMT" w:cs="ArialMT"/>
          <w:szCs w:val="20"/>
          <w:lang w:val="sl-SI" w:eastAsia="sl-SI"/>
        </w:rPr>
      </w:pPr>
    </w:p>
    <w:p w:rsidR="005E0E8D" w:rsidRDefault="005E0E8D" w:rsidP="005E0E8D">
      <w:pPr>
        <w:autoSpaceDE w:val="0"/>
        <w:autoSpaceDN w:val="0"/>
        <w:adjustRightInd w:val="0"/>
        <w:spacing w:line="240" w:lineRule="auto"/>
        <w:jc w:val="both"/>
        <w:rPr>
          <w:rFonts w:ascii="ArialMT" w:hAnsi="ArialMT" w:cs="ArialMT"/>
          <w:szCs w:val="20"/>
          <w:lang w:val="sl-SI" w:eastAsia="sl-SI"/>
        </w:rPr>
      </w:pPr>
      <w:r>
        <w:rPr>
          <w:rFonts w:ascii="ArialMT" w:hAnsi="ArialMT" w:cs="ArialMT"/>
          <w:szCs w:val="20"/>
          <w:lang w:val="sl-SI" w:eastAsia="sl-SI"/>
        </w:rPr>
        <w:t>V primerih, ko davčni organ izterjuje nedavčne obveznosti, o odlogu ali obročnem plačilu obveznosti odloča predlagatelj izvršbe</w:t>
      </w:r>
      <w:r w:rsidR="00696341">
        <w:rPr>
          <w:rStyle w:val="Sprotnaopomba-sklic"/>
          <w:rFonts w:ascii="ArialMT" w:hAnsi="ArialMT" w:cs="ArialMT"/>
          <w:szCs w:val="20"/>
          <w:lang w:val="sl-SI" w:eastAsia="sl-SI"/>
        </w:rPr>
        <w:footnoteReference w:id="7"/>
      </w:r>
      <w:r>
        <w:rPr>
          <w:rFonts w:ascii="ArialMT" w:hAnsi="ArialMT" w:cs="ArialMT"/>
          <w:szCs w:val="20"/>
          <w:lang w:val="sl-SI" w:eastAsia="sl-SI"/>
        </w:rPr>
        <w:t>.</w:t>
      </w:r>
      <w:r>
        <w:rPr>
          <w:rFonts w:ascii="ArialMT" w:hAnsi="ArialMT" w:cs="ArialMT"/>
          <w:sz w:val="13"/>
          <w:szCs w:val="13"/>
          <w:lang w:val="sl-SI" w:eastAsia="sl-SI"/>
        </w:rPr>
        <w:t xml:space="preserve"> </w:t>
      </w:r>
      <w:r>
        <w:rPr>
          <w:rFonts w:ascii="ArialMT" w:hAnsi="ArialMT" w:cs="ArialMT"/>
          <w:szCs w:val="20"/>
          <w:lang w:val="sl-SI" w:eastAsia="sl-SI"/>
        </w:rPr>
        <w:t>V tem primeru se morebitne obresti za čas odloga ali obročnega plačila obračunajo v skladu s področno zakonodajo. V aplikaciji eIzvršbe enotnega oziroma avtomatičnega izračuna obresti za čas zadržanja davčne izvršbe za nedavčne obveznosti ni mogoče zagotoviti, saj področna zakonodaja različno obravnava obrestovanje za čas odloga ali obročnega plačila nedavčnih terjatev.</w:t>
      </w:r>
    </w:p>
    <w:p w:rsidR="005E0E8D" w:rsidRDefault="005E0E8D" w:rsidP="005E0E8D">
      <w:pPr>
        <w:autoSpaceDE w:val="0"/>
        <w:autoSpaceDN w:val="0"/>
        <w:adjustRightInd w:val="0"/>
        <w:spacing w:line="240" w:lineRule="auto"/>
        <w:jc w:val="both"/>
        <w:rPr>
          <w:rFonts w:ascii="Arial-BoldMT" w:hAnsi="Arial-BoldMT" w:cs="Arial-BoldMT"/>
          <w:b/>
          <w:bCs/>
          <w:szCs w:val="20"/>
          <w:lang w:val="sl-SI" w:eastAsia="sl-SI"/>
        </w:rPr>
      </w:pPr>
    </w:p>
    <w:p w:rsidR="005E0E8D" w:rsidRPr="00696341" w:rsidRDefault="00696341" w:rsidP="005E0E8D">
      <w:pPr>
        <w:autoSpaceDE w:val="0"/>
        <w:autoSpaceDN w:val="0"/>
        <w:adjustRightInd w:val="0"/>
        <w:spacing w:line="240" w:lineRule="auto"/>
        <w:jc w:val="both"/>
        <w:rPr>
          <w:lang w:val="sl-SI"/>
        </w:rPr>
      </w:pPr>
      <w:r w:rsidRPr="00696341">
        <w:rPr>
          <w:rFonts w:ascii="Arial-BoldMT" w:hAnsi="Arial-BoldMT" w:cs="Arial-BoldMT"/>
          <w:bCs/>
          <w:szCs w:val="20"/>
          <w:lang w:val="sl-SI" w:eastAsia="sl-SI"/>
        </w:rPr>
        <w:t>P</w:t>
      </w:r>
      <w:r w:rsidR="005E0E8D" w:rsidRPr="00696341">
        <w:rPr>
          <w:rFonts w:ascii="Arial-BoldMT" w:hAnsi="Arial-BoldMT" w:cs="Arial-BoldMT"/>
          <w:bCs/>
          <w:szCs w:val="20"/>
          <w:lang w:val="sl-SI" w:eastAsia="sl-SI"/>
        </w:rPr>
        <w:t xml:space="preserve">redlagatelj izvršbe </w:t>
      </w:r>
      <w:r w:rsidRPr="00696341">
        <w:rPr>
          <w:rFonts w:ascii="Arial-BoldMT" w:hAnsi="Arial-BoldMT" w:cs="Arial-BoldMT"/>
          <w:bCs/>
          <w:szCs w:val="20"/>
          <w:lang w:val="sl-SI" w:eastAsia="sl-SI"/>
        </w:rPr>
        <w:t xml:space="preserve">mora </w:t>
      </w:r>
      <w:r w:rsidR="005E0E8D" w:rsidRPr="00696341">
        <w:rPr>
          <w:rFonts w:ascii="Arial-BoldMT" w:hAnsi="Arial-BoldMT" w:cs="Arial-BoldMT"/>
          <w:bCs/>
          <w:szCs w:val="20"/>
          <w:lang w:val="sl-SI" w:eastAsia="sl-SI"/>
        </w:rPr>
        <w:t xml:space="preserve">v primeru, če dolžnik nedavčne obveznosti, ki se obrestuje, v času zadržanja davčne izvršbe ne poravna, </w:t>
      </w:r>
      <w:r w:rsidR="005E0E8D" w:rsidRPr="00696341">
        <w:rPr>
          <w:rFonts w:ascii="Arial-BoldMT" w:hAnsi="Arial-BoldMT" w:cs="Arial-BoldMT"/>
          <w:b/>
          <w:bCs/>
          <w:szCs w:val="20"/>
          <w:lang w:val="sl-SI" w:eastAsia="sl-SI"/>
        </w:rPr>
        <w:t>skupaj s predlogom za nadaljevanje davčne izvršbe v aplikaciji eIzvršbe sporočiti tudi novo stanje obresti</w:t>
      </w:r>
      <w:r w:rsidR="005E0E8D" w:rsidRPr="00696341">
        <w:rPr>
          <w:rFonts w:ascii="Arial-BoldMT" w:hAnsi="Arial-BoldMT" w:cs="Arial-BoldMT"/>
          <w:bCs/>
          <w:szCs w:val="20"/>
          <w:lang w:val="sl-SI" w:eastAsia="sl-SI"/>
        </w:rPr>
        <w:t>, in sicer z dogodkom »</w:t>
      </w:r>
      <w:r w:rsidR="005E0E8D" w:rsidRPr="00696341">
        <w:rPr>
          <w:rFonts w:ascii="Arial-BoldItalicMT" w:hAnsi="Arial-BoldItalicMT" w:cs="Arial-BoldItalicMT"/>
          <w:bCs/>
          <w:iCs/>
          <w:szCs w:val="20"/>
          <w:lang w:val="sl-SI" w:eastAsia="sl-SI"/>
        </w:rPr>
        <w:t>umik« (Navodila za zunanje uporabnike, str. 38)</w:t>
      </w:r>
      <w:r w:rsidR="005E0E8D" w:rsidRPr="00696341">
        <w:rPr>
          <w:rFonts w:ascii="Arial-BoldMT" w:hAnsi="Arial-BoldMT" w:cs="Arial-BoldMT"/>
          <w:bCs/>
          <w:szCs w:val="20"/>
          <w:lang w:val="sl-SI" w:eastAsia="sl-SI"/>
        </w:rPr>
        <w:t>.</w:t>
      </w:r>
      <w:r w:rsidRPr="00696341">
        <w:rPr>
          <w:rFonts w:ascii="Arial-BoldMT" w:hAnsi="Arial-BoldMT" w:cs="Arial-BoldMT"/>
          <w:bCs/>
          <w:szCs w:val="20"/>
          <w:lang w:val="sl-SI" w:eastAsia="sl-SI"/>
        </w:rPr>
        <w:t xml:space="preserve"> </w:t>
      </w:r>
      <w:r w:rsidR="005E0E8D" w:rsidRPr="00696341">
        <w:rPr>
          <w:rFonts w:ascii="Arial-BoldMT" w:hAnsi="Arial-BoldMT" w:cs="Arial-BoldMT"/>
          <w:bCs/>
          <w:szCs w:val="20"/>
          <w:lang w:val="sl-SI" w:eastAsia="sl-SI"/>
        </w:rPr>
        <w:t xml:space="preserve">V kolikor predlagatelj </w:t>
      </w:r>
      <w:r w:rsidRPr="00696341">
        <w:rPr>
          <w:rFonts w:ascii="Arial-BoldMT" w:hAnsi="Arial-BoldMT" w:cs="Arial-BoldMT"/>
          <w:bCs/>
          <w:szCs w:val="20"/>
          <w:lang w:val="sl-SI" w:eastAsia="sl-SI"/>
        </w:rPr>
        <w:t>tega ne stori</w:t>
      </w:r>
      <w:r w:rsidR="005E0E8D" w:rsidRPr="00696341">
        <w:rPr>
          <w:rFonts w:ascii="Arial-BoldMT" w:hAnsi="Arial-BoldMT" w:cs="Arial-BoldMT"/>
          <w:bCs/>
          <w:szCs w:val="20"/>
          <w:lang w:val="sl-SI" w:eastAsia="sl-SI"/>
        </w:rPr>
        <w:t>, se bodo za terjatve, ki se sicer obrestujejo in za katere je bil odobren odlog ali obročno plačilo, tudi za čas zadržanja davčne izvršbe obračunale zakonite zamudne obresti.</w:t>
      </w:r>
    </w:p>
    <w:sectPr w:rsidR="005E0E8D" w:rsidRPr="00696341" w:rsidSect="00783310">
      <w:headerReference w:type="default"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22" w:rsidRDefault="007E6322">
      <w:r>
        <w:separator/>
      </w:r>
    </w:p>
  </w:endnote>
  <w:endnote w:type="continuationSeparator" w:id="0">
    <w:p w:rsidR="007E6322" w:rsidRDefault="007E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1" w:usb1="00000000" w:usb2="00000000" w:usb3="00000000" w:csb0="00000003" w:csb1="00000000"/>
  </w:font>
  <w:font w:name="Arial-BoldItalicMT">
    <w:altName w:val="Arial"/>
    <w:panose1 w:val="00000000000000000000"/>
    <w:charset w:val="00"/>
    <w:family w:val="swiss"/>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8D" w:rsidRDefault="005E0E8D" w:rsidP="009F30FB">
    <w:pPr>
      <w:pStyle w:val="Noga"/>
      <w:jc w:val="right"/>
    </w:pPr>
    <w:r>
      <w:fldChar w:fldCharType="begin"/>
    </w:r>
    <w:r>
      <w:instrText>PAGE   \* MERGEFORMAT</w:instrText>
    </w:r>
    <w:r>
      <w:fldChar w:fldCharType="separate"/>
    </w:r>
    <w:r w:rsidR="00325557" w:rsidRPr="00325557">
      <w:rPr>
        <w:noProof/>
        <w:lang w:val="sl-SI"/>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8D" w:rsidRDefault="005E0E8D"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22" w:rsidRDefault="007E6322">
      <w:r>
        <w:separator/>
      </w:r>
    </w:p>
  </w:footnote>
  <w:footnote w:type="continuationSeparator" w:id="0">
    <w:p w:rsidR="007E6322" w:rsidRDefault="007E6322">
      <w:r>
        <w:continuationSeparator/>
      </w:r>
    </w:p>
  </w:footnote>
  <w:footnote w:id="1">
    <w:p w:rsidR="005E0E8D" w:rsidRPr="00391A65" w:rsidRDefault="005E0E8D" w:rsidP="00DE5616">
      <w:pPr>
        <w:pStyle w:val="Sprotnaopomba-besedilo"/>
        <w:rPr>
          <w:i/>
          <w:sz w:val="18"/>
          <w:szCs w:val="18"/>
          <w:lang w:val="sl-SI"/>
        </w:rPr>
      </w:pPr>
      <w:r>
        <w:rPr>
          <w:rStyle w:val="Sprotnaopomba-sklic"/>
        </w:rPr>
        <w:footnoteRef/>
      </w:r>
      <w:r>
        <w:t xml:space="preserve"> </w:t>
      </w:r>
      <w:r w:rsidRPr="00E22BD1">
        <w:rPr>
          <w:rFonts w:cs="Arial"/>
          <w:i/>
          <w:sz w:val="18"/>
          <w:szCs w:val="18"/>
          <w:lang w:val="sl-SI"/>
        </w:rPr>
        <w:t xml:space="preserve">Uradni list RS, št. 106/10 – UPB5; </w:t>
      </w:r>
      <w:r w:rsidRPr="00E22BD1">
        <w:rPr>
          <w:i/>
          <w:color w:val="000000"/>
          <w:sz w:val="18"/>
          <w:szCs w:val="18"/>
          <w:lang w:val="x-none"/>
        </w:rPr>
        <w:t xml:space="preserve">št. </w:t>
      </w:r>
      <w:r w:rsidRPr="00DC5E80">
        <w:rPr>
          <w:i/>
          <w:color w:val="000000"/>
          <w:sz w:val="18"/>
          <w:szCs w:val="18"/>
          <w:lang w:val="x-none"/>
        </w:rPr>
        <w:t>14/15</w:t>
      </w:r>
      <w:r w:rsidRPr="00DC5E80">
        <w:rPr>
          <w:i/>
          <w:color w:val="000000"/>
          <w:sz w:val="18"/>
          <w:szCs w:val="18"/>
          <w:lang w:val="sl-SI"/>
        </w:rPr>
        <w:t xml:space="preserve"> in 32/16</w:t>
      </w:r>
    </w:p>
  </w:footnote>
  <w:footnote w:id="2">
    <w:p w:rsidR="005E0E8D" w:rsidRPr="00E22BD1" w:rsidRDefault="005E0E8D" w:rsidP="00247723">
      <w:pPr>
        <w:pStyle w:val="Sprotnaopomba-besedilo"/>
        <w:rPr>
          <w:i/>
          <w:sz w:val="18"/>
          <w:szCs w:val="18"/>
          <w:lang w:val="sl-SI"/>
        </w:rPr>
      </w:pPr>
      <w:r>
        <w:rPr>
          <w:rStyle w:val="Sprotnaopomba-sklic"/>
        </w:rPr>
        <w:footnoteRef/>
      </w:r>
      <w:r>
        <w:t xml:space="preserve"> </w:t>
      </w:r>
      <w:r w:rsidRPr="00E22BD1">
        <w:rPr>
          <w:i/>
          <w:sz w:val="18"/>
          <w:szCs w:val="18"/>
          <w:lang w:val="es-ES"/>
        </w:rPr>
        <w:t>Uradni list RS, št. 13/11 - uradno prečiščeno besedilo, 32/12, 94/12, 101/13 - ZDavNepr, 111/13, 25/14 - ZFU, 40/14 - ZIN-B</w:t>
      </w:r>
      <w:r>
        <w:rPr>
          <w:i/>
          <w:sz w:val="18"/>
          <w:szCs w:val="18"/>
          <w:lang w:val="es-ES"/>
        </w:rPr>
        <w:t xml:space="preserve">, </w:t>
      </w:r>
      <w:r w:rsidRPr="00E22BD1">
        <w:rPr>
          <w:i/>
          <w:sz w:val="18"/>
          <w:szCs w:val="18"/>
          <w:lang w:val="es-ES"/>
        </w:rPr>
        <w:t>90/14</w:t>
      </w:r>
      <w:r>
        <w:rPr>
          <w:i/>
          <w:sz w:val="18"/>
          <w:szCs w:val="18"/>
          <w:lang w:val="es-ES"/>
        </w:rPr>
        <w:t xml:space="preserve"> in 91/15</w:t>
      </w:r>
    </w:p>
  </w:footnote>
  <w:footnote w:id="3">
    <w:p w:rsidR="005E0E8D" w:rsidRPr="00A15348" w:rsidRDefault="005E0E8D">
      <w:pPr>
        <w:pStyle w:val="Sprotnaopomba-besedilo"/>
        <w:rPr>
          <w:lang w:val="sl-SI"/>
        </w:rPr>
      </w:pPr>
      <w:r>
        <w:rPr>
          <w:rStyle w:val="Sprotnaopomba-sklic"/>
        </w:rPr>
        <w:footnoteRef/>
      </w:r>
      <w:r>
        <w:t xml:space="preserve"> </w:t>
      </w:r>
      <w:r w:rsidRPr="00A15348">
        <w:rPr>
          <w:rFonts w:cs="Arial"/>
          <w:i/>
          <w:sz w:val="18"/>
          <w:szCs w:val="18"/>
          <w:lang w:val="sl-SI"/>
        </w:rPr>
        <w:t xml:space="preserve">Uradni list RS, št. </w:t>
      </w:r>
      <w:hyperlink r:id="rId1" w:tgtFrame="_blank" w:tooltip="Zakon o kazenskem postopku (uradno prečiščeno besedilo) (ZKP-UPB8)" w:history="1">
        <w:r w:rsidRPr="00A15348">
          <w:rPr>
            <w:rFonts w:cs="Arial"/>
            <w:i/>
            <w:sz w:val="18"/>
            <w:szCs w:val="18"/>
            <w:lang w:val="sl-SI"/>
          </w:rPr>
          <w:t>32/12</w:t>
        </w:r>
      </w:hyperlink>
      <w:r w:rsidRPr="00A15348">
        <w:rPr>
          <w:rFonts w:cs="Arial"/>
          <w:i/>
          <w:sz w:val="18"/>
          <w:szCs w:val="18"/>
          <w:lang w:val="sl-SI"/>
        </w:rPr>
        <w:t xml:space="preserve"> – uradno prečiščeno besedilo</w:t>
      </w:r>
      <w:r w:rsidRPr="009E5514">
        <w:rPr>
          <w:rFonts w:cs="Arial"/>
          <w:i/>
          <w:sz w:val="18"/>
          <w:szCs w:val="18"/>
          <w:lang w:val="sl-SI"/>
        </w:rPr>
        <w:t>, 47/13, 87/14 in 8/16 – odl. US</w:t>
      </w:r>
    </w:p>
  </w:footnote>
  <w:footnote w:id="4">
    <w:p w:rsidR="005E0E8D" w:rsidRPr="00A15348" w:rsidRDefault="005E0E8D">
      <w:pPr>
        <w:pStyle w:val="Sprotnaopomba-besedilo"/>
        <w:rPr>
          <w:rFonts w:cs="Arial"/>
          <w:i/>
          <w:sz w:val="18"/>
          <w:szCs w:val="18"/>
          <w:lang w:val="sl-SI"/>
        </w:rPr>
      </w:pPr>
      <w:r>
        <w:rPr>
          <w:rStyle w:val="Sprotnaopomba-sklic"/>
        </w:rPr>
        <w:footnoteRef/>
      </w:r>
      <w:r>
        <w:t xml:space="preserve"> </w:t>
      </w:r>
      <w:r w:rsidRPr="00A15348">
        <w:rPr>
          <w:rFonts w:cs="Arial"/>
          <w:i/>
          <w:sz w:val="18"/>
          <w:szCs w:val="18"/>
          <w:lang w:val="sl-SI"/>
        </w:rPr>
        <w:t xml:space="preserve">Uradni list RS, št. </w:t>
      </w:r>
      <w:hyperlink r:id="rId2" w:tgtFrame="_blank" w:tooltip="Obligacijski zakonik (uradno prečiščeno besedilo)" w:history="1">
        <w:r w:rsidRPr="00A15348">
          <w:rPr>
            <w:rFonts w:cs="Arial"/>
            <w:i/>
            <w:sz w:val="18"/>
            <w:szCs w:val="18"/>
            <w:lang w:val="sl-SI"/>
          </w:rPr>
          <w:t>97/07</w:t>
        </w:r>
      </w:hyperlink>
      <w:r w:rsidRPr="00A15348">
        <w:rPr>
          <w:rFonts w:cs="Arial"/>
          <w:i/>
          <w:sz w:val="18"/>
          <w:szCs w:val="18"/>
          <w:lang w:val="sl-SI"/>
        </w:rPr>
        <w:t xml:space="preserve"> – uradno prečiščeno besedilo</w:t>
      </w:r>
    </w:p>
  </w:footnote>
  <w:footnote w:id="5">
    <w:p w:rsidR="005E0E8D" w:rsidRPr="00A15348" w:rsidRDefault="005E0E8D">
      <w:pPr>
        <w:pStyle w:val="Sprotnaopomba-besedilo"/>
        <w:rPr>
          <w:lang w:val="sl-SI"/>
        </w:rPr>
      </w:pPr>
      <w:r>
        <w:rPr>
          <w:rStyle w:val="Sprotnaopomba-sklic"/>
        </w:rPr>
        <w:footnoteRef/>
      </w:r>
      <w:r>
        <w:t xml:space="preserve"> </w:t>
      </w:r>
      <w:r w:rsidR="00696341" w:rsidRPr="00696341">
        <w:rPr>
          <w:rFonts w:cs="Arial"/>
          <w:i/>
          <w:sz w:val="18"/>
          <w:szCs w:val="18"/>
          <w:lang w:val="sl-SI"/>
        </w:rPr>
        <w:t>Uradni list RS, št. 13/11 – uradno prečiščeno besedilo, 32/12, 94/12, 101/13 – ZDavNepr, 111/13, 25/14 – ZFU, 40/14 – ZIN-B, 90/14, 91/15</w:t>
      </w:r>
      <w:r w:rsidR="00696341">
        <w:rPr>
          <w:rFonts w:cs="Arial"/>
          <w:i/>
          <w:sz w:val="18"/>
          <w:szCs w:val="18"/>
          <w:lang w:val="sl-SI"/>
        </w:rPr>
        <w:t>, 63/16, 69/17 in 13/18 – ZJF-H</w:t>
      </w:r>
    </w:p>
  </w:footnote>
  <w:footnote w:id="6">
    <w:p w:rsidR="00696341" w:rsidRPr="00696341" w:rsidRDefault="00696341" w:rsidP="00696341">
      <w:pPr>
        <w:autoSpaceDE w:val="0"/>
        <w:autoSpaceDN w:val="0"/>
        <w:adjustRightInd w:val="0"/>
        <w:spacing w:line="240" w:lineRule="auto"/>
        <w:rPr>
          <w:rFonts w:cs="Arial"/>
          <w:i/>
          <w:sz w:val="18"/>
          <w:szCs w:val="18"/>
          <w:lang w:val="sl-SI"/>
        </w:rPr>
      </w:pPr>
      <w:r>
        <w:rPr>
          <w:rStyle w:val="Sprotnaopomba-sklic"/>
        </w:rPr>
        <w:footnoteRef/>
      </w:r>
      <w:r>
        <w:t xml:space="preserve"> </w:t>
      </w:r>
      <w:r w:rsidRPr="00696341">
        <w:rPr>
          <w:rFonts w:cs="Arial"/>
          <w:i/>
          <w:sz w:val="18"/>
          <w:szCs w:val="18"/>
          <w:lang w:val="sl-SI"/>
        </w:rPr>
        <w:t>Uradni list RS, št. 13/11 – uradno prečiščeno besedilo, 32/12, 94/12, 101/13 – ZDavNepr, 111/13, 25/14 – ZFU, 40/14 – ZIN-B, 90/14, 91/15</w:t>
      </w:r>
      <w:r>
        <w:rPr>
          <w:rFonts w:cs="Arial"/>
          <w:i/>
          <w:sz w:val="18"/>
          <w:szCs w:val="18"/>
          <w:lang w:val="sl-SI"/>
        </w:rPr>
        <w:t>, 63/16, 69/17 in 13/18 – ZJF-H</w:t>
      </w:r>
    </w:p>
  </w:footnote>
  <w:footnote w:id="7">
    <w:p w:rsidR="00696341" w:rsidRPr="00696341" w:rsidRDefault="00696341" w:rsidP="00696341">
      <w:pPr>
        <w:autoSpaceDE w:val="0"/>
        <w:autoSpaceDN w:val="0"/>
        <w:adjustRightInd w:val="0"/>
        <w:spacing w:line="240" w:lineRule="auto"/>
        <w:rPr>
          <w:rFonts w:cs="Arial"/>
          <w:i/>
          <w:sz w:val="18"/>
          <w:szCs w:val="18"/>
          <w:lang w:val="sl-SI"/>
        </w:rPr>
      </w:pPr>
      <w:r>
        <w:rPr>
          <w:rStyle w:val="Sprotnaopomba-sklic"/>
        </w:rPr>
        <w:footnoteRef/>
      </w:r>
      <w:r>
        <w:t xml:space="preserve"> </w:t>
      </w:r>
      <w:r w:rsidRPr="00696341">
        <w:rPr>
          <w:rFonts w:cs="Arial"/>
          <w:i/>
          <w:sz w:val="18"/>
          <w:szCs w:val="18"/>
          <w:lang w:val="sl-SI"/>
        </w:rPr>
        <w:t>Drugi odstavek 153. člena ZDavP-2, izjemo predstavljajo prekrškovne terjatve v korist državnega proračuna (11. odst. 201. člen ZP-1)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8D" w:rsidRPr="00110CBD" w:rsidRDefault="005E0E8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E0E8D" w:rsidRPr="008F3500">
      <w:trPr>
        <w:cantSplit/>
        <w:trHeight w:hRule="exact" w:val="847"/>
      </w:trPr>
      <w:tc>
        <w:tcPr>
          <w:tcW w:w="567" w:type="dxa"/>
        </w:tcPr>
        <w:p w:rsidR="005E0E8D" w:rsidRDefault="005E0E8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p w:rsidR="005E0E8D" w:rsidRPr="006D42D9" w:rsidRDefault="005E0E8D" w:rsidP="006D42D9">
          <w:pPr>
            <w:rPr>
              <w:rFonts w:ascii="Republika" w:hAnsi="Republika"/>
              <w:sz w:val="60"/>
              <w:szCs w:val="60"/>
              <w:lang w:val="sl-SI"/>
            </w:rPr>
          </w:pPr>
        </w:p>
      </w:tc>
    </w:tr>
  </w:tbl>
  <w:p w:rsidR="005E0E8D" w:rsidRPr="008F3500" w:rsidRDefault="00696341"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427C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E0E8D" w:rsidRPr="008F3500">
      <w:rPr>
        <w:rFonts w:ascii="Republika" w:hAnsi="Republika"/>
        <w:lang w:val="sl-SI"/>
      </w:rPr>
      <w:t>REPUBLIKA SLOVENIJA</w:t>
    </w:r>
  </w:p>
  <w:p w:rsidR="005E0E8D" w:rsidRPr="008F3500" w:rsidRDefault="005E0E8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5E0E8D" w:rsidRDefault="005E0E8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5E0E8D" w:rsidRPr="008F3500" w:rsidRDefault="005E0E8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5E0E8D" w:rsidRPr="008F3500" w:rsidRDefault="005E0E8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5E0E8D" w:rsidRPr="008F3500" w:rsidRDefault="005E0E8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5E0E8D" w:rsidRPr="008F3500" w:rsidRDefault="005E0E8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5E0E8D" w:rsidRPr="008F3500" w:rsidRDefault="005E0E8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63FF"/>
    <w:rsid w:val="0002114E"/>
    <w:rsid w:val="00023A88"/>
    <w:rsid w:val="000805EA"/>
    <w:rsid w:val="0008352D"/>
    <w:rsid w:val="000A7238"/>
    <w:rsid w:val="000A7901"/>
    <w:rsid w:val="000B0B21"/>
    <w:rsid w:val="000C2273"/>
    <w:rsid w:val="000C44B6"/>
    <w:rsid w:val="000C5862"/>
    <w:rsid w:val="000D3599"/>
    <w:rsid w:val="000D6719"/>
    <w:rsid w:val="0011527D"/>
    <w:rsid w:val="001357B2"/>
    <w:rsid w:val="00184FE1"/>
    <w:rsid w:val="001A0EC4"/>
    <w:rsid w:val="001A3BA5"/>
    <w:rsid w:val="001A6662"/>
    <w:rsid w:val="001F7BC0"/>
    <w:rsid w:val="00202A77"/>
    <w:rsid w:val="002032AB"/>
    <w:rsid w:val="00247723"/>
    <w:rsid w:val="00271CE5"/>
    <w:rsid w:val="00282020"/>
    <w:rsid w:val="002868A2"/>
    <w:rsid w:val="002A5510"/>
    <w:rsid w:val="002D0B09"/>
    <w:rsid w:val="00325557"/>
    <w:rsid w:val="00342BA0"/>
    <w:rsid w:val="003636BF"/>
    <w:rsid w:val="00370AA7"/>
    <w:rsid w:val="0037479F"/>
    <w:rsid w:val="003845B4"/>
    <w:rsid w:val="00387B1A"/>
    <w:rsid w:val="00391A65"/>
    <w:rsid w:val="003B64A3"/>
    <w:rsid w:val="003C4EAE"/>
    <w:rsid w:val="003E1C74"/>
    <w:rsid w:val="003E74A3"/>
    <w:rsid w:val="00424416"/>
    <w:rsid w:val="00430446"/>
    <w:rsid w:val="004E65A8"/>
    <w:rsid w:val="00514DA9"/>
    <w:rsid w:val="00516308"/>
    <w:rsid w:val="005172B1"/>
    <w:rsid w:val="00526246"/>
    <w:rsid w:val="00544C06"/>
    <w:rsid w:val="00566270"/>
    <w:rsid w:val="00567106"/>
    <w:rsid w:val="005A0E8D"/>
    <w:rsid w:val="005D4DF6"/>
    <w:rsid w:val="005E0E8D"/>
    <w:rsid w:val="005E1D3C"/>
    <w:rsid w:val="00632253"/>
    <w:rsid w:val="00642714"/>
    <w:rsid w:val="00643C4E"/>
    <w:rsid w:val="006455CE"/>
    <w:rsid w:val="00657E6E"/>
    <w:rsid w:val="00693C4E"/>
    <w:rsid w:val="00696341"/>
    <w:rsid w:val="006D2FCD"/>
    <w:rsid w:val="006D42D9"/>
    <w:rsid w:val="006F68F7"/>
    <w:rsid w:val="00726463"/>
    <w:rsid w:val="00733017"/>
    <w:rsid w:val="00751D38"/>
    <w:rsid w:val="00783310"/>
    <w:rsid w:val="007A4A6D"/>
    <w:rsid w:val="007C6E6A"/>
    <w:rsid w:val="007D1BCF"/>
    <w:rsid w:val="007D75CF"/>
    <w:rsid w:val="007E6322"/>
    <w:rsid w:val="007E6DC5"/>
    <w:rsid w:val="00802A25"/>
    <w:rsid w:val="008442F9"/>
    <w:rsid w:val="0088043C"/>
    <w:rsid w:val="00887E1E"/>
    <w:rsid w:val="008906C9"/>
    <w:rsid w:val="008C5738"/>
    <w:rsid w:val="008D04F0"/>
    <w:rsid w:val="008E7848"/>
    <w:rsid w:val="008F3500"/>
    <w:rsid w:val="00911F2A"/>
    <w:rsid w:val="00924E3C"/>
    <w:rsid w:val="009541F3"/>
    <w:rsid w:val="009612BB"/>
    <w:rsid w:val="009766A7"/>
    <w:rsid w:val="0097688B"/>
    <w:rsid w:val="009E5514"/>
    <w:rsid w:val="009E6AC6"/>
    <w:rsid w:val="009F30FB"/>
    <w:rsid w:val="00A000F2"/>
    <w:rsid w:val="00A03600"/>
    <w:rsid w:val="00A125C5"/>
    <w:rsid w:val="00A12D5C"/>
    <w:rsid w:val="00A15348"/>
    <w:rsid w:val="00A4007D"/>
    <w:rsid w:val="00A46B59"/>
    <w:rsid w:val="00A5039D"/>
    <w:rsid w:val="00A61123"/>
    <w:rsid w:val="00A65EE7"/>
    <w:rsid w:val="00A70133"/>
    <w:rsid w:val="00A7037B"/>
    <w:rsid w:val="00A708CD"/>
    <w:rsid w:val="00AC5C16"/>
    <w:rsid w:val="00B1337D"/>
    <w:rsid w:val="00B17141"/>
    <w:rsid w:val="00B27607"/>
    <w:rsid w:val="00B31575"/>
    <w:rsid w:val="00B320BA"/>
    <w:rsid w:val="00B4316B"/>
    <w:rsid w:val="00B8547D"/>
    <w:rsid w:val="00B95292"/>
    <w:rsid w:val="00BA3CB4"/>
    <w:rsid w:val="00BB483C"/>
    <w:rsid w:val="00BE094A"/>
    <w:rsid w:val="00BF7584"/>
    <w:rsid w:val="00C22EB3"/>
    <w:rsid w:val="00C250D5"/>
    <w:rsid w:val="00C47F8D"/>
    <w:rsid w:val="00C70C7F"/>
    <w:rsid w:val="00C81391"/>
    <w:rsid w:val="00C85E72"/>
    <w:rsid w:val="00C92898"/>
    <w:rsid w:val="00CA094F"/>
    <w:rsid w:val="00CA2448"/>
    <w:rsid w:val="00CA699D"/>
    <w:rsid w:val="00CC179C"/>
    <w:rsid w:val="00CE1B0C"/>
    <w:rsid w:val="00CE7514"/>
    <w:rsid w:val="00D248DE"/>
    <w:rsid w:val="00D8542D"/>
    <w:rsid w:val="00DA2C9A"/>
    <w:rsid w:val="00DC5E80"/>
    <w:rsid w:val="00DC6A71"/>
    <w:rsid w:val="00DC6B2F"/>
    <w:rsid w:val="00DE5616"/>
    <w:rsid w:val="00DE5B46"/>
    <w:rsid w:val="00DF5616"/>
    <w:rsid w:val="00E0357D"/>
    <w:rsid w:val="00E24EC2"/>
    <w:rsid w:val="00E2560A"/>
    <w:rsid w:val="00E8202D"/>
    <w:rsid w:val="00E853E8"/>
    <w:rsid w:val="00EB635B"/>
    <w:rsid w:val="00ED7E82"/>
    <w:rsid w:val="00EE3166"/>
    <w:rsid w:val="00EE6836"/>
    <w:rsid w:val="00EF62A9"/>
    <w:rsid w:val="00F240BB"/>
    <w:rsid w:val="00F46724"/>
    <w:rsid w:val="00F57FED"/>
    <w:rsid w:val="00F825FF"/>
    <w:rsid w:val="00F907E8"/>
    <w:rsid w:val="00F96FFB"/>
    <w:rsid w:val="00FB4124"/>
    <w:rsid w:val="00FD2BE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F895F3D6-40AA-4B03-8CE4-CD6B4A8E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424416"/>
    <w:pPr>
      <w:tabs>
        <w:tab w:val="right" w:leader="dot" w:pos="8488"/>
      </w:tabs>
      <w:ind w:left="284"/>
    </w:pPr>
  </w:style>
  <w:style w:type="paragraph" w:styleId="Kazalovsebine2">
    <w:name w:val="toc 2"/>
    <w:basedOn w:val="Navaden"/>
    <w:next w:val="Navaden"/>
    <w:autoRedefine/>
    <w:uiPriority w:val="39"/>
    <w:unhideWhenUsed/>
    <w:qFormat/>
    <w:rsid w:val="00DA2C9A"/>
    <w:pPr>
      <w:spacing w:after="100" w:line="276" w:lineRule="auto"/>
      <w:ind w:left="220"/>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styleId="Sprotnaopomba-besedilo">
    <w:name w:val="footnote text"/>
    <w:basedOn w:val="Navaden"/>
    <w:link w:val="Sprotnaopomba-besediloZnak"/>
    <w:rsid w:val="00DE5616"/>
    <w:pPr>
      <w:spacing w:line="240" w:lineRule="auto"/>
    </w:pPr>
    <w:rPr>
      <w:szCs w:val="20"/>
    </w:rPr>
  </w:style>
  <w:style w:type="character" w:customStyle="1" w:styleId="Sprotnaopomba-besediloZnak">
    <w:name w:val="Sprotna opomba - besedilo Znak"/>
    <w:link w:val="Sprotnaopomba-besedilo"/>
    <w:rsid w:val="00DE5616"/>
    <w:rPr>
      <w:rFonts w:ascii="Arial" w:hAnsi="Arial"/>
      <w:lang w:val="en-US" w:eastAsia="en-US"/>
    </w:rPr>
  </w:style>
  <w:style w:type="character" w:styleId="Sprotnaopomba-sklic">
    <w:name w:val="footnote reference"/>
    <w:rsid w:val="00DE5616"/>
    <w:rPr>
      <w:vertAlign w:val="superscript"/>
    </w:rPr>
  </w:style>
  <w:style w:type="paragraph" w:customStyle="1" w:styleId="Default">
    <w:name w:val="Default"/>
    <w:rsid w:val="00FB4124"/>
    <w:pPr>
      <w:autoSpaceDE w:val="0"/>
      <w:autoSpaceDN w:val="0"/>
      <w:adjustRightInd w:val="0"/>
    </w:pPr>
    <w:rPr>
      <w:rFonts w:ascii="Arial" w:hAnsi="Arial" w:cs="Arial"/>
      <w:color w:val="000000"/>
      <w:sz w:val="24"/>
      <w:szCs w:val="24"/>
    </w:rPr>
  </w:style>
  <w:style w:type="character" w:styleId="SledenaHiperpovezava">
    <w:name w:val="FollowedHyperlink"/>
    <w:rsid w:val="003E74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2173">
      <w:bodyDiv w:val="1"/>
      <w:marLeft w:val="0"/>
      <w:marRight w:val="0"/>
      <w:marTop w:val="0"/>
      <w:marBottom w:val="0"/>
      <w:divBdr>
        <w:top w:val="none" w:sz="0" w:space="0" w:color="auto"/>
        <w:left w:val="none" w:sz="0" w:space="0" w:color="auto"/>
        <w:bottom w:val="none" w:sz="0" w:space="0" w:color="auto"/>
        <w:right w:val="none" w:sz="0" w:space="0" w:color="auto"/>
      </w:divBdr>
    </w:div>
    <w:div w:id="727849846">
      <w:bodyDiv w:val="1"/>
      <w:marLeft w:val="0"/>
      <w:marRight w:val="0"/>
      <w:marTop w:val="0"/>
      <w:marBottom w:val="0"/>
      <w:divBdr>
        <w:top w:val="none" w:sz="0" w:space="0" w:color="auto"/>
        <w:left w:val="none" w:sz="0" w:space="0" w:color="auto"/>
        <w:bottom w:val="none" w:sz="0" w:space="0" w:color="auto"/>
        <w:right w:val="none" w:sz="0" w:space="0" w:color="auto"/>
      </w:divBdr>
      <w:divsChild>
        <w:div w:id="1441879467">
          <w:marLeft w:val="0"/>
          <w:marRight w:val="0"/>
          <w:marTop w:val="0"/>
          <w:marBottom w:val="0"/>
          <w:divBdr>
            <w:top w:val="none" w:sz="0" w:space="0" w:color="auto"/>
            <w:left w:val="none" w:sz="0" w:space="0" w:color="auto"/>
            <w:bottom w:val="none" w:sz="0" w:space="0" w:color="auto"/>
            <w:right w:val="none" w:sz="0" w:space="0" w:color="auto"/>
          </w:divBdr>
          <w:divsChild>
            <w:div w:id="1618637154">
              <w:marLeft w:val="0"/>
              <w:marRight w:val="0"/>
              <w:marTop w:val="0"/>
              <w:marBottom w:val="0"/>
              <w:divBdr>
                <w:top w:val="none" w:sz="0" w:space="0" w:color="auto"/>
                <w:left w:val="none" w:sz="0" w:space="0" w:color="auto"/>
                <w:bottom w:val="none" w:sz="0" w:space="0" w:color="auto"/>
                <w:right w:val="none" w:sz="0" w:space="0" w:color="auto"/>
              </w:divBdr>
              <w:divsChild>
                <w:div w:id="353964126">
                  <w:marLeft w:val="0"/>
                  <w:marRight w:val="0"/>
                  <w:marTop w:val="0"/>
                  <w:marBottom w:val="0"/>
                  <w:divBdr>
                    <w:top w:val="none" w:sz="0" w:space="0" w:color="auto"/>
                    <w:left w:val="none" w:sz="0" w:space="0" w:color="auto"/>
                    <w:bottom w:val="none" w:sz="0" w:space="0" w:color="auto"/>
                    <w:right w:val="none" w:sz="0" w:space="0" w:color="auto"/>
                  </w:divBdr>
                  <w:divsChild>
                    <w:div w:id="94131049">
                      <w:marLeft w:val="0"/>
                      <w:marRight w:val="0"/>
                      <w:marTop w:val="0"/>
                      <w:marBottom w:val="0"/>
                      <w:divBdr>
                        <w:top w:val="none" w:sz="0" w:space="0" w:color="auto"/>
                        <w:left w:val="none" w:sz="0" w:space="0" w:color="auto"/>
                        <w:bottom w:val="none" w:sz="0" w:space="0" w:color="auto"/>
                        <w:right w:val="none" w:sz="0" w:space="0" w:color="auto"/>
                      </w:divBdr>
                      <w:divsChild>
                        <w:div w:id="1089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93491871">
      <w:bodyDiv w:val="1"/>
      <w:marLeft w:val="0"/>
      <w:marRight w:val="0"/>
      <w:marTop w:val="0"/>
      <w:marBottom w:val="0"/>
      <w:divBdr>
        <w:top w:val="none" w:sz="0" w:space="0" w:color="auto"/>
        <w:left w:val="none" w:sz="0" w:space="0" w:color="auto"/>
        <w:bottom w:val="none" w:sz="0" w:space="0" w:color="auto"/>
        <w:right w:val="none" w:sz="0" w:space="0" w:color="auto"/>
      </w:divBdr>
    </w:div>
    <w:div w:id="1231766164">
      <w:bodyDiv w:val="1"/>
      <w:marLeft w:val="0"/>
      <w:marRight w:val="0"/>
      <w:marTop w:val="0"/>
      <w:marBottom w:val="0"/>
      <w:divBdr>
        <w:top w:val="none" w:sz="0" w:space="0" w:color="auto"/>
        <w:left w:val="none" w:sz="0" w:space="0" w:color="auto"/>
        <w:bottom w:val="none" w:sz="0" w:space="0" w:color="auto"/>
        <w:right w:val="none" w:sz="0" w:space="0" w:color="auto"/>
      </w:divBdr>
    </w:div>
    <w:div w:id="1414281251">
      <w:bodyDiv w:val="1"/>
      <w:marLeft w:val="0"/>
      <w:marRight w:val="0"/>
      <w:marTop w:val="0"/>
      <w:marBottom w:val="0"/>
      <w:divBdr>
        <w:top w:val="none" w:sz="0" w:space="0" w:color="auto"/>
        <w:left w:val="none" w:sz="0" w:space="0" w:color="auto"/>
        <w:bottom w:val="none" w:sz="0" w:space="0" w:color="auto"/>
        <w:right w:val="none" w:sz="0" w:space="0" w:color="auto"/>
      </w:divBdr>
    </w:div>
    <w:div w:id="1583023131">
      <w:bodyDiv w:val="1"/>
      <w:marLeft w:val="0"/>
      <w:marRight w:val="0"/>
      <w:marTop w:val="0"/>
      <w:marBottom w:val="0"/>
      <w:divBdr>
        <w:top w:val="none" w:sz="0" w:space="0" w:color="auto"/>
        <w:left w:val="none" w:sz="0" w:space="0" w:color="auto"/>
        <w:bottom w:val="none" w:sz="0" w:space="0" w:color="auto"/>
        <w:right w:val="none" w:sz="0" w:space="0" w:color="auto"/>
      </w:divBdr>
    </w:div>
    <w:div w:id="1630553492">
      <w:bodyDiv w:val="1"/>
      <w:marLeft w:val="0"/>
      <w:marRight w:val="0"/>
      <w:marTop w:val="0"/>
      <w:marBottom w:val="0"/>
      <w:divBdr>
        <w:top w:val="none" w:sz="0" w:space="0" w:color="auto"/>
        <w:left w:val="none" w:sz="0" w:space="0" w:color="auto"/>
        <w:bottom w:val="none" w:sz="0" w:space="0" w:color="auto"/>
        <w:right w:val="none" w:sz="0" w:space="0" w:color="auto"/>
      </w:divBdr>
      <w:divsChild>
        <w:div w:id="1253124431">
          <w:marLeft w:val="0"/>
          <w:marRight w:val="0"/>
          <w:marTop w:val="0"/>
          <w:marBottom w:val="0"/>
          <w:divBdr>
            <w:top w:val="none" w:sz="0" w:space="0" w:color="auto"/>
            <w:left w:val="none" w:sz="0" w:space="0" w:color="auto"/>
            <w:bottom w:val="none" w:sz="0" w:space="0" w:color="auto"/>
            <w:right w:val="none" w:sz="0" w:space="0" w:color="auto"/>
          </w:divBdr>
          <w:divsChild>
            <w:div w:id="1035272617">
              <w:marLeft w:val="0"/>
              <w:marRight w:val="0"/>
              <w:marTop w:val="0"/>
              <w:marBottom w:val="0"/>
              <w:divBdr>
                <w:top w:val="none" w:sz="0" w:space="0" w:color="auto"/>
                <w:left w:val="none" w:sz="0" w:space="0" w:color="auto"/>
                <w:bottom w:val="none" w:sz="0" w:space="0" w:color="auto"/>
                <w:right w:val="none" w:sz="0" w:space="0" w:color="auto"/>
              </w:divBdr>
              <w:divsChild>
                <w:div w:id="187184273">
                  <w:marLeft w:val="0"/>
                  <w:marRight w:val="0"/>
                  <w:marTop w:val="0"/>
                  <w:marBottom w:val="0"/>
                  <w:divBdr>
                    <w:top w:val="none" w:sz="0" w:space="0" w:color="auto"/>
                    <w:left w:val="none" w:sz="0" w:space="0" w:color="auto"/>
                    <w:bottom w:val="none" w:sz="0" w:space="0" w:color="auto"/>
                    <w:right w:val="none" w:sz="0" w:space="0" w:color="auto"/>
                  </w:divBdr>
                  <w:divsChild>
                    <w:div w:id="2039308592">
                      <w:marLeft w:val="0"/>
                      <w:marRight w:val="0"/>
                      <w:marTop w:val="0"/>
                      <w:marBottom w:val="0"/>
                      <w:divBdr>
                        <w:top w:val="none" w:sz="0" w:space="0" w:color="auto"/>
                        <w:left w:val="none" w:sz="0" w:space="0" w:color="auto"/>
                        <w:bottom w:val="none" w:sz="0" w:space="0" w:color="auto"/>
                        <w:right w:val="none" w:sz="0" w:space="0" w:color="auto"/>
                      </w:divBdr>
                      <w:divsChild>
                        <w:div w:id="1188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ca.si/podpisna_komponenta/g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07-01-4826" TargetMode="External"/><Relationship Id="rId1" Type="http://schemas.openxmlformats.org/officeDocument/2006/relationships/hyperlink" Target="http://www.uradni-list.si/1/objava.jsp?sop=2012-01-140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A798-9349-4DDD-A074-E01F23417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E9790-81D5-46BF-82F9-83CD8628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23CF60-D130-42C3-9DE7-47401717C610}">
  <ds:schemaRefs>
    <ds:schemaRef ds:uri="http://schemas.microsoft.com/sharepoint/v3/contenttype/forms"/>
  </ds:schemaRefs>
</ds:datastoreItem>
</file>

<file path=customXml/itemProps4.xml><?xml version="1.0" encoding="utf-8"?>
<ds:datastoreItem xmlns:ds="http://schemas.openxmlformats.org/officeDocument/2006/customXml" ds:itemID="{1330EEF5-5A13-427A-98AE-CA0C0DA7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1393</Words>
  <Characters>7942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9317</CharactersWithSpaces>
  <SharedDoc>false</SharedDoc>
  <HLinks>
    <vt:vector size="48" baseType="variant">
      <vt:variant>
        <vt:i4>2097224</vt:i4>
      </vt:variant>
      <vt:variant>
        <vt:i4>33</vt:i4>
      </vt:variant>
      <vt:variant>
        <vt:i4>0</vt:i4>
      </vt:variant>
      <vt:variant>
        <vt:i4>5</vt:i4>
      </vt:variant>
      <vt:variant>
        <vt:lpwstr>http://www.si-ca.si/podpisna_komponenta/g2/</vt:lpwstr>
      </vt:variant>
      <vt:variant>
        <vt:lpwstr/>
      </vt:variant>
      <vt:variant>
        <vt:i4>1703996</vt:i4>
      </vt:variant>
      <vt:variant>
        <vt:i4>26</vt:i4>
      </vt:variant>
      <vt:variant>
        <vt:i4>0</vt:i4>
      </vt:variant>
      <vt:variant>
        <vt:i4>5</vt:i4>
      </vt:variant>
      <vt:variant>
        <vt:lpwstr/>
      </vt:variant>
      <vt:variant>
        <vt:lpwstr>_Toc457388730</vt:lpwstr>
      </vt:variant>
      <vt:variant>
        <vt:i4>1769532</vt:i4>
      </vt:variant>
      <vt:variant>
        <vt:i4>20</vt:i4>
      </vt:variant>
      <vt:variant>
        <vt:i4>0</vt:i4>
      </vt:variant>
      <vt:variant>
        <vt:i4>5</vt:i4>
      </vt:variant>
      <vt:variant>
        <vt:lpwstr/>
      </vt:variant>
      <vt:variant>
        <vt:lpwstr>_Toc457388729</vt:lpwstr>
      </vt:variant>
      <vt:variant>
        <vt:i4>1769532</vt:i4>
      </vt:variant>
      <vt:variant>
        <vt:i4>14</vt:i4>
      </vt:variant>
      <vt:variant>
        <vt:i4>0</vt:i4>
      </vt:variant>
      <vt:variant>
        <vt:i4>5</vt:i4>
      </vt:variant>
      <vt:variant>
        <vt:lpwstr/>
      </vt:variant>
      <vt:variant>
        <vt:lpwstr>_Toc457388728</vt:lpwstr>
      </vt:variant>
      <vt:variant>
        <vt:i4>1769532</vt:i4>
      </vt:variant>
      <vt:variant>
        <vt:i4>8</vt:i4>
      </vt:variant>
      <vt:variant>
        <vt:i4>0</vt:i4>
      </vt:variant>
      <vt:variant>
        <vt:i4>5</vt:i4>
      </vt:variant>
      <vt:variant>
        <vt:lpwstr/>
      </vt:variant>
      <vt:variant>
        <vt:lpwstr>_Toc457388727</vt:lpwstr>
      </vt:variant>
      <vt:variant>
        <vt:i4>1769532</vt:i4>
      </vt:variant>
      <vt:variant>
        <vt:i4>2</vt:i4>
      </vt:variant>
      <vt:variant>
        <vt:i4>0</vt:i4>
      </vt:variant>
      <vt:variant>
        <vt:i4>5</vt:i4>
      </vt:variant>
      <vt:variant>
        <vt:lpwstr/>
      </vt:variant>
      <vt:variant>
        <vt:lpwstr>_Toc457388726</vt:lpwstr>
      </vt:variant>
      <vt:variant>
        <vt:i4>7405607</vt:i4>
      </vt:variant>
      <vt:variant>
        <vt:i4>3</vt:i4>
      </vt:variant>
      <vt:variant>
        <vt:i4>0</vt:i4>
      </vt:variant>
      <vt:variant>
        <vt:i4>5</vt:i4>
      </vt:variant>
      <vt:variant>
        <vt:lpwstr>http://www.uradni-list.si/1/objava.jsp?sop=2007-01-4826</vt:lpwstr>
      </vt:variant>
      <vt:variant>
        <vt:lpwstr/>
      </vt:variant>
      <vt:variant>
        <vt:i4>7798830</vt:i4>
      </vt:variant>
      <vt:variant>
        <vt:i4>0</vt:i4>
      </vt:variant>
      <vt:variant>
        <vt:i4>0</vt:i4>
      </vt:variant>
      <vt:variant>
        <vt:i4>5</vt:i4>
      </vt:variant>
      <vt:variant>
        <vt:lpwstr>http://www.uradni-list.si/1/objava.jsp?sop=2012-01-1405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FURS</cp:lastModifiedBy>
  <cp:revision>4</cp:revision>
  <cp:lastPrinted>2014-09-17T06:49:00Z</cp:lastPrinted>
  <dcterms:created xsi:type="dcterms:W3CDTF">2018-09-05T08:24:00Z</dcterms:created>
  <dcterms:modified xsi:type="dcterms:W3CDTF">2019-09-04T08:08:00Z</dcterms:modified>
</cp:coreProperties>
</file>