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EF" w:rsidRDefault="005605EF">
      <w:pPr>
        <w:pStyle w:val="datumtevilka"/>
      </w:pPr>
      <w:bookmarkStart w:id="0" w:name="_GoBack"/>
      <w:bookmarkEnd w:id="0"/>
    </w:p>
    <w:p w:rsidR="005605EF" w:rsidRDefault="00E00DE2">
      <w:pPr>
        <w:jc w:val="both"/>
      </w:pPr>
      <w:r>
        <w:rPr>
          <w:rFonts w:cs="Arial"/>
          <w:b/>
          <w:szCs w:val="20"/>
          <w:lang w:val="sl-SI"/>
        </w:rPr>
        <w:t>Način izvajanja kontrole in izdaje poročil o preizkusu igralne naprave ter dovoljenj na podlagi določil 3.b člena Zakona o igrah na srečo za strežniške sisteme iger</w:t>
      </w:r>
    </w:p>
    <w:p w:rsidR="005605EF" w:rsidRDefault="005605EF">
      <w:pPr>
        <w:jc w:val="both"/>
        <w:rPr>
          <w:rFonts w:cs="Arial"/>
          <w:szCs w:val="20"/>
          <w:lang w:val="sl-SI"/>
        </w:rPr>
      </w:pPr>
    </w:p>
    <w:p w:rsidR="005605EF" w:rsidRDefault="00E00DE2">
      <w:pPr>
        <w:jc w:val="both"/>
      </w:pPr>
      <w:r>
        <w:rPr>
          <w:rFonts w:cs="Arial"/>
        </w:rPr>
        <w:t xml:space="preserve">Institucija za </w:t>
      </w:r>
      <w:r>
        <w:rPr>
          <w:rFonts w:cs="Arial"/>
        </w:rPr>
        <w:t>izdajanje poročil o preizkusu igralne naprave izda poročilo o preizkusu igralne naprave (v nadaljnjem besedilu: PPIN) za vsak terminal strežniškega sistema v povezavi s strežniškim sistemom iger (v nadaljnjem besedilu: SSI), tako kot doslej, pri čemer pa s</w:t>
      </w:r>
      <w:r>
        <w:rPr>
          <w:rFonts w:cs="Arial"/>
        </w:rPr>
        <w:t>e na PPIN terminala ne navaja več podatkov o posameznih igrah, nameščenih na strežniku, pač pa se te igre, navedejo v samostojnem PPIN za strežnik strežniškega sistema in sicer kot priloga tega PPIN. Na temelju izdanega PPIN Finančna uprava RS (v nadaljnje</w:t>
      </w:r>
      <w:r>
        <w:rPr>
          <w:rFonts w:cs="Arial"/>
        </w:rPr>
        <w:t xml:space="preserve">m besedilu: FURS) izda dovoljenje za uporabo. FURS za uporabo igralnega terminala v SSI, na podlagi PPIN, izda dovoljenje za uporabo igralnega terminala v SSI, ki je enolično navedeno v izdanem dovoljenju. Za uporabo strežnika in nabora na njem nameščenih </w:t>
      </w:r>
      <w:r>
        <w:rPr>
          <w:rFonts w:cs="Arial"/>
        </w:rPr>
        <w:t>iger FURS na podlagi PPIN izda dovoljenje za uporabo strežnika in na njem nameščenih iger. Dovoljenje za igralno napravo SSI po 3.b členu Zakona o igrah na srečo (</w:t>
      </w:r>
      <w:hyperlink r:id="rId7" w:history="1">
        <w:r>
          <w:rPr>
            <w:rStyle w:val="Hiperpovezava"/>
            <w:rFonts w:cs="Arial"/>
          </w:rPr>
          <w:t>Uradni list</w:t>
        </w:r>
      </w:hyperlink>
      <w:r>
        <w:rPr>
          <w:rFonts w:cs="Arial"/>
        </w:rPr>
        <w:t xml:space="preserve"> RS, št. 1</w:t>
      </w:r>
      <w:r>
        <w:rPr>
          <w:rFonts w:cs="Arial"/>
        </w:rPr>
        <w:t>4/11 – uradno prečiščeno besedilo, 108/12, 11/14 – popr. in 40/14 – ZIN-B) je sestavljeno iz dovoljenja za uporabo igralnega terminala SSI v kombinaciji z dovoljenjem za uporabo strežnika SSI in sicer z eno ali več igrami, ki so navedene v dovoljenju za up</w:t>
      </w:r>
      <w:r>
        <w:rPr>
          <w:rFonts w:cs="Arial"/>
        </w:rPr>
        <w:t>orabo strežnika SSI, ob pogoju, da se igre izvajajo ali so bile naložene s tega strežnika. Dovoljenje velja, dokler igralna naprava izpolnjuje vse predpisane pogoje. Posledično dovoljenje za uporabo igralne naprave SSI velja, dokler velja dovoljenje za upo</w:t>
      </w:r>
      <w:r>
        <w:rPr>
          <w:rFonts w:cs="Arial"/>
        </w:rPr>
        <w:t xml:space="preserve">rabo terminala SSI in dokler le-ta izvaja igro, ki je naložena s pripadajočega strežnika SSI z veljavnim dovoljenjem za uporabo. </w:t>
      </w:r>
    </w:p>
    <w:p w:rsidR="005605EF" w:rsidRDefault="005605EF">
      <w:pPr>
        <w:jc w:val="both"/>
        <w:rPr>
          <w:rFonts w:cs="Arial"/>
        </w:rPr>
      </w:pPr>
    </w:p>
    <w:p w:rsidR="005605EF" w:rsidRDefault="00E00DE2">
      <w:pPr>
        <w:jc w:val="both"/>
      </w:pPr>
      <w:r>
        <w:rPr>
          <w:rFonts w:cs="Arial"/>
        </w:rPr>
        <w:t xml:space="preserve">Ob sistemskih spremembah na strežniku SSI, smejo igralni terminali SSI nemoteno izvajati igre, ki so bile na njih naložene s </w:t>
      </w:r>
      <w:r>
        <w:rPr>
          <w:rFonts w:cs="Arial"/>
        </w:rPr>
        <w:t xml:space="preserve">strežnika pred spremembo. Pri spremembah samo nabora iger, pa smejo igralni terminali SSI nemoteno izvajati in nalagati stare igre, ki se ne spreminjajo. </w:t>
      </w:r>
    </w:p>
    <w:p w:rsidR="005605EF" w:rsidRDefault="005605EF">
      <w:pPr>
        <w:jc w:val="both"/>
        <w:rPr>
          <w:rFonts w:cs="Arial"/>
        </w:rPr>
      </w:pPr>
    </w:p>
    <w:p w:rsidR="005605EF" w:rsidRDefault="00E00DE2">
      <w:pPr>
        <w:jc w:val="both"/>
      </w:pPr>
      <w:r>
        <w:t>V primeru izdanega enega ali več tipskih preizkusnih poročil – certifikatov, postopek kontrole in iz</w:t>
      </w:r>
      <w:r>
        <w:t>daje PPIN v ničemer ne vpliva na tipsko preizkušanje SSI kot igralne naprave. Ti se izdajajo tako za igralne terminale SSI, njihove posamezne sestavne dele (npr. sprejemnike bankovcev), za strežnik, kot sistem na katerem se nahajajo igre in na katerem se u</w:t>
      </w:r>
      <w:r>
        <w:t xml:space="preserve">pravlja njihovo izvajanje, ter za nabore iger ali za posamezne igre, ki jih ponuja strežnik SSI. </w:t>
      </w:r>
    </w:p>
    <w:p w:rsidR="005605EF" w:rsidRDefault="005605EF">
      <w:pPr>
        <w:jc w:val="both"/>
      </w:pPr>
    </w:p>
    <w:p w:rsidR="005605EF" w:rsidRDefault="00E00DE2">
      <w:pPr>
        <w:jc w:val="both"/>
      </w:pPr>
      <w:r>
        <w:t xml:space="preserve">Predlagani postopek kontrole in izdaje PPIN pri SSI odraža posebnost igralne naprave, ki jo v primeru SSI sestavljata igralni terminal, ter strežnik SSI, na </w:t>
      </w:r>
      <w:r>
        <w:t>katerem so nameščene igre, ki se smejo izvajati. Z izdajo PPIN za vsak posamezen igralni terminal in izdajo PPIN, ki vključuje tudi seznam nameščenih iger so izpolnjene vse zahteve, ki so za izvajanje kontrole navedene v drugem odstavku 45. člena Pravilnik</w:t>
      </w:r>
      <w:r>
        <w:t>a o tehničnih zahtevah za igralne naprave za izvajanje iger na srečo in postopku ugotavljanja skladnosti (</w:t>
      </w:r>
      <w:hyperlink r:id="rId8" w:history="1">
        <w:r>
          <w:rPr>
            <w:rStyle w:val="Hiperpovezava"/>
          </w:rPr>
          <w:t>Uradni list</w:t>
        </w:r>
      </w:hyperlink>
      <w:r>
        <w:t xml:space="preserve"> RS, št. 59/08, 88/09, 37/11, 38/14 in 32/15).</w:t>
      </w:r>
    </w:p>
    <w:p w:rsidR="005605EF" w:rsidRDefault="005605EF">
      <w:pPr>
        <w:jc w:val="both"/>
        <w:rPr>
          <w:rFonts w:cs="Arial"/>
        </w:rPr>
      </w:pPr>
    </w:p>
    <w:sectPr w:rsidR="005605EF">
      <w:headerReference w:type="default" r:id="rId9"/>
      <w:footerReference w:type="default" r:id="rId10"/>
      <w:headerReference w:type="first" r:id="rId11"/>
      <w:footerReference w:type="first" r:id="rId12"/>
      <w:pgSz w:w="11900" w:h="16840"/>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E2" w:rsidRDefault="00E00DE2">
      <w:pPr>
        <w:spacing w:line="240" w:lineRule="auto"/>
      </w:pPr>
      <w:r>
        <w:separator/>
      </w:r>
    </w:p>
  </w:endnote>
  <w:endnote w:type="continuationSeparator" w:id="0">
    <w:p w:rsidR="00E00DE2" w:rsidRDefault="00E00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panose1 w:val="02000806030000020004"/>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A62" w:rsidRDefault="00E00DE2">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Pr>
        <w:rFonts w:cs="Arial"/>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A62" w:rsidRDefault="00E00DE2">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005054">
      <w:rPr>
        <w:rFonts w:cs="Arial"/>
        <w:noProof/>
        <w:sz w:val="16"/>
      </w:rPr>
      <w:t>1</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05054">
      <w:rPr>
        <w:rFonts w:cs="Arial"/>
        <w:noProof/>
        <w:sz w:val="16"/>
      </w:rPr>
      <w:t>1</w:t>
    </w:r>
    <w:r>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E2" w:rsidRDefault="00E00DE2">
      <w:pPr>
        <w:spacing w:line="240" w:lineRule="auto"/>
      </w:pPr>
      <w:r>
        <w:rPr>
          <w:color w:val="000000"/>
        </w:rPr>
        <w:separator/>
      </w:r>
    </w:p>
  </w:footnote>
  <w:footnote w:type="continuationSeparator" w:id="0">
    <w:p w:rsidR="00E00DE2" w:rsidRDefault="00E00D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A62" w:rsidRDefault="00E00DE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49" w:type="dxa"/>
      <w:tblCellMar>
        <w:left w:w="10" w:type="dxa"/>
        <w:right w:w="10" w:type="dxa"/>
      </w:tblCellMar>
      <w:tblLook w:val="0000" w:firstRow="0" w:lastRow="0" w:firstColumn="0" w:lastColumn="0" w:noHBand="0" w:noVBand="0"/>
    </w:tblPr>
    <w:tblGrid>
      <w:gridCol w:w="649"/>
    </w:tblGrid>
    <w:tr w:rsidR="002B5A62">
      <w:tblPrEx>
        <w:tblCellMar>
          <w:top w:w="0" w:type="dxa"/>
          <w:bottom w:w="0" w:type="dxa"/>
        </w:tblCellMar>
      </w:tblPrEx>
      <w:trPr>
        <w:cantSplit/>
        <w:trHeight w:hRule="exact" w:val="847"/>
      </w:trPr>
      <w:tc>
        <w:tcPr>
          <w:tcW w:w="649" w:type="dxa"/>
          <w:shd w:val="clear" w:color="auto" w:fill="auto"/>
          <w:tcMar>
            <w:top w:w="0" w:type="dxa"/>
            <w:left w:w="108" w:type="dxa"/>
            <w:bottom w:w="0" w:type="dxa"/>
            <w:right w:w="108" w:type="dxa"/>
          </w:tcMar>
        </w:tcPr>
        <w:p w:rsidR="002B5A62" w:rsidRDefault="00E00DE2">
          <w:pPr>
            <w:autoSpaceDE w:val="0"/>
            <w:spacing w:line="240" w:lineRule="auto"/>
          </w:pPr>
          <w:r>
            <w:rPr>
              <w:rFonts w:ascii="Republika" w:hAnsi="Republika" w:cs="Republika"/>
              <w:color w:val="529DBA"/>
              <w:sz w:val="60"/>
              <w:szCs w:val="60"/>
              <w:lang w:val="sl-SI" w:eastAsia="sl-SI"/>
            </w:rPr>
            <w:t></w:t>
          </w:r>
        </w:p>
        <w:p w:rsidR="002B5A62" w:rsidRDefault="00E00DE2">
          <w:pPr>
            <w:rPr>
              <w:rFonts w:ascii="Republika" w:hAnsi="Republika"/>
              <w:sz w:val="60"/>
              <w:szCs w:val="60"/>
              <w:lang w:val="sl-SI"/>
            </w:rPr>
          </w:pPr>
        </w:p>
        <w:p w:rsidR="002B5A62" w:rsidRDefault="00E00DE2">
          <w:pPr>
            <w:rPr>
              <w:rFonts w:ascii="Republika" w:hAnsi="Republika"/>
              <w:sz w:val="60"/>
              <w:szCs w:val="60"/>
              <w:lang w:val="sl-SI"/>
            </w:rPr>
          </w:pPr>
        </w:p>
        <w:p w:rsidR="002B5A62" w:rsidRDefault="00E00DE2">
          <w:pPr>
            <w:rPr>
              <w:rFonts w:ascii="Republika" w:hAnsi="Republika"/>
              <w:sz w:val="60"/>
              <w:szCs w:val="60"/>
              <w:lang w:val="sl-SI"/>
            </w:rPr>
          </w:pPr>
        </w:p>
        <w:p w:rsidR="002B5A62" w:rsidRDefault="00E00DE2">
          <w:pPr>
            <w:rPr>
              <w:rFonts w:ascii="Republika" w:hAnsi="Republika"/>
              <w:sz w:val="60"/>
              <w:szCs w:val="60"/>
              <w:lang w:val="sl-SI"/>
            </w:rPr>
          </w:pPr>
        </w:p>
        <w:p w:rsidR="002B5A62" w:rsidRDefault="00E00DE2">
          <w:pPr>
            <w:rPr>
              <w:rFonts w:ascii="Republika" w:hAnsi="Republika"/>
              <w:sz w:val="60"/>
              <w:szCs w:val="60"/>
              <w:lang w:val="sl-SI"/>
            </w:rPr>
          </w:pPr>
        </w:p>
        <w:p w:rsidR="002B5A62" w:rsidRDefault="00E00DE2">
          <w:pPr>
            <w:rPr>
              <w:rFonts w:ascii="Republika" w:hAnsi="Republika"/>
              <w:sz w:val="60"/>
              <w:szCs w:val="60"/>
              <w:lang w:val="sl-SI"/>
            </w:rPr>
          </w:pPr>
        </w:p>
        <w:p w:rsidR="002B5A62" w:rsidRDefault="00E00DE2">
          <w:pPr>
            <w:rPr>
              <w:rFonts w:ascii="Republika" w:hAnsi="Republika"/>
              <w:sz w:val="60"/>
              <w:szCs w:val="60"/>
              <w:lang w:val="sl-SI"/>
            </w:rPr>
          </w:pPr>
        </w:p>
        <w:p w:rsidR="002B5A62" w:rsidRDefault="00E00DE2">
          <w:pPr>
            <w:rPr>
              <w:rFonts w:ascii="Republika" w:hAnsi="Republika"/>
              <w:sz w:val="60"/>
              <w:szCs w:val="60"/>
              <w:lang w:val="sl-SI"/>
            </w:rPr>
          </w:pPr>
        </w:p>
        <w:p w:rsidR="002B5A62" w:rsidRDefault="00E00DE2">
          <w:pPr>
            <w:rPr>
              <w:rFonts w:ascii="Republika" w:hAnsi="Republika"/>
              <w:sz w:val="60"/>
              <w:szCs w:val="60"/>
              <w:lang w:val="sl-SI"/>
            </w:rPr>
          </w:pPr>
        </w:p>
        <w:p w:rsidR="002B5A62" w:rsidRDefault="00E00DE2">
          <w:pPr>
            <w:rPr>
              <w:rFonts w:ascii="Republika" w:hAnsi="Republika"/>
              <w:sz w:val="60"/>
              <w:szCs w:val="60"/>
              <w:lang w:val="sl-SI"/>
            </w:rPr>
          </w:pPr>
        </w:p>
        <w:p w:rsidR="002B5A62" w:rsidRDefault="00E00DE2">
          <w:pPr>
            <w:rPr>
              <w:rFonts w:ascii="Republika" w:hAnsi="Republika"/>
              <w:sz w:val="60"/>
              <w:szCs w:val="60"/>
              <w:lang w:val="sl-SI"/>
            </w:rPr>
          </w:pPr>
        </w:p>
        <w:p w:rsidR="002B5A62" w:rsidRDefault="00E00DE2">
          <w:pPr>
            <w:rPr>
              <w:rFonts w:ascii="Republika" w:hAnsi="Republika"/>
              <w:sz w:val="60"/>
              <w:szCs w:val="60"/>
              <w:lang w:val="sl-SI"/>
            </w:rPr>
          </w:pPr>
        </w:p>
        <w:p w:rsidR="002B5A62" w:rsidRDefault="00E00DE2">
          <w:pPr>
            <w:rPr>
              <w:rFonts w:ascii="Republika" w:hAnsi="Republika"/>
              <w:sz w:val="60"/>
              <w:szCs w:val="60"/>
              <w:lang w:val="sl-SI"/>
            </w:rPr>
          </w:pPr>
        </w:p>
        <w:p w:rsidR="002B5A62" w:rsidRDefault="00E00DE2">
          <w:pPr>
            <w:rPr>
              <w:rFonts w:ascii="Republika" w:hAnsi="Republika"/>
              <w:sz w:val="60"/>
              <w:szCs w:val="60"/>
              <w:lang w:val="sl-SI"/>
            </w:rPr>
          </w:pPr>
        </w:p>
        <w:p w:rsidR="002B5A62" w:rsidRDefault="00E00DE2">
          <w:pPr>
            <w:rPr>
              <w:rFonts w:ascii="Republika" w:hAnsi="Republika"/>
              <w:sz w:val="60"/>
              <w:szCs w:val="60"/>
              <w:lang w:val="sl-SI"/>
            </w:rPr>
          </w:pPr>
        </w:p>
        <w:p w:rsidR="002B5A62" w:rsidRDefault="00E00DE2">
          <w:pPr>
            <w:rPr>
              <w:rFonts w:ascii="Republika" w:hAnsi="Republika"/>
              <w:sz w:val="60"/>
              <w:szCs w:val="60"/>
              <w:lang w:val="sl-SI"/>
            </w:rPr>
          </w:pPr>
        </w:p>
      </w:tc>
    </w:tr>
  </w:tbl>
  <w:p w:rsidR="002B5A62" w:rsidRDefault="00E00DE2">
    <w:pPr>
      <w:autoSpaceDE w:val="0"/>
      <w:spacing w:line="240" w:lineRule="auto"/>
    </w:pPr>
    <w:r>
      <w:rPr>
        <w:noProof/>
        <w:szCs w:val="20"/>
        <w:lang w:val="sl-SI" w:eastAsia="sl-SI"/>
      </w:rPr>
      <mc:AlternateContent>
        <mc:Choice Requires="wps">
          <w:drawing>
            <wp:anchor distT="0" distB="0" distL="114300" distR="114300" simplePos="0" relativeHeight="251659264" behindDoc="1" locked="0" layoutInCell="1" allowOverlap="1">
              <wp:simplePos x="0" y="0"/>
              <wp:positionH relativeFrom="column">
                <wp:posOffset>-431797</wp:posOffset>
              </wp:positionH>
              <wp:positionV relativeFrom="page">
                <wp:posOffset>3600450</wp:posOffset>
              </wp:positionV>
              <wp:extent cx="251460" cy="0"/>
              <wp:effectExtent l="0" t="0" r="15240" b="19050"/>
              <wp:wrapNone/>
              <wp:docPr id="1" name="Line 5"/>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6345">
                        <a:solidFill>
                          <a:srgbClr val="428299"/>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Line 5" o:spid="_x0000_s1026" type="#_x0000_t32" style="position:absolute;margin-left:-34pt;margin-top:283.5pt;width:19.8pt;height:0;z-index:-25165721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" strokecolor="#428299" strokeweight=".17625mm">
              <w10:wrap anchory="page"/>
            </v:shape>
          </w:pict>
        </mc:Fallback>
      </mc:AlternateContent>
    </w:r>
    <w:r>
      <w:rPr>
        <w:rFonts w:ascii="Republika" w:hAnsi="Republika"/>
        <w:lang w:val="sl-SI"/>
      </w:rPr>
      <w:t>REPUBLIKA SLOVENIJA</w:t>
    </w:r>
  </w:p>
  <w:p w:rsidR="002B5A62" w:rsidRDefault="00E00DE2">
    <w:pPr>
      <w:pStyle w:val="Glava"/>
      <w:tabs>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2B5A62" w:rsidRDefault="00E00DE2">
    <w:pPr>
      <w:pStyle w:val="Glava"/>
      <w:tabs>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2B5A62" w:rsidRDefault="00E00DE2">
    <w:pPr>
      <w:pStyle w:val="Glava"/>
      <w:tabs>
        <w:tab w:val="left" w:pos="5112"/>
      </w:tabs>
      <w:spacing w:before="120" w:line="240" w:lineRule="exact"/>
    </w:pPr>
    <w:r>
      <w:rPr>
        <w:rFonts w:ascii="Republika" w:hAnsi="Republika"/>
        <w:lang w:val="sl-SI"/>
      </w:rPr>
      <w:t>Generalni finančni urad</w:t>
    </w:r>
  </w:p>
  <w:p w:rsidR="002B5A62" w:rsidRDefault="00E00DE2">
    <w:pPr>
      <w:pStyle w:val="Glava"/>
      <w:tabs>
        <w:tab w:val="left" w:pos="5112"/>
      </w:tabs>
      <w:spacing w:before="240" w:line="240" w:lineRule="exact"/>
      <w:rPr>
        <w:rFonts w:cs="Arial"/>
        <w:sz w:val="16"/>
        <w:lang w:val="sl-SI"/>
      </w:rPr>
    </w:pPr>
    <w:r>
      <w:rPr>
        <w:rFonts w:cs="Arial"/>
        <w:sz w:val="16"/>
        <w:lang w:val="sl-SI"/>
      </w:rPr>
      <w:t>Šmartinska cesta 55, p.p. 631, 1001 Ljubljana</w:t>
    </w:r>
    <w:r>
      <w:rPr>
        <w:rFonts w:cs="Arial"/>
        <w:sz w:val="16"/>
        <w:lang w:val="sl-SI"/>
      </w:rPr>
      <w:tab/>
      <w:t>T: 01 478 38 00</w:t>
    </w:r>
  </w:p>
  <w:p w:rsidR="002B5A62" w:rsidRDefault="00E00DE2">
    <w:pPr>
      <w:pStyle w:val="Glava"/>
      <w:tabs>
        <w:tab w:val="left" w:pos="5112"/>
      </w:tabs>
      <w:spacing w:line="240" w:lineRule="exact"/>
      <w:rPr>
        <w:rFonts w:cs="Arial"/>
        <w:sz w:val="16"/>
        <w:lang w:val="sl-SI"/>
      </w:rPr>
    </w:pPr>
    <w:r>
      <w:rPr>
        <w:rFonts w:cs="Arial"/>
        <w:sz w:val="16"/>
        <w:lang w:val="sl-SI"/>
      </w:rPr>
      <w:tab/>
      <w:t xml:space="preserve">F: 01 478 39 00 </w:t>
    </w:r>
  </w:p>
  <w:p w:rsidR="002B5A62" w:rsidRDefault="00E00DE2">
    <w:pPr>
      <w:pStyle w:val="Glava"/>
      <w:tabs>
        <w:tab w:val="left" w:pos="5112"/>
      </w:tabs>
      <w:spacing w:line="240" w:lineRule="exact"/>
      <w:rPr>
        <w:rFonts w:cs="Arial"/>
        <w:sz w:val="16"/>
        <w:lang w:val="sl-SI"/>
      </w:rPr>
    </w:pPr>
    <w:r>
      <w:rPr>
        <w:rFonts w:cs="Arial"/>
        <w:sz w:val="16"/>
        <w:lang w:val="sl-SI"/>
      </w:rPr>
      <w:tab/>
      <w:t>E: gfu.fu@gov.si</w:t>
    </w:r>
  </w:p>
  <w:p w:rsidR="002B5A62" w:rsidRDefault="00E00DE2">
    <w:pPr>
      <w:pStyle w:val="Glava"/>
      <w:tabs>
        <w:tab w:val="left" w:pos="5112"/>
      </w:tabs>
      <w:spacing w:line="240" w:lineRule="exact"/>
      <w:rPr>
        <w:rFonts w:cs="Arial"/>
        <w:sz w:val="16"/>
        <w:lang w:val="sl-SI"/>
      </w:rPr>
    </w:pPr>
    <w:r>
      <w:rPr>
        <w:rFonts w:cs="Arial"/>
        <w:sz w:val="16"/>
        <w:lang w:val="sl-SI"/>
      </w:rPr>
      <w:tab/>
    </w:r>
    <w:r>
      <w:rPr>
        <w:rFonts w:cs="Arial"/>
        <w:sz w:val="16"/>
        <w:lang w:val="sl-SI"/>
      </w:rPr>
      <w:t>www.fu.gov.si</w:t>
    </w:r>
  </w:p>
  <w:p w:rsidR="002B5A62" w:rsidRDefault="00E00DE2">
    <w:pPr>
      <w:pStyle w:val="Glava"/>
      <w:tabs>
        <w:tab w:val="left" w:pos="5112"/>
      </w:tabs>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605EF"/>
    <w:rsid w:val="00005054"/>
    <w:rsid w:val="005605EF"/>
    <w:rsid w:val="00E00D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spacing w:line="260" w:lineRule="atLeast"/>
    </w:pPr>
    <w:rPr>
      <w:rFonts w:ascii="Arial" w:hAnsi="Arial"/>
      <w:szCs w:val="24"/>
      <w:lang w:val="en-US" w:eastAsia="en-US"/>
    </w:rPr>
  </w:style>
  <w:style w:type="paragraph" w:styleId="Naslov1">
    <w:name w:val="heading 1"/>
    <w:basedOn w:val="Navaden"/>
    <w:next w:val="Navaden"/>
    <w:autoRedefine/>
    <w:pPr>
      <w:keepNext/>
      <w:spacing w:before="240" w:after="60"/>
      <w:outlineLvl w:val="0"/>
    </w:pPr>
    <w:rPr>
      <w:b/>
      <w:kern w:val="3"/>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suppressAutoHyphens w:val="0"/>
    </w:pPr>
  </w:style>
  <w:style w:type="paragraph" w:styleId="Noga">
    <w:name w:val="footer"/>
    <w:basedOn w:val="Navaden"/>
    <w:pPr>
      <w:tabs>
        <w:tab w:val="center" w:pos="4536"/>
        <w:tab w:val="right" w:pos="9072"/>
      </w:tabs>
      <w:suppressAutoHyphens w:val="0"/>
    </w:pPr>
  </w:style>
  <w:style w:type="paragraph" w:styleId="Zgradbadokumenta">
    <w:name w:val="Document Map"/>
    <w:basedOn w:val="Navaden"/>
    <w:rPr>
      <w:rFonts w:ascii="Tahoma" w:hAnsi="Tahoma" w:cs="Tahoma"/>
      <w:sz w:val="16"/>
      <w:szCs w:val="16"/>
    </w:rPr>
  </w:style>
  <w:style w:type="character" w:customStyle="1" w:styleId="DocumentMapChar">
    <w:name w:val="Document Map Char"/>
    <w:basedOn w:val="Privzetapisavaodstavka"/>
    <w:rPr>
      <w:rFonts w:ascii="Tahoma" w:hAnsi="Tahoma" w:cs="Tahoma"/>
      <w:sz w:val="16"/>
      <w:szCs w:val="16"/>
      <w:lang w:val="en-US" w:eastAsia="en-US"/>
    </w:rPr>
  </w:style>
  <w:style w:type="paragraph" w:customStyle="1" w:styleId="datumtevilka">
    <w:name w:val="datum številka"/>
    <w:basedOn w:val="Navaden"/>
    <w:pPr>
      <w:tabs>
        <w:tab w:val="left" w:pos="1701"/>
      </w:tabs>
    </w:pPr>
    <w:rPr>
      <w:szCs w:val="20"/>
      <w:lang w:val="sl-SI" w:eastAsia="sl-SI"/>
    </w:rPr>
  </w:style>
  <w:style w:type="paragraph" w:customStyle="1" w:styleId="ZADEVA">
    <w:name w:val="ZADEVA"/>
    <w:basedOn w:val="Navaden"/>
    <w:pPr>
      <w:tabs>
        <w:tab w:val="left" w:pos="1701"/>
      </w:tabs>
      <w:ind w:left="1701" w:hanging="1701"/>
    </w:pPr>
    <w:rPr>
      <w:b/>
      <w:lang w:val="it-IT"/>
    </w:rPr>
  </w:style>
  <w:style w:type="character" w:styleId="Hiperpovezava">
    <w:name w:val="Hyperlink"/>
    <w:basedOn w:val="Privzetapisavaodstavka"/>
    <w:rPr>
      <w:color w:val="0000FF"/>
      <w:u w:val="single"/>
    </w:rPr>
  </w:style>
  <w:style w:type="paragraph" w:customStyle="1" w:styleId="podpisi">
    <w:name w:val="podpisi"/>
    <w:basedOn w:val="Navaden"/>
    <w:pPr>
      <w:tabs>
        <w:tab w:val="left" w:pos="3402"/>
      </w:tabs>
    </w:pPr>
    <w:rPr>
      <w:lang w:val="it-IT"/>
    </w:rPr>
  </w:style>
  <w:style w:type="paragraph" w:customStyle="1" w:styleId="Standard">
    <w:name w:val="Standard"/>
    <w:pPr>
      <w:suppressAutoHyphens/>
    </w:pPr>
    <w:rPr>
      <w:kern w:val="3"/>
      <w:sz w:val="24"/>
      <w:szCs w:val="24"/>
      <w:lang w:eastAsia="en-US"/>
    </w:rPr>
  </w:style>
  <w:style w:type="paragraph" w:styleId="Odstavekseznama">
    <w:name w:val="List Paragraph"/>
    <w:basedOn w:val="Navaden"/>
    <w:pPr>
      <w:ind w:left="720"/>
    </w:pPr>
  </w:style>
  <w:style w:type="character" w:customStyle="1" w:styleId="HeaderChar">
    <w:name w:val="Header Char"/>
    <w:basedOn w:val="Privzetapisavaodstavka"/>
  </w:style>
  <w:style w:type="character" w:customStyle="1" w:styleId="FooterChar">
    <w:name w:val="Footer Char"/>
    <w:basedOn w:val="Privzetapisavaodstavka"/>
  </w:style>
  <w:style w:type="character" w:customStyle="1" w:styleId="HeaderChar1">
    <w:name w:val="Header Char1"/>
    <w:basedOn w:val="Privzetapisavaodstavka"/>
  </w:style>
  <w:style w:type="character" w:customStyle="1" w:styleId="FooterChar1">
    <w:name w:val="Footer Char1"/>
    <w:basedOn w:val="Privzetapisavaodstavka"/>
  </w:style>
  <w:style w:type="character" w:customStyle="1" w:styleId="CommentReference">
    <w:name w:val="Comment Reference"/>
    <w:basedOn w:val="Privzetapisavaodstavka"/>
    <w:rPr>
      <w:sz w:val="16"/>
      <w:szCs w:val="16"/>
    </w:rPr>
  </w:style>
  <w:style w:type="paragraph" w:customStyle="1" w:styleId="CommentText">
    <w:name w:val="Comment Text"/>
    <w:basedOn w:val="Navaden"/>
    <w:pPr>
      <w:suppressAutoHyphens w:val="0"/>
    </w:pPr>
  </w:style>
  <w:style w:type="character" w:customStyle="1" w:styleId="CommentTextChar">
    <w:name w:val="Comment Text Char"/>
    <w:basedOn w:val="Privzetapisavaodstavka"/>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b/>
      <w:bCs/>
    </w:rPr>
  </w:style>
  <w:style w:type="paragraph" w:styleId="Besedilooblaka">
    <w:name w:val="Balloon Text"/>
    <w:basedOn w:val="Navaden"/>
    <w:pPr>
      <w:suppressAutoHyphens w:val="0"/>
    </w:pPr>
    <w:rPr>
      <w:rFonts w:ascii="Tahoma" w:hAnsi="Tahoma" w:cs="Tahoma"/>
      <w:sz w:val="16"/>
      <w:szCs w:val="16"/>
    </w:rPr>
  </w:style>
  <w:style w:type="character" w:customStyle="1" w:styleId="BalloonTextChar">
    <w:name w:val="Balloon Text Char"/>
    <w:basedOn w:val="Privzetapisavaodstavk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spacing w:line="260" w:lineRule="atLeast"/>
    </w:pPr>
    <w:rPr>
      <w:rFonts w:ascii="Arial" w:hAnsi="Arial"/>
      <w:szCs w:val="24"/>
      <w:lang w:val="en-US" w:eastAsia="en-US"/>
    </w:rPr>
  </w:style>
  <w:style w:type="paragraph" w:styleId="Naslov1">
    <w:name w:val="heading 1"/>
    <w:basedOn w:val="Navaden"/>
    <w:next w:val="Navaden"/>
    <w:autoRedefine/>
    <w:pPr>
      <w:keepNext/>
      <w:spacing w:before="240" w:after="60"/>
      <w:outlineLvl w:val="0"/>
    </w:pPr>
    <w:rPr>
      <w:b/>
      <w:kern w:val="3"/>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suppressAutoHyphens w:val="0"/>
    </w:pPr>
  </w:style>
  <w:style w:type="paragraph" w:styleId="Noga">
    <w:name w:val="footer"/>
    <w:basedOn w:val="Navaden"/>
    <w:pPr>
      <w:tabs>
        <w:tab w:val="center" w:pos="4536"/>
        <w:tab w:val="right" w:pos="9072"/>
      </w:tabs>
      <w:suppressAutoHyphens w:val="0"/>
    </w:pPr>
  </w:style>
  <w:style w:type="paragraph" w:styleId="Zgradbadokumenta">
    <w:name w:val="Document Map"/>
    <w:basedOn w:val="Navaden"/>
    <w:rPr>
      <w:rFonts w:ascii="Tahoma" w:hAnsi="Tahoma" w:cs="Tahoma"/>
      <w:sz w:val="16"/>
      <w:szCs w:val="16"/>
    </w:rPr>
  </w:style>
  <w:style w:type="character" w:customStyle="1" w:styleId="DocumentMapChar">
    <w:name w:val="Document Map Char"/>
    <w:basedOn w:val="Privzetapisavaodstavka"/>
    <w:rPr>
      <w:rFonts w:ascii="Tahoma" w:hAnsi="Tahoma" w:cs="Tahoma"/>
      <w:sz w:val="16"/>
      <w:szCs w:val="16"/>
      <w:lang w:val="en-US" w:eastAsia="en-US"/>
    </w:rPr>
  </w:style>
  <w:style w:type="paragraph" w:customStyle="1" w:styleId="datumtevilka">
    <w:name w:val="datum številka"/>
    <w:basedOn w:val="Navaden"/>
    <w:pPr>
      <w:tabs>
        <w:tab w:val="left" w:pos="1701"/>
      </w:tabs>
    </w:pPr>
    <w:rPr>
      <w:szCs w:val="20"/>
      <w:lang w:val="sl-SI" w:eastAsia="sl-SI"/>
    </w:rPr>
  </w:style>
  <w:style w:type="paragraph" w:customStyle="1" w:styleId="ZADEVA">
    <w:name w:val="ZADEVA"/>
    <w:basedOn w:val="Navaden"/>
    <w:pPr>
      <w:tabs>
        <w:tab w:val="left" w:pos="1701"/>
      </w:tabs>
      <w:ind w:left="1701" w:hanging="1701"/>
    </w:pPr>
    <w:rPr>
      <w:b/>
      <w:lang w:val="it-IT"/>
    </w:rPr>
  </w:style>
  <w:style w:type="character" w:styleId="Hiperpovezava">
    <w:name w:val="Hyperlink"/>
    <w:basedOn w:val="Privzetapisavaodstavka"/>
    <w:rPr>
      <w:color w:val="0000FF"/>
      <w:u w:val="single"/>
    </w:rPr>
  </w:style>
  <w:style w:type="paragraph" w:customStyle="1" w:styleId="podpisi">
    <w:name w:val="podpisi"/>
    <w:basedOn w:val="Navaden"/>
    <w:pPr>
      <w:tabs>
        <w:tab w:val="left" w:pos="3402"/>
      </w:tabs>
    </w:pPr>
    <w:rPr>
      <w:lang w:val="it-IT"/>
    </w:rPr>
  </w:style>
  <w:style w:type="paragraph" w:customStyle="1" w:styleId="Standard">
    <w:name w:val="Standard"/>
    <w:pPr>
      <w:suppressAutoHyphens/>
    </w:pPr>
    <w:rPr>
      <w:kern w:val="3"/>
      <w:sz w:val="24"/>
      <w:szCs w:val="24"/>
      <w:lang w:eastAsia="en-US"/>
    </w:rPr>
  </w:style>
  <w:style w:type="paragraph" w:styleId="Odstavekseznama">
    <w:name w:val="List Paragraph"/>
    <w:basedOn w:val="Navaden"/>
    <w:pPr>
      <w:ind w:left="720"/>
    </w:pPr>
  </w:style>
  <w:style w:type="character" w:customStyle="1" w:styleId="HeaderChar">
    <w:name w:val="Header Char"/>
    <w:basedOn w:val="Privzetapisavaodstavka"/>
  </w:style>
  <w:style w:type="character" w:customStyle="1" w:styleId="FooterChar">
    <w:name w:val="Footer Char"/>
    <w:basedOn w:val="Privzetapisavaodstavka"/>
  </w:style>
  <w:style w:type="character" w:customStyle="1" w:styleId="HeaderChar1">
    <w:name w:val="Header Char1"/>
    <w:basedOn w:val="Privzetapisavaodstavka"/>
  </w:style>
  <w:style w:type="character" w:customStyle="1" w:styleId="FooterChar1">
    <w:name w:val="Footer Char1"/>
    <w:basedOn w:val="Privzetapisavaodstavka"/>
  </w:style>
  <w:style w:type="character" w:customStyle="1" w:styleId="CommentReference">
    <w:name w:val="Comment Reference"/>
    <w:basedOn w:val="Privzetapisavaodstavka"/>
    <w:rPr>
      <w:sz w:val="16"/>
      <w:szCs w:val="16"/>
    </w:rPr>
  </w:style>
  <w:style w:type="paragraph" w:customStyle="1" w:styleId="CommentText">
    <w:name w:val="Comment Text"/>
    <w:basedOn w:val="Navaden"/>
    <w:pPr>
      <w:suppressAutoHyphens w:val="0"/>
    </w:pPr>
  </w:style>
  <w:style w:type="character" w:customStyle="1" w:styleId="CommentTextChar">
    <w:name w:val="Comment Text Char"/>
    <w:basedOn w:val="Privzetapisavaodstavka"/>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b/>
      <w:bCs/>
    </w:rPr>
  </w:style>
  <w:style w:type="paragraph" w:styleId="Besedilooblaka">
    <w:name w:val="Balloon Text"/>
    <w:basedOn w:val="Navaden"/>
    <w:pPr>
      <w:suppressAutoHyphens w:val="0"/>
    </w:pPr>
    <w:rPr>
      <w:rFonts w:ascii="Tahoma" w:hAnsi="Tahoma" w:cs="Tahoma"/>
      <w:sz w:val="16"/>
      <w:szCs w:val="16"/>
    </w:rPr>
  </w:style>
  <w:style w:type="character" w:customStyle="1" w:styleId="BalloonTextChar">
    <w:name w:val="Balloon Text Char"/>
    <w:basedOn w:val="Privzetapisavaodstavk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84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srs.si/Pis.web/pregledPredpisa?id=ZAKO409"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GF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GFU</Template>
  <TotalTime>0</TotalTime>
  <Pages>1</Pages>
  <Words>482</Words>
  <Characters>2754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Številka:</vt:lpstr>
    </vt:vector>
  </TitlesOfParts>
  <Company>Davčna Uprava RS</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Deželak</dc:creator>
  <cp:lastModifiedBy>Jani Ponikvar</cp:lastModifiedBy>
  <cp:revision>2</cp:revision>
  <cp:lastPrinted>2015-12-30T09:06:00Z</cp:lastPrinted>
  <dcterms:created xsi:type="dcterms:W3CDTF">2016-01-20T08:39:00Z</dcterms:created>
  <dcterms:modified xsi:type="dcterms:W3CDTF">2016-01-20T08:39:00Z</dcterms:modified>
</cp:coreProperties>
</file>