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58545" w14:textId="77777777" w:rsidR="00887E1E" w:rsidRPr="00B87D07" w:rsidRDefault="00887E1E" w:rsidP="00697F07">
      <w:pPr>
        <w:pStyle w:val="datumtevilka"/>
        <w:spacing w:line="260" w:lineRule="exact"/>
        <w:jc w:val="center"/>
      </w:pPr>
      <w:bookmarkStart w:id="0" w:name="_GoBack"/>
      <w:bookmarkEnd w:id="0"/>
    </w:p>
    <w:p w14:paraId="16765061" w14:textId="77777777" w:rsidR="00887E1E" w:rsidRPr="00B87D07" w:rsidRDefault="00887E1E" w:rsidP="00697F07">
      <w:pPr>
        <w:pStyle w:val="datumtevilka"/>
        <w:spacing w:line="260" w:lineRule="exact"/>
        <w:jc w:val="center"/>
      </w:pPr>
    </w:p>
    <w:p w14:paraId="53F66870" w14:textId="77777777" w:rsidR="00F825FF" w:rsidRPr="00B87D07" w:rsidRDefault="00F825FF" w:rsidP="00697F07">
      <w:pPr>
        <w:pStyle w:val="datumtevilka"/>
        <w:spacing w:line="260" w:lineRule="exact"/>
        <w:jc w:val="center"/>
      </w:pPr>
    </w:p>
    <w:p w14:paraId="2F116A4E" w14:textId="77777777" w:rsidR="002341C3" w:rsidRPr="00B87D07" w:rsidRDefault="002341C3" w:rsidP="00697F07">
      <w:pPr>
        <w:pStyle w:val="datumtevilka"/>
        <w:spacing w:line="260" w:lineRule="exact"/>
      </w:pPr>
    </w:p>
    <w:p w14:paraId="4A27EF1A" w14:textId="77777777" w:rsidR="00887E1E" w:rsidRPr="00B87D07" w:rsidRDefault="00887E1E" w:rsidP="00697F07">
      <w:pPr>
        <w:pStyle w:val="datumtevilka"/>
        <w:spacing w:line="260" w:lineRule="exact"/>
        <w:jc w:val="center"/>
      </w:pPr>
    </w:p>
    <w:p w14:paraId="790C9E32" w14:textId="77777777" w:rsidR="00C6643F" w:rsidRPr="00B87D07" w:rsidRDefault="00B64244" w:rsidP="00697F07">
      <w:pPr>
        <w:pStyle w:val="datumtevilka"/>
        <w:spacing w:line="260" w:lineRule="exact"/>
        <w:jc w:val="center"/>
        <w:rPr>
          <w:b/>
          <w:sz w:val="32"/>
          <w:szCs w:val="32"/>
        </w:rPr>
      </w:pPr>
      <w:r>
        <w:rPr>
          <w:b/>
          <w:sz w:val="32"/>
          <w:szCs w:val="32"/>
        </w:rPr>
        <w:t>M</w:t>
      </w:r>
      <w:r w:rsidR="00694129" w:rsidRPr="00B87D07">
        <w:rPr>
          <w:b/>
          <w:sz w:val="32"/>
          <w:szCs w:val="32"/>
        </w:rPr>
        <w:t>EDNARODNA IZMENJAVA/</w:t>
      </w:r>
      <w:r w:rsidR="004B2C70">
        <w:rPr>
          <w:b/>
          <w:sz w:val="32"/>
          <w:szCs w:val="32"/>
        </w:rPr>
        <w:t>DAC6</w:t>
      </w:r>
    </w:p>
    <w:p w14:paraId="741DD7A0" w14:textId="77777777" w:rsidR="003C180E" w:rsidRPr="00B87D07" w:rsidRDefault="003C180E" w:rsidP="00697F07">
      <w:pPr>
        <w:pStyle w:val="datumtevilka"/>
        <w:spacing w:line="260" w:lineRule="exact"/>
        <w:jc w:val="center"/>
        <w:rPr>
          <w:b/>
          <w:sz w:val="28"/>
          <w:szCs w:val="28"/>
        </w:rPr>
      </w:pPr>
    </w:p>
    <w:p w14:paraId="37E611E2" w14:textId="77777777" w:rsidR="00A77370" w:rsidRPr="00B87D07" w:rsidRDefault="00A77370" w:rsidP="00697F07">
      <w:pPr>
        <w:pStyle w:val="datumtevilka"/>
        <w:spacing w:line="260" w:lineRule="exact"/>
        <w:jc w:val="center"/>
        <w:rPr>
          <w:b/>
          <w:sz w:val="28"/>
          <w:szCs w:val="28"/>
        </w:rPr>
      </w:pPr>
    </w:p>
    <w:p w14:paraId="1048CF37" w14:textId="77777777" w:rsidR="00F1377E" w:rsidRDefault="009428AC" w:rsidP="00697F07">
      <w:pPr>
        <w:pStyle w:val="datumtevilka"/>
        <w:spacing w:line="260" w:lineRule="exact"/>
        <w:jc w:val="center"/>
        <w:rPr>
          <w:b/>
          <w:sz w:val="32"/>
          <w:szCs w:val="32"/>
        </w:rPr>
      </w:pPr>
      <w:r w:rsidRPr="00B87D07">
        <w:rPr>
          <w:b/>
          <w:sz w:val="32"/>
          <w:szCs w:val="32"/>
        </w:rPr>
        <w:t xml:space="preserve">Poročanje </w:t>
      </w:r>
      <w:r w:rsidR="004B2C70">
        <w:rPr>
          <w:b/>
          <w:sz w:val="32"/>
          <w:szCs w:val="32"/>
        </w:rPr>
        <w:t xml:space="preserve">o čezmejnih aranžmajih </w:t>
      </w:r>
    </w:p>
    <w:p w14:paraId="544228BA" w14:textId="77777777" w:rsidR="004B2C70" w:rsidRPr="00055E2C" w:rsidRDefault="004B2C70" w:rsidP="00697F07">
      <w:pPr>
        <w:pStyle w:val="datumtevilka"/>
        <w:spacing w:line="260" w:lineRule="exact"/>
        <w:jc w:val="center"/>
        <w:rPr>
          <w:b/>
          <w:sz w:val="32"/>
          <w:szCs w:val="32"/>
        </w:rPr>
      </w:pPr>
      <w:r>
        <w:rPr>
          <w:b/>
          <w:sz w:val="32"/>
          <w:szCs w:val="32"/>
        </w:rPr>
        <w:t>(reportable cross-border arrangeme</w:t>
      </w:r>
      <w:r w:rsidR="00687664">
        <w:rPr>
          <w:b/>
          <w:sz w:val="32"/>
          <w:szCs w:val="32"/>
        </w:rPr>
        <w:t>n</w:t>
      </w:r>
      <w:r>
        <w:rPr>
          <w:b/>
          <w:sz w:val="32"/>
          <w:szCs w:val="32"/>
        </w:rPr>
        <w:t>ts)</w:t>
      </w:r>
    </w:p>
    <w:p w14:paraId="092146CF" w14:textId="77777777" w:rsidR="002341C3" w:rsidRPr="00B87D07" w:rsidRDefault="002341C3" w:rsidP="00697F07">
      <w:pPr>
        <w:pStyle w:val="datumtevilka"/>
        <w:spacing w:line="260" w:lineRule="exact"/>
        <w:jc w:val="center"/>
      </w:pPr>
    </w:p>
    <w:p w14:paraId="5CA62181" w14:textId="77777777" w:rsidR="00E853E8" w:rsidRPr="00B87D07" w:rsidRDefault="00E853E8" w:rsidP="00697F07">
      <w:pPr>
        <w:pStyle w:val="datumtevilka"/>
        <w:spacing w:line="260" w:lineRule="exact"/>
        <w:jc w:val="center"/>
      </w:pPr>
    </w:p>
    <w:p w14:paraId="6C603571" w14:textId="77777777" w:rsidR="00E853E8" w:rsidRPr="00B87D07" w:rsidRDefault="00E853E8" w:rsidP="00697F07">
      <w:pPr>
        <w:pStyle w:val="datumtevilka"/>
        <w:spacing w:line="260" w:lineRule="exact"/>
        <w:jc w:val="center"/>
      </w:pPr>
    </w:p>
    <w:p w14:paraId="41EF1940" w14:textId="77777777" w:rsidR="00E853E8" w:rsidRPr="00B87D07" w:rsidRDefault="00E853E8" w:rsidP="00697F07">
      <w:pPr>
        <w:pStyle w:val="datumtevilka"/>
        <w:spacing w:line="260" w:lineRule="exact"/>
        <w:jc w:val="center"/>
      </w:pPr>
    </w:p>
    <w:p w14:paraId="0CA886FE" w14:textId="77777777" w:rsidR="00887E1E" w:rsidRPr="00B87D07" w:rsidRDefault="00887E1E" w:rsidP="00697F07">
      <w:pPr>
        <w:pStyle w:val="datumtevilka"/>
        <w:spacing w:line="260" w:lineRule="exact"/>
        <w:jc w:val="center"/>
      </w:pPr>
    </w:p>
    <w:p w14:paraId="384F707A" w14:textId="77777777" w:rsidR="00F825FF" w:rsidRPr="00B87D07" w:rsidRDefault="00DC4738" w:rsidP="00697F07">
      <w:pPr>
        <w:pStyle w:val="datumtevilka"/>
        <w:spacing w:line="260" w:lineRule="exact"/>
        <w:jc w:val="center"/>
        <w:rPr>
          <w:b/>
          <w:sz w:val="28"/>
          <w:szCs w:val="28"/>
        </w:rPr>
      </w:pPr>
      <w:r>
        <w:rPr>
          <w:b/>
          <w:sz w:val="28"/>
          <w:szCs w:val="28"/>
        </w:rPr>
        <w:t>Podrobnejši opis</w:t>
      </w:r>
    </w:p>
    <w:p w14:paraId="5A9AC69E" w14:textId="77777777" w:rsidR="00F825FF" w:rsidRPr="00B87D07" w:rsidRDefault="00F825FF" w:rsidP="00697F07">
      <w:pPr>
        <w:pStyle w:val="datumtevilka"/>
        <w:spacing w:line="260" w:lineRule="exact"/>
        <w:jc w:val="center"/>
      </w:pPr>
    </w:p>
    <w:p w14:paraId="7EC2947B" w14:textId="77777777" w:rsidR="00F825FF" w:rsidRPr="00B87D07" w:rsidRDefault="00F825FF" w:rsidP="00697F07">
      <w:pPr>
        <w:pStyle w:val="datumtevilka"/>
        <w:spacing w:line="260" w:lineRule="exact"/>
        <w:jc w:val="center"/>
      </w:pPr>
    </w:p>
    <w:p w14:paraId="09C720E8" w14:textId="77777777" w:rsidR="00F825FF" w:rsidRPr="00B87D07" w:rsidRDefault="00F825FF" w:rsidP="00697F07">
      <w:pPr>
        <w:pStyle w:val="datumtevilka"/>
        <w:spacing w:line="260" w:lineRule="exact"/>
        <w:jc w:val="center"/>
      </w:pPr>
    </w:p>
    <w:p w14:paraId="37461F40" w14:textId="77777777" w:rsidR="00F825FF" w:rsidRPr="00B87D07" w:rsidRDefault="00F825FF" w:rsidP="00697F07">
      <w:pPr>
        <w:pStyle w:val="datumtevilka"/>
        <w:spacing w:line="260" w:lineRule="exact"/>
        <w:jc w:val="center"/>
      </w:pPr>
    </w:p>
    <w:p w14:paraId="1829B238" w14:textId="77777777" w:rsidR="00F825FF" w:rsidRPr="00B87D07" w:rsidRDefault="00F825FF" w:rsidP="00697F07">
      <w:pPr>
        <w:pStyle w:val="datumtevilka"/>
        <w:spacing w:line="260" w:lineRule="exact"/>
        <w:jc w:val="center"/>
      </w:pPr>
    </w:p>
    <w:p w14:paraId="12A6CB43" w14:textId="77777777" w:rsidR="002341C3" w:rsidRPr="00B87D07" w:rsidRDefault="002341C3" w:rsidP="00697F07">
      <w:pPr>
        <w:pStyle w:val="podpisi"/>
        <w:spacing w:line="260" w:lineRule="exact"/>
        <w:rPr>
          <w:lang w:val="sl-SI"/>
        </w:rPr>
      </w:pPr>
    </w:p>
    <w:p w14:paraId="23D096AB" w14:textId="77777777" w:rsidR="00E028C8" w:rsidRPr="00B87D07" w:rsidRDefault="00E028C8" w:rsidP="00697F07">
      <w:pPr>
        <w:pStyle w:val="podpisi"/>
        <w:spacing w:line="260" w:lineRule="exact"/>
        <w:rPr>
          <w:lang w:val="sl-SI"/>
        </w:rPr>
      </w:pPr>
    </w:p>
    <w:p w14:paraId="1430E2FC" w14:textId="77777777" w:rsidR="00E028C8" w:rsidRPr="00B87D07" w:rsidRDefault="00E028C8" w:rsidP="00697F07">
      <w:pPr>
        <w:pStyle w:val="podpisi"/>
        <w:spacing w:line="260" w:lineRule="exact"/>
        <w:rPr>
          <w:lang w:val="sl-SI"/>
        </w:rPr>
      </w:pPr>
    </w:p>
    <w:p w14:paraId="32808E40" w14:textId="77777777" w:rsidR="00E028C8" w:rsidRPr="00B87D07" w:rsidRDefault="00E028C8" w:rsidP="00697F07">
      <w:pPr>
        <w:pStyle w:val="podpisi"/>
        <w:spacing w:line="260" w:lineRule="exact"/>
        <w:rPr>
          <w:lang w:val="sl-SI"/>
        </w:rPr>
      </w:pPr>
    </w:p>
    <w:p w14:paraId="08DE09A4" w14:textId="77777777" w:rsidR="00E028C8" w:rsidRPr="00B87D07" w:rsidRDefault="00E028C8" w:rsidP="00697F07">
      <w:pPr>
        <w:pStyle w:val="podpisi"/>
        <w:spacing w:line="260" w:lineRule="exact"/>
        <w:rPr>
          <w:lang w:val="sl-SI"/>
        </w:rPr>
      </w:pPr>
    </w:p>
    <w:p w14:paraId="49248AA1" w14:textId="77777777" w:rsidR="00E028C8" w:rsidRPr="00B87D07" w:rsidRDefault="00E028C8" w:rsidP="00697F07">
      <w:pPr>
        <w:pStyle w:val="podpisi"/>
        <w:spacing w:line="260" w:lineRule="exact"/>
        <w:rPr>
          <w:lang w:val="sl-SI"/>
        </w:rPr>
      </w:pPr>
    </w:p>
    <w:p w14:paraId="19E72938" w14:textId="77777777" w:rsidR="00E028C8" w:rsidRPr="00B87D07" w:rsidRDefault="00E028C8" w:rsidP="00697F07">
      <w:pPr>
        <w:pStyle w:val="podpisi"/>
        <w:spacing w:line="260" w:lineRule="exact"/>
        <w:rPr>
          <w:lang w:val="sl-SI"/>
        </w:rPr>
      </w:pPr>
    </w:p>
    <w:p w14:paraId="5424FDF1" w14:textId="77777777" w:rsidR="00E028C8" w:rsidRPr="00B87D07" w:rsidRDefault="00E028C8" w:rsidP="00697F07">
      <w:pPr>
        <w:pStyle w:val="podpisi"/>
        <w:spacing w:line="260" w:lineRule="exact"/>
        <w:rPr>
          <w:lang w:val="sl-SI"/>
        </w:rPr>
      </w:pPr>
    </w:p>
    <w:p w14:paraId="2A2EF406" w14:textId="77777777" w:rsidR="00E028C8" w:rsidRPr="00B87D07" w:rsidRDefault="00E028C8" w:rsidP="00697F07">
      <w:pPr>
        <w:pStyle w:val="podpisi"/>
        <w:spacing w:line="260" w:lineRule="exact"/>
        <w:rPr>
          <w:lang w:val="sl-SI"/>
        </w:rPr>
      </w:pPr>
    </w:p>
    <w:p w14:paraId="66544C1D" w14:textId="77777777" w:rsidR="00E028C8" w:rsidRPr="00B87D07" w:rsidRDefault="00E028C8" w:rsidP="00697F07">
      <w:pPr>
        <w:pStyle w:val="podpisi"/>
        <w:spacing w:line="260" w:lineRule="exact"/>
        <w:rPr>
          <w:lang w:val="sl-SI"/>
        </w:rPr>
      </w:pPr>
    </w:p>
    <w:p w14:paraId="4AF8EEBE" w14:textId="77777777" w:rsidR="00E028C8" w:rsidRPr="00B87D07" w:rsidRDefault="00E028C8" w:rsidP="00697F07">
      <w:pPr>
        <w:pStyle w:val="podpisi"/>
        <w:spacing w:line="260" w:lineRule="exact"/>
        <w:rPr>
          <w:lang w:val="sl-SI"/>
        </w:rPr>
      </w:pPr>
    </w:p>
    <w:p w14:paraId="4AEBD2AD" w14:textId="77777777" w:rsidR="00E028C8" w:rsidRDefault="00E028C8" w:rsidP="00697F07">
      <w:pPr>
        <w:pStyle w:val="podpisi"/>
        <w:spacing w:line="260" w:lineRule="exact"/>
        <w:rPr>
          <w:lang w:val="sl-SI"/>
        </w:rPr>
      </w:pPr>
    </w:p>
    <w:p w14:paraId="53FE2704" w14:textId="77777777" w:rsidR="00327704" w:rsidRDefault="00327704" w:rsidP="00697F07">
      <w:pPr>
        <w:pStyle w:val="podpisi"/>
        <w:spacing w:line="260" w:lineRule="exact"/>
        <w:rPr>
          <w:lang w:val="sl-SI"/>
        </w:rPr>
      </w:pPr>
    </w:p>
    <w:p w14:paraId="582B9B12" w14:textId="77777777" w:rsidR="00327704" w:rsidRDefault="00327704" w:rsidP="00697F07">
      <w:pPr>
        <w:pStyle w:val="podpisi"/>
        <w:spacing w:line="260" w:lineRule="exact"/>
        <w:rPr>
          <w:lang w:val="sl-SI"/>
        </w:rPr>
      </w:pPr>
    </w:p>
    <w:p w14:paraId="1BE8DA7B" w14:textId="77777777" w:rsidR="00327704" w:rsidRDefault="00327704" w:rsidP="00697F07">
      <w:pPr>
        <w:pStyle w:val="podpisi"/>
        <w:spacing w:line="260" w:lineRule="exact"/>
        <w:rPr>
          <w:lang w:val="sl-SI"/>
        </w:rPr>
      </w:pPr>
    </w:p>
    <w:p w14:paraId="4F126B76" w14:textId="77777777" w:rsidR="00327704" w:rsidRDefault="00327704" w:rsidP="00697F07">
      <w:pPr>
        <w:pStyle w:val="podpisi"/>
        <w:spacing w:line="260" w:lineRule="exact"/>
        <w:rPr>
          <w:lang w:val="sl-SI"/>
        </w:rPr>
      </w:pPr>
    </w:p>
    <w:p w14:paraId="10B17259" w14:textId="77777777" w:rsidR="00327704" w:rsidRDefault="00327704" w:rsidP="00697F07">
      <w:pPr>
        <w:pStyle w:val="podpisi"/>
        <w:spacing w:line="260" w:lineRule="exact"/>
        <w:rPr>
          <w:lang w:val="sl-SI"/>
        </w:rPr>
      </w:pPr>
    </w:p>
    <w:p w14:paraId="027C8A11" w14:textId="77777777" w:rsidR="00327704" w:rsidRDefault="00327704" w:rsidP="00697F07">
      <w:pPr>
        <w:pStyle w:val="podpisi"/>
        <w:spacing w:line="260" w:lineRule="exact"/>
        <w:rPr>
          <w:lang w:val="sl-SI"/>
        </w:rPr>
      </w:pPr>
    </w:p>
    <w:p w14:paraId="7EC95775" w14:textId="77777777" w:rsidR="00327704" w:rsidRPr="00B87D07" w:rsidRDefault="00327704" w:rsidP="00697F07">
      <w:pPr>
        <w:pStyle w:val="podpisi"/>
        <w:spacing w:line="260" w:lineRule="exact"/>
        <w:rPr>
          <w:lang w:val="sl-SI"/>
        </w:rPr>
      </w:pPr>
    </w:p>
    <w:p w14:paraId="0D2D26EF" w14:textId="77777777" w:rsidR="00E028C8" w:rsidRPr="00B87D07" w:rsidRDefault="00E028C8" w:rsidP="00697F07">
      <w:pPr>
        <w:pStyle w:val="podpisi"/>
        <w:spacing w:line="260" w:lineRule="exact"/>
        <w:rPr>
          <w:lang w:val="sl-SI"/>
        </w:rPr>
      </w:pPr>
    </w:p>
    <w:p w14:paraId="183B59F2" w14:textId="77777777" w:rsidR="00E028C8" w:rsidRPr="00B87D07" w:rsidRDefault="00E028C8" w:rsidP="00697F07">
      <w:pPr>
        <w:pStyle w:val="podpisi"/>
        <w:spacing w:line="260" w:lineRule="exact"/>
        <w:rPr>
          <w:lang w:val="sl-SI"/>
        </w:rPr>
      </w:pPr>
    </w:p>
    <w:p w14:paraId="37F65874" w14:textId="77777777" w:rsidR="00887E1E" w:rsidRPr="00B87D07" w:rsidRDefault="00887E1E" w:rsidP="00697F07">
      <w:pPr>
        <w:pStyle w:val="podpisi"/>
        <w:spacing w:line="260" w:lineRule="exact"/>
        <w:jc w:val="center"/>
        <w:rPr>
          <w:lang w:val="sl-SI"/>
        </w:rPr>
      </w:pPr>
    </w:p>
    <w:p w14:paraId="00AC352F" w14:textId="77777777" w:rsidR="00CA699D" w:rsidRPr="00ED556D" w:rsidRDefault="00E91EFE" w:rsidP="00697F07">
      <w:pPr>
        <w:pStyle w:val="podpisi"/>
        <w:spacing w:line="260" w:lineRule="exact"/>
        <w:jc w:val="center"/>
        <w:rPr>
          <w:b/>
          <w:szCs w:val="20"/>
          <w:lang w:val="sl-SI"/>
        </w:rPr>
      </w:pPr>
      <w:r>
        <w:rPr>
          <w:b/>
          <w:szCs w:val="20"/>
          <w:lang w:val="sl-SI"/>
        </w:rPr>
        <w:t>junij</w:t>
      </w:r>
      <w:r w:rsidR="00023632">
        <w:rPr>
          <w:b/>
          <w:szCs w:val="20"/>
          <w:lang w:val="sl-SI"/>
        </w:rPr>
        <w:t xml:space="preserve"> 202</w:t>
      </w:r>
      <w:r w:rsidR="00582270">
        <w:rPr>
          <w:b/>
          <w:szCs w:val="20"/>
          <w:lang w:val="sl-SI"/>
        </w:rPr>
        <w:t>1</w:t>
      </w:r>
    </w:p>
    <w:p w14:paraId="6980F3C9" w14:textId="77777777" w:rsidR="0067419E" w:rsidRPr="00296E00" w:rsidRDefault="00CA699D" w:rsidP="00697F07">
      <w:pPr>
        <w:spacing w:line="260" w:lineRule="exact"/>
        <w:rPr>
          <w:rFonts w:cs="Arial"/>
          <w:b/>
          <w:szCs w:val="20"/>
        </w:rPr>
      </w:pPr>
      <w:r w:rsidRPr="00B87D07">
        <w:rPr>
          <w:sz w:val="28"/>
          <w:lang w:val="it-IT"/>
        </w:rPr>
        <w:br w:type="page"/>
      </w:r>
      <w:r w:rsidR="0067419E" w:rsidRPr="00296E00">
        <w:rPr>
          <w:rFonts w:cs="Arial"/>
          <w:b/>
          <w:szCs w:val="20"/>
        </w:rPr>
        <w:lastRenderedPageBreak/>
        <w:t>Kazalo</w:t>
      </w:r>
    </w:p>
    <w:p w14:paraId="13154A34" w14:textId="77777777" w:rsidR="004B2C70" w:rsidRPr="00296E00" w:rsidRDefault="004B2C70" w:rsidP="00697F07">
      <w:pPr>
        <w:spacing w:line="260" w:lineRule="exact"/>
        <w:rPr>
          <w:rFonts w:cs="Arial"/>
          <w:b/>
          <w:szCs w:val="20"/>
        </w:rPr>
      </w:pPr>
    </w:p>
    <w:p w14:paraId="06EF22F1" w14:textId="77777777" w:rsidR="00447597" w:rsidRPr="00447597" w:rsidRDefault="00D54A22">
      <w:pPr>
        <w:pStyle w:val="Kazalovsebine1"/>
        <w:tabs>
          <w:tab w:val="left" w:pos="400"/>
          <w:tab w:val="right" w:leader="dot" w:pos="9054"/>
        </w:tabs>
        <w:rPr>
          <w:rFonts w:eastAsiaTheme="minorEastAsia" w:cs="Arial"/>
          <w:b w:val="0"/>
          <w:bCs w:val="0"/>
          <w:iCs w:val="0"/>
          <w:noProof/>
          <w:szCs w:val="20"/>
          <w:lang w:eastAsia="sl-SI"/>
        </w:rPr>
      </w:pPr>
      <w:r w:rsidRPr="00447597">
        <w:rPr>
          <w:rFonts w:cs="Arial"/>
          <w:bCs w:val="0"/>
          <w:caps/>
          <w:szCs w:val="20"/>
        </w:rPr>
        <w:fldChar w:fldCharType="begin"/>
      </w:r>
      <w:r w:rsidRPr="00447597">
        <w:rPr>
          <w:rFonts w:cs="Arial"/>
          <w:bCs w:val="0"/>
          <w:caps/>
          <w:szCs w:val="20"/>
        </w:rPr>
        <w:instrText xml:space="preserve"> TOC \o "1-3" \h \z \u </w:instrText>
      </w:r>
      <w:r w:rsidRPr="00447597">
        <w:rPr>
          <w:rFonts w:cs="Arial"/>
          <w:bCs w:val="0"/>
          <w:caps/>
          <w:szCs w:val="20"/>
        </w:rPr>
        <w:fldChar w:fldCharType="separate"/>
      </w:r>
      <w:hyperlink w:anchor="_Toc75159991" w:history="1">
        <w:r w:rsidR="00447597" w:rsidRPr="00447597">
          <w:rPr>
            <w:rStyle w:val="Hiperpovezava"/>
            <w:rFonts w:cs="Arial"/>
            <w:noProof/>
            <w:szCs w:val="20"/>
          </w:rPr>
          <w:t>1</w:t>
        </w:r>
        <w:r w:rsidR="00447597" w:rsidRPr="00447597">
          <w:rPr>
            <w:rFonts w:eastAsiaTheme="minorEastAsia" w:cs="Arial"/>
            <w:b w:val="0"/>
            <w:bCs w:val="0"/>
            <w:iCs w:val="0"/>
            <w:noProof/>
            <w:szCs w:val="20"/>
            <w:lang w:eastAsia="sl-SI"/>
          </w:rPr>
          <w:tab/>
        </w:r>
        <w:r w:rsidR="00447597" w:rsidRPr="00447597">
          <w:rPr>
            <w:rStyle w:val="Hiperpovezava"/>
            <w:rFonts w:cs="Arial"/>
            <w:noProof/>
            <w:szCs w:val="20"/>
          </w:rPr>
          <w:t>SPLOŠNO</w:t>
        </w:r>
        <w:r w:rsidR="00447597" w:rsidRPr="00447597">
          <w:rPr>
            <w:rFonts w:cs="Arial"/>
            <w:noProof/>
            <w:webHidden/>
            <w:szCs w:val="20"/>
          </w:rPr>
          <w:tab/>
        </w:r>
        <w:r w:rsidR="00447597" w:rsidRPr="00447597">
          <w:rPr>
            <w:rFonts w:cs="Arial"/>
            <w:noProof/>
            <w:webHidden/>
            <w:szCs w:val="20"/>
          </w:rPr>
          <w:fldChar w:fldCharType="begin"/>
        </w:r>
        <w:r w:rsidR="00447597" w:rsidRPr="00447597">
          <w:rPr>
            <w:rFonts w:cs="Arial"/>
            <w:noProof/>
            <w:webHidden/>
            <w:szCs w:val="20"/>
          </w:rPr>
          <w:instrText xml:space="preserve"> PAGEREF _Toc75159991 \h </w:instrText>
        </w:r>
        <w:r w:rsidR="00447597" w:rsidRPr="00447597">
          <w:rPr>
            <w:rFonts w:cs="Arial"/>
            <w:noProof/>
            <w:webHidden/>
            <w:szCs w:val="20"/>
          </w:rPr>
        </w:r>
        <w:r w:rsidR="00447597" w:rsidRPr="00447597">
          <w:rPr>
            <w:rFonts w:cs="Arial"/>
            <w:noProof/>
            <w:webHidden/>
            <w:szCs w:val="20"/>
          </w:rPr>
          <w:fldChar w:fldCharType="separate"/>
        </w:r>
        <w:r w:rsidR="00447597" w:rsidRPr="00447597">
          <w:rPr>
            <w:rFonts w:cs="Arial"/>
            <w:noProof/>
            <w:webHidden/>
            <w:szCs w:val="20"/>
          </w:rPr>
          <w:t>4</w:t>
        </w:r>
        <w:r w:rsidR="00447597" w:rsidRPr="00447597">
          <w:rPr>
            <w:rFonts w:cs="Arial"/>
            <w:noProof/>
            <w:webHidden/>
            <w:szCs w:val="20"/>
          </w:rPr>
          <w:fldChar w:fldCharType="end"/>
        </w:r>
      </w:hyperlink>
    </w:p>
    <w:p w14:paraId="1F1C2F86" w14:textId="77777777" w:rsidR="00447597" w:rsidRPr="00447597" w:rsidRDefault="00451C90">
      <w:pPr>
        <w:pStyle w:val="Kazalovsebine2"/>
        <w:tabs>
          <w:tab w:val="left" w:pos="800"/>
          <w:tab w:val="right" w:leader="dot" w:pos="9054"/>
        </w:tabs>
        <w:rPr>
          <w:rFonts w:ascii="Arial" w:eastAsiaTheme="minorEastAsia" w:hAnsi="Arial" w:cs="Arial"/>
          <w:b w:val="0"/>
          <w:bCs w:val="0"/>
          <w:noProof/>
          <w:sz w:val="20"/>
          <w:szCs w:val="20"/>
          <w:lang w:eastAsia="sl-SI"/>
        </w:rPr>
      </w:pPr>
      <w:hyperlink w:anchor="_Toc75159992" w:history="1">
        <w:r w:rsidR="00447597" w:rsidRPr="00447597">
          <w:rPr>
            <w:rStyle w:val="Hiperpovezava"/>
            <w:rFonts w:ascii="Arial" w:hAnsi="Arial" w:cs="Arial"/>
            <w:noProof/>
            <w:sz w:val="20"/>
            <w:szCs w:val="20"/>
          </w:rPr>
          <w:t>1.1</w:t>
        </w:r>
        <w:r w:rsidR="00447597" w:rsidRPr="00447597">
          <w:rPr>
            <w:rFonts w:ascii="Arial" w:eastAsiaTheme="minorEastAsia" w:hAnsi="Arial" w:cs="Arial"/>
            <w:b w:val="0"/>
            <w:bCs w:val="0"/>
            <w:noProof/>
            <w:sz w:val="20"/>
            <w:szCs w:val="20"/>
            <w:lang w:eastAsia="sl-SI"/>
          </w:rPr>
          <w:tab/>
        </w:r>
        <w:r w:rsidR="00447597" w:rsidRPr="00447597">
          <w:rPr>
            <w:rStyle w:val="Hiperpovezava"/>
            <w:rFonts w:ascii="Arial" w:hAnsi="Arial" w:cs="Arial"/>
            <w:noProof/>
            <w:sz w:val="20"/>
            <w:szCs w:val="20"/>
          </w:rPr>
          <w:t>Kaj je poročanje o čezmejnih aranžmajih</w:t>
        </w:r>
        <w:r w:rsidR="00447597" w:rsidRPr="00447597">
          <w:rPr>
            <w:rFonts w:ascii="Arial" w:hAnsi="Arial" w:cs="Arial"/>
            <w:noProof/>
            <w:webHidden/>
            <w:sz w:val="20"/>
            <w:szCs w:val="20"/>
          </w:rPr>
          <w:tab/>
        </w:r>
        <w:r w:rsidR="00447597" w:rsidRPr="00447597">
          <w:rPr>
            <w:rFonts w:ascii="Arial" w:hAnsi="Arial" w:cs="Arial"/>
            <w:noProof/>
            <w:webHidden/>
            <w:sz w:val="20"/>
            <w:szCs w:val="20"/>
          </w:rPr>
          <w:fldChar w:fldCharType="begin"/>
        </w:r>
        <w:r w:rsidR="00447597" w:rsidRPr="00447597">
          <w:rPr>
            <w:rFonts w:ascii="Arial" w:hAnsi="Arial" w:cs="Arial"/>
            <w:noProof/>
            <w:webHidden/>
            <w:sz w:val="20"/>
            <w:szCs w:val="20"/>
          </w:rPr>
          <w:instrText xml:space="preserve"> PAGEREF _Toc75159992 \h </w:instrText>
        </w:r>
        <w:r w:rsidR="00447597" w:rsidRPr="00447597">
          <w:rPr>
            <w:rFonts w:ascii="Arial" w:hAnsi="Arial" w:cs="Arial"/>
            <w:noProof/>
            <w:webHidden/>
            <w:sz w:val="20"/>
            <w:szCs w:val="20"/>
          </w:rPr>
        </w:r>
        <w:r w:rsidR="00447597" w:rsidRPr="00447597">
          <w:rPr>
            <w:rFonts w:ascii="Arial" w:hAnsi="Arial" w:cs="Arial"/>
            <w:noProof/>
            <w:webHidden/>
            <w:sz w:val="20"/>
            <w:szCs w:val="20"/>
          </w:rPr>
          <w:fldChar w:fldCharType="separate"/>
        </w:r>
        <w:r w:rsidR="00447597" w:rsidRPr="00447597">
          <w:rPr>
            <w:rFonts w:ascii="Arial" w:hAnsi="Arial" w:cs="Arial"/>
            <w:noProof/>
            <w:webHidden/>
            <w:sz w:val="20"/>
            <w:szCs w:val="20"/>
          </w:rPr>
          <w:t>4</w:t>
        </w:r>
        <w:r w:rsidR="00447597" w:rsidRPr="00447597">
          <w:rPr>
            <w:rFonts w:ascii="Arial" w:hAnsi="Arial" w:cs="Arial"/>
            <w:noProof/>
            <w:webHidden/>
            <w:sz w:val="20"/>
            <w:szCs w:val="20"/>
          </w:rPr>
          <w:fldChar w:fldCharType="end"/>
        </w:r>
      </w:hyperlink>
    </w:p>
    <w:p w14:paraId="1757F575" w14:textId="77777777" w:rsidR="00447597" w:rsidRPr="00447597" w:rsidRDefault="00451C90">
      <w:pPr>
        <w:pStyle w:val="Kazalovsebine2"/>
        <w:tabs>
          <w:tab w:val="left" w:pos="800"/>
          <w:tab w:val="right" w:leader="dot" w:pos="9054"/>
        </w:tabs>
        <w:rPr>
          <w:rFonts w:ascii="Arial" w:eastAsiaTheme="minorEastAsia" w:hAnsi="Arial" w:cs="Arial"/>
          <w:b w:val="0"/>
          <w:bCs w:val="0"/>
          <w:noProof/>
          <w:sz w:val="20"/>
          <w:szCs w:val="20"/>
          <w:lang w:eastAsia="sl-SI"/>
        </w:rPr>
      </w:pPr>
      <w:hyperlink w:anchor="_Toc75159993" w:history="1">
        <w:r w:rsidR="00447597" w:rsidRPr="00447597">
          <w:rPr>
            <w:rStyle w:val="Hiperpovezava"/>
            <w:rFonts w:ascii="Arial" w:hAnsi="Arial" w:cs="Arial"/>
            <w:noProof/>
            <w:sz w:val="20"/>
            <w:szCs w:val="20"/>
          </w:rPr>
          <w:t>1.2</w:t>
        </w:r>
        <w:r w:rsidR="00447597" w:rsidRPr="00447597">
          <w:rPr>
            <w:rFonts w:ascii="Arial" w:eastAsiaTheme="minorEastAsia" w:hAnsi="Arial" w:cs="Arial"/>
            <w:b w:val="0"/>
            <w:bCs w:val="0"/>
            <w:noProof/>
            <w:sz w:val="20"/>
            <w:szCs w:val="20"/>
            <w:lang w:eastAsia="sl-SI"/>
          </w:rPr>
          <w:tab/>
        </w:r>
        <w:r w:rsidR="00447597" w:rsidRPr="00447597">
          <w:rPr>
            <w:rStyle w:val="Hiperpovezava"/>
            <w:rFonts w:ascii="Arial" w:hAnsi="Arial" w:cs="Arial"/>
            <w:noProof/>
            <w:sz w:val="20"/>
            <w:szCs w:val="20"/>
          </w:rPr>
          <w:t>Kdo poroča o čezmejnih aranžmajih</w:t>
        </w:r>
        <w:r w:rsidR="00447597" w:rsidRPr="00447597">
          <w:rPr>
            <w:rFonts w:ascii="Arial" w:hAnsi="Arial" w:cs="Arial"/>
            <w:noProof/>
            <w:webHidden/>
            <w:sz w:val="20"/>
            <w:szCs w:val="20"/>
          </w:rPr>
          <w:tab/>
        </w:r>
        <w:r w:rsidR="00447597" w:rsidRPr="00447597">
          <w:rPr>
            <w:rFonts w:ascii="Arial" w:hAnsi="Arial" w:cs="Arial"/>
            <w:noProof/>
            <w:webHidden/>
            <w:sz w:val="20"/>
            <w:szCs w:val="20"/>
          </w:rPr>
          <w:fldChar w:fldCharType="begin"/>
        </w:r>
        <w:r w:rsidR="00447597" w:rsidRPr="00447597">
          <w:rPr>
            <w:rFonts w:ascii="Arial" w:hAnsi="Arial" w:cs="Arial"/>
            <w:noProof/>
            <w:webHidden/>
            <w:sz w:val="20"/>
            <w:szCs w:val="20"/>
          </w:rPr>
          <w:instrText xml:space="preserve"> PAGEREF _Toc75159993 \h </w:instrText>
        </w:r>
        <w:r w:rsidR="00447597" w:rsidRPr="00447597">
          <w:rPr>
            <w:rFonts w:ascii="Arial" w:hAnsi="Arial" w:cs="Arial"/>
            <w:noProof/>
            <w:webHidden/>
            <w:sz w:val="20"/>
            <w:szCs w:val="20"/>
          </w:rPr>
        </w:r>
        <w:r w:rsidR="00447597" w:rsidRPr="00447597">
          <w:rPr>
            <w:rFonts w:ascii="Arial" w:hAnsi="Arial" w:cs="Arial"/>
            <w:noProof/>
            <w:webHidden/>
            <w:sz w:val="20"/>
            <w:szCs w:val="20"/>
          </w:rPr>
          <w:fldChar w:fldCharType="separate"/>
        </w:r>
        <w:r w:rsidR="00447597" w:rsidRPr="00447597">
          <w:rPr>
            <w:rFonts w:ascii="Arial" w:hAnsi="Arial" w:cs="Arial"/>
            <w:noProof/>
            <w:webHidden/>
            <w:sz w:val="20"/>
            <w:szCs w:val="20"/>
          </w:rPr>
          <w:t>4</w:t>
        </w:r>
        <w:r w:rsidR="00447597" w:rsidRPr="00447597">
          <w:rPr>
            <w:rFonts w:ascii="Arial" w:hAnsi="Arial" w:cs="Arial"/>
            <w:noProof/>
            <w:webHidden/>
            <w:sz w:val="20"/>
            <w:szCs w:val="20"/>
          </w:rPr>
          <w:fldChar w:fldCharType="end"/>
        </w:r>
      </w:hyperlink>
    </w:p>
    <w:p w14:paraId="247051D0" w14:textId="77777777" w:rsidR="00447597" w:rsidRPr="00447597" w:rsidRDefault="00451C90">
      <w:pPr>
        <w:pStyle w:val="Kazalovsebine2"/>
        <w:tabs>
          <w:tab w:val="left" w:pos="800"/>
          <w:tab w:val="right" w:leader="dot" w:pos="9054"/>
        </w:tabs>
        <w:rPr>
          <w:rFonts w:ascii="Arial" w:eastAsiaTheme="minorEastAsia" w:hAnsi="Arial" w:cs="Arial"/>
          <w:b w:val="0"/>
          <w:bCs w:val="0"/>
          <w:noProof/>
          <w:sz w:val="20"/>
          <w:szCs w:val="20"/>
          <w:lang w:eastAsia="sl-SI"/>
        </w:rPr>
      </w:pPr>
      <w:hyperlink w:anchor="_Toc75159994" w:history="1">
        <w:r w:rsidR="00447597" w:rsidRPr="00447597">
          <w:rPr>
            <w:rStyle w:val="Hiperpovezava"/>
            <w:rFonts w:ascii="Arial" w:hAnsi="Arial" w:cs="Arial"/>
            <w:noProof/>
            <w:sz w:val="20"/>
            <w:szCs w:val="20"/>
          </w:rPr>
          <w:t>1.3</w:t>
        </w:r>
        <w:r w:rsidR="00447597" w:rsidRPr="00447597">
          <w:rPr>
            <w:rFonts w:ascii="Arial" w:eastAsiaTheme="minorEastAsia" w:hAnsi="Arial" w:cs="Arial"/>
            <w:b w:val="0"/>
            <w:bCs w:val="0"/>
            <w:noProof/>
            <w:sz w:val="20"/>
            <w:szCs w:val="20"/>
            <w:lang w:eastAsia="sl-SI"/>
          </w:rPr>
          <w:tab/>
        </w:r>
        <w:r w:rsidR="00447597" w:rsidRPr="00447597">
          <w:rPr>
            <w:rStyle w:val="Hiperpovezava"/>
            <w:rFonts w:ascii="Arial" w:hAnsi="Arial" w:cs="Arial"/>
            <w:noProof/>
            <w:sz w:val="20"/>
            <w:szCs w:val="20"/>
          </w:rPr>
          <w:t>Katere davke zajema poročanje</w:t>
        </w:r>
        <w:r w:rsidR="00447597" w:rsidRPr="00447597">
          <w:rPr>
            <w:rFonts w:ascii="Arial" w:hAnsi="Arial" w:cs="Arial"/>
            <w:noProof/>
            <w:webHidden/>
            <w:sz w:val="20"/>
            <w:szCs w:val="20"/>
          </w:rPr>
          <w:tab/>
        </w:r>
        <w:r w:rsidR="00447597" w:rsidRPr="00447597">
          <w:rPr>
            <w:rFonts w:ascii="Arial" w:hAnsi="Arial" w:cs="Arial"/>
            <w:noProof/>
            <w:webHidden/>
            <w:sz w:val="20"/>
            <w:szCs w:val="20"/>
          </w:rPr>
          <w:fldChar w:fldCharType="begin"/>
        </w:r>
        <w:r w:rsidR="00447597" w:rsidRPr="00447597">
          <w:rPr>
            <w:rFonts w:ascii="Arial" w:hAnsi="Arial" w:cs="Arial"/>
            <w:noProof/>
            <w:webHidden/>
            <w:sz w:val="20"/>
            <w:szCs w:val="20"/>
          </w:rPr>
          <w:instrText xml:space="preserve"> PAGEREF _Toc75159994 \h </w:instrText>
        </w:r>
        <w:r w:rsidR="00447597" w:rsidRPr="00447597">
          <w:rPr>
            <w:rFonts w:ascii="Arial" w:hAnsi="Arial" w:cs="Arial"/>
            <w:noProof/>
            <w:webHidden/>
            <w:sz w:val="20"/>
            <w:szCs w:val="20"/>
          </w:rPr>
        </w:r>
        <w:r w:rsidR="00447597" w:rsidRPr="00447597">
          <w:rPr>
            <w:rFonts w:ascii="Arial" w:hAnsi="Arial" w:cs="Arial"/>
            <w:noProof/>
            <w:webHidden/>
            <w:sz w:val="20"/>
            <w:szCs w:val="20"/>
          </w:rPr>
          <w:fldChar w:fldCharType="separate"/>
        </w:r>
        <w:r w:rsidR="00447597" w:rsidRPr="00447597">
          <w:rPr>
            <w:rFonts w:ascii="Arial" w:hAnsi="Arial" w:cs="Arial"/>
            <w:noProof/>
            <w:webHidden/>
            <w:sz w:val="20"/>
            <w:szCs w:val="20"/>
          </w:rPr>
          <w:t>5</w:t>
        </w:r>
        <w:r w:rsidR="00447597" w:rsidRPr="00447597">
          <w:rPr>
            <w:rFonts w:ascii="Arial" w:hAnsi="Arial" w:cs="Arial"/>
            <w:noProof/>
            <w:webHidden/>
            <w:sz w:val="20"/>
            <w:szCs w:val="20"/>
          </w:rPr>
          <w:fldChar w:fldCharType="end"/>
        </w:r>
      </w:hyperlink>
    </w:p>
    <w:p w14:paraId="03FF56E8" w14:textId="77777777" w:rsidR="00447597" w:rsidRPr="00447597" w:rsidRDefault="00451C90">
      <w:pPr>
        <w:pStyle w:val="Kazalovsebine1"/>
        <w:tabs>
          <w:tab w:val="left" w:pos="400"/>
          <w:tab w:val="right" w:leader="dot" w:pos="9054"/>
        </w:tabs>
        <w:rPr>
          <w:rFonts w:eastAsiaTheme="minorEastAsia" w:cs="Arial"/>
          <w:b w:val="0"/>
          <w:bCs w:val="0"/>
          <w:iCs w:val="0"/>
          <w:noProof/>
          <w:szCs w:val="20"/>
          <w:lang w:eastAsia="sl-SI"/>
        </w:rPr>
      </w:pPr>
      <w:hyperlink w:anchor="_Toc75159995" w:history="1">
        <w:r w:rsidR="00447597" w:rsidRPr="00447597">
          <w:rPr>
            <w:rStyle w:val="Hiperpovezava"/>
            <w:rFonts w:cs="Arial"/>
            <w:noProof/>
            <w:szCs w:val="20"/>
          </w:rPr>
          <w:t>2</w:t>
        </w:r>
        <w:r w:rsidR="00447597" w:rsidRPr="00447597">
          <w:rPr>
            <w:rFonts w:eastAsiaTheme="minorEastAsia" w:cs="Arial"/>
            <w:b w:val="0"/>
            <w:bCs w:val="0"/>
            <w:iCs w:val="0"/>
            <w:noProof/>
            <w:szCs w:val="20"/>
            <w:lang w:eastAsia="sl-SI"/>
          </w:rPr>
          <w:tab/>
        </w:r>
        <w:r w:rsidR="00447597" w:rsidRPr="00447597">
          <w:rPr>
            <w:rStyle w:val="Hiperpovezava"/>
            <w:rFonts w:cs="Arial"/>
            <w:noProof/>
            <w:szCs w:val="20"/>
          </w:rPr>
          <w:t>ČEZMEJNI ARANŽMA</w:t>
        </w:r>
        <w:r w:rsidR="00447597" w:rsidRPr="00447597">
          <w:rPr>
            <w:rFonts w:cs="Arial"/>
            <w:noProof/>
            <w:webHidden/>
            <w:szCs w:val="20"/>
          </w:rPr>
          <w:tab/>
        </w:r>
        <w:r w:rsidR="00447597" w:rsidRPr="00447597">
          <w:rPr>
            <w:rFonts w:cs="Arial"/>
            <w:noProof/>
            <w:webHidden/>
            <w:szCs w:val="20"/>
          </w:rPr>
          <w:fldChar w:fldCharType="begin"/>
        </w:r>
        <w:r w:rsidR="00447597" w:rsidRPr="00447597">
          <w:rPr>
            <w:rFonts w:cs="Arial"/>
            <w:noProof/>
            <w:webHidden/>
            <w:szCs w:val="20"/>
          </w:rPr>
          <w:instrText xml:space="preserve"> PAGEREF _Toc75159995 \h </w:instrText>
        </w:r>
        <w:r w:rsidR="00447597" w:rsidRPr="00447597">
          <w:rPr>
            <w:rFonts w:cs="Arial"/>
            <w:noProof/>
            <w:webHidden/>
            <w:szCs w:val="20"/>
          </w:rPr>
        </w:r>
        <w:r w:rsidR="00447597" w:rsidRPr="00447597">
          <w:rPr>
            <w:rFonts w:cs="Arial"/>
            <w:noProof/>
            <w:webHidden/>
            <w:szCs w:val="20"/>
          </w:rPr>
          <w:fldChar w:fldCharType="separate"/>
        </w:r>
        <w:r w:rsidR="00447597" w:rsidRPr="00447597">
          <w:rPr>
            <w:rFonts w:cs="Arial"/>
            <w:noProof/>
            <w:webHidden/>
            <w:szCs w:val="20"/>
          </w:rPr>
          <w:t>6</w:t>
        </w:r>
        <w:r w:rsidR="00447597" w:rsidRPr="00447597">
          <w:rPr>
            <w:rFonts w:cs="Arial"/>
            <w:noProof/>
            <w:webHidden/>
            <w:szCs w:val="20"/>
          </w:rPr>
          <w:fldChar w:fldCharType="end"/>
        </w:r>
      </w:hyperlink>
    </w:p>
    <w:p w14:paraId="75B5BA8D" w14:textId="77777777" w:rsidR="00447597" w:rsidRPr="00447597" w:rsidRDefault="00451C90">
      <w:pPr>
        <w:pStyle w:val="Kazalovsebine2"/>
        <w:tabs>
          <w:tab w:val="left" w:pos="800"/>
          <w:tab w:val="right" w:leader="dot" w:pos="9054"/>
        </w:tabs>
        <w:rPr>
          <w:rFonts w:ascii="Arial" w:eastAsiaTheme="minorEastAsia" w:hAnsi="Arial" w:cs="Arial"/>
          <w:b w:val="0"/>
          <w:bCs w:val="0"/>
          <w:noProof/>
          <w:sz w:val="20"/>
          <w:szCs w:val="20"/>
          <w:lang w:eastAsia="sl-SI"/>
        </w:rPr>
      </w:pPr>
      <w:hyperlink w:anchor="_Toc75159996" w:history="1">
        <w:r w:rsidR="00447597" w:rsidRPr="00447597">
          <w:rPr>
            <w:rStyle w:val="Hiperpovezava"/>
            <w:rFonts w:ascii="Arial" w:hAnsi="Arial" w:cs="Arial"/>
            <w:noProof/>
            <w:sz w:val="20"/>
            <w:szCs w:val="20"/>
          </w:rPr>
          <w:t>2.1</w:t>
        </w:r>
        <w:r w:rsidR="00447597" w:rsidRPr="00447597">
          <w:rPr>
            <w:rFonts w:ascii="Arial" w:eastAsiaTheme="minorEastAsia" w:hAnsi="Arial" w:cs="Arial"/>
            <w:b w:val="0"/>
            <w:bCs w:val="0"/>
            <w:noProof/>
            <w:sz w:val="20"/>
            <w:szCs w:val="20"/>
            <w:lang w:eastAsia="sl-SI"/>
          </w:rPr>
          <w:tab/>
        </w:r>
        <w:r w:rsidR="00447597" w:rsidRPr="00447597">
          <w:rPr>
            <w:rStyle w:val="Hiperpovezava"/>
            <w:rFonts w:ascii="Arial" w:hAnsi="Arial" w:cs="Arial"/>
            <w:noProof/>
            <w:sz w:val="20"/>
            <w:szCs w:val="20"/>
          </w:rPr>
          <w:t>Kaj je čezmejni aranžma</w:t>
        </w:r>
        <w:r w:rsidR="00447597" w:rsidRPr="00447597">
          <w:rPr>
            <w:rFonts w:ascii="Arial" w:hAnsi="Arial" w:cs="Arial"/>
            <w:noProof/>
            <w:webHidden/>
            <w:sz w:val="20"/>
            <w:szCs w:val="20"/>
          </w:rPr>
          <w:tab/>
        </w:r>
        <w:r w:rsidR="00447597" w:rsidRPr="00447597">
          <w:rPr>
            <w:rFonts w:ascii="Arial" w:hAnsi="Arial" w:cs="Arial"/>
            <w:noProof/>
            <w:webHidden/>
            <w:sz w:val="20"/>
            <w:szCs w:val="20"/>
          </w:rPr>
          <w:fldChar w:fldCharType="begin"/>
        </w:r>
        <w:r w:rsidR="00447597" w:rsidRPr="00447597">
          <w:rPr>
            <w:rFonts w:ascii="Arial" w:hAnsi="Arial" w:cs="Arial"/>
            <w:noProof/>
            <w:webHidden/>
            <w:sz w:val="20"/>
            <w:szCs w:val="20"/>
          </w:rPr>
          <w:instrText xml:space="preserve"> PAGEREF _Toc75159996 \h </w:instrText>
        </w:r>
        <w:r w:rsidR="00447597" w:rsidRPr="00447597">
          <w:rPr>
            <w:rFonts w:ascii="Arial" w:hAnsi="Arial" w:cs="Arial"/>
            <w:noProof/>
            <w:webHidden/>
            <w:sz w:val="20"/>
            <w:szCs w:val="20"/>
          </w:rPr>
        </w:r>
        <w:r w:rsidR="00447597" w:rsidRPr="00447597">
          <w:rPr>
            <w:rFonts w:ascii="Arial" w:hAnsi="Arial" w:cs="Arial"/>
            <w:noProof/>
            <w:webHidden/>
            <w:sz w:val="20"/>
            <w:szCs w:val="20"/>
          </w:rPr>
          <w:fldChar w:fldCharType="separate"/>
        </w:r>
        <w:r w:rsidR="00447597" w:rsidRPr="00447597">
          <w:rPr>
            <w:rFonts w:ascii="Arial" w:hAnsi="Arial" w:cs="Arial"/>
            <w:noProof/>
            <w:webHidden/>
            <w:sz w:val="20"/>
            <w:szCs w:val="20"/>
          </w:rPr>
          <w:t>6</w:t>
        </w:r>
        <w:r w:rsidR="00447597" w:rsidRPr="00447597">
          <w:rPr>
            <w:rFonts w:ascii="Arial" w:hAnsi="Arial" w:cs="Arial"/>
            <w:noProof/>
            <w:webHidden/>
            <w:sz w:val="20"/>
            <w:szCs w:val="20"/>
          </w:rPr>
          <w:fldChar w:fldCharType="end"/>
        </w:r>
      </w:hyperlink>
    </w:p>
    <w:p w14:paraId="57C29CDF" w14:textId="77777777" w:rsidR="00447597" w:rsidRPr="00447597" w:rsidRDefault="00451C90">
      <w:pPr>
        <w:pStyle w:val="Kazalovsebine2"/>
        <w:tabs>
          <w:tab w:val="left" w:pos="800"/>
          <w:tab w:val="right" w:leader="dot" w:pos="9054"/>
        </w:tabs>
        <w:rPr>
          <w:rFonts w:ascii="Arial" w:eastAsiaTheme="minorEastAsia" w:hAnsi="Arial" w:cs="Arial"/>
          <w:b w:val="0"/>
          <w:bCs w:val="0"/>
          <w:noProof/>
          <w:sz w:val="20"/>
          <w:szCs w:val="20"/>
          <w:lang w:eastAsia="sl-SI"/>
        </w:rPr>
      </w:pPr>
      <w:hyperlink w:anchor="_Toc75159997" w:history="1">
        <w:r w:rsidR="00447597" w:rsidRPr="00447597">
          <w:rPr>
            <w:rStyle w:val="Hiperpovezava"/>
            <w:rFonts w:ascii="Arial" w:hAnsi="Arial" w:cs="Arial"/>
            <w:noProof/>
            <w:sz w:val="20"/>
            <w:szCs w:val="20"/>
          </w:rPr>
          <w:t>2.2</w:t>
        </w:r>
        <w:r w:rsidR="00447597" w:rsidRPr="00447597">
          <w:rPr>
            <w:rFonts w:ascii="Arial" w:eastAsiaTheme="minorEastAsia" w:hAnsi="Arial" w:cs="Arial"/>
            <w:b w:val="0"/>
            <w:bCs w:val="0"/>
            <w:noProof/>
            <w:sz w:val="20"/>
            <w:szCs w:val="20"/>
            <w:lang w:eastAsia="sl-SI"/>
          </w:rPr>
          <w:tab/>
        </w:r>
        <w:r w:rsidR="00447597" w:rsidRPr="00447597">
          <w:rPr>
            <w:rStyle w:val="Hiperpovezava"/>
            <w:rFonts w:ascii="Arial" w:hAnsi="Arial" w:cs="Arial"/>
            <w:noProof/>
            <w:sz w:val="20"/>
            <w:szCs w:val="20"/>
          </w:rPr>
          <w:t>Kaj je čezmejni aranžma, o katerem se poroča</w:t>
        </w:r>
        <w:r w:rsidR="00447597" w:rsidRPr="00447597">
          <w:rPr>
            <w:rFonts w:ascii="Arial" w:hAnsi="Arial" w:cs="Arial"/>
            <w:noProof/>
            <w:webHidden/>
            <w:sz w:val="20"/>
            <w:szCs w:val="20"/>
          </w:rPr>
          <w:tab/>
        </w:r>
        <w:r w:rsidR="00447597" w:rsidRPr="00447597">
          <w:rPr>
            <w:rFonts w:ascii="Arial" w:hAnsi="Arial" w:cs="Arial"/>
            <w:noProof/>
            <w:webHidden/>
            <w:sz w:val="20"/>
            <w:szCs w:val="20"/>
          </w:rPr>
          <w:fldChar w:fldCharType="begin"/>
        </w:r>
        <w:r w:rsidR="00447597" w:rsidRPr="00447597">
          <w:rPr>
            <w:rFonts w:ascii="Arial" w:hAnsi="Arial" w:cs="Arial"/>
            <w:noProof/>
            <w:webHidden/>
            <w:sz w:val="20"/>
            <w:szCs w:val="20"/>
          </w:rPr>
          <w:instrText xml:space="preserve"> PAGEREF _Toc75159997 \h </w:instrText>
        </w:r>
        <w:r w:rsidR="00447597" w:rsidRPr="00447597">
          <w:rPr>
            <w:rFonts w:ascii="Arial" w:hAnsi="Arial" w:cs="Arial"/>
            <w:noProof/>
            <w:webHidden/>
            <w:sz w:val="20"/>
            <w:szCs w:val="20"/>
          </w:rPr>
        </w:r>
        <w:r w:rsidR="00447597" w:rsidRPr="00447597">
          <w:rPr>
            <w:rFonts w:ascii="Arial" w:hAnsi="Arial" w:cs="Arial"/>
            <w:noProof/>
            <w:webHidden/>
            <w:sz w:val="20"/>
            <w:szCs w:val="20"/>
          </w:rPr>
          <w:fldChar w:fldCharType="separate"/>
        </w:r>
        <w:r w:rsidR="00447597" w:rsidRPr="00447597">
          <w:rPr>
            <w:rFonts w:ascii="Arial" w:hAnsi="Arial" w:cs="Arial"/>
            <w:noProof/>
            <w:webHidden/>
            <w:sz w:val="20"/>
            <w:szCs w:val="20"/>
          </w:rPr>
          <w:t>7</w:t>
        </w:r>
        <w:r w:rsidR="00447597" w:rsidRPr="00447597">
          <w:rPr>
            <w:rFonts w:ascii="Arial" w:hAnsi="Arial" w:cs="Arial"/>
            <w:noProof/>
            <w:webHidden/>
            <w:sz w:val="20"/>
            <w:szCs w:val="20"/>
          </w:rPr>
          <w:fldChar w:fldCharType="end"/>
        </w:r>
      </w:hyperlink>
    </w:p>
    <w:p w14:paraId="6008F558" w14:textId="77777777" w:rsidR="00447597" w:rsidRPr="00447597" w:rsidRDefault="00451C90">
      <w:pPr>
        <w:pStyle w:val="Kazalovsebine2"/>
        <w:tabs>
          <w:tab w:val="left" w:pos="800"/>
          <w:tab w:val="right" w:leader="dot" w:pos="9054"/>
        </w:tabs>
        <w:rPr>
          <w:rFonts w:ascii="Arial" w:eastAsiaTheme="minorEastAsia" w:hAnsi="Arial" w:cs="Arial"/>
          <w:b w:val="0"/>
          <w:bCs w:val="0"/>
          <w:noProof/>
          <w:sz w:val="20"/>
          <w:szCs w:val="20"/>
          <w:lang w:eastAsia="sl-SI"/>
        </w:rPr>
      </w:pPr>
      <w:hyperlink w:anchor="_Toc75159998" w:history="1">
        <w:r w:rsidR="00447597" w:rsidRPr="00447597">
          <w:rPr>
            <w:rStyle w:val="Hiperpovezava"/>
            <w:rFonts w:ascii="Arial" w:hAnsi="Arial" w:cs="Arial"/>
            <w:noProof/>
            <w:sz w:val="20"/>
            <w:szCs w:val="20"/>
          </w:rPr>
          <w:t>2.3</w:t>
        </w:r>
        <w:r w:rsidR="00447597" w:rsidRPr="00447597">
          <w:rPr>
            <w:rFonts w:ascii="Arial" w:eastAsiaTheme="minorEastAsia" w:hAnsi="Arial" w:cs="Arial"/>
            <w:b w:val="0"/>
            <w:bCs w:val="0"/>
            <w:noProof/>
            <w:sz w:val="20"/>
            <w:szCs w:val="20"/>
            <w:lang w:eastAsia="sl-SI"/>
          </w:rPr>
          <w:tab/>
        </w:r>
        <w:r w:rsidR="00447597" w:rsidRPr="00447597">
          <w:rPr>
            <w:rStyle w:val="Hiperpovezava"/>
            <w:rFonts w:ascii="Arial" w:hAnsi="Arial" w:cs="Arial"/>
            <w:noProof/>
            <w:sz w:val="20"/>
            <w:szCs w:val="20"/>
          </w:rPr>
          <w:t>Kaj je tržni aranžma in kaj je prilagojeni aranžma</w:t>
        </w:r>
        <w:r w:rsidR="00447597" w:rsidRPr="00447597">
          <w:rPr>
            <w:rFonts w:ascii="Arial" w:hAnsi="Arial" w:cs="Arial"/>
            <w:noProof/>
            <w:webHidden/>
            <w:sz w:val="20"/>
            <w:szCs w:val="20"/>
          </w:rPr>
          <w:tab/>
        </w:r>
        <w:r w:rsidR="00447597" w:rsidRPr="00447597">
          <w:rPr>
            <w:rFonts w:ascii="Arial" w:hAnsi="Arial" w:cs="Arial"/>
            <w:noProof/>
            <w:webHidden/>
            <w:sz w:val="20"/>
            <w:szCs w:val="20"/>
          </w:rPr>
          <w:fldChar w:fldCharType="begin"/>
        </w:r>
        <w:r w:rsidR="00447597" w:rsidRPr="00447597">
          <w:rPr>
            <w:rFonts w:ascii="Arial" w:hAnsi="Arial" w:cs="Arial"/>
            <w:noProof/>
            <w:webHidden/>
            <w:sz w:val="20"/>
            <w:szCs w:val="20"/>
          </w:rPr>
          <w:instrText xml:space="preserve"> PAGEREF _Toc75159998 \h </w:instrText>
        </w:r>
        <w:r w:rsidR="00447597" w:rsidRPr="00447597">
          <w:rPr>
            <w:rFonts w:ascii="Arial" w:hAnsi="Arial" w:cs="Arial"/>
            <w:noProof/>
            <w:webHidden/>
            <w:sz w:val="20"/>
            <w:szCs w:val="20"/>
          </w:rPr>
        </w:r>
        <w:r w:rsidR="00447597" w:rsidRPr="00447597">
          <w:rPr>
            <w:rFonts w:ascii="Arial" w:hAnsi="Arial" w:cs="Arial"/>
            <w:noProof/>
            <w:webHidden/>
            <w:sz w:val="20"/>
            <w:szCs w:val="20"/>
          </w:rPr>
          <w:fldChar w:fldCharType="separate"/>
        </w:r>
        <w:r w:rsidR="00447597" w:rsidRPr="00447597">
          <w:rPr>
            <w:rFonts w:ascii="Arial" w:hAnsi="Arial" w:cs="Arial"/>
            <w:noProof/>
            <w:webHidden/>
            <w:sz w:val="20"/>
            <w:szCs w:val="20"/>
          </w:rPr>
          <w:t>7</w:t>
        </w:r>
        <w:r w:rsidR="00447597" w:rsidRPr="00447597">
          <w:rPr>
            <w:rFonts w:ascii="Arial" w:hAnsi="Arial" w:cs="Arial"/>
            <w:noProof/>
            <w:webHidden/>
            <w:sz w:val="20"/>
            <w:szCs w:val="20"/>
          </w:rPr>
          <w:fldChar w:fldCharType="end"/>
        </w:r>
      </w:hyperlink>
    </w:p>
    <w:p w14:paraId="52B9251B" w14:textId="77777777" w:rsidR="00447597" w:rsidRPr="00447597" w:rsidRDefault="00451C90">
      <w:pPr>
        <w:pStyle w:val="Kazalovsebine2"/>
        <w:tabs>
          <w:tab w:val="left" w:pos="800"/>
          <w:tab w:val="right" w:leader="dot" w:pos="9054"/>
        </w:tabs>
        <w:rPr>
          <w:rFonts w:ascii="Arial" w:eastAsiaTheme="minorEastAsia" w:hAnsi="Arial" w:cs="Arial"/>
          <w:b w:val="0"/>
          <w:bCs w:val="0"/>
          <w:noProof/>
          <w:sz w:val="20"/>
          <w:szCs w:val="20"/>
          <w:lang w:eastAsia="sl-SI"/>
        </w:rPr>
      </w:pPr>
      <w:hyperlink w:anchor="_Toc75159999" w:history="1">
        <w:r w:rsidR="00447597" w:rsidRPr="00447597">
          <w:rPr>
            <w:rStyle w:val="Hiperpovezava"/>
            <w:rFonts w:ascii="Arial" w:hAnsi="Arial" w:cs="Arial"/>
            <w:noProof/>
            <w:sz w:val="20"/>
            <w:szCs w:val="20"/>
          </w:rPr>
          <w:t>2.4</w:t>
        </w:r>
        <w:r w:rsidR="00447597" w:rsidRPr="00447597">
          <w:rPr>
            <w:rFonts w:ascii="Arial" w:eastAsiaTheme="minorEastAsia" w:hAnsi="Arial" w:cs="Arial"/>
            <w:b w:val="0"/>
            <w:bCs w:val="0"/>
            <w:noProof/>
            <w:sz w:val="20"/>
            <w:szCs w:val="20"/>
            <w:lang w:eastAsia="sl-SI"/>
          </w:rPr>
          <w:tab/>
        </w:r>
        <w:r w:rsidR="00447597" w:rsidRPr="00447597">
          <w:rPr>
            <w:rStyle w:val="Hiperpovezava"/>
            <w:rFonts w:ascii="Arial" w:hAnsi="Arial" w:cs="Arial"/>
            <w:noProof/>
            <w:sz w:val="20"/>
            <w:szCs w:val="20"/>
          </w:rPr>
          <w:t>Primeri: čezmejni aranžma, o katerem se poroča</w:t>
        </w:r>
        <w:r w:rsidR="00447597" w:rsidRPr="00447597">
          <w:rPr>
            <w:rFonts w:ascii="Arial" w:hAnsi="Arial" w:cs="Arial"/>
            <w:noProof/>
            <w:webHidden/>
            <w:sz w:val="20"/>
            <w:szCs w:val="20"/>
          </w:rPr>
          <w:tab/>
        </w:r>
        <w:r w:rsidR="00447597" w:rsidRPr="00447597">
          <w:rPr>
            <w:rFonts w:ascii="Arial" w:hAnsi="Arial" w:cs="Arial"/>
            <w:noProof/>
            <w:webHidden/>
            <w:sz w:val="20"/>
            <w:szCs w:val="20"/>
          </w:rPr>
          <w:fldChar w:fldCharType="begin"/>
        </w:r>
        <w:r w:rsidR="00447597" w:rsidRPr="00447597">
          <w:rPr>
            <w:rFonts w:ascii="Arial" w:hAnsi="Arial" w:cs="Arial"/>
            <w:noProof/>
            <w:webHidden/>
            <w:sz w:val="20"/>
            <w:szCs w:val="20"/>
          </w:rPr>
          <w:instrText xml:space="preserve"> PAGEREF _Toc75159999 \h </w:instrText>
        </w:r>
        <w:r w:rsidR="00447597" w:rsidRPr="00447597">
          <w:rPr>
            <w:rFonts w:ascii="Arial" w:hAnsi="Arial" w:cs="Arial"/>
            <w:noProof/>
            <w:webHidden/>
            <w:sz w:val="20"/>
            <w:szCs w:val="20"/>
          </w:rPr>
        </w:r>
        <w:r w:rsidR="00447597" w:rsidRPr="00447597">
          <w:rPr>
            <w:rFonts w:ascii="Arial" w:hAnsi="Arial" w:cs="Arial"/>
            <w:noProof/>
            <w:webHidden/>
            <w:sz w:val="20"/>
            <w:szCs w:val="20"/>
          </w:rPr>
          <w:fldChar w:fldCharType="separate"/>
        </w:r>
        <w:r w:rsidR="00447597" w:rsidRPr="00447597">
          <w:rPr>
            <w:rFonts w:ascii="Arial" w:hAnsi="Arial" w:cs="Arial"/>
            <w:noProof/>
            <w:webHidden/>
            <w:sz w:val="20"/>
            <w:szCs w:val="20"/>
          </w:rPr>
          <w:t>8</w:t>
        </w:r>
        <w:r w:rsidR="00447597" w:rsidRPr="00447597">
          <w:rPr>
            <w:rFonts w:ascii="Arial" w:hAnsi="Arial" w:cs="Arial"/>
            <w:noProof/>
            <w:webHidden/>
            <w:sz w:val="20"/>
            <w:szCs w:val="20"/>
          </w:rPr>
          <w:fldChar w:fldCharType="end"/>
        </w:r>
      </w:hyperlink>
    </w:p>
    <w:p w14:paraId="23D16B7B" w14:textId="77777777" w:rsidR="00447597" w:rsidRPr="00447597" w:rsidRDefault="00451C90">
      <w:pPr>
        <w:pStyle w:val="Kazalovsebine1"/>
        <w:tabs>
          <w:tab w:val="left" w:pos="400"/>
          <w:tab w:val="right" w:leader="dot" w:pos="9054"/>
        </w:tabs>
        <w:rPr>
          <w:rFonts w:eastAsiaTheme="minorEastAsia" w:cs="Arial"/>
          <w:b w:val="0"/>
          <w:bCs w:val="0"/>
          <w:iCs w:val="0"/>
          <w:noProof/>
          <w:szCs w:val="20"/>
          <w:lang w:eastAsia="sl-SI"/>
        </w:rPr>
      </w:pPr>
      <w:hyperlink w:anchor="_Toc75160000" w:history="1">
        <w:r w:rsidR="00447597" w:rsidRPr="00447597">
          <w:rPr>
            <w:rStyle w:val="Hiperpovezava"/>
            <w:rFonts w:cs="Arial"/>
            <w:noProof/>
            <w:szCs w:val="20"/>
          </w:rPr>
          <w:t>3</w:t>
        </w:r>
        <w:r w:rsidR="00447597" w:rsidRPr="00447597">
          <w:rPr>
            <w:rFonts w:eastAsiaTheme="minorEastAsia" w:cs="Arial"/>
            <w:b w:val="0"/>
            <w:bCs w:val="0"/>
            <w:iCs w:val="0"/>
            <w:noProof/>
            <w:szCs w:val="20"/>
            <w:lang w:eastAsia="sl-SI"/>
          </w:rPr>
          <w:tab/>
        </w:r>
        <w:r w:rsidR="00447597" w:rsidRPr="00447597">
          <w:rPr>
            <w:rStyle w:val="Hiperpovezava"/>
            <w:rFonts w:cs="Arial"/>
            <w:noProof/>
            <w:szCs w:val="20"/>
          </w:rPr>
          <w:t>POROČANJE DAVČNEMU ORGANU</w:t>
        </w:r>
        <w:r w:rsidR="00447597" w:rsidRPr="00447597">
          <w:rPr>
            <w:rFonts w:cs="Arial"/>
            <w:noProof/>
            <w:webHidden/>
            <w:szCs w:val="20"/>
          </w:rPr>
          <w:tab/>
        </w:r>
        <w:r w:rsidR="00447597" w:rsidRPr="00447597">
          <w:rPr>
            <w:rFonts w:cs="Arial"/>
            <w:noProof/>
            <w:webHidden/>
            <w:szCs w:val="20"/>
          </w:rPr>
          <w:fldChar w:fldCharType="begin"/>
        </w:r>
        <w:r w:rsidR="00447597" w:rsidRPr="00447597">
          <w:rPr>
            <w:rFonts w:cs="Arial"/>
            <w:noProof/>
            <w:webHidden/>
            <w:szCs w:val="20"/>
          </w:rPr>
          <w:instrText xml:space="preserve"> PAGEREF _Toc75160000 \h </w:instrText>
        </w:r>
        <w:r w:rsidR="00447597" w:rsidRPr="00447597">
          <w:rPr>
            <w:rFonts w:cs="Arial"/>
            <w:noProof/>
            <w:webHidden/>
            <w:szCs w:val="20"/>
          </w:rPr>
        </w:r>
        <w:r w:rsidR="00447597" w:rsidRPr="00447597">
          <w:rPr>
            <w:rFonts w:cs="Arial"/>
            <w:noProof/>
            <w:webHidden/>
            <w:szCs w:val="20"/>
          </w:rPr>
          <w:fldChar w:fldCharType="separate"/>
        </w:r>
        <w:r w:rsidR="00447597" w:rsidRPr="00447597">
          <w:rPr>
            <w:rFonts w:cs="Arial"/>
            <w:noProof/>
            <w:webHidden/>
            <w:szCs w:val="20"/>
          </w:rPr>
          <w:t>9</w:t>
        </w:r>
        <w:r w:rsidR="00447597" w:rsidRPr="00447597">
          <w:rPr>
            <w:rFonts w:cs="Arial"/>
            <w:noProof/>
            <w:webHidden/>
            <w:szCs w:val="20"/>
          </w:rPr>
          <w:fldChar w:fldCharType="end"/>
        </w:r>
      </w:hyperlink>
    </w:p>
    <w:p w14:paraId="34150C06" w14:textId="77777777" w:rsidR="00447597" w:rsidRPr="00447597" w:rsidRDefault="00451C90">
      <w:pPr>
        <w:pStyle w:val="Kazalovsebine2"/>
        <w:tabs>
          <w:tab w:val="left" w:pos="800"/>
          <w:tab w:val="right" w:leader="dot" w:pos="9054"/>
        </w:tabs>
        <w:rPr>
          <w:rFonts w:ascii="Arial" w:eastAsiaTheme="minorEastAsia" w:hAnsi="Arial" w:cs="Arial"/>
          <w:b w:val="0"/>
          <w:bCs w:val="0"/>
          <w:noProof/>
          <w:sz w:val="20"/>
          <w:szCs w:val="20"/>
          <w:lang w:eastAsia="sl-SI"/>
        </w:rPr>
      </w:pPr>
      <w:hyperlink w:anchor="_Toc75160001" w:history="1">
        <w:r w:rsidR="00447597" w:rsidRPr="00447597">
          <w:rPr>
            <w:rStyle w:val="Hiperpovezava"/>
            <w:rFonts w:ascii="Arial" w:hAnsi="Arial" w:cs="Arial"/>
            <w:noProof/>
            <w:sz w:val="20"/>
            <w:szCs w:val="20"/>
          </w:rPr>
          <w:t>3.1</w:t>
        </w:r>
        <w:r w:rsidR="00447597" w:rsidRPr="00447597">
          <w:rPr>
            <w:rFonts w:ascii="Arial" w:eastAsiaTheme="minorEastAsia" w:hAnsi="Arial" w:cs="Arial"/>
            <w:b w:val="0"/>
            <w:bCs w:val="0"/>
            <w:noProof/>
            <w:sz w:val="20"/>
            <w:szCs w:val="20"/>
            <w:lang w:eastAsia="sl-SI"/>
          </w:rPr>
          <w:tab/>
        </w:r>
        <w:r w:rsidR="00447597" w:rsidRPr="00447597">
          <w:rPr>
            <w:rStyle w:val="Hiperpovezava"/>
            <w:rFonts w:ascii="Arial" w:hAnsi="Arial" w:cs="Arial"/>
            <w:noProof/>
            <w:sz w:val="20"/>
            <w:szCs w:val="20"/>
          </w:rPr>
          <w:t>Obveznost poročanja - posredniki</w:t>
        </w:r>
        <w:r w:rsidR="00447597" w:rsidRPr="00447597">
          <w:rPr>
            <w:rFonts w:ascii="Arial" w:hAnsi="Arial" w:cs="Arial"/>
            <w:noProof/>
            <w:webHidden/>
            <w:sz w:val="20"/>
            <w:szCs w:val="20"/>
          </w:rPr>
          <w:tab/>
        </w:r>
        <w:r w:rsidR="00447597" w:rsidRPr="00447597">
          <w:rPr>
            <w:rFonts w:ascii="Arial" w:hAnsi="Arial" w:cs="Arial"/>
            <w:noProof/>
            <w:webHidden/>
            <w:sz w:val="20"/>
            <w:szCs w:val="20"/>
          </w:rPr>
          <w:fldChar w:fldCharType="begin"/>
        </w:r>
        <w:r w:rsidR="00447597" w:rsidRPr="00447597">
          <w:rPr>
            <w:rFonts w:ascii="Arial" w:hAnsi="Arial" w:cs="Arial"/>
            <w:noProof/>
            <w:webHidden/>
            <w:sz w:val="20"/>
            <w:szCs w:val="20"/>
          </w:rPr>
          <w:instrText xml:space="preserve"> PAGEREF _Toc75160001 \h </w:instrText>
        </w:r>
        <w:r w:rsidR="00447597" w:rsidRPr="00447597">
          <w:rPr>
            <w:rFonts w:ascii="Arial" w:hAnsi="Arial" w:cs="Arial"/>
            <w:noProof/>
            <w:webHidden/>
            <w:sz w:val="20"/>
            <w:szCs w:val="20"/>
          </w:rPr>
        </w:r>
        <w:r w:rsidR="00447597" w:rsidRPr="00447597">
          <w:rPr>
            <w:rFonts w:ascii="Arial" w:hAnsi="Arial" w:cs="Arial"/>
            <w:noProof/>
            <w:webHidden/>
            <w:sz w:val="20"/>
            <w:szCs w:val="20"/>
          </w:rPr>
          <w:fldChar w:fldCharType="separate"/>
        </w:r>
        <w:r w:rsidR="00447597" w:rsidRPr="00447597">
          <w:rPr>
            <w:rFonts w:ascii="Arial" w:hAnsi="Arial" w:cs="Arial"/>
            <w:noProof/>
            <w:webHidden/>
            <w:sz w:val="20"/>
            <w:szCs w:val="20"/>
          </w:rPr>
          <w:t>9</w:t>
        </w:r>
        <w:r w:rsidR="00447597" w:rsidRPr="00447597">
          <w:rPr>
            <w:rFonts w:ascii="Arial" w:hAnsi="Arial" w:cs="Arial"/>
            <w:noProof/>
            <w:webHidden/>
            <w:sz w:val="20"/>
            <w:szCs w:val="20"/>
          </w:rPr>
          <w:fldChar w:fldCharType="end"/>
        </w:r>
      </w:hyperlink>
    </w:p>
    <w:p w14:paraId="267B20D1" w14:textId="77777777" w:rsidR="00447597" w:rsidRPr="00447597" w:rsidRDefault="00451C90">
      <w:pPr>
        <w:pStyle w:val="Kazalovsebine2"/>
        <w:tabs>
          <w:tab w:val="left" w:pos="800"/>
          <w:tab w:val="right" w:leader="dot" w:pos="9054"/>
        </w:tabs>
        <w:rPr>
          <w:rFonts w:ascii="Arial" w:eastAsiaTheme="minorEastAsia" w:hAnsi="Arial" w:cs="Arial"/>
          <w:b w:val="0"/>
          <w:bCs w:val="0"/>
          <w:noProof/>
          <w:sz w:val="20"/>
          <w:szCs w:val="20"/>
          <w:lang w:eastAsia="sl-SI"/>
        </w:rPr>
      </w:pPr>
      <w:hyperlink w:anchor="_Toc75160002" w:history="1">
        <w:r w:rsidR="00447597" w:rsidRPr="00447597">
          <w:rPr>
            <w:rStyle w:val="Hiperpovezava"/>
            <w:rFonts w:ascii="Arial" w:hAnsi="Arial" w:cs="Arial"/>
            <w:noProof/>
            <w:sz w:val="20"/>
            <w:szCs w:val="20"/>
          </w:rPr>
          <w:t>3.2</w:t>
        </w:r>
        <w:r w:rsidR="00447597" w:rsidRPr="00447597">
          <w:rPr>
            <w:rFonts w:ascii="Arial" w:eastAsiaTheme="minorEastAsia" w:hAnsi="Arial" w:cs="Arial"/>
            <w:b w:val="0"/>
            <w:bCs w:val="0"/>
            <w:noProof/>
            <w:sz w:val="20"/>
            <w:szCs w:val="20"/>
            <w:lang w:eastAsia="sl-SI"/>
          </w:rPr>
          <w:tab/>
        </w:r>
        <w:r w:rsidR="00447597" w:rsidRPr="00447597">
          <w:rPr>
            <w:rStyle w:val="Hiperpovezava"/>
            <w:rFonts w:ascii="Arial" w:hAnsi="Arial" w:cs="Arial"/>
            <w:noProof/>
            <w:sz w:val="20"/>
            <w:szCs w:val="20"/>
          </w:rPr>
          <w:t>Privilegij poklicne molčečnosti</w:t>
        </w:r>
        <w:r w:rsidR="00447597" w:rsidRPr="00447597">
          <w:rPr>
            <w:rFonts w:ascii="Arial" w:hAnsi="Arial" w:cs="Arial"/>
            <w:noProof/>
            <w:webHidden/>
            <w:sz w:val="20"/>
            <w:szCs w:val="20"/>
          </w:rPr>
          <w:tab/>
        </w:r>
        <w:r w:rsidR="00447597" w:rsidRPr="00447597">
          <w:rPr>
            <w:rFonts w:ascii="Arial" w:hAnsi="Arial" w:cs="Arial"/>
            <w:noProof/>
            <w:webHidden/>
            <w:sz w:val="20"/>
            <w:szCs w:val="20"/>
          </w:rPr>
          <w:fldChar w:fldCharType="begin"/>
        </w:r>
        <w:r w:rsidR="00447597" w:rsidRPr="00447597">
          <w:rPr>
            <w:rFonts w:ascii="Arial" w:hAnsi="Arial" w:cs="Arial"/>
            <w:noProof/>
            <w:webHidden/>
            <w:sz w:val="20"/>
            <w:szCs w:val="20"/>
          </w:rPr>
          <w:instrText xml:space="preserve"> PAGEREF _Toc75160002 \h </w:instrText>
        </w:r>
        <w:r w:rsidR="00447597" w:rsidRPr="00447597">
          <w:rPr>
            <w:rFonts w:ascii="Arial" w:hAnsi="Arial" w:cs="Arial"/>
            <w:noProof/>
            <w:webHidden/>
            <w:sz w:val="20"/>
            <w:szCs w:val="20"/>
          </w:rPr>
        </w:r>
        <w:r w:rsidR="00447597" w:rsidRPr="00447597">
          <w:rPr>
            <w:rFonts w:ascii="Arial" w:hAnsi="Arial" w:cs="Arial"/>
            <w:noProof/>
            <w:webHidden/>
            <w:sz w:val="20"/>
            <w:szCs w:val="20"/>
          </w:rPr>
          <w:fldChar w:fldCharType="separate"/>
        </w:r>
        <w:r w:rsidR="00447597" w:rsidRPr="00447597">
          <w:rPr>
            <w:rFonts w:ascii="Arial" w:hAnsi="Arial" w:cs="Arial"/>
            <w:noProof/>
            <w:webHidden/>
            <w:sz w:val="20"/>
            <w:szCs w:val="20"/>
          </w:rPr>
          <w:t>10</w:t>
        </w:r>
        <w:r w:rsidR="00447597" w:rsidRPr="00447597">
          <w:rPr>
            <w:rFonts w:ascii="Arial" w:hAnsi="Arial" w:cs="Arial"/>
            <w:noProof/>
            <w:webHidden/>
            <w:sz w:val="20"/>
            <w:szCs w:val="20"/>
          </w:rPr>
          <w:fldChar w:fldCharType="end"/>
        </w:r>
      </w:hyperlink>
    </w:p>
    <w:p w14:paraId="5CA6B536" w14:textId="77777777" w:rsidR="00447597" w:rsidRPr="00447597" w:rsidRDefault="00451C90">
      <w:pPr>
        <w:pStyle w:val="Kazalovsebine2"/>
        <w:tabs>
          <w:tab w:val="left" w:pos="800"/>
          <w:tab w:val="right" w:leader="dot" w:pos="9054"/>
        </w:tabs>
        <w:rPr>
          <w:rFonts w:ascii="Arial" w:eastAsiaTheme="minorEastAsia" w:hAnsi="Arial" w:cs="Arial"/>
          <w:b w:val="0"/>
          <w:bCs w:val="0"/>
          <w:noProof/>
          <w:sz w:val="20"/>
          <w:szCs w:val="20"/>
          <w:lang w:eastAsia="sl-SI"/>
        </w:rPr>
      </w:pPr>
      <w:hyperlink w:anchor="_Toc75160003" w:history="1">
        <w:r w:rsidR="00447597" w:rsidRPr="00447597">
          <w:rPr>
            <w:rStyle w:val="Hiperpovezava"/>
            <w:rFonts w:ascii="Arial" w:hAnsi="Arial" w:cs="Arial"/>
            <w:noProof/>
            <w:sz w:val="20"/>
            <w:szCs w:val="20"/>
          </w:rPr>
          <w:t>3.3</w:t>
        </w:r>
        <w:r w:rsidR="00447597" w:rsidRPr="00447597">
          <w:rPr>
            <w:rFonts w:ascii="Arial" w:eastAsiaTheme="minorEastAsia" w:hAnsi="Arial" w:cs="Arial"/>
            <w:b w:val="0"/>
            <w:bCs w:val="0"/>
            <w:noProof/>
            <w:sz w:val="20"/>
            <w:szCs w:val="20"/>
            <w:lang w:eastAsia="sl-SI"/>
          </w:rPr>
          <w:tab/>
        </w:r>
        <w:r w:rsidR="00447597" w:rsidRPr="00447597">
          <w:rPr>
            <w:rStyle w:val="Hiperpovezava"/>
            <w:rFonts w:ascii="Arial" w:hAnsi="Arial" w:cs="Arial"/>
            <w:noProof/>
            <w:sz w:val="20"/>
            <w:szCs w:val="20"/>
          </w:rPr>
          <w:t>Kdo je zavezan k poročanju, če ni posrednika</w:t>
        </w:r>
        <w:r w:rsidR="00447597" w:rsidRPr="00447597">
          <w:rPr>
            <w:rFonts w:ascii="Arial" w:hAnsi="Arial" w:cs="Arial"/>
            <w:noProof/>
            <w:webHidden/>
            <w:sz w:val="20"/>
            <w:szCs w:val="20"/>
          </w:rPr>
          <w:tab/>
        </w:r>
        <w:r w:rsidR="00447597" w:rsidRPr="00447597">
          <w:rPr>
            <w:rFonts w:ascii="Arial" w:hAnsi="Arial" w:cs="Arial"/>
            <w:noProof/>
            <w:webHidden/>
            <w:sz w:val="20"/>
            <w:szCs w:val="20"/>
          </w:rPr>
          <w:fldChar w:fldCharType="begin"/>
        </w:r>
        <w:r w:rsidR="00447597" w:rsidRPr="00447597">
          <w:rPr>
            <w:rFonts w:ascii="Arial" w:hAnsi="Arial" w:cs="Arial"/>
            <w:noProof/>
            <w:webHidden/>
            <w:sz w:val="20"/>
            <w:szCs w:val="20"/>
          </w:rPr>
          <w:instrText xml:space="preserve"> PAGEREF _Toc75160003 \h </w:instrText>
        </w:r>
        <w:r w:rsidR="00447597" w:rsidRPr="00447597">
          <w:rPr>
            <w:rFonts w:ascii="Arial" w:hAnsi="Arial" w:cs="Arial"/>
            <w:noProof/>
            <w:webHidden/>
            <w:sz w:val="20"/>
            <w:szCs w:val="20"/>
          </w:rPr>
        </w:r>
        <w:r w:rsidR="00447597" w:rsidRPr="00447597">
          <w:rPr>
            <w:rFonts w:ascii="Arial" w:hAnsi="Arial" w:cs="Arial"/>
            <w:noProof/>
            <w:webHidden/>
            <w:sz w:val="20"/>
            <w:szCs w:val="20"/>
          </w:rPr>
          <w:fldChar w:fldCharType="separate"/>
        </w:r>
        <w:r w:rsidR="00447597" w:rsidRPr="00447597">
          <w:rPr>
            <w:rFonts w:ascii="Arial" w:hAnsi="Arial" w:cs="Arial"/>
            <w:noProof/>
            <w:webHidden/>
            <w:sz w:val="20"/>
            <w:szCs w:val="20"/>
          </w:rPr>
          <w:t>11</w:t>
        </w:r>
        <w:r w:rsidR="00447597" w:rsidRPr="00447597">
          <w:rPr>
            <w:rFonts w:ascii="Arial" w:hAnsi="Arial" w:cs="Arial"/>
            <w:noProof/>
            <w:webHidden/>
            <w:sz w:val="20"/>
            <w:szCs w:val="20"/>
          </w:rPr>
          <w:fldChar w:fldCharType="end"/>
        </w:r>
      </w:hyperlink>
    </w:p>
    <w:p w14:paraId="0282B6CE" w14:textId="77777777" w:rsidR="00447597" w:rsidRPr="00447597" w:rsidRDefault="00451C90">
      <w:pPr>
        <w:pStyle w:val="Kazalovsebine2"/>
        <w:tabs>
          <w:tab w:val="left" w:pos="800"/>
          <w:tab w:val="right" w:leader="dot" w:pos="9054"/>
        </w:tabs>
        <w:rPr>
          <w:rFonts w:ascii="Arial" w:eastAsiaTheme="minorEastAsia" w:hAnsi="Arial" w:cs="Arial"/>
          <w:b w:val="0"/>
          <w:bCs w:val="0"/>
          <w:noProof/>
          <w:sz w:val="20"/>
          <w:szCs w:val="20"/>
          <w:lang w:eastAsia="sl-SI"/>
        </w:rPr>
      </w:pPr>
      <w:hyperlink w:anchor="_Toc75160004" w:history="1">
        <w:r w:rsidR="00447597" w:rsidRPr="00447597">
          <w:rPr>
            <w:rStyle w:val="Hiperpovezava"/>
            <w:rFonts w:ascii="Arial" w:hAnsi="Arial" w:cs="Arial"/>
            <w:noProof/>
            <w:sz w:val="20"/>
            <w:szCs w:val="20"/>
          </w:rPr>
          <w:t>3.4</w:t>
        </w:r>
        <w:r w:rsidR="00447597" w:rsidRPr="00447597">
          <w:rPr>
            <w:rFonts w:ascii="Arial" w:eastAsiaTheme="minorEastAsia" w:hAnsi="Arial" w:cs="Arial"/>
            <w:b w:val="0"/>
            <w:bCs w:val="0"/>
            <w:noProof/>
            <w:sz w:val="20"/>
            <w:szCs w:val="20"/>
            <w:lang w:eastAsia="sl-SI"/>
          </w:rPr>
          <w:tab/>
        </w:r>
        <w:r w:rsidR="00447597" w:rsidRPr="00447597">
          <w:rPr>
            <w:rStyle w:val="Hiperpovezava"/>
            <w:rFonts w:ascii="Arial" w:hAnsi="Arial" w:cs="Arial"/>
            <w:noProof/>
            <w:sz w:val="20"/>
            <w:szCs w:val="20"/>
          </w:rPr>
          <w:t>Poročanje, kadar je več posrednikov ali zadevnih zavezancev</w:t>
        </w:r>
        <w:r w:rsidR="00447597" w:rsidRPr="00447597">
          <w:rPr>
            <w:rFonts w:ascii="Arial" w:hAnsi="Arial" w:cs="Arial"/>
            <w:noProof/>
            <w:webHidden/>
            <w:sz w:val="20"/>
            <w:szCs w:val="20"/>
          </w:rPr>
          <w:tab/>
        </w:r>
        <w:r w:rsidR="00447597" w:rsidRPr="00447597">
          <w:rPr>
            <w:rFonts w:ascii="Arial" w:hAnsi="Arial" w:cs="Arial"/>
            <w:noProof/>
            <w:webHidden/>
            <w:sz w:val="20"/>
            <w:szCs w:val="20"/>
          </w:rPr>
          <w:fldChar w:fldCharType="begin"/>
        </w:r>
        <w:r w:rsidR="00447597" w:rsidRPr="00447597">
          <w:rPr>
            <w:rFonts w:ascii="Arial" w:hAnsi="Arial" w:cs="Arial"/>
            <w:noProof/>
            <w:webHidden/>
            <w:sz w:val="20"/>
            <w:szCs w:val="20"/>
          </w:rPr>
          <w:instrText xml:space="preserve"> PAGEREF _Toc75160004 \h </w:instrText>
        </w:r>
        <w:r w:rsidR="00447597" w:rsidRPr="00447597">
          <w:rPr>
            <w:rFonts w:ascii="Arial" w:hAnsi="Arial" w:cs="Arial"/>
            <w:noProof/>
            <w:webHidden/>
            <w:sz w:val="20"/>
            <w:szCs w:val="20"/>
          </w:rPr>
        </w:r>
        <w:r w:rsidR="00447597" w:rsidRPr="00447597">
          <w:rPr>
            <w:rFonts w:ascii="Arial" w:hAnsi="Arial" w:cs="Arial"/>
            <w:noProof/>
            <w:webHidden/>
            <w:sz w:val="20"/>
            <w:szCs w:val="20"/>
          </w:rPr>
          <w:fldChar w:fldCharType="separate"/>
        </w:r>
        <w:r w:rsidR="00447597" w:rsidRPr="00447597">
          <w:rPr>
            <w:rFonts w:ascii="Arial" w:hAnsi="Arial" w:cs="Arial"/>
            <w:noProof/>
            <w:webHidden/>
            <w:sz w:val="20"/>
            <w:szCs w:val="20"/>
          </w:rPr>
          <w:t>11</w:t>
        </w:r>
        <w:r w:rsidR="00447597" w:rsidRPr="00447597">
          <w:rPr>
            <w:rFonts w:ascii="Arial" w:hAnsi="Arial" w:cs="Arial"/>
            <w:noProof/>
            <w:webHidden/>
            <w:sz w:val="20"/>
            <w:szCs w:val="20"/>
          </w:rPr>
          <w:fldChar w:fldCharType="end"/>
        </w:r>
      </w:hyperlink>
    </w:p>
    <w:p w14:paraId="6BABBCAC" w14:textId="77777777" w:rsidR="00447597" w:rsidRPr="00447597" w:rsidRDefault="00451C90">
      <w:pPr>
        <w:pStyle w:val="Kazalovsebine2"/>
        <w:tabs>
          <w:tab w:val="left" w:pos="800"/>
          <w:tab w:val="right" w:leader="dot" w:pos="9054"/>
        </w:tabs>
        <w:rPr>
          <w:rFonts w:ascii="Arial" w:eastAsiaTheme="minorEastAsia" w:hAnsi="Arial" w:cs="Arial"/>
          <w:b w:val="0"/>
          <w:bCs w:val="0"/>
          <w:noProof/>
          <w:sz w:val="20"/>
          <w:szCs w:val="20"/>
          <w:lang w:eastAsia="sl-SI"/>
        </w:rPr>
      </w:pPr>
      <w:hyperlink w:anchor="_Toc75160005" w:history="1">
        <w:r w:rsidR="00447597" w:rsidRPr="00447597">
          <w:rPr>
            <w:rStyle w:val="Hiperpovezava"/>
            <w:rFonts w:ascii="Arial" w:hAnsi="Arial" w:cs="Arial"/>
            <w:noProof/>
            <w:sz w:val="20"/>
            <w:szCs w:val="20"/>
          </w:rPr>
          <w:t>3.5</w:t>
        </w:r>
        <w:r w:rsidR="00447597" w:rsidRPr="00447597">
          <w:rPr>
            <w:rFonts w:ascii="Arial" w:eastAsiaTheme="minorEastAsia" w:hAnsi="Arial" w:cs="Arial"/>
            <w:b w:val="0"/>
            <w:bCs w:val="0"/>
            <w:noProof/>
            <w:sz w:val="20"/>
            <w:szCs w:val="20"/>
            <w:lang w:eastAsia="sl-SI"/>
          </w:rPr>
          <w:tab/>
        </w:r>
        <w:r w:rsidR="00447597" w:rsidRPr="00447597">
          <w:rPr>
            <w:rStyle w:val="Hiperpovezava"/>
            <w:rFonts w:ascii="Arial" w:hAnsi="Arial" w:cs="Arial"/>
            <w:noProof/>
            <w:sz w:val="20"/>
            <w:szCs w:val="20"/>
          </w:rPr>
          <w:t>Primeri: pravila poročanja</w:t>
        </w:r>
        <w:r w:rsidR="00447597" w:rsidRPr="00447597">
          <w:rPr>
            <w:rFonts w:ascii="Arial" w:hAnsi="Arial" w:cs="Arial"/>
            <w:noProof/>
            <w:webHidden/>
            <w:sz w:val="20"/>
            <w:szCs w:val="20"/>
          </w:rPr>
          <w:tab/>
        </w:r>
        <w:r w:rsidR="00447597" w:rsidRPr="00447597">
          <w:rPr>
            <w:rFonts w:ascii="Arial" w:hAnsi="Arial" w:cs="Arial"/>
            <w:noProof/>
            <w:webHidden/>
            <w:sz w:val="20"/>
            <w:szCs w:val="20"/>
          </w:rPr>
          <w:fldChar w:fldCharType="begin"/>
        </w:r>
        <w:r w:rsidR="00447597" w:rsidRPr="00447597">
          <w:rPr>
            <w:rFonts w:ascii="Arial" w:hAnsi="Arial" w:cs="Arial"/>
            <w:noProof/>
            <w:webHidden/>
            <w:sz w:val="20"/>
            <w:szCs w:val="20"/>
          </w:rPr>
          <w:instrText xml:space="preserve"> PAGEREF _Toc75160005 \h </w:instrText>
        </w:r>
        <w:r w:rsidR="00447597" w:rsidRPr="00447597">
          <w:rPr>
            <w:rFonts w:ascii="Arial" w:hAnsi="Arial" w:cs="Arial"/>
            <w:noProof/>
            <w:webHidden/>
            <w:sz w:val="20"/>
            <w:szCs w:val="20"/>
          </w:rPr>
        </w:r>
        <w:r w:rsidR="00447597" w:rsidRPr="00447597">
          <w:rPr>
            <w:rFonts w:ascii="Arial" w:hAnsi="Arial" w:cs="Arial"/>
            <w:noProof/>
            <w:webHidden/>
            <w:sz w:val="20"/>
            <w:szCs w:val="20"/>
          </w:rPr>
          <w:fldChar w:fldCharType="separate"/>
        </w:r>
        <w:r w:rsidR="00447597" w:rsidRPr="00447597">
          <w:rPr>
            <w:rFonts w:ascii="Arial" w:hAnsi="Arial" w:cs="Arial"/>
            <w:noProof/>
            <w:webHidden/>
            <w:sz w:val="20"/>
            <w:szCs w:val="20"/>
          </w:rPr>
          <w:t>11</w:t>
        </w:r>
        <w:r w:rsidR="00447597" w:rsidRPr="00447597">
          <w:rPr>
            <w:rFonts w:ascii="Arial" w:hAnsi="Arial" w:cs="Arial"/>
            <w:noProof/>
            <w:webHidden/>
            <w:sz w:val="20"/>
            <w:szCs w:val="20"/>
          </w:rPr>
          <w:fldChar w:fldCharType="end"/>
        </w:r>
      </w:hyperlink>
    </w:p>
    <w:p w14:paraId="36720966" w14:textId="77777777" w:rsidR="00447597" w:rsidRPr="00447597" w:rsidRDefault="00451C90">
      <w:pPr>
        <w:pStyle w:val="Kazalovsebine2"/>
        <w:tabs>
          <w:tab w:val="left" w:pos="800"/>
          <w:tab w:val="right" w:leader="dot" w:pos="9054"/>
        </w:tabs>
        <w:rPr>
          <w:rFonts w:ascii="Arial" w:eastAsiaTheme="minorEastAsia" w:hAnsi="Arial" w:cs="Arial"/>
          <w:b w:val="0"/>
          <w:bCs w:val="0"/>
          <w:noProof/>
          <w:sz w:val="20"/>
          <w:szCs w:val="20"/>
          <w:lang w:eastAsia="sl-SI"/>
        </w:rPr>
      </w:pPr>
      <w:hyperlink w:anchor="_Toc75160006" w:history="1">
        <w:r w:rsidR="00447597" w:rsidRPr="00447597">
          <w:rPr>
            <w:rStyle w:val="Hiperpovezava"/>
            <w:rFonts w:ascii="Arial" w:hAnsi="Arial" w:cs="Arial"/>
            <w:noProof/>
            <w:sz w:val="20"/>
            <w:szCs w:val="20"/>
          </w:rPr>
          <w:t>3.6</w:t>
        </w:r>
        <w:r w:rsidR="00447597" w:rsidRPr="00447597">
          <w:rPr>
            <w:rFonts w:ascii="Arial" w:eastAsiaTheme="minorEastAsia" w:hAnsi="Arial" w:cs="Arial"/>
            <w:b w:val="0"/>
            <w:bCs w:val="0"/>
            <w:noProof/>
            <w:sz w:val="20"/>
            <w:szCs w:val="20"/>
            <w:lang w:eastAsia="sl-SI"/>
          </w:rPr>
          <w:tab/>
        </w:r>
        <w:r w:rsidR="00447597" w:rsidRPr="00447597">
          <w:rPr>
            <w:rStyle w:val="Hiperpovezava"/>
            <w:rFonts w:ascii="Arial" w:hAnsi="Arial" w:cs="Arial"/>
            <w:noProof/>
            <w:sz w:val="20"/>
            <w:szCs w:val="20"/>
          </w:rPr>
          <w:t>Katere podatke je treba poročati in kako se podatki predložijo Finančni upravi RS</w:t>
        </w:r>
        <w:r w:rsidR="00447597" w:rsidRPr="00447597">
          <w:rPr>
            <w:rFonts w:ascii="Arial" w:hAnsi="Arial" w:cs="Arial"/>
            <w:noProof/>
            <w:webHidden/>
            <w:sz w:val="20"/>
            <w:szCs w:val="20"/>
          </w:rPr>
          <w:tab/>
        </w:r>
        <w:r w:rsidR="00447597" w:rsidRPr="00447597">
          <w:rPr>
            <w:rFonts w:ascii="Arial" w:hAnsi="Arial" w:cs="Arial"/>
            <w:noProof/>
            <w:webHidden/>
            <w:sz w:val="20"/>
            <w:szCs w:val="20"/>
          </w:rPr>
          <w:fldChar w:fldCharType="begin"/>
        </w:r>
        <w:r w:rsidR="00447597" w:rsidRPr="00447597">
          <w:rPr>
            <w:rFonts w:ascii="Arial" w:hAnsi="Arial" w:cs="Arial"/>
            <w:noProof/>
            <w:webHidden/>
            <w:sz w:val="20"/>
            <w:szCs w:val="20"/>
          </w:rPr>
          <w:instrText xml:space="preserve"> PAGEREF _Toc75160006 \h </w:instrText>
        </w:r>
        <w:r w:rsidR="00447597" w:rsidRPr="00447597">
          <w:rPr>
            <w:rFonts w:ascii="Arial" w:hAnsi="Arial" w:cs="Arial"/>
            <w:noProof/>
            <w:webHidden/>
            <w:sz w:val="20"/>
            <w:szCs w:val="20"/>
          </w:rPr>
        </w:r>
        <w:r w:rsidR="00447597" w:rsidRPr="00447597">
          <w:rPr>
            <w:rFonts w:ascii="Arial" w:hAnsi="Arial" w:cs="Arial"/>
            <w:noProof/>
            <w:webHidden/>
            <w:sz w:val="20"/>
            <w:szCs w:val="20"/>
          </w:rPr>
          <w:fldChar w:fldCharType="separate"/>
        </w:r>
        <w:r w:rsidR="00447597" w:rsidRPr="00447597">
          <w:rPr>
            <w:rFonts w:ascii="Arial" w:hAnsi="Arial" w:cs="Arial"/>
            <w:noProof/>
            <w:webHidden/>
            <w:sz w:val="20"/>
            <w:szCs w:val="20"/>
          </w:rPr>
          <w:t>14</w:t>
        </w:r>
        <w:r w:rsidR="00447597" w:rsidRPr="00447597">
          <w:rPr>
            <w:rFonts w:ascii="Arial" w:hAnsi="Arial" w:cs="Arial"/>
            <w:noProof/>
            <w:webHidden/>
            <w:sz w:val="20"/>
            <w:szCs w:val="20"/>
          </w:rPr>
          <w:fldChar w:fldCharType="end"/>
        </w:r>
      </w:hyperlink>
    </w:p>
    <w:p w14:paraId="4FDF62A6" w14:textId="77777777" w:rsidR="00447597" w:rsidRPr="00447597" w:rsidRDefault="00451C90">
      <w:pPr>
        <w:pStyle w:val="Kazalovsebine1"/>
        <w:tabs>
          <w:tab w:val="left" w:pos="400"/>
          <w:tab w:val="right" w:leader="dot" w:pos="9054"/>
        </w:tabs>
        <w:rPr>
          <w:rFonts w:eastAsiaTheme="minorEastAsia" w:cs="Arial"/>
          <w:b w:val="0"/>
          <w:bCs w:val="0"/>
          <w:iCs w:val="0"/>
          <w:noProof/>
          <w:szCs w:val="20"/>
          <w:lang w:eastAsia="sl-SI"/>
        </w:rPr>
      </w:pPr>
      <w:hyperlink w:anchor="_Toc75160007" w:history="1">
        <w:r w:rsidR="00447597" w:rsidRPr="00447597">
          <w:rPr>
            <w:rStyle w:val="Hiperpovezava"/>
            <w:rFonts w:cs="Arial"/>
            <w:noProof/>
            <w:szCs w:val="20"/>
          </w:rPr>
          <w:t>4</w:t>
        </w:r>
        <w:r w:rsidR="00447597" w:rsidRPr="00447597">
          <w:rPr>
            <w:rFonts w:eastAsiaTheme="minorEastAsia" w:cs="Arial"/>
            <w:b w:val="0"/>
            <w:bCs w:val="0"/>
            <w:iCs w:val="0"/>
            <w:noProof/>
            <w:szCs w:val="20"/>
            <w:lang w:eastAsia="sl-SI"/>
          </w:rPr>
          <w:tab/>
        </w:r>
        <w:r w:rsidR="00447597" w:rsidRPr="00447597">
          <w:rPr>
            <w:rStyle w:val="Hiperpovezava"/>
            <w:rFonts w:cs="Arial"/>
            <w:noProof/>
            <w:szCs w:val="20"/>
          </w:rPr>
          <w:t>ROK ZA POROČANJE IN IZMENJAVO INFORMACIJ</w:t>
        </w:r>
        <w:r w:rsidR="00447597" w:rsidRPr="00447597">
          <w:rPr>
            <w:rFonts w:cs="Arial"/>
            <w:noProof/>
            <w:webHidden/>
            <w:szCs w:val="20"/>
          </w:rPr>
          <w:tab/>
        </w:r>
        <w:r w:rsidR="00447597" w:rsidRPr="00447597">
          <w:rPr>
            <w:rFonts w:cs="Arial"/>
            <w:noProof/>
            <w:webHidden/>
            <w:szCs w:val="20"/>
          </w:rPr>
          <w:fldChar w:fldCharType="begin"/>
        </w:r>
        <w:r w:rsidR="00447597" w:rsidRPr="00447597">
          <w:rPr>
            <w:rFonts w:cs="Arial"/>
            <w:noProof/>
            <w:webHidden/>
            <w:szCs w:val="20"/>
          </w:rPr>
          <w:instrText xml:space="preserve"> PAGEREF _Toc75160007 \h </w:instrText>
        </w:r>
        <w:r w:rsidR="00447597" w:rsidRPr="00447597">
          <w:rPr>
            <w:rFonts w:cs="Arial"/>
            <w:noProof/>
            <w:webHidden/>
            <w:szCs w:val="20"/>
          </w:rPr>
        </w:r>
        <w:r w:rsidR="00447597" w:rsidRPr="00447597">
          <w:rPr>
            <w:rFonts w:cs="Arial"/>
            <w:noProof/>
            <w:webHidden/>
            <w:szCs w:val="20"/>
          </w:rPr>
          <w:fldChar w:fldCharType="separate"/>
        </w:r>
        <w:r w:rsidR="00447597" w:rsidRPr="00447597">
          <w:rPr>
            <w:rFonts w:cs="Arial"/>
            <w:noProof/>
            <w:webHidden/>
            <w:szCs w:val="20"/>
          </w:rPr>
          <w:t>16</w:t>
        </w:r>
        <w:r w:rsidR="00447597" w:rsidRPr="00447597">
          <w:rPr>
            <w:rFonts w:cs="Arial"/>
            <w:noProof/>
            <w:webHidden/>
            <w:szCs w:val="20"/>
          </w:rPr>
          <w:fldChar w:fldCharType="end"/>
        </w:r>
      </w:hyperlink>
    </w:p>
    <w:p w14:paraId="47D856EA" w14:textId="77777777" w:rsidR="00447597" w:rsidRPr="00447597" w:rsidRDefault="00451C90">
      <w:pPr>
        <w:pStyle w:val="Kazalovsebine2"/>
        <w:tabs>
          <w:tab w:val="left" w:pos="800"/>
          <w:tab w:val="right" w:leader="dot" w:pos="9054"/>
        </w:tabs>
        <w:rPr>
          <w:rFonts w:ascii="Arial" w:eastAsiaTheme="minorEastAsia" w:hAnsi="Arial" w:cs="Arial"/>
          <w:b w:val="0"/>
          <w:bCs w:val="0"/>
          <w:noProof/>
          <w:sz w:val="20"/>
          <w:szCs w:val="20"/>
          <w:lang w:eastAsia="sl-SI"/>
        </w:rPr>
      </w:pPr>
      <w:hyperlink w:anchor="_Toc75160008" w:history="1">
        <w:r w:rsidR="00447597" w:rsidRPr="00447597">
          <w:rPr>
            <w:rStyle w:val="Hiperpovezava"/>
            <w:rFonts w:ascii="Arial" w:hAnsi="Arial" w:cs="Arial"/>
            <w:noProof/>
            <w:sz w:val="20"/>
            <w:szCs w:val="20"/>
          </w:rPr>
          <w:t>4.1</w:t>
        </w:r>
        <w:r w:rsidR="00447597" w:rsidRPr="00447597">
          <w:rPr>
            <w:rFonts w:ascii="Arial" w:eastAsiaTheme="minorEastAsia" w:hAnsi="Arial" w:cs="Arial"/>
            <w:b w:val="0"/>
            <w:bCs w:val="0"/>
            <w:noProof/>
            <w:sz w:val="20"/>
            <w:szCs w:val="20"/>
            <w:lang w:eastAsia="sl-SI"/>
          </w:rPr>
          <w:tab/>
        </w:r>
        <w:r w:rsidR="00447597" w:rsidRPr="00447597">
          <w:rPr>
            <w:rStyle w:val="Hiperpovezava"/>
            <w:rFonts w:ascii="Arial" w:hAnsi="Arial" w:cs="Arial"/>
            <w:noProof/>
            <w:sz w:val="20"/>
            <w:szCs w:val="20"/>
          </w:rPr>
          <w:t>Rok za predložitev podatkov Finančni upravi RS</w:t>
        </w:r>
        <w:r w:rsidR="00447597" w:rsidRPr="00447597">
          <w:rPr>
            <w:rFonts w:ascii="Arial" w:hAnsi="Arial" w:cs="Arial"/>
            <w:noProof/>
            <w:webHidden/>
            <w:sz w:val="20"/>
            <w:szCs w:val="20"/>
          </w:rPr>
          <w:tab/>
        </w:r>
        <w:r w:rsidR="00447597" w:rsidRPr="00447597">
          <w:rPr>
            <w:rFonts w:ascii="Arial" w:hAnsi="Arial" w:cs="Arial"/>
            <w:noProof/>
            <w:webHidden/>
            <w:sz w:val="20"/>
            <w:szCs w:val="20"/>
          </w:rPr>
          <w:fldChar w:fldCharType="begin"/>
        </w:r>
        <w:r w:rsidR="00447597" w:rsidRPr="00447597">
          <w:rPr>
            <w:rFonts w:ascii="Arial" w:hAnsi="Arial" w:cs="Arial"/>
            <w:noProof/>
            <w:webHidden/>
            <w:sz w:val="20"/>
            <w:szCs w:val="20"/>
          </w:rPr>
          <w:instrText xml:space="preserve"> PAGEREF _Toc75160008 \h </w:instrText>
        </w:r>
        <w:r w:rsidR="00447597" w:rsidRPr="00447597">
          <w:rPr>
            <w:rFonts w:ascii="Arial" w:hAnsi="Arial" w:cs="Arial"/>
            <w:noProof/>
            <w:webHidden/>
            <w:sz w:val="20"/>
            <w:szCs w:val="20"/>
          </w:rPr>
        </w:r>
        <w:r w:rsidR="00447597" w:rsidRPr="00447597">
          <w:rPr>
            <w:rFonts w:ascii="Arial" w:hAnsi="Arial" w:cs="Arial"/>
            <w:noProof/>
            <w:webHidden/>
            <w:sz w:val="20"/>
            <w:szCs w:val="20"/>
          </w:rPr>
          <w:fldChar w:fldCharType="separate"/>
        </w:r>
        <w:r w:rsidR="00447597" w:rsidRPr="00447597">
          <w:rPr>
            <w:rFonts w:ascii="Arial" w:hAnsi="Arial" w:cs="Arial"/>
            <w:noProof/>
            <w:webHidden/>
            <w:sz w:val="20"/>
            <w:szCs w:val="20"/>
          </w:rPr>
          <w:t>16</w:t>
        </w:r>
        <w:r w:rsidR="00447597" w:rsidRPr="00447597">
          <w:rPr>
            <w:rFonts w:ascii="Arial" w:hAnsi="Arial" w:cs="Arial"/>
            <w:noProof/>
            <w:webHidden/>
            <w:sz w:val="20"/>
            <w:szCs w:val="20"/>
          </w:rPr>
          <w:fldChar w:fldCharType="end"/>
        </w:r>
      </w:hyperlink>
    </w:p>
    <w:p w14:paraId="518B3C54" w14:textId="77777777" w:rsidR="00447597" w:rsidRPr="00447597" w:rsidRDefault="00451C90">
      <w:pPr>
        <w:pStyle w:val="Kazalovsebine2"/>
        <w:tabs>
          <w:tab w:val="left" w:pos="800"/>
          <w:tab w:val="right" w:leader="dot" w:pos="9054"/>
        </w:tabs>
        <w:rPr>
          <w:rFonts w:ascii="Arial" w:eastAsiaTheme="minorEastAsia" w:hAnsi="Arial" w:cs="Arial"/>
          <w:b w:val="0"/>
          <w:bCs w:val="0"/>
          <w:noProof/>
          <w:sz w:val="20"/>
          <w:szCs w:val="20"/>
          <w:lang w:eastAsia="sl-SI"/>
        </w:rPr>
      </w:pPr>
      <w:hyperlink w:anchor="_Toc75160009" w:history="1">
        <w:r w:rsidR="00447597" w:rsidRPr="00447597">
          <w:rPr>
            <w:rStyle w:val="Hiperpovezava"/>
            <w:rFonts w:ascii="Arial" w:hAnsi="Arial" w:cs="Arial"/>
            <w:noProof/>
            <w:sz w:val="20"/>
            <w:szCs w:val="20"/>
          </w:rPr>
          <w:t>4.2</w:t>
        </w:r>
        <w:r w:rsidR="00447597" w:rsidRPr="00447597">
          <w:rPr>
            <w:rFonts w:ascii="Arial" w:eastAsiaTheme="minorEastAsia" w:hAnsi="Arial" w:cs="Arial"/>
            <w:b w:val="0"/>
            <w:bCs w:val="0"/>
            <w:noProof/>
            <w:sz w:val="20"/>
            <w:szCs w:val="20"/>
            <w:lang w:eastAsia="sl-SI"/>
          </w:rPr>
          <w:tab/>
        </w:r>
        <w:r w:rsidR="00447597" w:rsidRPr="00447597">
          <w:rPr>
            <w:rStyle w:val="Hiperpovezava"/>
            <w:rFonts w:ascii="Arial" w:hAnsi="Arial" w:cs="Arial"/>
            <w:noProof/>
            <w:sz w:val="20"/>
            <w:szCs w:val="20"/>
          </w:rPr>
          <w:t>Primeri: Kdaj nastane obveznost poročanja</w:t>
        </w:r>
        <w:r w:rsidR="00447597" w:rsidRPr="00447597">
          <w:rPr>
            <w:rFonts w:ascii="Arial" w:hAnsi="Arial" w:cs="Arial"/>
            <w:noProof/>
            <w:webHidden/>
            <w:sz w:val="20"/>
            <w:szCs w:val="20"/>
          </w:rPr>
          <w:tab/>
        </w:r>
        <w:r w:rsidR="00447597" w:rsidRPr="00447597">
          <w:rPr>
            <w:rFonts w:ascii="Arial" w:hAnsi="Arial" w:cs="Arial"/>
            <w:noProof/>
            <w:webHidden/>
            <w:sz w:val="20"/>
            <w:szCs w:val="20"/>
          </w:rPr>
          <w:fldChar w:fldCharType="begin"/>
        </w:r>
        <w:r w:rsidR="00447597" w:rsidRPr="00447597">
          <w:rPr>
            <w:rFonts w:ascii="Arial" w:hAnsi="Arial" w:cs="Arial"/>
            <w:noProof/>
            <w:webHidden/>
            <w:sz w:val="20"/>
            <w:szCs w:val="20"/>
          </w:rPr>
          <w:instrText xml:space="preserve"> PAGEREF _Toc75160009 \h </w:instrText>
        </w:r>
        <w:r w:rsidR="00447597" w:rsidRPr="00447597">
          <w:rPr>
            <w:rFonts w:ascii="Arial" w:hAnsi="Arial" w:cs="Arial"/>
            <w:noProof/>
            <w:webHidden/>
            <w:sz w:val="20"/>
            <w:szCs w:val="20"/>
          </w:rPr>
        </w:r>
        <w:r w:rsidR="00447597" w:rsidRPr="00447597">
          <w:rPr>
            <w:rFonts w:ascii="Arial" w:hAnsi="Arial" w:cs="Arial"/>
            <w:noProof/>
            <w:webHidden/>
            <w:sz w:val="20"/>
            <w:szCs w:val="20"/>
          </w:rPr>
          <w:fldChar w:fldCharType="separate"/>
        </w:r>
        <w:r w:rsidR="00447597" w:rsidRPr="00447597">
          <w:rPr>
            <w:rFonts w:ascii="Arial" w:hAnsi="Arial" w:cs="Arial"/>
            <w:noProof/>
            <w:webHidden/>
            <w:sz w:val="20"/>
            <w:szCs w:val="20"/>
          </w:rPr>
          <w:t>17</w:t>
        </w:r>
        <w:r w:rsidR="00447597" w:rsidRPr="00447597">
          <w:rPr>
            <w:rFonts w:ascii="Arial" w:hAnsi="Arial" w:cs="Arial"/>
            <w:noProof/>
            <w:webHidden/>
            <w:sz w:val="20"/>
            <w:szCs w:val="20"/>
          </w:rPr>
          <w:fldChar w:fldCharType="end"/>
        </w:r>
      </w:hyperlink>
    </w:p>
    <w:p w14:paraId="65963CE1" w14:textId="77777777" w:rsidR="00447597" w:rsidRPr="00447597" w:rsidRDefault="00451C90">
      <w:pPr>
        <w:pStyle w:val="Kazalovsebine2"/>
        <w:tabs>
          <w:tab w:val="left" w:pos="800"/>
          <w:tab w:val="right" w:leader="dot" w:pos="9054"/>
        </w:tabs>
        <w:rPr>
          <w:rFonts w:ascii="Arial" w:eastAsiaTheme="minorEastAsia" w:hAnsi="Arial" w:cs="Arial"/>
          <w:b w:val="0"/>
          <w:bCs w:val="0"/>
          <w:noProof/>
          <w:sz w:val="20"/>
          <w:szCs w:val="20"/>
          <w:lang w:eastAsia="sl-SI"/>
        </w:rPr>
      </w:pPr>
      <w:hyperlink w:anchor="_Toc75160010" w:history="1">
        <w:r w:rsidR="00447597" w:rsidRPr="00447597">
          <w:rPr>
            <w:rStyle w:val="Hiperpovezava"/>
            <w:rFonts w:ascii="Arial" w:hAnsi="Arial" w:cs="Arial"/>
            <w:noProof/>
            <w:sz w:val="20"/>
            <w:szCs w:val="20"/>
          </w:rPr>
          <w:t>4.3</w:t>
        </w:r>
        <w:r w:rsidR="00447597" w:rsidRPr="00447597">
          <w:rPr>
            <w:rFonts w:ascii="Arial" w:eastAsiaTheme="minorEastAsia" w:hAnsi="Arial" w:cs="Arial"/>
            <w:b w:val="0"/>
            <w:bCs w:val="0"/>
            <w:noProof/>
            <w:sz w:val="20"/>
            <w:szCs w:val="20"/>
            <w:lang w:eastAsia="sl-SI"/>
          </w:rPr>
          <w:tab/>
        </w:r>
        <w:r w:rsidR="00447597" w:rsidRPr="00447597">
          <w:rPr>
            <w:rStyle w:val="Hiperpovezava"/>
            <w:rFonts w:ascii="Arial" w:hAnsi="Arial" w:cs="Arial"/>
            <w:noProof/>
            <w:sz w:val="20"/>
            <w:szCs w:val="20"/>
          </w:rPr>
          <w:t>Izmenjava informacij</w:t>
        </w:r>
        <w:r w:rsidR="00447597" w:rsidRPr="00447597">
          <w:rPr>
            <w:rFonts w:ascii="Arial" w:hAnsi="Arial" w:cs="Arial"/>
            <w:noProof/>
            <w:webHidden/>
            <w:sz w:val="20"/>
            <w:szCs w:val="20"/>
          </w:rPr>
          <w:tab/>
        </w:r>
        <w:r w:rsidR="00447597" w:rsidRPr="00447597">
          <w:rPr>
            <w:rFonts w:ascii="Arial" w:hAnsi="Arial" w:cs="Arial"/>
            <w:noProof/>
            <w:webHidden/>
            <w:sz w:val="20"/>
            <w:szCs w:val="20"/>
          </w:rPr>
          <w:fldChar w:fldCharType="begin"/>
        </w:r>
        <w:r w:rsidR="00447597" w:rsidRPr="00447597">
          <w:rPr>
            <w:rFonts w:ascii="Arial" w:hAnsi="Arial" w:cs="Arial"/>
            <w:noProof/>
            <w:webHidden/>
            <w:sz w:val="20"/>
            <w:szCs w:val="20"/>
          </w:rPr>
          <w:instrText xml:space="preserve"> PAGEREF _Toc75160010 \h </w:instrText>
        </w:r>
        <w:r w:rsidR="00447597" w:rsidRPr="00447597">
          <w:rPr>
            <w:rFonts w:ascii="Arial" w:hAnsi="Arial" w:cs="Arial"/>
            <w:noProof/>
            <w:webHidden/>
            <w:sz w:val="20"/>
            <w:szCs w:val="20"/>
          </w:rPr>
        </w:r>
        <w:r w:rsidR="00447597" w:rsidRPr="00447597">
          <w:rPr>
            <w:rFonts w:ascii="Arial" w:hAnsi="Arial" w:cs="Arial"/>
            <w:noProof/>
            <w:webHidden/>
            <w:sz w:val="20"/>
            <w:szCs w:val="20"/>
          </w:rPr>
          <w:fldChar w:fldCharType="separate"/>
        </w:r>
        <w:r w:rsidR="00447597" w:rsidRPr="00447597">
          <w:rPr>
            <w:rFonts w:ascii="Arial" w:hAnsi="Arial" w:cs="Arial"/>
            <w:noProof/>
            <w:webHidden/>
            <w:sz w:val="20"/>
            <w:szCs w:val="20"/>
          </w:rPr>
          <w:t>17</w:t>
        </w:r>
        <w:r w:rsidR="00447597" w:rsidRPr="00447597">
          <w:rPr>
            <w:rFonts w:ascii="Arial" w:hAnsi="Arial" w:cs="Arial"/>
            <w:noProof/>
            <w:webHidden/>
            <w:sz w:val="20"/>
            <w:szCs w:val="20"/>
          </w:rPr>
          <w:fldChar w:fldCharType="end"/>
        </w:r>
      </w:hyperlink>
    </w:p>
    <w:p w14:paraId="4FAA5FD3" w14:textId="77777777" w:rsidR="00447597" w:rsidRPr="00447597" w:rsidRDefault="00451C90">
      <w:pPr>
        <w:pStyle w:val="Kazalovsebine1"/>
        <w:tabs>
          <w:tab w:val="left" w:pos="400"/>
          <w:tab w:val="right" w:leader="dot" w:pos="9054"/>
        </w:tabs>
        <w:rPr>
          <w:rFonts w:eastAsiaTheme="minorEastAsia" w:cs="Arial"/>
          <w:b w:val="0"/>
          <w:bCs w:val="0"/>
          <w:iCs w:val="0"/>
          <w:noProof/>
          <w:szCs w:val="20"/>
          <w:lang w:eastAsia="sl-SI"/>
        </w:rPr>
      </w:pPr>
      <w:hyperlink w:anchor="_Toc75160011" w:history="1">
        <w:r w:rsidR="00447597" w:rsidRPr="00447597">
          <w:rPr>
            <w:rStyle w:val="Hiperpovezava"/>
            <w:rFonts w:cs="Arial"/>
            <w:noProof/>
            <w:szCs w:val="20"/>
          </w:rPr>
          <w:t>5</w:t>
        </w:r>
        <w:r w:rsidR="00447597" w:rsidRPr="00447597">
          <w:rPr>
            <w:rFonts w:eastAsiaTheme="minorEastAsia" w:cs="Arial"/>
            <w:b w:val="0"/>
            <w:bCs w:val="0"/>
            <w:iCs w:val="0"/>
            <w:noProof/>
            <w:szCs w:val="20"/>
            <w:lang w:eastAsia="sl-SI"/>
          </w:rPr>
          <w:tab/>
        </w:r>
        <w:r w:rsidR="00447597" w:rsidRPr="00447597">
          <w:rPr>
            <w:rStyle w:val="Hiperpovezava"/>
            <w:rFonts w:cs="Arial"/>
            <w:noProof/>
            <w:szCs w:val="20"/>
          </w:rPr>
          <w:t>SANKCIJE</w:t>
        </w:r>
        <w:r w:rsidR="00447597" w:rsidRPr="00447597">
          <w:rPr>
            <w:rFonts w:cs="Arial"/>
            <w:noProof/>
            <w:webHidden/>
            <w:szCs w:val="20"/>
          </w:rPr>
          <w:tab/>
        </w:r>
        <w:r w:rsidR="00447597" w:rsidRPr="00447597">
          <w:rPr>
            <w:rFonts w:cs="Arial"/>
            <w:noProof/>
            <w:webHidden/>
            <w:szCs w:val="20"/>
          </w:rPr>
          <w:fldChar w:fldCharType="begin"/>
        </w:r>
        <w:r w:rsidR="00447597" w:rsidRPr="00447597">
          <w:rPr>
            <w:rFonts w:cs="Arial"/>
            <w:noProof/>
            <w:webHidden/>
            <w:szCs w:val="20"/>
          </w:rPr>
          <w:instrText xml:space="preserve"> PAGEREF _Toc75160011 \h </w:instrText>
        </w:r>
        <w:r w:rsidR="00447597" w:rsidRPr="00447597">
          <w:rPr>
            <w:rFonts w:cs="Arial"/>
            <w:noProof/>
            <w:webHidden/>
            <w:szCs w:val="20"/>
          </w:rPr>
        </w:r>
        <w:r w:rsidR="00447597" w:rsidRPr="00447597">
          <w:rPr>
            <w:rFonts w:cs="Arial"/>
            <w:noProof/>
            <w:webHidden/>
            <w:szCs w:val="20"/>
          </w:rPr>
          <w:fldChar w:fldCharType="separate"/>
        </w:r>
        <w:r w:rsidR="00447597" w:rsidRPr="00447597">
          <w:rPr>
            <w:rFonts w:cs="Arial"/>
            <w:noProof/>
            <w:webHidden/>
            <w:szCs w:val="20"/>
          </w:rPr>
          <w:t>18</w:t>
        </w:r>
        <w:r w:rsidR="00447597" w:rsidRPr="00447597">
          <w:rPr>
            <w:rFonts w:cs="Arial"/>
            <w:noProof/>
            <w:webHidden/>
            <w:szCs w:val="20"/>
          </w:rPr>
          <w:fldChar w:fldCharType="end"/>
        </w:r>
      </w:hyperlink>
    </w:p>
    <w:p w14:paraId="562B048F" w14:textId="77777777" w:rsidR="00447597" w:rsidRPr="00447597" w:rsidRDefault="00451C90">
      <w:pPr>
        <w:pStyle w:val="Kazalovsebine2"/>
        <w:tabs>
          <w:tab w:val="left" w:pos="800"/>
          <w:tab w:val="right" w:leader="dot" w:pos="9054"/>
        </w:tabs>
        <w:rPr>
          <w:rFonts w:ascii="Arial" w:eastAsiaTheme="minorEastAsia" w:hAnsi="Arial" w:cs="Arial"/>
          <w:b w:val="0"/>
          <w:bCs w:val="0"/>
          <w:noProof/>
          <w:sz w:val="20"/>
          <w:szCs w:val="20"/>
          <w:lang w:eastAsia="sl-SI"/>
        </w:rPr>
      </w:pPr>
      <w:hyperlink w:anchor="_Toc75160012" w:history="1">
        <w:r w:rsidR="00447597" w:rsidRPr="00447597">
          <w:rPr>
            <w:rStyle w:val="Hiperpovezava"/>
            <w:rFonts w:ascii="Arial" w:hAnsi="Arial" w:cs="Arial"/>
            <w:noProof/>
            <w:sz w:val="20"/>
            <w:szCs w:val="20"/>
          </w:rPr>
          <w:t>5.1</w:t>
        </w:r>
        <w:r w:rsidR="00447597" w:rsidRPr="00447597">
          <w:rPr>
            <w:rFonts w:ascii="Arial" w:eastAsiaTheme="minorEastAsia" w:hAnsi="Arial" w:cs="Arial"/>
            <w:b w:val="0"/>
            <w:bCs w:val="0"/>
            <w:noProof/>
            <w:sz w:val="20"/>
            <w:szCs w:val="20"/>
            <w:lang w:eastAsia="sl-SI"/>
          </w:rPr>
          <w:tab/>
        </w:r>
        <w:r w:rsidR="00447597" w:rsidRPr="00447597">
          <w:rPr>
            <w:rStyle w:val="Hiperpovezava"/>
            <w:rFonts w:ascii="Arial" w:hAnsi="Arial" w:cs="Arial"/>
            <w:noProof/>
            <w:sz w:val="20"/>
            <w:szCs w:val="20"/>
          </w:rPr>
          <w:t>Kakšne so sankcije, če posrednik ali zadevni davčni zavezanec podatkov ne poroča</w:t>
        </w:r>
        <w:r w:rsidR="00447597" w:rsidRPr="00447597">
          <w:rPr>
            <w:rFonts w:ascii="Arial" w:hAnsi="Arial" w:cs="Arial"/>
            <w:noProof/>
            <w:webHidden/>
            <w:sz w:val="20"/>
            <w:szCs w:val="20"/>
          </w:rPr>
          <w:tab/>
        </w:r>
        <w:r w:rsidR="00447597" w:rsidRPr="00447597">
          <w:rPr>
            <w:rFonts w:ascii="Arial" w:hAnsi="Arial" w:cs="Arial"/>
            <w:noProof/>
            <w:webHidden/>
            <w:sz w:val="20"/>
            <w:szCs w:val="20"/>
          </w:rPr>
          <w:fldChar w:fldCharType="begin"/>
        </w:r>
        <w:r w:rsidR="00447597" w:rsidRPr="00447597">
          <w:rPr>
            <w:rFonts w:ascii="Arial" w:hAnsi="Arial" w:cs="Arial"/>
            <w:noProof/>
            <w:webHidden/>
            <w:sz w:val="20"/>
            <w:szCs w:val="20"/>
          </w:rPr>
          <w:instrText xml:space="preserve"> PAGEREF _Toc75160012 \h </w:instrText>
        </w:r>
        <w:r w:rsidR="00447597" w:rsidRPr="00447597">
          <w:rPr>
            <w:rFonts w:ascii="Arial" w:hAnsi="Arial" w:cs="Arial"/>
            <w:noProof/>
            <w:webHidden/>
            <w:sz w:val="20"/>
            <w:szCs w:val="20"/>
          </w:rPr>
        </w:r>
        <w:r w:rsidR="00447597" w:rsidRPr="00447597">
          <w:rPr>
            <w:rFonts w:ascii="Arial" w:hAnsi="Arial" w:cs="Arial"/>
            <w:noProof/>
            <w:webHidden/>
            <w:sz w:val="20"/>
            <w:szCs w:val="20"/>
          </w:rPr>
          <w:fldChar w:fldCharType="separate"/>
        </w:r>
        <w:r w:rsidR="00447597" w:rsidRPr="00447597">
          <w:rPr>
            <w:rFonts w:ascii="Arial" w:hAnsi="Arial" w:cs="Arial"/>
            <w:noProof/>
            <w:webHidden/>
            <w:sz w:val="20"/>
            <w:szCs w:val="20"/>
          </w:rPr>
          <w:t>18</w:t>
        </w:r>
        <w:r w:rsidR="00447597" w:rsidRPr="00447597">
          <w:rPr>
            <w:rFonts w:ascii="Arial" w:hAnsi="Arial" w:cs="Arial"/>
            <w:noProof/>
            <w:webHidden/>
            <w:sz w:val="20"/>
            <w:szCs w:val="20"/>
          </w:rPr>
          <w:fldChar w:fldCharType="end"/>
        </w:r>
      </w:hyperlink>
    </w:p>
    <w:p w14:paraId="4B5AB2CC" w14:textId="77777777" w:rsidR="00447597" w:rsidRPr="00447597" w:rsidRDefault="00451C90">
      <w:pPr>
        <w:pStyle w:val="Kazalovsebine1"/>
        <w:tabs>
          <w:tab w:val="left" w:pos="400"/>
          <w:tab w:val="right" w:leader="dot" w:pos="9054"/>
        </w:tabs>
        <w:rPr>
          <w:rFonts w:eastAsiaTheme="minorEastAsia" w:cs="Arial"/>
          <w:b w:val="0"/>
          <w:bCs w:val="0"/>
          <w:iCs w:val="0"/>
          <w:noProof/>
          <w:szCs w:val="20"/>
          <w:lang w:eastAsia="sl-SI"/>
        </w:rPr>
      </w:pPr>
      <w:hyperlink w:anchor="_Toc75160013" w:history="1">
        <w:r w:rsidR="00447597" w:rsidRPr="00447597">
          <w:rPr>
            <w:rStyle w:val="Hiperpovezava"/>
            <w:rFonts w:cs="Arial"/>
            <w:noProof/>
            <w:szCs w:val="20"/>
          </w:rPr>
          <w:t>6</w:t>
        </w:r>
        <w:r w:rsidR="00447597" w:rsidRPr="00447597">
          <w:rPr>
            <w:rFonts w:eastAsiaTheme="minorEastAsia" w:cs="Arial"/>
            <w:b w:val="0"/>
            <w:bCs w:val="0"/>
            <w:iCs w:val="0"/>
            <w:noProof/>
            <w:szCs w:val="20"/>
            <w:lang w:eastAsia="sl-SI"/>
          </w:rPr>
          <w:tab/>
        </w:r>
        <w:r w:rsidR="00447597" w:rsidRPr="00447597">
          <w:rPr>
            <w:rStyle w:val="Hiperpovezava"/>
            <w:rFonts w:cs="Arial"/>
            <w:noProof/>
            <w:szCs w:val="20"/>
          </w:rPr>
          <w:t>DOLŽNA SKRBNOST OZIROMA DOLŽNO RAVNANJE POSREDNIKA</w:t>
        </w:r>
        <w:r w:rsidR="00447597" w:rsidRPr="00447597">
          <w:rPr>
            <w:rFonts w:cs="Arial"/>
            <w:noProof/>
            <w:webHidden/>
            <w:szCs w:val="20"/>
          </w:rPr>
          <w:tab/>
        </w:r>
        <w:r w:rsidR="00447597" w:rsidRPr="00447597">
          <w:rPr>
            <w:rFonts w:cs="Arial"/>
            <w:noProof/>
            <w:webHidden/>
            <w:szCs w:val="20"/>
          </w:rPr>
          <w:fldChar w:fldCharType="begin"/>
        </w:r>
        <w:r w:rsidR="00447597" w:rsidRPr="00447597">
          <w:rPr>
            <w:rFonts w:cs="Arial"/>
            <w:noProof/>
            <w:webHidden/>
            <w:szCs w:val="20"/>
          </w:rPr>
          <w:instrText xml:space="preserve"> PAGEREF _Toc75160013 \h </w:instrText>
        </w:r>
        <w:r w:rsidR="00447597" w:rsidRPr="00447597">
          <w:rPr>
            <w:rFonts w:cs="Arial"/>
            <w:noProof/>
            <w:webHidden/>
            <w:szCs w:val="20"/>
          </w:rPr>
        </w:r>
        <w:r w:rsidR="00447597" w:rsidRPr="00447597">
          <w:rPr>
            <w:rFonts w:cs="Arial"/>
            <w:noProof/>
            <w:webHidden/>
            <w:szCs w:val="20"/>
          </w:rPr>
          <w:fldChar w:fldCharType="separate"/>
        </w:r>
        <w:r w:rsidR="00447597" w:rsidRPr="00447597">
          <w:rPr>
            <w:rFonts w:cs="Arial"/>
            <w:noProof/>
            <w:webHidden/>
            <w:szCs w:val="20"/>
          </w:rPr>
          <w:t>19</w:t>
        </w:r>
        <w:r w:rsidR="00447597" w:rsidRPr="00447597">
          <w:rPr>
            <w:rFonts w:cs="Arial"/>
            <w:noProof/>
            <w:webHidden/>
            <w:szCs w:val="20"/>
          </w:rPr>
          <w:fldChar w:fldCharType="end"/>
        </w:r>
      </w:hyperlink>
    </w:p>
    <w:p w14:paraId="718A1592" w14:textId="77777777" w:rsidR="00447597" w:rsidRPr="00447597" w:rsidRDefault="00451C90">
      <w:pPr>
        <w:pStyle w:val="Kazalovsebine2"/>
        <w:tabs>
          <w:tab w:val="left" w:pos="800"/>
          <w:tab w:val="right" w:leader="dot" w:pos="9054"/>
        </w:tabs>
        <w:rPr>
          <w:rFonts w:ascii="Arial" w:eastAsiaTheme="minorEastAsia" w:hAnsi="Arial" w:cs="Arial"/>
          <w:b w:val="0"/>
          <w:bCs w:val="0"/>
          <w:noProof/>
          <w:sz w:val="20"/>
          <w:szCs w:val="20"/>
          <w:lang w:eastAsia="sl-SI"/>
        </w:rPr>
      </w:pPr>
      <w:hyperlink w:anchor="_Toc75160014" w:history="1">
        <w:r w:rsidR="00447597" w:rsidRPr="00447597">
          <w:rPr>
            <w:rStyle w:val="Hiperpovezava"/>
            <w:rFonts w:ascii="Arial" w:hAnsi="Arial" w:cs="Arial"/>
            <w:noProof/>
            <w:sz w:val="20"/>
            <w:szCs w:val="20"/>
          </w:rPr>
          <w:t>6.1</w:t>
        </w:r>
        <w:r w:rsidR="00447597" w:rsidRPr="00447597">
          <w:rPr>
            <w:rFonts w:ascii="Arial" w:eastAsiaTheme="minorEastAsia" w:hAnsi="Arial" w:cs="Arial"/>
            <w:b w:val="0"/>
            <w:bCs w:val="0"/>
            <w:noProof/>
            <w:sz w:val="20"/>
            <w:szCs w:val="20"/>
            <w:lang w:eastAsia="sl-SI"/>
          </w:rPr>
          <w:tab/>
        </w:r>
        <w:r w:rsidR="00447597" w:rsidRPr="00447597">
          <w:rPr>
            <w:rStyle w:val="Hiperpovezava"/>
            <w:rFonts w:ascii="Arial" w:hAnsi="Arial" w:cs="Arial"/>
            <w:noProof/>
            <w:sz w:val="20"/>
            <w:szCs w:val="20"/>
          </w:rPr>
          <w:t>Dolžna skrbnost oziroma dolžno ravnanje posrednika</w:t>
        </w:r>
        <w:r w:rsidR="00447597" w:rsidRPr="00447597">
          <w:rPr>
            <w:rFonts w:ascii="Arial" w:hAnsi="Arial" w:cs="Arial"/>
            <w:noProof/>
            <w:webHidden/>
            <w:sz w:val="20"/>
            <w:szCs w:val="20"/>
          </w:rPr>
          <w:tab/>
        </w:r>
        <w:r w:rsidR="00447597" w:rsidRPr="00447597">
          <w:rPr>
            <w:rFonts w:ascii="Arial" w:hAnsi="Arial" w:cs="Arial"/>
            <w:noProof/>
            <w:webHidden/>
            <w:sz w:val="20"/>
            <w:szCs w:val="20"/>
          </w:rPr>
          <w:fldChar w:fldCharType="begin"/>
        </w:r>
        <w:r w:rsidR="00447597" w:rsidRPr="00447597">
          <w:rPr>
            <w:rFonts w:ascii="Arial" w:hAnsi="Arial" w:cs="Arial"/>
            <w:noProof/>
            <w:webHidden/>
            <w:sz w:val="20"/>
            <w:szCs w:val="20"/>
          </w:rPr>
          <w:instrText xml:space="preserve"> PAGEREF _Toc75160014 \h </w:instrText>
        </w:r>
        <w:r w:rsidR="00447597" w:rsidRPr="00447597">
          <w:rPr>
            <w:rFonts w:ascii="Arial" w:hAnsi="Arial" w:cs="Arial"/>
            <w:noProof/>
            <w:webHidden/>
            <w:sz w:val="20"/>
            <w:szCs w:val="20"/>
          </w:rPr>
        </w:r>
        <w:r w:rsidR="00447597" w:rsidRPr="00447597">
          <w:rPr>
            <w:rFonts w:ascii="Arial" w:hAnsi="Arial" w:cs="Arial"/>
            <w:noProof/>
            <w:webHidden/>
            <w:sz w:val="20"/>
            <w:szCs w:val="20"/>
          </w:rPr>
          <w:fldChar w:fldCharType="separate"/>
        </w:r>
        <w:r w:rsidR="00447597" w:rsidRPr="00447597">
          <w:rPr>
            <w:rFonts w:ascii="Arial" w:hAnsi="Arial" w:cs="Arial"/>
            <w:noProof/>
            <w:webHidden/>
            <w:sz w:val="20"/>
            <w:szCs w:val="20"/>
          </w:rPr>
          <w:t>19</w:t>
        </w:r>
        <w:r w:rsidR="00447597" w:rsidRPr="00447597">
          <w:rPr>
            <w:rFonts w:ascii="Arial" w:hAnsi="Arial" w:cs="Arial"/>
            <w:noProof/>
            <w:webHidden/>
            <w:sz w:val="20"/>
            <w:szCs w:val="20"/>
          </w:rPr>
          <w:fldChar w:fldCharType="end"/>
        </w:r>
      </w:hyperlink>
    </w:p>
    <w:p w14:paraId="596A7D98" w14:textId="77777777" w:rsidR="00447597" w:rsidRPr="00447597" w:rsidRDefault="00451C90">
      <w:pPr>
        <w:pStyle w:val="Kazalovsebine2"/>
        <w:tabs>
          <w:tab w:val="left" w:pos="800"/>
          <w:tab w:val="right" w:leader="dot" w:pos="9054"/>
        </w:tabs>
        <w:rPr>
          <w:rFonts w:ascii="Arial" w:eastAsiaTheme="minorEastAsia" w:hAnsi="Arial" w:cs="Arial"/>
          <w:b w:val="0"/>
          <w:bCs w:val="0"/>
          <w:noProof/>
          <w:sz w:val="20"/>
          <w:szCs w:val="20"/>
          <w:lang w:eastAsia="sl-SI"/>
        </w:rPr>
      </w:pPr>
      <w:hyperlink w:anchor="_Toc75160015" w:history="1">
        <w:r w:rsidR="00447597" w:rsidRPr="00447597">
          <w:rPr>
            <w:rStyle w:val="Hiperpovezava"/>
            <w:rFonts w:ascii="Arial" w:hAnsi="Arial" w:cs="Arial"/>
            <w:noProof/>
            <w:sz w:val="20"/>
            <w:szCs w:val="20"/>
          </w:rPr>
          <w:t>6.2</w:t>
        </w:r>
        <w:r w:rsidR="00447597" w:rsidRPr="00447597">
          <w:rPr>
            <w:rFonts w:ascii="Arial" w:eastAsiaTheme="minorEastAsia" w:hAnsi="Arial" w:cs="Arial"/>
            <w:b w:val="0"/>
            <w:bCs w:val="0"/>
            <w:noProof/>
            <w:sz w:val="20"/>
            <w:szCs w:val="20"/>
            <w:lang w:eastAsia="sl-SI"/>
          </w:rPr>
          <w:tab/>
        </w:r>
        <w:r w:rsidR="00447597" w:rsidRPr="00447597">
          <w:rPr>
            <w:rStyle w:val="Hiperpovezava"/>
            <w:rFonts w:ascii="Arial" w:hAnsi="Arial" w:cs="Arial"/>
            <w:noProof/>
            <w:sz w:val="20"/>
            <w:szCs w:val="20"/>
          </w:rPr>
          <w:t>Dodelitev identifikacijske številke aranžmaja in razkritja,  obveščanje o dodeljeni številki aranžmaja in razkritja</w:t>
        </w:r>
        <w:r w:rsidR="00447597" w:rsidRPr="00447597">
          <w:rPr>
            <w:rFonts w:ascii="Arial" w:hAnsi="Arial" w:cs="Arial"/>
            <w:noProof/>
            <w:webHidden/>
            <w:sz w:val="20"/>
            <w:szCs w:val="20"/>
          </w:rPr>
          <w:tab/>
        </w:r>
        <w:r w:rsidR="00447597" w:rsidRPr="00447597">
          <w:rPr>
            <w:rFonts w:ascii="Arial" w:hAnsi="Arial" w:cs="Arial"/>
            <w:noProof/>
            <w:webHidden/>
            <w:sz w:val="20"/>
            <w:szCs w:val="20"/>
          </w:rPr>
          <w:fldChar w:fldCharType="begin"/>
        </w:r>
        <w:r w:rsidR="00447597" w:rsidRPr="00447597">
          <w:rPr>
            <w:rFonts w:ascii="Arial" w:hAnsi="Arial" w:cs="Arial"/>
            <w:noProof/>
            <w:webHidden/>
            <w:sz w:val="20"/>
            <w:szCs w:val="20"/>
          </w:rPr>
          <w:instrText xml:space="preserve"> PAGEREF _Toc75160015 \h </w:instrText>
        </w:r>
        <w:r w:rsidR="00447597" w:rsidRPr="00447597">
          <w:rPr>
            <w:rFonts w:ascii="Arial" w:hAnsi="Arial" w:cs="Arial"/>
            <w:noProof/>
            <w:webHidden/>
            <w:sz w:val="20"/>
            <w:szCs w:val="20"/>
          </w:rPr>
        </w:r>
        <w:r w:rsidR="00447597" w:rsidRPr="00447597">
          <w:rPr>
            <w:rFonts w:ascii="Arial" w:hAnsi="Arial" w:cs="Arial"/>
            <w:noProof/>
            <w:webHidden/>
            <w:sz w:val="20"/>
            <w:szCs w:val="20"/>
          </w:rPr>
          <w:fldChar w:fldCharType="separate"/>
        </w:r>
        <w:r w:rsidR="00447597" w:rsidRPr="00447597">
          <w:rPr>
            <w:rFonts w:ascii="Arial" w:hAnsi="Arial" w:cs="Arial"/>
            <w:noProof/>
            <w:webHidden/>
            <w:sz w:val="20"/>
            <w:szCs w:val="20"/>
          </w:rPr>
          <w:t>19</w:t>
        </w:r>
        <w:r w:rsidR="00447597" w:rsidRPr="00447597">
          <w:rPr>
            <w:rFonts w:ascii="Arial" w:hAnsi="Arial" w:cs="Arial"/>
            <w:noProof/>
            <w:webHidden/>
            <w:sz w:val="20"/>
            <w:szCs w:val="20"/>
          </w:rPr>
          <w:fldChar w:fldCharType="end"/>
        </w:r>
      </w:hyperlink>
    </w:p>
    <w:p w14:paraId="65611E49" w14:textId="77777777" w:rsidR="00447597" w:rsidRPr="00447597" w:rsidRDefault="00451C90">
      <w:pPr>
        <w:pStyle w:val="Kazalovsebine2"/>
        <w:tabs>
          <w:tab w:val="left" w:pos="800"/>
          <w:tab w:val="right" w:leader="dot" w:pos="9054"/>
        </w:tabs>
        <w:rPr>
          <w:rFonts w:ascii="Arial" w:eastAsiaTheme="minorEastAsia" w:hAnsi="Arial" w:cs="Arial"/>
          <w:b w:val="0"/>
          <w:bCs w:val="0"/>
          <w:noProof/>
          <w:sz w:val="20"/>
          <w:szCs w:val="20"/>
          <w:lang w:eastAsia="sl-SI"/>
        </w:rPr>
      </w:pPr>
      <w:hyperlink w:anchor="_Toc75160016" w:history="1">
        <w:r w:rsidR="00447597" w:rsidRPr="00447597">
          <w:rPr>
            <w:rStyle w:val="Hiperpovezava"/>
            <w:rFonts w:ascii="Arial" w:hAnsi="Arial" w:cs="Arial"/>
            <w:noProof/>
            <w:sz w:val="20"/>
            <w:szCs w:val="20"/>
          </w:rPr>
          <w:t>6.3</w:t>
        </w:r>
        <w:r w:rsidR="00447597" w:rsidRPr="00447597">
          <w:rPr>
            <w:rFonts w:ascii="Arial" w:eastAsiaTheme="minorEastAsia" w:hAnsi="Arial" w:cs="Arial"/>
            <w:b w:val="0"/>
            <w:bCs w:val="0"/>
            <w:noProof/>
            <w:sz w:val="20"/>
            <w:szCs w:val="20"/>
            <w:lang w:eastAsia="sl-SI"/>
          </w:rPr>
          <w:tab/>
        </w:r>
        <w:r w:rsidR="00447597" w:rsidRPr="00447597">
          <w:rPr>
            <w:rStyle w:val="Hiperpovezava"/>
            <w:rFonts w:ascii="Arial" w:hAnsi="Arial" w:cs="Arial"/>
            <w:noProof/>
            <w:sz w:val="20"/>
            <w:szCs w:val="20"/>
          </w:rPr>
          <w:t>Primeri: pridobivanje dodatnih informacij o aranžmaju</w:t>
        </w:r>
        <w:r w:rsidR="00447597" w:rsidRPr="00447597">
          <w:rPr>
            <w:rFonts w:ascii="Arial" w:hAnsi="Arial" w:cs="Arial"/>
            <w:noProof/>
            <w:webHidden/>
            <w:sz w:val="20"/>
            <w:szCs w:val="20"/>
          </w:rPr>
          <w:tab/>
        </w:r>
        <w:r w:rsidR="00447597" w:rsidRPr="00447597">
          <w:rPr>
            <w:rFonts w:ascii="Arial" w:hAnsi="Arial" w:cs="Arial"/>
            <w:noProof/>
            <w:webHidden/>
            <w:sz w:val="20"/>
            <w:szCs w:val="20"/>
          </w:rPr>
          <w:fldChar w:fldCharType="begin"/>
        </w:r>
        <w:r w:rsidR="00447597" w:rsidRPr="00447597">
          <w:rPr>
            <w:rFonts w:ascii="Arial" w:hAnsi="Arial" w:cs="Arial"/>
            <w:noProof/>
            <w:webHidden/>
            <w:sz w:val="20"/>
            <w:szCs w:val="20"/>
          </w:rPr>
          <w:instrText xml:space="preserve"> PAGEREF _Toc75160016 \h </w:instrText>
        </w:r>
        <w:r w:rsidR="00447597" w:rsidRPr="00447597">
          <w:rPr>
            <w:rFonts w:ascii="Arial" w:hAnsi="Arial" w:cs="Arial"/>
            <w:noProof/>
            <w:webHidden/>
            <w:sz w:val="20"/>
            <w:szCs w:val="20"/>
          </w:rPr>
        </w:r>
        <w:r w:rsidR="00447597" w:rsidRPr="00447597">
          <w:rPr>
            <w:rFonts w:ascii="Arial" w:hAnsi="Arial" w:cs="Arial"/>
            <w:noProof/>
            <w:webHidden/>
            <w:sz w:val="20"/>
            <w:szCs w:val="20"/>
          </w:rPr>
          <w:fldChar w:fldCharType="separate"/>
        </w:r>
        <w:r w:rsidR="00447597" w:rsidRPr="00447597">
          <w:rPr>
            <w:rFonts w:ascii="Arial" w:hAnsi="Arial" w:cs="Arial"/>
            <w:noProof/>
            <w:webHidden/>
            <w:sz w:val="20"/>
            <w:szCs w:val="20"/>
          </w:rPr>
          <w:t>20</w:t>
        </w:r>
        <w:r w:rsidR="00447597" w:rsidRPr="00447597">
          <w:rPr>
            <w:rFonts w:ascii="Arial" w:hAnsi="Arial" w:cs="Arial"/>
            <w:noProof/>
            <w:webHidden/>
            <w:sz w:val="20"/>
            <w:szCs w:val="20"/>
          </w:rPr>
          <w:fldChar w:fldCharType="end"/>
        </w:r>
      </w:hyperlink>
    </w:p>
    <w:p w14:paraId="59D3D034" w14:textId="77777777" w:rsidR="00447597" w:rsidRPr="00447597" w:rsidRDefault="00451C90">
      <w:pPr>
        <w:pStyle w:val="Kazalovsebine1"/>
        <w:tabs>
          <w:tab w:val="left" w:pos="400"/>
          <w:tab w:val="right" w:leader="dot" w:pos="9054"/>
        </w:tabs>
        <w:rPr>
          <w:rFonts w:eastAsiaTheme="minorEastAsia" w:cs="Arial"/>
          <w:b w:val="0"/>
          <w:bCs w:val="0"/>
          <w:iCs w:val="0"/>
          <w:noProof/>
          <w:szCs w:val="20"/>
          <w:lang w:eastAsia="sl-SI"/>
        </w:rPr>
      </w:pPr>
      <w:hyperlink w:anchor="_Toc75160017" w:history="1">
        <w:r w:rsidR="00447597" w:rsidRPr="00447597">
          <w:rPr>
            <w:rStyle w:val="Hiperpovezava"/>
            <w:rFonts w:cs="Arial"/>
            <w:noProof/>
            <w:szCs w:val="20"/>
          </w:rPr>
          <w:t>7</w:t>
        </w:r>
        <w:r w:rsidR="00447597" w:rsidRPr="00447597">
          <w:rPr>
            <w:rFonts w:eastAsiaTheme="minorEastAsia" w:cs="Arial"/>
            <w:b w:val="0"/>
            <w:bCs w:val="0"/>
            <w:iCs w:val="0"/>
            <w:noProof/>
            <w:szCs w:val="20"/>
            <w:lang w:eastAsia="sl-SI"/>
          </w:rPr>
          <w:tab/>
        </w:r>
        <w:r w:rsidR="00447597" w:rsidRPr="00447597">
          <w:rPr>
            <w:rStyle w:val="Hiperpovezava"/>
            <w:rFonts w:cs="Arial"/>
            <w:noProof/>
            <w:szCs w:val="20"/>
          </w:rPr>
          <w:t>PREPOZNAVNE ZNAČILNOSTI (HALLMARKS)</w:t>
        </w:r>
        <w:r w:rsidR="00447597" w:rsidRPr="00447597">
          <w:rPr>
            <w:rFonts w:cs="Arial"/>
            <w:noProof/>
            <w:webHidden/>
            <w:szCs w:val="20"/>
          </w:rPr>
          <w:tab/>
        </w:r>
        <w:r w:rsidR="00447597" w:rsidRPr="00447597">
          <w:rPr>
            <w:rFonts w:cs="Arial"/>
            <w:noProof/>
            <w:webHidden/>
            <w:szCs w:val="20"/>
          </w:rPr>
          <w:fldChar w:fldCharType="begin"/>
        </w:r>
        <w:r w:rsidR="00447597" w:rsidRPr="00447597">
          <w:rPr>
            <w:rFonts w:cs="Arial"/>
            <w:noProof/>
            <w:webHidden/>
            <w:szCs w:val="20"/>
          </w:rPr>
          <w:instrText xml:space="preserve"> PAGEREF _Toc75160017 \h </w:instrText>
        </w:r>
        <w:r w:rsidR="00447597" w:rsidRPr="00447597">
          <w:rPr>
            <w:rFonts w:cs="Arial"/>
            <w:noProof/>
            <w:webHidden/>
            <w:szCs w:val="20"/>
          </w:rPr>
        </w:r>
        <w:r w:rsidR="00447597" w:rsidRPr="00447597">
          <w:rPr>
            <w:rFonts w:cs="Arial"/>
            <w:noProof/>
            <w:webHidden/>
            <w:szCs w:val="20"/>
          </w:rPr>
          <w:fldChar w:fldCharType="separate"/>
        </w:r>
        <w:r w:rsidR="00447597" w:rsidRPr="00447597">
          <w:rPr>
            <w:rFonts w:cs="Arial"/>
            <w:noProof/>
            <w:webHidden/>
            <w:szCs w:val="20"/>
          </w:rPr>
          <w:t>22</w:t>
        </w:r>
        <w:r w:rsidR="00447597" w:rsidRPr="00447597">
          <w:rPr>
            <w:rFonts w:cs="Arial"/>
            <w:noProof/>
            <w:webHidden/>
            <w:szCs w:val="20"/>
          </w:rPr>
          <w:fldChar w:fldCharType="end"/>
        </w:r>
      </w:hyperlink>
    </w:p>
    <w:p w14:paraId="2DE73422" w14:textId="77777777" w:rsidR="00447597" w:rsidRPr="00447597" w:rsidRDefault="00451C90">
      <w:pPr>
        <w:pStyle w:val="Kazalovsebine2"/>
        <w:tabs>
          <w:tab w:val="left" w:pos="800"/>
          <w:tab w:val="right" w:leader="dot" w:pos="9054"/>
        </w:tabs>
        <w:rPr>
          <w:rFonts w:ascii="Arial" w:eastAsiaTheme="minorEastAsia" w:hAnsi="Arial" w:cs="Arial"/>
          <w:b w:val="0"/>
          <w:bCs w:val="0"/>
          <w:noProof/>
          <w:sz w:val="20"/>
          <w:szCs w:val="20"/>
          <w:lang w:eastAsia="sl-SI"/>
        </w:rPr>
      </w:pPr>
      <w:hyperlink w:anchor="_Toc75160018" w:history="1">
        <w:r w:rsidR="00447597" w:rsidRPr="00447597">
          <w:rPr>
            <w:rStyle w:val="Hiperpovezava"/>
            <w:rFonts w:ascii="Arial" w:hAnsi="Arial" w:cs="Arial"/>
            <w:noProof/>
            <w:sz w:val="20"/>
            <w:szCs w:val="20"/>
          </w:rPr>
          <w:t>7.1</w:t>
        </w:r>
        <w:r w:rsidR="00447597" w:rsidRPr="00447597">
          <w:rPr>
            <w:rFonts w:ascii="Arial" w:eastAsiaTheme="minorEastAsia" w:hAnsi="Arial" w:cs="Arial"/>
            <w:b w:val="0"/>
            <w:bCs w:val="0"/>
            <w:noProof/>
            <w:sz w:val="20"/>
            <w:szCs w:val="20"/>
            <w:lang w:eastAsia="sl-SI"/>
          </w:rPr>
          <w:tab/>
        </w:r>
        <w:r w:rsidR="00447597" w:rsidRPr="00447597">
          <w:rPr>
            <w:rStyle w:val="Hiperpovezava"/>
            <w:rFonts w:ascii="Arial" w:hAnsi="Arial" w:cs="Arial"/>
            <w:noProof/>
            <w:sz w:val="20"/>
            <w:szCs w:val="20"/>
          </w:rPr>
          <w:t>PRESKUS GLAVNE KORISTI</w:t>
        </w:r>
        <w:r w:rsidR="00447597" w:rsidRPr="00447597">
          <w:rPr>
            <w:rFonts w:ascii="Arial" w:hAnsi="Arial" w:cs="Arial"/>
            <w:noProof/>
            <w:webHidden/>
            <w:sz w:val="20"/>
            <w:szCs w:val="20"/>
          </w:rPr>
          <w:tab/>
        </w:r>
        <w:r w:rsidR="00447597" w:rsidRPr="00447597">
          <w:rPr>
            <w:rFonts w:ascii="Arial" w:hAnsi="Arial" w:cs="Arial"/>
            <w:noProof/>
            <w:webHidden/>
            <w:sz w:val="20"/>
            <w:szCs w:val="20"/>
          </w:rPr>
          <w:fldChar w:fldCharType="begin"/>
        </w:r>
        <w:r w:rsidR="00447597" w:rsidRPr="00447597">
          <w:rPr>
            <w:rFonts w:ascii="Arial" w:hAnsi="Arial" w:cs="Arial"/>
            <w:noProof/>
            <w:webHidden/>
            <w:sz w:val="20"/>
            <w:szCs w:val="20"/>
          </w:rPr>
          <w:instrText xml:space="preserve"> PAGEREF _Toc75160018 \h </w:instrText>
        </w:r>
        <w:r w:rsidR="00447597" w:rsidRPr="00447597">
          <w:rPr>
            <w:rFonts w:ascii="Arial" w:hAnsi="Arial" w:cs="Arial"/>
            <w:noProof/>
            <w:webHidden/>
            <w:sz w:val="20"/>
            <w:szCs w:val="20"/>
          </w:rPr>
        </w:r>
        <w:r w:rsidR="00447597" w:rsidRPr="00447597">
          <w:rPr>
            <w:rFonts w:ascii="Arial" w:hAnsi="Arial" w:cs="Arial"/>
            <w:noProof/>
            <w:webHidden/>
            <w:sz w:val="20"/>
            <w:szCs w:val="20"/>
          </w:rPr>
          <w:fldChar w:fldCharType="separate"/>
        </w:r>
        <w:r w:rsidR="00447597" w:rsidRPr="00447597">
          <w:rPr>
            <w:rFonts w:ascii="Arial" w:hAnsi="Arial" w:cs="Arial"/>
            <w:noProof/>
            <w:webHidden/>
            <w:sz w:val="20"/>
            <w:szCs w:val="20"/>
          </w:rPr>
          <w:t>22</w:t>
        </w:r>
        <w:r w:rsidR="00447597" w:rsidRPr="00447597">
          <w:rPr>
            <w:rFonts w:ascii="Arial" w:hAnsi="Arial" w:cs="Arial"/>
            <w:noProof/>
            <w:webHidden/>
            <w:sz w:val="20"/>
            <w:szCs w:val="20"/>
          </w:rPr>
          <w:fldChar w:fldCharType="end"/>
        </w:r>
      </w:hyperlink>
    </w:p>
    <w:p w14:paraId="19C7BCA5" w14:textId="77777777" w:rsidR="00447597" w:rsidRPr="00447597" w:rsidRDefault="00451C90">
      <w:pPr>
        <w:pStyle w:val="Kazalovsebine3"/>
        <w:tabs>
          <w:tab w:val="right" w:leader="dot" w:pos="9054"/>
        </w:tabs>
        <w:rPr>
          <w:rFonts w:ascii="Arial" w:eastAsiaTheme="minorEastAsia" w:hAnsi="Arial" w:cs="Arial"/>
          <w:noProof/>
          <w:lang w:eastAsia="sl-SI"/>
        </w:rPr>
      </w:pPr>
      <w:hyperlink w:anchor="_Toc75160019" w:history="1">
        <w:r w:rsidR="00447597" w:rsidRPr="00447597">
          <w:rPr>
            <w:rStyle w:val="Hiperpovezava"/>
            <w:rFonts w:ascii="Arial" w:hAnsi="Arial" w:cs="Arial"/>
            <w:noProof/>
          </w:rPr>
          <w:t>Primeri: test glavne koristi</w:t>
        </w:r>
        <w:r w:rsidR="00447597" w:rsidRPr="00447597">
          <w:rPr>
            <w:rFonts w:ascii="Arial" w:hAnsi="Arial" w:cs="Arial"/>
            <w:noProof/>
            <w:webHidden/>
          </w:rPr>
          <w:tab/>
        </w:r>
        <w:r w:rsidR="00447597" w:rsidRPr="00447597">
          <w:rPr>
            <w:rFonts w:ascii="Arial" w:hAnsi="Arial" w:cs="Arial"/>
            <w:noProof/>
            <w:webHidden/>
          </w:rPr>
          <w:fldChar w:fldCharType="begin"/>
        </w:r>
        <w:r w:rsidR="00447597" w:rsidRPr="00447597">
          <w:rPr>
            <w:rFonts w:ascii="Arial" w:hAnsi="Arial" w:cs="Arial"/>
            <w:noProof/>
            <w:webHidden/>
          </w:rPr>
          <w:instrText xml:space="preserve"> PAGEREF _Toc75160019 \h </w:instrText>
        </w:r>
        <w:r w:rsidR="00447597" w:rsidRPr="00447597">
          <w:rPr>
            <w:rFonts w:ascii="Arial" w:hAnsi="Arial" w:cs="Arial"/>
            <w:noProof/>
            <w:webHidden/>
          </w:rPr>
        </w:r>
        <w:r w:rsidR="00447597" w:rsidRPr="00447597">
          <w:rPr>
            <w:rFonts w:ascii="Arial" w:hAnsi="Arial" w:cs="Arial"/>
            <w:noProof/>
            <w:webHidden/>
          </w:rPr>
          <w:fldChar w:fldCharType="separate"/>
        </w:r>
        <w:r w:rsidR="00447597" w:rsidRPr="00447597">
          <w:rPr>
            <w:rFonts w:ascii="Arial" w:hAnsi="Arial" w:cs="Arial"/>
            <w:noProof/>
            <w:webHidden/>
          </w:rPr>
          <w:t>23</w:t>
        </w:r>
        <w:r w:rsidR="00447597" w:rsidRPr="00447597">
          <w:rPr>
            <w:rFonts w:ascii="Arial" w:hAnsi="Arial" w:cs="Arial"/>
            <w:noProof/>
            <w:webHidden/>
          </w:rPr>
          <w:fldChar w:fldCharType="end"/>
        </w:r>
      </w:hyperlink>
    </w:p>
    <w:p w14:paraId="1E9CB393" w14:textId="77777777" w:rsidR="00447597" w:rsidRPr="00447597" w:rsidRDefault="00451C90">
      <w:pPr>
        <w:pStyle w:val="Kazalovsebine2"/>
        <w:tabs>
          <w:tab w:val="left" w:pos="800"/>
          <w:tab w:val="right" w:leader="dot" w:pos="9054"/>
        </w:tabs>
        <w:rPr>
          <w:rFonts w:ascii="Arial" w:eastAsiaTheme="minorEastAsia" w:hAnsi="Arial" w:cs="Arial"/>
          <w:b w:val="0"/>
          <w:bCs w:val="0"/>
          <w:noProof/>
          <w:sz w:val="20"/>
          <w:szCs w:val="20"/>
          <w:lang w:eastAsia="sl-SI"/>
        </w:rPr>
      </w:pPr>
      <w:hyperlink w:anchor="_Toc75160020" w:history="1">
        <w:r w:rsidR="00447597" w:rsidRPr="00447597">
          <w:rPr>
            <w:rStyle w:val="Hiperpovezava"/>
            <w:rFonts w:ascii="Arial" w:hAnsi="Arial" w:cs="Arial"/>
            <w:noProof/>
            <w:sz w:val="20"/>
            <w:szCs w:val="20"/>
          </w:rPr>
          <w:t>7.2</w:t>
        </w:r>
        <w:r w:rsidR="00447597" w:rsidRPr="00447597">
          <w:rPr>
            <w:rFonts w:ascii="Arial" w:eastAsiaTheme="minorEastAsia" w:hAnsi="Arial" w:cs="Arial"/>
            <w:b w:val="0"/>
            <w:bCs w:val="0"/>
            <w:noProof/>
            <w:sz w:val="20"/>
            <w:szCs w:val="20"/>
            <w:lang w:eastAsia="sl-SI"/>
          </w:rPr>
          <w:tab/>
        </w:r>
        <w:r w:rsidR="00447597" w:rsidRPr="00447597">
          <w:rPr>
            <w:rStyle w:val="Hiperpovezava"/>
            <w:rFonts w:ascii="Arial" w:hAnsi="Arial" w:cs="Arial"/>
            <w:noProof/>
            <w:sz w:val="20"/>
            <w:szCs w:val="20"/>
          </w:rPr>
          <w:t>A. SPLOŠNE PREPOZNAVNE ZNAČILNOSTI, POVEZANE S PRESKUSOM GLAVNE KORISTI</w:t>
        </w:r>
        <w:r w:rsidR="00447597" w:rsidRPr="00447597">
          <w:rPr>
            <w:rFonts w:ascii="Arial" w:hAnsi="Arial" w:cs="Arial"/>
            <w:noProof/>
            <w:webHidden/>
            <w:sz w:val="20"/>
            <w:szCs w:val="20"/>
          </w:rPr>
          <w:tab/>
        </w:r>
        <w:r w:rsidR="00447597" w:rsidRPr="00447597">
          <w:rPr>
            <w:rFonts w:ascii="Arial" w:hAnsi="Arial" w:cs="Arial"/>
            <w:noProof/>
            <w:webHidden/>
            <w:sz w:val="20"/>
            <w:szCs w:val="20"/>
          </w:rPr>
          <w:fldChar w:fldCharType="begin"/>
        </w:r>
        <w:r w:rsidR="00447597" w:rsidRPr="00447597">
          <w:rPr>
            <w:rFonts w:ascii="Arial" w:hAnsi="Arial" w:cs="Arial"/>
            <w:noProof/>
            <w:webHidden/>
            <w:sz w:val="20"/>
            <w:szCs w:val="20"/>
          </w:rPr>
          <w:instrText xml:space="preserve"> PAGEREF _Toc75160020 \h </w:instrText>
        </w:r>
        <w:r w:rsidR="00447597" w:rsidRPr="00447597">
          <w:rPr>
            <w:rFonts w:ascii="Arial" w:hAnsi="Arial" w:cs="Arial"/>
            <w:noProof/>
            <w:webHidden/>
            <w:sz w:val="20"/>
            <w:szCs w:val="20"/>
          </w:rPr>
        </w:r>
        <w:r w:rsidR="00447597" w:rsidRPr="00447597">
          <w:rPr>
            <w:rFonts w:ascii="Arial" w:hAnsi="Arial" w:cs="Arial"/>
            <w:noProof/>
            <w:webHidden/>
            <w:sz w:val="20"/>
            <w:szCs w:val="20"/>
          </w:rPr>
          <w:fldChar w:fldCharType="separate"/>
        </w:r>
        <w:r w:rsidR="00447597" w:rsidRPr="00447597">
          <w:rPr>
            <w:rFonts w:ascii="Arial" w:hAnsi="Arial" w:cs="Arial"/>
            <w:noProof/>
            <w:webHidden/>
            <w:sz w:val="20"/>
            <w:szCs w:val="20"/>
          </w:rPr>
          <w:t>24</w:t>
        </w:r>
        <w:r w:rsidR="00447597" w:rsidRPr="00447597">
          <w:rPr>
            <w:rFonts w:ascii="Arial" w:hAnsi="Arial" w:cs="Arial"/>
            <w:noProof/>
            <w:webHidden/>
            <w:sz w:val="20"/>
            <w:szCs w:val="20"/>
          </w:rPr>
          <w:fldChar w:fldCharType="end"/>
        </w:r>
      </w:hyperlink>
    </w:p>
    <w:p w14:paraId="7CA1D9A1" w14:textId="77777777" w:rsidR="00447597" w:rsidRPr="00447597" w:rsidRDefault="00451C90">
      <w:pPr>
        <w:pStyle w:val="Kazalovsebine3"/>
        <w:tabs>
          <w:tab w:val="right" w:leader="dot" w:pos="9054"/>
        </w:tabs>
        <w:rPr>
          <w:rFonts w:ascii="Arial" w:eastAsiaTheme="minorEastAsia" w:hAnsi="Arial" w:cs="Arial"/>
          <w:noProof/>
          <w:lang w:eastAsia="sl-SI"/>
        </w:rPr>
      </w:pPr>
      <w:hyperlink w:anchor="_Toc75160021" w:history="1">
        <w:r w:rsidR="00447597" w:rsidRPr="00447597">
          <w:rPr>
            <w:rStyle w:val="Hiperpovezava"/>
            <w:rFonts w:ascii="Arial" w:hAnsi="Arial" w:cs="Arial"/>
            <w:noProof/>
          </w:rPr>
          <w:t>A1. Aranžma, pri katerem se zadevni davčni zavezanec ali udeleženec v aranžmaju zaveže, da bo upošteval pogoj zaupnosti,</w:t>
        </w:r>
        <w:r w:rsidR="00447597" w:rsidRPr="00447597">
          <w:rPr>
            <w:rFonts w:ascii="Arial" w:hAnsi="Arial" w:cs="Arial"/>
            <w:noProof/>
            <w:webHidden/>
          </w:rPr>
          <w:tab/>
        </w:r>
        <w:r w:rsidR="00447597" w:rsidRPr="00447597">
          <w:rPr>
            <w:rFonts w:ascii="Arial" w:hAnsi="Arial" w:cs="Arial"/>
            <w:noProof/>
            <w:webHidden/>
          </w:rPr>
          <w:fldChar w:fldCharType="begin"/>
        </w:r>
        <w:r w:rsidR="00447597" w:rsidRPr="00447597">
          <w:rPr>
            <w:rFonts w:ascii="Arial" w:hAnsi="Arial" w:cs="Arial"/>
            <w:noProof/>
            <w:webHidden/>
          </w:rPr>
          <w:instrText xml:space="preserve"> PAGEREF _Toc75160021 \h </w:instrText>
        </w:r>
        <w:r w:rsidR="00447597" w:rsidRPr="00447597">
          <w:rPr>
            <w:rFonts w:ascii="Arial" w:hAnsi="Arial" w:cs="Arial"/>
            <w:noProof/>
            <w:webHidden/>
          </w:rPr>
        </w:r>
        <w:r w:rsidR="00447597" w:rsidRPr="00447597">
          <w:rPr>
            <w:rFonts w:ascii="Arial" w:hAnsi="Arial" w:cs="Arial"/>
            <w:noProof/>
            <w:webHidden/>
          </w:rPr>
          <w:fldChar w:fldCharType="separate"/>
        </w:r>
        <w:r w:rsidR="00447597" w:rsidRPr="00447597">
          <w:rPr>
            <w:rFonts w:ascii="Arial" w:hAnsi="Arial" w:cs="Arial"/>
            <w:noProof/>
            <w:webHidden/>
          </w:rPr>
          <w:t>24</w:t>
        </w:r>
        <w:r w:rsidR="00447597" w:rsidRPr="00447597">
          <w:rPr>
            <w:rFonts w:ascii="Arial" w:hAnsi="Arial" w:cs="Arial"/>
            <w:noProof/>
            <w:webHidden/>
          </w:rPr>
          <w:fldChar w:fldCharType="end"/>
        </w:r>
      </w:hyperlink>
    </w:p>
    <w:p w14:paraId="6826DD69" w14:textId="77777777" w:rsidR="00447597" w:rsidRPr="00447597" w:rsidRDefault="00451C90">
      <w:pPr>
        <w:pStyle w:val="Kazalovsebine3"/>
        <w:tabs>
          <w:tab w:val="right" w:leader="dot" w:pos="9054"/>
        </w:tabs>
        <w:rPr>
          <w:rFonts w:ascii="Arial" w:eastAsiaTheme="minorEastAsia" w:hAnsi="Arial" w:cs="Arial"/>
          <w:noProof/>
          <w:lang w:eastAsia="sl-SI"/>
        </w:rPr>
      </w:pPr>
      <w:hyperlink w:anchor="_Toc75160022" w:history="1">
        <w:r w:rsidR="00447597" w:rsidRPr="00447597">
          <w:rPr>
            <w:rStyle w:val="Hiperpovezava"/>
            <w:rFonts w:ascii="Arial" w:hAnsi="Arial" w:cs="Arial"/>
            <w:noProof/>
          </w:rPr>
          <w:t>A2. Aranžma, pri katerem je posrednik upravičen do plačila (ali obresti ter nadomestila za stroške financiranja in druge stroške) za aranžma</w:t>
        </w:r>
        <w:r w:rsidR="00447597" w:rsidRPr="00447597">
          <w:rPr>
            <w:rFonts w:ascii="Arial" w:hAnsi="Arial" w:cs="Arial"/>
            <w:noProof/>
            <w:webHidden/>
          </w:rPr>
          <w:tab/>
        </w:r>
        <w:r w:rsidR="00447597" w:rsidRPr="00447597">
          <w:rPr>
            <w:rFonts w:ascii="Arial" w:hAnsi="Arial" w:cs="Arial"/>
            <w:noProof/>
            <w:webHidden/>
          </w:rPr>
          <w:fldChar w:fldCharType="begin"/>
        </w:r>
        <w:r w:rsidR="00447597" w:rsidRPr="00447597">
          <w:rPr>
            <w:rFonts w:ascii="Arial" w:hAnsi="Arial" w:cs="Arial"/>
            <w:noProof/>
            <w:webHidden/>
          </w:rPr>
          <w:instrText xml:space="preserve"> PAGEREF _Toc75160022 \h </w:instrText>
        </w:r>
        <w:r w:rsidR="00447597" w:rsidRPr="00447597">
          <w:rPr>
            <w:rFonts w:ascii="Arial" w:hAnsi="Arial" w:cs="Arial"/>
            <w:noProof/>
            <w:webHidden/>
          </w:rPr>
        </w:r>
        <w:r w:rsidR="00447597" w:rsidRPr="00447597">
          <w:rPr>
            <w:rFonts w:ascii="Arial" w:hAnsi="Arial" w:cs="Arial"/>
            <w:noProof/>
            <w:webHidden/>
          </w:rPr>
          <w:fldChar w:fldCharType="separate"/>
        </w:r>
        <w:r w:rsidR="00447597" w:rsidRPr="00447597">
          <w:rPr>
            <w:rFonts w:ascii="Arial" w:hAnsi="Arial" w:cs="Arial"/>
            <w:noProof/>
            <w:webHidden/>
          </w:rPr>
          <w:t>25</w:t>
        </w:r>
        <w:r w:rsidR="00447597" w:rsidRPr="00447597">
          <w:rPr>
            <w:rFonts w:ascii="Arial" w:hAnsi="Arial" w:cs="Arial"/>
            <w:noProof/>
            <w:webHidden/>
          </w:rPr>
          <w:fldChar w:fldCharType="end"/>
        </w:r>
      </w:hyperlink>
    </w:p>
    <w:p w14:paraId="360902F3" w14:textId="77777777" w:rsidR="00447597" w:rsidRPr="00447597" w:rsidRDefault="00451C90">
      <w:pPr>
        <w:pStyle w:val="Kazalovsebine3"/>
        <w:tabs>
          <w:tab w:val="right" w:leader="dot" w:pos="9054"/>
        </w:tabs>
        <w:rPr>
          <w:rFonts w:ascii="Arial" w:eastAsiaTheme="minorEastAsia" w:hAnsi="Arial" w:cs="Arial"/>
          <w:noProof/>
          <w:lang w:eastAsia="sl-SI"/>
        </w:rPr>
      </w:pPr>
      <w:hyperlink w:anchor="_Toc75160023" w:history="1">
        <w:r w:rsidR="00447597" w:rsidRPr="00447597">
          <w:rPr>
            <w:rStyle w:val="Hiperpovezava"/>
            <w:rFonts w:ascii="Arial" w:hAnsi="Arial" w:cs="Arial"/>
            <w:noProof/>
          </w:rPr>
          <w:t>A3. Aranžma, ki je bistveno standardiziral dokumentacijo in/ali strukturo</w:t>
        </w:r>
        <w:r w:rsidR="00447597" w:rsidRPr="00447597">
          <w:rPr>
            <w:rFonts w:ascii="Arial" w:hAnsi="Arial" w:cs="Arial"/>
            <w:noProof/>
            <w:webHidden/>
          </w:rPr>
          <w:tab/>
        </w:r>
        <w:r w:rsidR="00447597" w:rsidRPr="00447597">
          <w:rPr>
            <w:rFonts w:ascii="Arial" w:hAnsi="Arial" w:cs="Arial"/>
            <w:noProof/>
            <w:webHidden/>
          </w:rPr>
          <w:fldChar w:fldCharType="begin"/>
        </w:r>
        <w:r w:rsidR="00447597" w:rsidRPr="00447597">
          <w:rPr>
            <w:rFonts w:ascii="Arial" w:hAnsi="Arial" w:cs="Arial"/>
            <w:noProof/>
            <w:webHidden/>
          </w:rPr>
          <w:instrText xml:space="preserve"> PAGEREF _Toc75160023 \h </w:instrText>
        </w:r>
        <w:r w:rsidR="00447597" w:rsidRPr="00447597">
          <w:rPr>
            <w:rFonts w:ascii="Arial" w:hAnsi="Arial" w:cs="Arial"/>
            <w:noProof/>
            <w:webHidden/>
          </w:rPr>
        </w:r>
        <w:r w:rsidR="00447597" w:rsidRPr="00447597">
          <w:rPr>
            <w:rFonts w:ascii="Arial" w:hAnsi="Arial" w:cs="Arial"/>
            <w:noProof/>
            <w:webHidden/>
          </w:rPr>
          <w:fldChar w:fldCharType="separate"/>
        </w:r>
        <w:r w:rsidR="00447597" w:rsidRPr="00447597">
          <w:rPr>
            <w:rFonts w:ascii="Arial" w:hAnsi="Arial" w:cs="Arial"/>
            <w:noProof/>
            <w:webHidden/>
          </w:rPr>
          <w:t>26</w:t>
        </w:r>
        <w:r w:rsidR="00447597" w:rsidRPr="00447597">
          <w:rPr>
            <w:rFonts w:ascii="Arial" w:hAnsi="Arial" w:cs="Arial"/>
            <w:noProof/>
            <w:webHidden/>
          </w:rPr>
          <w:fldChar w:fldCharType="end"/>
        </w:r>
      </w:hyperlink>
    </w:p>
    <w:p w14:paraId="12C2FD25" w14:textId="77777777" w:rsidR="00447597" w:rsidRPr="00447597" w:rsidRDefault="00451C90">
      <w:pPr>
        <w:pStyle w:val="Kazalovsebine2"/>
        <w:tabs>
          <w:tab w:val="left" w:pos="800"/>
          <w:tab w:val="right" w:leader="dot" w:pos="9054"/>
        </w:tabs>
        <w:rPr>
          <w:rFonts w:ascii="Arial" w:eastAsiaTheme="minorEastAsia" w:hAnsi="Arial" w:cs="Arial"/>
          <w:b w:val="0"/>
          <w:bCs w:val="0"/>
          <w:noProof/>
          <w:sz w:val="20"/>
          <w:szCs w:val="20"/>
          <w:lang w:eastAsia="sl-SI"/>
        </w:rPr>
      </w:pPr>
      <w:hyperlink w:anchor="_Toc75160024" w:history="1">
        <w:r w:rsidR="00447597" w:rsidRPr="00447597">
          <w:rPr>
            <w:rStyle w:val="Hiperpovezava"/>
            <w:rFonts w:ascii="Arial" w:hAnsi="Arial" w:cs="Arial"/>
            <w:noProof/>
            <w:sz w:val="20"/>
            <w:szCs w:val="20"/>
          </w:rPr>
          <w:t>7.3</w:t>
        </w:r>
        <w:r w:rsidR="00447597" w:rsidRPr="00447597">
          <w:rPr>
            <w:rFonts w:ascii="Arial" w:eastAsiaTheme="minorEastAsia" w:hAnsi="Arial" w:cs="Arial"/>
            <w:b w:val="0"/>
            <w:bCs w:val="0"/>
            <w:noProof/>
            <w:sz w:val="20"/>
            <w:szCs w:val="20"/>
            <w:lang w:eastAsia="sl-SI"/>
          </w:rPr>
          <w:tab/>
        </w:r>
        <w:r w:rsidR="00447597" w:rsidRPr="00447597">
          <w:rPr>
            <w:rStyle w:val="Hiperpovezava"/>
            <w:rFonts w:ascii="Arial" w:hAnsi="Arial" w:cs="Arial"/>
            <w:noProof/>
            <w:sz w:val="20"/>
            <w:szCs w:val="20"/>
          </w:rPr>
          <w:t>B. POSEBNE PREPOZNAVNE ZNAČILNOSTI, POVEZANE S PRESKUSOM GLAVNE KORISTI</w:t>
        </w:r>
        <w:r w:rsidR="00447597" w:rsidRPr="00447597">
          <w:rPr>
            <w:rFonts w:ascii="Arial" w:hAnsi="Arial" w:cs="Arial"/>
            <w:noProof/>
            <w:webHidden/>
            <w:sz w:val="20"/>
            <w:szCs w:val="20"/>
          </w:rPr>
          <w:tab/>
        </w:r>
        <w:r w:rsidR="00447597" w:rsidRPr="00447597">
          <w:rPr>
            <w:rFonts w:ascii="Arial" w:hAnsi="Arial" w:cs="Arial"/>
            <w:noProof/>
            <w:webHidden/>
            <w:sz w:val="20"/>
            <w:szCs w:val="20"/>
          </w:rPr>
          <w:fldChar w:fldCharType="begin"/>
        </w:r>
        <w:r w:rsidR="00447597" w:rsidRPr="00447597">
          <w:rPr>
            <w:rFonts w:ascii="Arial" w:hAnsi="Arial" w:cs="Arial"/>
            <w:noProof/>
            <w:webHidden/>
            <w:sz w:val="20"/>
            <w:szCs w:val="20"/>
          </w:rPr>
          <w:instrText xml:space="preserve"> PAGEREF _Toc75160024 \h </w:instrText>
        </w:r>
        <w:r w:rsidR="00447597" w:rsidRPr="00447597">
          <w:rPr>
            <w:rFonts w:ascii="Arial" w:hAnsi="Arial" w:cs="Arial"/>
            <w:noProof/>
            <w:webHidden/>
            <w:sz w:val="20"/>
            <w:szCs w:val="20"/>
          </w:rPr>
        </w:r>
        <w:r w:rsidR="00447597" w:rsidRPr="00447597">
          <w:rPr>
            <w:rFonts w:ascii="Arial" w:hAnsi="Arial" w:cs="Arial"/>
            <w:noProof/>
            <w:webHidden/>
            <w:sz w:val="20"/>
            <w:szCs w:val="20"/>
          </w:rPr>
          <w:fldChar w:fldCharType="separate"/>
        </w:r>
        <w:r w:rsidR="00447597" w:rsidRPr="00447597">
          <w:rPr>
            <w:rFonts w:ascii="Arial" w:hAnsi="Arial" w:cs="Arial"/>
            <w:noProof/>
            <w:webHidden/>
            <w:sz w:val="20"/>
            <w:szCs w:val="20"/>
          </w:rPr>
          <w:t>27</w:t>
        </w:r>
        <w:r w:rsidR="00447597" w:rsidRPr="00447597">
          <w:rPr>
            <w:rFonts w:ascii="Arial" w:hAnsi="Arial" w:cs="Arial"/>
            <w:noProof/>
            <w:webHidden/>
            <w:sz w:val="20"/>
            <w:szCs w:val="20"/>
          </w:rPr>
          <w:fldChar w:fldCharType="end"/>
        </w:r>
      </w:hyperlink>
    </w:p>
    <w:p w14:paraId="5D763840" w14:textId="77777777" w:rsidR="00447597" w:rsidRPr="00447597" w:rsidRDefault="00451C90">
      <w:pPr>
        <w:pStyle w:val="Kazalovsebine3"/>
        <w:tabs>
          <w:tab w:val="right" w:leader="dot" w:pos="9054"/>
        </w:tabs>
        <w:rPr>
          <w:rFonts w:ascii="Arial" w:eastAsiaTheme="minorEastAsia" w:hAnsi="Arial" w:cs="Arial"/>
          <w:noProof/>
          <w:lang w:eastAsia="sl-SI"/>
        </w:rPr>
      </w:pPr>
      <w:hyperlink w:anchor="_Toc75160025" w:history="1">
        <w:r w:rsidR="00447597" w:rsidRPr="00447597">
          <w:rPr>
            <w:rStyle w:val="Hiperpovezava"/>
            <w:rFonts w:ascii="Arial" w:hAnsi="Arial" w:cs="Arial"/>
            <w:noProof/>
          </w:rPr>
          <w:t>B1. Aranžma, pri katerem udeleženec sprejme navidezne korake</w:t>
        </w:r>
        <w:r w:rsidR="00447597" w:rsidRPr="00447597">
          <w:rPr>
            <w:rFonts w:ascii="Arial" w:hAnsi="Arial" w:cs="Arial"/>
            <w:noProof/>
            <w:webHidden/>
          </w:rPr>
          <w:tab/>
        </w:r>
        <w:r w:rsidR="00447597" w:rsidRPr="00447597">
          <w:rPr>
            <w:rFonts w:ascii="Arial" w:hAnsi="Arial" w:cs="Arial"/>
            <w:noProof/>
            <w:webHidden/>
          </w:rPr>
          <w:fldChar w:fldCharType="begin"/>
        </w:r>
        <w:r w:rsidR="00447597" w:rsidRPr="00447597">
          <w:rPr>
            <w:rFonts w:ascii="Arial" w:hAnsi="Arial" w:cs="Arial"/>
            <w:noProof/>
            <w:webHidden/>
          </w:rPr>
          <w:instrText xml:space="preserve"> PAGEREF _Toc75160025 \h </w:instrText>
        </w:r>
        <w:r w:rsidR="00447597" w:rsidRPr="00447597">
          <w:rPr>
            <w:rFonts w:ascii="Arial" w:hAnsi="Arial" w:cs="Arial"/>
            <w:noProof/>
            <w:webHidden/>
          </w:rPr>
        </w:r>
        <w:r w:rsidR="00447597" w:rsidRPr="00447597">
          <w:rPr>
            <w:rFonts w:ascii="Arial" w:hAnsi="Arial" w:cs="Arial"/>
            <w:noProof/>
            <w:webHidden/>
          </w:rPr>
          <w:fldChar w:fldCharType="separate"/>
        </w:r>
        <w:r w:rsidR="00447597" w:rsidRPr="00447597">
          <w:rPr>
            <w:rFonts w:ascii="Arial" w:hAnsi="Arial" w:cs="Arial"/>
            <w:noProof/>
            <w:webHidden/>
          </w:rPr>
          <w:t>27</w:t>
        </w:r>
        <w:r w:rsidR="00447597" w:rsidRPr="00447597">
          <w:rPr>
            <w:rFonts w:ascii="Arial" w:hAnsi="Arial" w:cs="Arial"/>
            <w:noProof/>
            <w:webHidden/>
          </w:rPr>
          <w:fldChar w:fldCharType="end"/>
        </w:r>
      </w:hyperlink>
    </w:p>
    <w:p w14:paraId="1B58D7DA" w14:textId="77777777" w:rsidR="00447597" w:rsidRPr="00447597" w:rsidRDefault="00451C90">
      <w:pPr>
        <w:pStyle w:val="Kazalovsebine3"/>
        <w:tabs>
          <w:tab w:val="right" w:leader="dot" w:pos="9054"/>
        </w:tabs>
        <w:rPr>
          <w:rFonts w:ascii="Arial" w:eastAsiaTheme="minorEastAsia" w:hAnsi="Arial" w:cs="Arial"/>
          <w:noProof/>
          <w:lang w:eastAsia="sl-SI"/>
        </w:rPr>
      </w:pPr>
      <w:hyperlink w:anchor="_Toc75160026" w:history="1">
        <w:r w:rsidR="00447597" w:rsidRPr="00447597">
          <w:rPr>
            <w:rStyle w:val="Hiperpovezava"/>
            <w:rFonts w:ascii="Arial" w:hAnsi="Arial" w:cs="Arial"/>
            <w:noProof/>
          </w:rPr>
          <w:t>Primeri: B1</w:t>
        </w:r>
        <w:r w:rsidR="00447597" w:rsidRPr="00447597">
          <w:rPr>
            <w:rFonts w:ascii="Arial" w:hAnsi="Arial" w:cs="Arial"/>
            <w:noProof/>
            <w:webHidden/>
          </w:rPr>
          <w:tab/>
        </w:r>
        <w:r w:rsidR="00447597" w:rsidRPr="00447597">
          <w:rPr>
            <w:rFonts w:ascii="Arial" w:hAnsi="Arial" w:cs="Arial"/>
            <w:noProof/>
            <w:webHidden/>
          </w:rPr>
          <w:fldChar w:fldCharType="begin"/>
        </w:r>
        <w:r w:rsidR="00447597" w:rsidRPr="00447597">
          <w:rPr>
            <w:rFonts w:ascii="Arial" w:hAnsi="Arial" w:cs="Arial"/>
            <w:noProof/>
            <w:webHidden/>
          </w:rPr>
          <w:instrText xml:space="preserve"> PAGEREF _Toc75160026 \h </w:instrText>
        </w:r>
        <w:r w:rsidR="00447597" w:rsidRPr="00447597">
          <w:rPr>
            <w:rFonts w:ascii="Arial" w:hAnsi="Arial" w:cs="Arial"/>
            <w:noProof/>
            <w:webHidden/>
          </w:rPr>
        </w:r>
        <w:r w:rsidR="00447597" w:rsidRPr="00447597">
          <w:rPr>
            <w:rFonts w:ascii="Arial" w:hAnsi="Arial" w:cs="Arial"/>
            <w:noProof/>
            <w:webHidden/>
          </w:rPr>
          <w:fldChar w:fldCharType="separate"/>
        </w:r>
        <w:r w:rsidR="00447597" w:rsidRPr="00447597">
          <w:rPr>
            <w:rFonts w:ascii="Arial" w:hAnsi="Arial" w:cs="Arial"/>
            <w:noProof/>
            <w:webHidden/>
          </w:rPr>
          <w:t>28</w:t>
        </w:r>
        <w:r w:rsidR="00447597" w:rsidRPr="00447597">
          <w:rPr>
            <w:rFonts w:ascii="Arial" w:hAnsi="Arial" w:cs="Arial"/>
            <w:noProof/>
            <w:webHidden/>
          </w:rPr>
          <w:fldChar w:fldCharType="end"/>
        </w:r>
      </w:hyperlink>
    </w:p>
    <w:p w14:paraId="3A5D8F8D" w14:textId="77777777" w:rsidR="00447597" w:rsidRPr="00447597" w:rsidRDefault="00451C90">
      <w:pPr>
        <w:pStyle w:val="Kazalovsebine3"/>
        <w:tabs>
          <w:tab w:val="right" w:leader="dot" w:pos="9054"/>
        </w:tabs>
        <w:rPr>
          <w:rFonts w:ascii="Arial" w:eastAsiaTheme="minorEastAsia" w:hAnsi="Arial" w:cs="Arial"/>
          <w:noProof/>
          <w:lang w:eastAsia="sl-SI"/>
        </w:rPr>
      </w:pPr>
      <w:hyperlink w:anchor="_Toc75160027" w:history="1">
        <w:r w:rsidR="00447597" w:rsidRPr="00447597">
          <w:rPr>
            <w:rStyle w:val="Hiperpovezava"/>
            <w:rFonts w:ascii="Arial" w:hAnsi="Arial" w:cs="Arial"/>
            <w:noProof/>
          </w:rPr>
          <w:t>B2. Aranžma, ki ima za posledico preoblikovanje dohodkov v kapital, darila ali druge kategorije</w:t>
        </w:r>
        <w:r w:rsidR="00447597" w:rsidRPr="00447597">
          <w:rPr>
            <w:rFonts w:ascii="Arial" w:hAnsi="Arial" w:cs="Arial"/>
            <w:noProof/>
            <w:webHidden/>
          </w:rPr>
          <w:tab/>
        </w:r>
        <w:r w:rsidR="00447597" w:rsidRPr="00447597">
          <w:rPr>
            <w:rFonts w:ascii="Arial" w:hAnsi="Arial" w:cs="Arial"/>
            <w:noProof/>
            <w:webHidden/>
          </w:rPr>
          <w:fldChar w:fldCharType="begin"/>
        </w:r>
        <w:r w:rsidR="00447597" w:rsidRPr="00447597">
          <w:rPr>
            <w:rFonts w:ascii="Arial" w:hAnsi="Arial" w:cs="Arial"/>
            <w:noProof/>
            <w:webHidden/>
          </w:rPr>
          <w:instrText xml:space="preserve"> PAGEREF _Toc75160027 \h </w:instrText>
        </w:r>
        <w:r w:rsidR="00447597" w:rsidRPr="00447597">
          <w:rPr>
            <w:rFonts w:ascii="Arial" w:hAnsi="Arial" w:cs="Arial"/>
            <w:noProof/>
            <w:webHidden/>
          </w:rPr>
        </w:r>
        <w:r w:rsidR="00447597" w:rsidRPr="00447597">
          <w:rPr>
            <w:rFonts w:ascii="Arial" w:hAnsi="Arial" w:cs="Arial"/>
            <w:noProof/>
            <w:webHidden/>
          </w:rPr>
          <w:fldChar w:fldCharType="separate"/>
        </w:r>
        <w:r w:rsidR="00447597" w:rsidRPr="00447597">
          <w:rPr>
            <w:rFonts w:ascii="Arial" w:hAnsi="Arial" w:cs="Arial"/>
            <w:noProof/>
            <w:webHidden/>
          </w:rPr>
          <w:t>30</w:t>
        </w:r>
        <w:r w:rsidR="00447597" w:rsidRPr="00447597">
          <w:rPr>
            <w:rFonts w:ascii="Arial" w:hAnsi="Arial" w:cs="Arial"/>
            <w:noProof/>
            <w:webHidden/>
          </w:rPr>
          <w:fldChar w:fldCharType="end"/>
        </w:r>
      </w:hyperlink>
    </w:p>
    <w:p w14:paraId="3258E765" w14:textId="77777777" w:rsidR="00447597" w:rsidRPr="00447597" w:rsidRDefault="00451C90">
      <w:pPr>
        <w:pStyle w:val="Kazalovsebine3"/>
        <w:tabs>
          <w:tab w:val="right" w:leader="dot" w:pos="9054"/>
        </w:tabs>
        <w:rPr>
          <w:rFonts w:ascii="Arial" w:eastAsiaTheme="minorEastAsia" w:hAnsi="Arial" w:cs="Arial"/>
          <w:noProof/>
          <w:lang w:eastAsia="sl-SI"/>
        </w:rPr>
      </w:pPr>
      <w:hyperlink w:anchor="_Toc75160028" w:history="1">
        <w:r w:rsidR="00447597" w:rsidRPr="00447597">
          <w:rPr>
            <w:rStyle w:val="Hiperpovezava"/>
            <w:rFonts w:ascii="Arial" w:hAnsi="Arial" w:cs="Arial"/>
            <w:noProof/>
          </w:rPr>
          <w:t>Primeri: B2</w:t>
        </w:r>
        <w:r w:rsidR="00447597" w:rsidRPr="00447597">
          <w:rPr>
            <w:rFonts w:ascii="Arial" w:hAnsi="Arial" w:cs="Arial"/>
            <w:noProof/>
            <w:webHidden/>
          </w:rPr>
          <w:tab/>
        </w:r>
        <w:r w:rsidR="00447597" w:rsidRPr="00447597">
          <w:rPr>
            <w:rFonts w:ascii="Arial" w:hAnsi="Arial" w:cs="Arial"/>
            <w:noProof/>
            <w:webHidden/>
          </w:rPr>
          <w:fldChar w:fldCharType="begin"/>
        </w:r>
        <w:r w:rsidR="00447597" w:rsidRPr="00447597">
          <w:rPr>
            <w:rFonts w:ascii="Arial" w:hAnsi="Arial" w:cs="Arial"/>
            <w:noProof/>
            <w:webHidden/>
          </w:rPr>
          <w:instrText xml:space="preserve"> PAGEREF _Toc75160028 \h </w:instrText>
        </w:r>
        <w:r w:rsidR="00447597" w:rsidRPr="00447597">
          <w:rPr>
            <w:rFonts w:ascii="Arial" w:hAnsi="Arial" w:cs="Arial"/>
            <w:noProof/>
            <w:webHidden/>
          </w:rPr>
        </w:r>
        <w:r w:rsidR="00447597" w:rsidRPr="00447597">
          <w:rPr>
            <w:rFonts w:ascii="Arial" w:hAnsi="Arial" w:cs="Arial"/>
            <w:noProof/>
            <w:webHidden/>
          </w:rPr>
          <w:fldChar w:fldCharType="separate"/>
        </w:r>
        <w:r w:rsidR="00447597" w:rsidRPr="00447597">
          <w:rPr>
            <w:rFonts w:ascii="Arial" w:hAnsi="Arial" w:cs="Arial"/>
            <w:noProof/>
            <w:webHidden/>
          </w:rPr>
          <w:t>31</w:t>
        </w:r>
        <w:r w:rsidR="00447597" w:rsidRPr="00447597">
          <w:rPr>
            <w:rFonts w:ascii="Arial" w:hAnsi="Arial" w:cs="Arial"/>
            <w:noProof/>
            <w:webHidden/>
          </w:rPr>
          <w:fldChar w:fldCharType="end"/>
        </w:r>
      </w:hyperlink>
    </w:p>
    <w:p w14:paraId="17B1D8FF" w14:textId="77777777" w:rsidR="00447597" w:rsidRPr="00447597" w:rsidRDefault="00451C90">
      <w:pPr>
        <w:pStyle w:val="Kazalovsebine3"/>
        <w:tabs>
          <w:tab w:val="right" w:leader="dot" w:pos="9054"/>
        </w:tabs>
        <w:rPr>
          <w:rFonts w:ascii="Arial" w:eastAsiaTheme="minorEastAsia" w:hAnsi="Arial" w:cs="Arial"/>
          <w:noProof/>
          <w:lang w:eastAsia="sl-SI"/>
        </w:rPr>
      </w:pPr>
      <w:hyperlink w:anchor="_Toc75160029" w:history="1">
        <w:r w:rsidR="00447597" w:rsidRPr="00447597">
          <w:rPr>
            <w:rStyle w:val="Hiperpovezava"/>
            <w:rFonts w:ascii="Arial" w:hAnsi="Arial" w:cs="Arial"/>
            <w:noProof/>
          </w:rPr>
          <w:t>B3. Aranžma, ki vključuje krožne transakcije, katerih rezultat je fiktivno trgovanje s sredstvi</w:t>
        </w:r>
        <w:r w:rsidR="00447597" w:rsidRPr="00447597">
          <w:rPr>
            <w:rFonts w:ascii="Arial" w:hAnsi="Arial" w:cs="Arial"/>
            <w:noProof/>
            <w:webHidden/>
          </w:rPr>
          <w:tab/>
        </w:r>
        <w:r w:rsidR="00447597" w:rsidRPr="00447597">
          <w:rPr>
            <w:rFonts w:ascii="Arial" w:hAnsi="Arial" w:cs="Arial"/>
            <w:noProof/>
            <w:webHidden/>
          </w:rPr>
          <w:fldChar w:fldCharType="begin"/>
        </w:r>
        <w:r w:rsidR="00447597" w:rsidRPr="00447597">
          <w:rPr>
            <w:rFonts w:ascii="Arial" w:hAnsi="Arial" w:cs="Arial"/>
            <w:noProof/>
            <w:webHidden/>
          </w:rPr>
          <w:instrText xml:space="preserve"> PAGEREF _Toc75160029 \h </w:instrText>
        </w:r>
        <w:r w:rsidR="00447597" w:rsidRPr="00447597">
          <w:rPr>
            <w:rFonts w:ascii="Arial" w:hAnsi="Arial" w:cs="Arial"/>
            <w:noProof/>
            <w:webHidden/>
          </w:rPr>
        </w:r>
        <w:r w:rsidR="00447597" w:rsidRPr="00447597">
          <w:rPr>
            <w:rFonts w:ascii="Arial" w:hAnsi="Arial" w:cs="Arial"/>
            <w:noProof/>
            <w:webHidden/>
          </w:rPr>
          <w:fldChar w:fldCharType="separate"/>
        </w:r>
        <w:r w:rsidR="00447597" w:rsidRPr="00447597">
          <w:rPr>
            <w:rFonts w:ascii="Arial" w:hAnsi="Arial" w:cs="Arial"/>
            <w:noProof/>
            <w:webHidden/>
          </w:rPr>
          <w:t>32</w:t>
        </w:r>
        <w:r w:rsidR="00447597" w:rsidRPr="00447597">
          <w:rPr>
            <w:rFonts w:ascii="Arial" w:hAnsi="Arial" w:cs="Arial"/>
            <w:noProof/>
            <w:webHidden/>
          </w:rPr>
          <w:fldChar w:fldCharType="end"/>
        </w:r>
      </w:hyperlink>
    </w:p>
    <w:p w14:paraId="1CDE772B" w14:textId="77777777" w:rsidR="00447597" w:rsidRPr="00447597" w:rsidRDefault="00451C90">
      <w:pPr>
        <w:pStyle w:val="Kazalovsebine3"/>
        <w:tabs>
          <w:tab w:val="right" w:leader="dot" w:pos="9054"/>
        </w:tabs>
        <w:rPr>
          <w:rFonts w:ascii="Arial" w:eastAsiaTheme="minorEastAsia" w:hAnsi="Arial" w:cs="Arial"/>
          <w:noProof/>
          <w:lang w:eastAsia="sl-SI"/>
        </w:rPr>
      </w:pPr>
      <w:hyperlink w:anchor="_Toc75160030" w:history="1">
        <w:r w:rsidR="00447597" w:rsidRPr="00447597">
          <w:rPr>
            <w:rStyle w:val="Hiperpovezava"/>
            <w:rFonts w:ascii="Arial" w:hAnsi="Arial" w:cs="Arial"/>
            <w:noProof/>
          </w:rPr>
          <w:t>Primeri: B3</w:t>
        </w:r>
        <w:r w:rsidR="00447597" w:rsidRPr="00447597">
          <w:rPr>
            <w:rFonts w:ascii="Arial" w:hAnsi="Arial" w:cs="Arial"/>
            <w:noProof/>
            <w:webHidden/>
          </w:rPr>
          <w:tab/>
        </w:r>
        <w:r w:rsidR="00447597" w:rsidRPr="00447597">
          <w:rPr>
            <w:rFonts w:ascii="Arial" w:hAnsi="Arial" w:cs="Arial"/>
            <w:noProof/>
            <w:webHidden/>
          </w:rPr>
          <w:fldChar w:fldCharType="begin"/>
        </w:r>
        <w:r w:rsidR="00447597" w:rsidRPr="00447597">
          <w:rPr>
            <w:rFonts w:ascii="Arial" w:hAnsi="Arial" w:cs="Arial"/>
            <w:noProof/>
            <w:webHidden/>
          </w:rPr>
          <w:instrText xml:space="preserve"> PAGEREF _Toc75160030 \h </w:instrText>
        </w:r>
        <w:r w:rsidR="00447597" w:rsidRPr="00447597">
          <w:rPr>
            <w:rFonts w:ascii="Arial" w:hAnsi="Arial" w:cs="Arial"/>
            <w:noProof/>
            <w:webHidden/>
          </w:rPr>
        </w:r>
        <w:r w:rsidR="00447597" w:rsidRPr="00447597">
          <w:rPr>
            <w:rFonts w:ascii="Arial" w:hAnsi="Arial" w:cs="Arial"/>
            <w:noProof/>
            <w:webHidden/>
          </w:rPr>
          <w:fldChar w:fldCharType="separate"/>
        </w:r>
        <w:r w:rsidR="00447597" w:rsidRPr="00447597">
          <w:rPr>
            <w:rFonts w:ascii="Arial" w:hAnsi="Arial" w:cs="Arial"/>
            <w:noProof/>
            <w:webHidden/>
          </w:rPr>
          <w:t>32</w:t>
        </w:r>
        <w:r w:rsidR="00447597" w:rsidRPr="00447597">
          <w:rPr>
            <w:rFonts w:ascii="Arial" w:hAnsi="Arial" w:cs="Arial"/>
            <w:noProof/>
            <w:webHidden/>
          </w:rPr>
          <w:fldChar w:fldCharType="end"/>
        </w:r>
      </w:hyperlink>
    </w:p>
    <w:p w14:paraId="1D8E7FDE" w14:textId="77777777" w:rsidR="00447597" w:rsidRPr="00447597" w:rsidRDefault="00451C90">
      <w:pPr>
        <w:pStyle w:val="Kazalovsebine2"/>
        <w:tabs>
          <w:tab w:val="left" w:pos="800"/>
          <w:tab w:val="right" w:leader="dot" w:pos="9054"/>
        </w:tabs>
        <w:rPr>
          <w:rFonts w:ascii="Arial" w:eastAsiaTheme="minorEastAsia" w:hAnsi="Arial" w:cs="Arial"/>
          <w:b w:val="0"/>
          <w:bCs w:val="0"/>
          <w:noProof/>
          <w:sz w:val="20"/>
          <w:szCs w:val="20"/>
          <w:lang w:eastAsia="sl-SI"/>
        </w:rPr>
      </w:pPr>
      <w:hyperlink w:anchor="_Toc75160031" w:history="1">
        <w:r w:rsidR="00447597" w:rsidRPr="00447597">
          <w:rPr>
            <w:rStyle w:val="Hiperpovezava"/>
            <w:rFonts w:ascii="Arial" w:hAnsi="Arial" w:cs="Arial"/>
            <w:noProof/>
            <w:sz w:val="20"/>
            <w:szCs w:val="20"/>
          </w:rPr>
          <w:t>7.4</w:t>
        </w:r>
        <w:r w:rsidR="00447597" w:rsidRPr="00447597">
          <w:rPr>
            <w:rFonts w:ascii="Arial" w:eastAsiaTheme="minorEastAsia" w:hAnsi="Arial" w:cs="Arial"/>
            <w:b w:val="0"/>
            <w:bCs w:val="0"/>
            <w:noProof/>
            <w:sz w:val="20"/>
            <w:szCs w:val="20"/>
            <w:lang w:eastAsia="sl-SI"/>
          </w:rPr>
          <w:tab/>
        </w:r>
        <w:r w:rsidR="00447597" w:rsidRPr="00447597">
          <w:rPr>
            <w:rStyle w:val="Hiperpovezava"/>
            <w:rFonts w:ascii="Arial" w:hAnsi="Arial" w:cs="Arial"/>
            <w:noProof/>
            <w:sz w:val="20"/>
            <w:szCs w:val="20"/>
          </w:rPr>
          <w:t>C. POSEBNE PREPOZNAVNE ZNAČILNOSTI, POVEZANE S ČEZMEJNIMI TRANSAKCIJAMI</w:t>
        </w:r>
        <w:r w:rsidR="00447597" w:rsidRPr="00447597">
          <w:rPr>
            <w:rFonts w:ascii="Arial" w:hAnsi="Arial" w:cs="Arial"/>
            <w:noProof/>
            <w:webHidden/>
            <w:sz w:val="20"/>
            <w:szCs w:val="20"/>
          </w:rPr>
          <w:tab/>
        </w:r>
        <w:r w:rsidR="00447597" w:rsidRPr="00447597">
          <w:rPr>
            <w:rFonts w:ascii="Arial" w:hAnsi="Arial" w:cs="Arial"/>
            <w:noProof/>
            <w:webHidden/>
            <w:sz w:val="20"/>
            <w:szCs w:val="20"/>
          </w:rPr>
          <w:fldChar w:fldCharType="begin"/>
        </w:r>
        <w:r w:rsidR="00447597" w:rsidRPr="00447597">
          <w:rPr>
            <w:rFonts w:ascii="Arial" w:hAnsi="Arial" w:cs="Arial"/>
            <w:noProof/>
            <w:webHidden/>
            <w:sz w:val="20"/>
            <w:szCs w:val="20"/>
          </w:rPr>
          <w:instrText xml:space="preserve"> PAGEREF _Toc75160031 \h </w:instrText>
        </w:r>
        <w:r w:rsidR="00447597" w:rsidRPr="00447597">
          <w:rPr>
            <w:rFonts w:ascii="Arial" w:hAnsi="Arial" w:cs="Arial"/>
            <w:noProof/>
            <w:webHidden/>
            <w:sz w:val="20"/>
            <w:szCs w:val="20"/>
          </w:rPr>
        </w:r>
        <w:r w:rsidR="00447597" w:rsidRPr="00447597">
          <w:rPr>
            <w:rFonts w:ascii="Arial" w:hAnsi="Arial" w:cs="Arial"/>
            <w:noProof/>
            <w:webHidden/>
            <w:sz w:val="20"/>
            <w:szCs w:val="20"/>
          </w:rPr>
          <w:fldChar w:fldCharType="separate"/>
        </w:r>
        <w:r w:rsidR="00447597" w:rsidRPr="00447597">
          <w:rPr>
            <w:rFonts w:ascii="Arial" w:hAnsi="Arial" w:cs="Arial"/>
            <w:noProof/>
            <w:webHidden/>
            <w:sz w:val="20"/>
            <w:szCs w:val="20"/>
          </w:rPr>
          <w:t>33</w:t>
        </w:r>
        <w:r w:rsidR="00447597" w:rsidRPr="00447597">
          <w:rPr>
            <w:rFonts w:ascii="Arial" w:hAnsi="Arial" w:cs="Arial"/>
            <w:noProof/>
            <w:webHidden/>
            <w:sz w:val="20"/>
            <w:szCs w:val="20"/>
          </w:rPr>
          <w:fldChar w:fldCharType="end"/>
        </w:r>
      </w:hyperlink>
    </w:p>
    <w:p w14:paraId="7ECC39EB" w14:textId="77777777" w:rsidR="00447597" w:rsidRPr="00447597" w:rsidRDefault="00451C90">
      <w:pPr>
        <w:pStyle w:val="Kazalovsebine3"/>
        <w:tabs>
          <w:tab w:val="right" w:leader="dot" w:pos="9054"/>
        </w:tabs>
        <w:rPr>
          <w:rFonts w:ascii="Arial" w:eastAsiaTheme="minorEastAsia" w:hAnsi="Arial" w:cs="Arial"/>
          <w:noProof/>
          <w:lang w:eastAsia="sl-SI"/>
        </w:rPr>
      </w:pPr>
      <w:hyperlink w:anchor="_Toc75160032" w:history="1">
        <w:r w:rsidR="00447597" w:rsidRPr="00447597">
          <w:rPr>
            <w:rStyle w:val="Hiperpovezava"/>
            <w:rFonts w:ascii="Arial" w:hAnsi="Arial" w:cs="Arial"/>
            <w:noProof/>
          </w:rPr>
          <w:t>C1. Aranžma, ki vključuje odbitna čezmejna plačila med dvema ali več povezanimi podjetji</w:t>
        </w:r>
        <w:r w:rsidR="00447597" w:rsidRPr="00447597">
          <w:rPr>
            <w:rFonts w:ascii="Arial" w:hAnsi="Arial" w:cs="Arial"/>
            <w:noProof/>
            <w:webHidden/>
          </w:rPr>
          <w:tab/>
        </w:r>
        <w:r w:rsidR="00447597" w:rsidRPr="00447597">
          <w:rPr>
            <w:rFonts w:ascii="Arial" w:hAnsi="Arial" w:cs="Arial"/>
            <w:noProof/>
            <w:webHidden/>
          </w:rPr>
          <w:fldChar w:fldCharType="begin"/>
        </w:r>
        <w:r w:rsidR="00447597" w:rsidRPr="00447597">
          <w:rPr>
            <w:rFonts w:ascii="Arial" w:hAnsi="Arial" w:cs="Arial"/>
            <w:noProof/>
            <w:webHidden/>
          </w:rPr>
          <w:instrText xml:space="preserve"> PAGEREF _Toc75160032 \h </w:instrText>
        </w:r>
        <w:r w:rsidR="00447597" w:rsidRPr="00447597">
          <w:rPr>
            <w:rFonts w:ascii="Arial" w:hAnsi="Arial" w:cs="Arial"/>
            <w:noProof/>
            <w:webHidden/>
          </w:rPr>
        </w:r>
        <w:r w:rsidR="00447597" w:rsidRPr="00447597">
          <w:rPr>
            <w:rFonts w:ascii="Arial" w:hAnsi="Arial" w:cs="Arial"/>
            <w:noProof/>
            <w:webHidden/>
          </w:rPr>
          <w:fldChar w:fldCharType="separate"/>
        </w:r>
        <w:r w:rsidR="00447597" w:rsidRPr="00447597">
          <w:rPr>
            <w:rFonts w:ascii="Arial" w:hAnsi="Arial" w:cs="Arial"/>
            <w:noProof/>
            <w:webHidden/>
          </w:rPr>
          <w:t>34</w:t>
        </w:r>
        <w:r w:rsidR="00447597" w:rsidRPr="00447597">
          <w:rPr>
            <w:rFonts w:ascii="Arial" w:hAnsi="Arial" w:cs="Arial"/>
            <w:noProof/>
            <w:webHidden/>
          </w:rPr>
          <w:fldChar w:fldCharType="end"/>
        </w:r>
      </w:hyperlink>
    </w:p>
    <w:p w14:paraId="7BD6D724" w14:textId="77777777" w:rsidR="00447597" w:rsidRPr="00447597" w:rsidRDefault="00451C90">
      <w:pPr>
        <w:pStyle w:val="Kazalovsebine3"/>
        <w:tabs>
          <w:tab w:val="right" w:leader="dot" w:pos="9054"/>
        </w:tabs>
        <w:rPr>
          <w:rFonts w:ascii="Arial" w:eastAsiaTheme="minorEastAsia" w:hAnsi="Arial" w:cs="Arial"/>
          <w:noProof/>
          <w:lang w:eastAsia="sl-SI"/>
        </w:rPr>
      </w:pPr>
      <w:hyperlink w:anchor="_Toc75160033" w:history="1">
        <w:r w:rsidR="00447597" w:rsidRPr="00447597">
          <w:rPr>
            <w:rStyle w:val="Hiperpovezava"/>
            <w:rFonts w:ascii="Arial" w:hAnsi="Arial" w:cs="Arial"/>
            <w:noProof/>
          </w:rPr>
          <w:t>Primeri: C1</w:t>
        </w:r>
        <w:r w:rsidR="00447597" w:rsidRPr="00447597">
          <w:rPr>
            <w:rFonts w:ascii="Arial" w:hAnsi="Arial" w:cs="Arial"/>
            <w:noProof/>
            <w:webHidden/>
          </w:rPr>
          <w:tab/>
        </w:r>
        <w:r w:rsidR="00447597" w:rsidRPr="00447597">
          <w:rPr>
            <w:rFonts w:ascii="Arial" w:hAnsi="Arial" w:cs="Arial"/>
            <w:noProof/>
            <w:webHidden/>
          </w:rPr>
          <w:fldChar w:fldCharType="begin"/>
        </w:r>
        <w:r w:rsidR="00447597" w:rsidRPr="00447597">
          <w:rPr>
            <w:rFonts w:ascii="Arial" w:hAnsi="Arial" w:cs="Arial"/>
            <w:noProof/>
            <w:webHidden/>
          </w:rPr>
          <w:instrText xml:space="preserve"> PAGEREF _Toc75160033 \h </w:instrText>
        </w:r>
        <w:r w:rsidR="00447597" w:rsidRPr="00447597">
          <w:rPr>
            <w:rFonts w:ascii="Arial" w:hAnsi="Arial" w:cs="Arial"/>
            <w:noProof/>
            <w:webHidden/>
          </w:rPr>
        </w:r>
        <w:r w:rsidR="00447597" w:rsidRPr="00447597">
          <w:rPr>
            <w:rFonts w:ascii="Arial" w:hAnsi="Arial" w:cs="Arial"/>
            <w:noProof/>
            <w:webHidden/>
          </w:rPr>
          <w:fldChar w:fldCharType="separate"/>
        </w:r>
        <w:r w:rsidR="00447597" w:rsidRPr="00447597">
          <w:rPr>
            <w:rFonts w:ascii="Arial" w:hAnsi="Arial" w:cs="Arial"/>
            <w:noProof/>
            <w:webHidden/>
          </w:rPr>
          <w:t>35</w:t>
        </w:r>
        <w:r w:rsidR="00447597" w:rsidRPr="00447597">
          <w:rPr>
            <w:rFonts w:ascii="Arial" w:hAnsi="Arial" w:cs="Arial"/>
            <w:noProof/>
            <w:webHidden/>
          </w:rPr>
          <w:fldChar w:fldCharType="end"/>
        </w:r>
      </w:hyperlink>
    </w:p>
    <w:p w14:paraId="7C087A22" w14:textId="77777777" w:rsidR="00447597" w:rsidRPr="00447597" w:rsidRDefault="00451C90">
      <w:pPr>
        <w:pStyle w:val="Kazalovsebine3"/>
        <w:tabs>
          <w:tab w:val="right" w:leader="dot" w:pos="9054"/>
        </w:tabs>
        <w:rPr>
          <w:rFonts w:ascii="Arial" w:eastAsiaTheme="minorEastAsia" w:hAnsi="Arial" w:cs="Arial"/>
          <w:noProof/>
          <w:lang w:eastAsia="sl-SI"/>
        </w:rPr>
      </w:pPr>
      <w:hyperlink w:anchor="_Toc75160034" w:history="1">
        <w:r w:rsidR="00447597" w:rsidRPr="00447597">
          <w:rPr>
            <w:rStyle w:val="Hiperpovezava"/>
            <w:rFonts w:ascii="Arial" w:hAnsi="Arial" w:cs="Arial"/>
            <w:noProof/>
            <w:lang w:eastAsia="sl-SI"/>
          </w:rPr>
          <w:t>C2. Odbitki za isto amortizacijo sredstev se uveljavljajo v več kot eni jurisdikciji</w:t>
        </w:r>
        <w:r w:rsidR="00447597" w:rsidRPr="00447597">
          <w:rPr>
            <w:rFonts w:ascii="Arial" w:hAnsi="Arial" w:cs="Arial"/>
            <w:noProof/>
            <w:webHidden/>
          </w:rPr>
          <w:tab/>
        </w:r>
        <w:r w:rsidR="00447597" w:rsidRPr="00447597">
          <w:rPr>
            <w:rFonts w:ascii="Arial" w:hAnsi="Arial" w:cs="Arial"/>
            <w:noProof/>
            <w:webHidden/>
          </w:rPr>
          <w:fldChar w:fldCharType="begin"/>
        </w:r>
        <w:r w:rsidR="00447597" w:rsidRPr="00447597">
          <w:rPr>
            <w:rFonts w:ascii="Arial" w:hAnsi="Arial" w:cs="Arial"/>
            <w:noProof/>
            <w:webHidden/>
          </w:rPr>
          <w:instrText xml:space="preserve"> PAGEREF _Toc75160034 \h </w:instrText>
        </w:r>
        <w:r w:rsidR="00447597" w:rsidRPr="00447597">
          <w:rPr>
            <w:rFonts w:ascii="Arial" w:hAnsi="Arial" w:cs="Arial"/>
            <w:noProof/>
            <w:webHidden/>
          </w:rPr>
        </w:r>
        <w:r w:rsidR="00447597" w:rsidRPr="00447597">
          <w:rPr>
            <w:rFonts w:ascii="Arial" w:hAnsi="Arial" w:cs="Arial"/>
            <w:noProof/>
            <w:webHidden/>
          </w:rPr>
          <w:fldChar w:fldCharType="separate"/>
        </w:r>
        <w:r w:rsidR="00447597" w:rsidRPr="00447597">
          <w:rPr>
            <w:rFonts w:ascii="Arial" w:hAnsi="Arial" w:cs="Arial"/>
            <w:noProof/>
            <w:webHidden/>
          </w:rPr>
          <w:t>36</w:t>
        </w:r>
        <w:r w:rsidR="00447597" w:rsidRPr="00447597">
          <w:rPr>
            <w:rFonts w:ascii="Arial" w:hAnsi="Arial" w:cs="Arial"/>
            <w:noProof/>
            <w:webHidden/>
          </w:rPr>
          <w:fldChar w:fldCharType="end"/>
        </w:r>
      </w:hyperlink>
    </w:p>
    <w:p w14:paraId="6C426681" w14:textId="77777777" w:rsidR="00447597" w:rsidRPr="00447597" w:rsidRDefault="00451C90">
      <w:pPr>
        <w:pStyle w:val="Kazalovsebine3"/>
        <w:tabs>
          <w:tab w:val="right" w:leader="dot" w:pos="9054"/>
        </w:tabs>
        <w:rPr>
          <w:rFonts w:ascii="Arial" w:eastAsiaTheme="minorEastAsia" w:hAnsi="Arial" w:cs="Arial"/>
          <w:noProof/>
          <w:lang w:eastAsia="sl-SI"/>
        </w:rPr>
      </w:pPr>
      <w:hyperlink w:anchor="_Toc75160035" w:history="1">
        <w:r w:rsidR="00447597" w:rsidRPr="00447597">
          <w:rPr>
            <w:rStyle w:val="Hiperpovezava"/>
            <w:rFonts w:ascii="Arial" w:hAnsi="Arial" w:cs="Arial"/>
            <w:noProof/>
            <w:lang w:eastAsia="sl-SI"/>
          </w:rPr>
          <w:t>C3. Oprostitev dvojnega obdavčevanja v zvezi z isto postavko dohodkov ali kapitala se uveljavlja v več kot eni jurisdikciji</w:t>
        </w:r>
        <w:r w:rsidR="00447597" w:rsidRPr="00447597">
          <w:rPr>
            <w:rFonts w:ascii="Arial" w:hAnsi="Arial" w:cs="Arial"/>
            <w:noProof/>
            <w:webHidden/>
          </w:rPr>
          <w:tab/>
        </w:r>
        <w:r w:rsidR="00447597" w:rsidRPr="00447597">
          <w:rPr>
            <w:rFonts w:ascii="Arial" w:hAnsi="Arial" w:cs="Arial"/>
            <w:noProof/>
            <w:webHidden/>
          </w:rPr>
          <w:fldChar w:fldCharType="begin"/>
        </w:r>
        <w:r w:rsidR="00447597" w:rsidRPr="00447597">
          <w:rPr>
            <w:rFonts w:ascii="Arial" w:hAnsi="Arial" w:cs="Arial"/>
            <w:noProof/>
            <w:webHidden/>
          </w:rPr>
          <w:instrText xml:space="preserve"> PAGEREF _Toc75160035 \h </w:instrText>
        </w:r>
        <w:r w:rsidR="00447597" w:rsidRPr="00447597">
          <w:rPr>
            <w:rFonts w:ascii="Arial" w:hAnsi="Arial" w:cs="Arial"/>
            <w:noProof/>
            <w:webHidden/>
          </w:rPr>
        </w:r>
        <w:r w:rsidR="00447597" w:rsidRPr="00447597">
          <w:rPr>
            <w:rFonts w:ascii="Arial" w:hAnsi="Arial" w:cs="Arial"/>
            <w:noProof/>
            <w:webHidden/>
          </w:rPr>
          <w:fldChar w:fldCharType="separate"/>
        </w:r>
        <w:r w:rsidR="00447597" w:rsidRPr="00447597">
          <w:rPr>
            <w:rFonts w:ascii="Arial" w:hAnsi="Arial" w:cs="Arial"/>
            <w:noProof/>
            <w:webHidden/>
          </w:rPr>
          <w:t>36</w:t>
        </w:r>
        <w:r w:rsidR="00447597" w:rsidRPr="00447597">
          <w:rPr>
            <w:rFonts w:ascii="Arial" w:hAnsi="Arial" w:cs="Arial"/>
            <w:noProof/>
            <w:webHidden/>
          </w:rPr>
          <w:fldChar w:fldCharType="end"/>
        </w:r>
      </w:hyperlink>
    </w:p>
    <w:p w14:paraId="4A636251" w14:textId="77777777" w:rsidR="00447597" w:rsidRPr="00447597" w:rsidRDefault="00451C90">
      <w:pPr>
        <w:pStyle w:val="Kazalovsebine3"/>
        <w:tabs>
          <w:tab w:val="right" w:leader="dot" w:pos="9054"/>
        </w:tabs>
        <w:rPr>
          <w:rFonts w:ascii="Arial" w:eastAsiaTheme="minorEastAsia" w:hAnsi="Arial" w:cs="Arial"/>
          <w:noProof/>
          <w:lang w:eastAsia="sl-SI"/>
        </w:rPr>
      </w:pPr>
      <w:hyperlink w:anchor="_Toc75160036" w:history="1">
        <w:r w:rsidR="00447597" w:rsidRPr="00447597">
          <w:rPr>
            <w:rStyle w:val="Hiperpovezava"/>
            <w:rFonts w:ascii="Arial" w:hAnsi="Arial" w:cs="Arial"/>
            <w:noProof/>
            <w:lang w:eastAsia="sl-SI"/>
          </w:rPr>
          <w:t>C4. Obstaja aranžma, ki vključuje prenose sredstev, pri čemer obstaja pomembna razlika v znesku, ki se v navedenih jurisdikcijah v zvezi s temi sredstvi šteje za plačljivega</w:t>
        </w:r>
        <w:r w:rsidR="00447597" w:rsidRPr="00447597">
          <w:rPr>
            <w:rFonts w:ascii="Arial" w:hAnsi="Arial" w:cs="Arial"/>
            <w:noProof/>
            <w:webHidden/>
          </w:rPr>
          <w:tab/>
        </w:r>
        <w:r w:rsidR="00447597" w:rsidRPr="00447597">
          <w:rPr>
            <w:rFonts w:ascii="Arial" w:hAnsi="Arial" w:cs="Arial"/>
            <w:noProof/>
            <w:webHidden/>
          </w:rPr>
          <w:fldChar w:fldCharType="begin"/>
        </w:r>
        <w:r w:rsidR="00447597" w:rsidRPr="00447597">
          <w:rPr>
            <w:rFonts w:ascii="Arial" w:hAnsi="Arial" w:cs="Arial"/>
            <w:noProof/>
            <w:webHidden/>
          </w:rPr>
          <w:instrText xml:space="preserve"> PAGEREF _Toc75160036 \h </w:instrText>
        </w:r>
        <w:r w:rsidR="00447597" w:rsidRPr="00447597">
          <w:rPr>
            <w:rFonts w:ascii="Arial" w:hAnsi="Arial" w:cs="Arial"/>
            <w:noProof/>
            <w:webHidden/>
          </w:rPr>
        </w:r>
        <w:r w:rsidR="00447597" w:rsidRPr="00447597">
          <w:rPr>
            <w:rFonts w:ascii="Arial" w:hAnsi="Arial" w:cs="Arial"/>
            <w:noProof/>
            <w:webHidden/>
          </w:rPr>
          <w:fldChar w:fldCharType="separate"/>
        </w:r>
        <w:r w:rsidR="00447597" w:rsidRPr="00447597">
          <w:rPr>
            <w:rFonts w:ascii="Arial" w:hAnsi="Arial" w:cs="Arial"/>
            <w:noProof/>
            <w:webHidden/>
          </w:rPr>
          <w:t>38</w:t>
        </w:r>
        <w:r w:rsidR="00447597" w:rsidRPr="00447597">
          <w:rPr>
            <w:rFonts w:ascii="Arial" w:hAnsi="Arial" w:cs="Arial"/>
            <w:noProof/>
            <w:webHidden/>
          </w:rPr>
          <w:fldChar w:fldCharType="end"/>
        </w:r>
      </w:hyperlink>
    </w:p>
    <w:p w14:paraId="61BF9637" w14:textId="77777777" w:rsidR="00447597" w:rsidRPr="00447597" w:rsidRDefault="00451C90">
      <w:pPr>
        <w:pStyle w:val="Kazalovsebine2"/>
        <w:tabs>
          <w:tab w:val="left" w:pos="800"/>
          <w:tab w:val="right" w:leader="dot" w:pos="9054"/>
        </w:tabs>
        <w:rPr>
          <w:rFonts w:ascii="Arial" w:eastAsiaTheme="minorEastAsia" w:hAnsi="Arial" w:cs="Arial"/>
          <w:b w:val="0"/>
          <w:bCs w:val="0"/>
          <w:noProof/>
          <w:sz w:val="20"/>
          <w:szCs w:val="20"/>
          <w:lang w:eastAsia="sl-SI"/>
        </w:rPr>
      </w:pPr>
      <w:hyperlink w:anchor="_Toc75160037" w:history="1">
        <w:r w:rsidR="00447597" w:rsidRPr="00447597">
          <w:rPr>
            <w:rStyle w:val="Hiperpovezava"/>
            <w:rFonts w:ascii="Arial" w:hAnsi="Arial" w:cs="Arial"/>
            <w:noProof/>
            <w:sz w:val="20"/>
            <w:szCs w:val="20"/>
          </w:rPr>
          <w:t>7.5</w:t>
        </w:r>
        <w:r w:rsidR="00447597" w:rsidRPr="00447597">
          <w:rPr>
            <w:rFonts w:ascii="Arial" w:eastAsiaTheme="minorEastAsia" w:hAnsi="Arial" w:cs="Arial"/>
            <w:b w:val="0"/>
            <w:bCs w:val="0"/>
            <w:noProof/>
            <w:sz w:val="20"/>
            <w:szCs w:val="20"/>
            <w:lang w:eastAsia="sl-SI"/>
          </w:rPr>
          <w:tab/>
        </w:r>
        <w:r w:rsidR="00447597" w:rsidRPr="00447597">
          <w:rPr>
            <w:rStyle w:val="Hiperpovezava"/>
            <w:rFonts w:ascii="Arial" w:hAnsi="Arial" w:cs="Arial"/>
            <w:noProof/>
            <w:sz w:val="20"/>
            <w:szCs w:val="20"/>
          </w:rPr>
          <w:t>D. POSEBNE PREPOZNAVNE ZNAČILNOSTI, POVEZANE Z AVTOMATIČNO IZMENJAVO PODATKOV IN UPRAVIČENIM LASTNIŠTVOM</w:t>
        </w:r>
        <w:r w:rsidR="00447597" w:rsidRPr="00447597">
          <w:rPr>
            <w:rFonts w:ascii="Arial" w:hAnsi="Arial" w:cs="Arial"/>
            <w:noProof/>
            <w:webHidden/>
            <w:sz w:val="20"/>
            <w:szCs w:val="20"/>
          </w:rPr>
          <w:tab/>
        </w:r>
        <w:r w:rsidR="00447597" w:rsidRPr="00447597">
          <w:rPr>
            <w:rFonts w:ascii="Arial" w:hAnsi="Arial" w:cs="Arial"/>
            <w:noProof/>
            <w:webHidden/>
            <w:sz w:val="20"/>
            <w:szCs w:val="20"/>
          </w:rPr>
          <w:fldChar w:fldCharType="begin"/>
        </w:r>
        <w:r w:rsidR="00447597" w:rsidRPr="00447597">
          <w:rPr>
            <w:rFonts w:ascii="Arial" w:hAnsi="Arial" w:cs="Arial"/>
            <w:noProof/>
            <w:webHidden/>
            <w:sz w:val="20"/>
            <w:szCs w:val="20"/>
          </w:rPr>
          <w:instrText xml:space="preserve"> PAGEREF _Toc75160037 \h </w:instrText>
        </w:r>
        <w:r w:rsidR="00447597" w:rsidRPr="00447597">
          <w:rPr>
            <w:rFonts w:ascii="Arial" w:hAnsi="Arial" w:cs="Arial"/>
            <w:noProof/>
            <w:webHidden/>
            <w:sz w:val="20"/>
            <w:szCs w:val="20"/>
          </w:rPr>
        </w:r>
        <w:r w:rsidR="00447597" w:rsidRPr="00447597">
          <w:rPr>
            <w:rFonts w:ascii="Arial" w:hAnsi="Arial" w:cs="Arial"/>
            <w:noProof/>
            <w:webHidden/>
            <w:sz w:val="20"/>
            <w:szCs w:val="20"/>
          </w:rPr>
          <w:fldChar w:fldCharType="separate"/>
        </w:r>
        <w:r w:rsidR="00447597" w:rsidRPr="00447597">
          <w:rPr>
            <w:rFonts w:ascii="Arial" w:hAnsi="Arial" w:cs="Arial"/>
            <w:noProof/>
            <w:webHidden/>
            <w:sz w:val="20"/>
            <w:szCs w:val="20"/>
          </w:rPr>
          <w:t>39</w:t>
        </w:r>
        <w:r w:rsidR="00447597" w:rsidRPr="00447597">
          <w:rPr>
            <w:rFonts w:ascii="Arial" w:hAnsi="Arial" w:cs="Arial"/>
            <w:noProof/>
            <w:webHidden/>
            <w:sz w:val="20"/>
            <w:szCs w:val="20"/>
          </w:rPr>
          <w:fldChar w:fldCharType="end"/>
        </w:r>
      </w:hyperlink>
    </w:p>
    <w:p w14:paraId="0DF29F30" w14:textId="77777777" w:rsidR="00447597" w:rsidRPr="00447597" w:rsidRDefault="00451C90">
      <w:pPr>
        <w:pStyle w:val="Kazalovsebine3"/>
        <w:tabs>
          <w:tab w:val="right" w:leader="dot" w:pos="9054"/>
        </w:tabs>
        <w:rPr>
          <w:rFonts w:ascii="Arial" w:eastAsiaTheme="minorEastAsia" w:hAnsi="Arial" w:cs="Arial"/>
          <w:noProof/>
          <w:lang w:eastAsia="sl-SI"/>
        </w:rPr>
      </w:pPr>
      <w:hyperlink w:anchor="_Toc75160038" w:history="1">
        <w:r w:rsidR="00447597" w:rsidRPr="00447597">
          <w:rPr>
            <w:rStyle w:val="Hiperpovezava"/>
            <w:rFonts w:ascii="Arial" w:eastAsia="Calibri" w:hAnsi="Arial" w:cs="Arial"/>
            <w:noProof/>
          </w:rPr>
          <w:t>D1. Aranžma, ki lahko ima za posledico ogrozitev obveznosti</w:t>
        </w:r>
        <w:r w:rsidR="00447597" w:rsidRPr="00447597">
          <w:rPr>
            <w:rFonts w:ascii="Arial" w:hAnsi="Arial" w:cs="Arial"/>
            <w:noProof/>
            <w:webHidden/>
          </w:rPr>
          <w:tab/>
        </w:r>
        <w:r w:rsidR="00447597" w:rsidRPr="00447597">
          <w:rPr>
            <w:rFonts w:ascii="Arial" w:hAnsi="Arial" w:cs="Arial"/>
            <w:noProof/>
            <w:webHidden/>
          </w:rPr>
          <w:fldChar w:fldCharType="begin"/>
        </w:r>
        <w:r w:rsidR="00447597" w:rsidRPr="00447597">
          <w:rPr>
            <w:rFonts w:ascii="Arial" w:hAnsi="Arial" w:cs="Arial"/>
            <w:noProof/>
            <w:webHidden/>
          </w:rPr>
          <w:instrText xml:space="preserve"> PAGEREF _Toc75160038 \h </w:instrText>
        </w:r>
        <w:r w:rsidR="00447597" w:rsidRPr="00447597">
          <w:rPr>
            <w:rFonts w:ascii="Arial" w:hAnsi="Arial" w:cs="Arial"/>
            <w:noProof/>
            <w:webHidden/>
          </w:rPr>
        </w:r>
        <w:r w:rsidR="00447597" w:rsidRPr="00447597">
          <w:rPr>
            <w:rFonts w:ascii="Arial" w:hAnsi="Arial" w:cs="Arial"/>
            <w:noProof/>
            <w:webHidden/>
          </w:rPr>
          <w:fldChar w:fldCharType="separate"/>
        </w:r>
        <w:r w:rsidR="00447597" w:rsidRPr="00447597">
          <w:rPr>
            <w:rFonts w:ascii="Arial" w:hAnsi="Arial" w:cs="Arial"/>
            <w:noProof/>
            <w:webHidden/>
          </w:rPr>
          <w:t>39</w:t>
        </w:r>
        <w:r w:rsidR="00447597" w:rsidRPr="00447597">
          <w:rPr>
            <w:rFonts w:ascii="Arial" w:hAnsi="Arial" w:cs="Arial"/>
            <w:noProof/>
            <w:webHidden/>
          </w:rPr>
          <w:fldChar w:fldCharType="end"/>
        </w:r>
      </w:hyperlink>
    </w:p>
    <w:p w14:paraId="2FD1BACC" w14:textId="77777777" w:rsidR="00447597" w:rsidRPr="00447597" w:rsidRDefault="00451C90">
      <w:pPr>
        <w:pStyle w:val="Kazalovsebine3"/>
        <w:tabs>
          <w:tab w:val="right" w:leader="dot" w:pos="9054"/>
        </w:tabs>
        <w:rPr>
          <w:rFonts w:ascii="Arial" w:eastAsiaTheme="minorEastAsia" w:hAnsi="Arial" w:cs="Arial"/>
          <w:noProof/>
          <w:lang w:eastAsia="sl-SI"/>
        </w:rPr>
      </w:pPr>
      <w:hyperlink w:anchor="_Toc75160039" w:history="1">
        <w:r w:rsidR="00447597" w:rsidRPr="00447597">
          <w:rPr>
            <w:rStyle w:val="Hiperpovezava"/>
            <w:rFonts w:ascii="Arial" w:eastAsia="Calibri" w:hAnsi="Arial" w:cs="Arial"/>
            <w:noProof/>
          </w:rPr>
          <w:t>Primeri: D1b</w:t>
        </w:r>
        <w:r w:rsidR="00447597" w:rsidRPr="00447597">
          <w:rPr>
            <w:rFonts w:ascii="Arial" w:hAnsi="Arial" w:cs="Arial"/>
            <w:noProof/>
            <w:webHidden/>
          </w:rPr>
          <w:tab/>
        </w:r>
        <w:r w:rsidR="00447597" w:rsidRPr="00447597">
          <w:rPr>
            <w:rFonts w:ascii="Arial" w:hAnsi="Arial" w:cs="Arial"/>
            <w:noProof/>
            <w:webHidden/>
          </w:rPr>
          <w:fldChar w:fldCharType="begin"/>
        </w:r>
        <w:r w:rsidR="00447597" w:rsidRPr="00447597">
          <w:rPr>
            <w:rFonts w:ascii="Arial" w:hAnsi="Arial" w:cs="Arial"/>
            <w:noProof/>
            <w:webHidden/>
          </w:rPr>
          <w:instrText xml:space="preserve"> PAGEREF _Toc75160039 \h </w:instrText>
        </w:r>
        <w:r w:rsidR="00447597" w:rsidRPr="00447597">
          <w:rPr>
            <w:rFonts w:ascii="Arial" w:hAnsi="Arial" w:cs="Arial"/>
            <w:noProof/>
            <w:webHidden/>
          </w:rPr>
        </w:r>
        <w:r w:rsidR="00447597" w:rsidRPr="00447597">
          <w:rPr>
            <w:rFonts w:ascii="Arial" w:hAnsi="Arial" w:cs="Arial"/>
            <w:noProof/>
            <w:webHidden/>
          </w:rPr>
          <w:fldChar w:fldCharType="separate"/>
        </w:r>
        <w:r w:rsidR="00447597" w:rsidRPr="00447597">
          <w:rPr>
            <w:rFonts w:ascii="Arial" w:hAnsi="Arial" w:cs="Arial"/>
            <w:noProof/>
            <w:webHidden/>
          </w:rPr>
          <w:t>41</w:t>
        </w:r>
        <w:r w:rsidR="00447597" w:rsidRPr="00447597">
          <w:rPr>
            <w:rFonts w:ascii="Arial" w:hAnsi="Arial" w:cs="Arial"/>
            <w:noProof/>
            <w:webHidden/>
          </w:rPr>
          <w:fldChar w:fldCharType="end"/>
        </w:r>
      </w:hyperlink>
    </w:p>
    <w:p w14:paraId="1BF7ED18" w14:textId="77777777" w:rsidR="00447597" w:rsidRPr="00447597" w:rsidRDefault="00451C90">
      <w:pPr>
        <w:pStyle w:val="Kazalovsebine3"/>
        <w:tabs>
          <w:tab w:val="right" w:leader="dot" w:pos="9054"/>
        </w:tabs>
        <w:rPr>
          <w:rFonts w:ascii="Arial" w:eastAsiaTheme="minorEastAsia" w:hAnsi="Arial" w:cs="Arial"/>
          <w:noProof/>
          <w:lang w:eastAsia="sl-SI"/>
        </w:rPr>
      </w:pPr>
      <w:hyperlink w:anchor="_Toc75160040" w:history="1">
        <w:r w:rsidR="00447597" w:rsidRPr="00447597">
          <w:rPr>
            <w:rStyle w:val="Hiperpovezava"/>
            <w:rFonts w:ascii="Arial" w:eastAsia="Calibri" w:hAnsi="Arial" w:cs="Arial"/>
            <w:noProof/>
          </w:rPr>
          <w:t>Primeri: D1c</w:t>
        </w:r>
        <w:r w:rsidR="00447597" w:rsidRPr="00447597">
          <w:rPr>
            <w:rFonts w:ascii="Arial" w:hAnsi="Arial" w:cs="Arial"/>
            <w:noProof/>
            <w:webHidden/>
          </w:rPr>
          <w:tab/>
        </w:r>
        <w:r w:rsidR="00447597" w:rsidRPr="00447597">
          <w:rPr>
            <w:rFonts w:ascii="Arial" w:hAnsi="Arial" w:cs="Arial"/>
            <w:noProof/>
            <w:webHidden/>
          </w:rPr>
          <w:fldChar w:fldCharType="begin"/>
        </w:r>
        <w:r w:rsidR="00447597" w:rsidRPr="00447597">
          <w:rPr>
            <w:rFonts w:ascii="Arial" w:hAnsi="Arial" w:cs="Arial"/>
            <w:noProof/>
            <w:webHidden/>
          </w:rPr>
          <w:instrText xml:space="preserve"> PAGEREF _Toc75160040 \h </w:instrText>
        </w:r>
        <w:r w:rsidR="00447597" w:rsidRPr="00447597">
          <w:rPr>
            <w:rFonts w:ascii="Arial" w:hAnsi="Arial" w:cs="Arial"/>
            <w:noProof/>
            <w:webHidden/>
          </w:rPr>
        </w:r>
        <w:r w:rsidR="00447597" w:rsidRPr="00447597">
          <w:rPr>
            <w:rFonts w:ascii="Arial" w:hAnsi="Arial" w:cs="Arial"/>
            <w:noProof/>
            <w:webHidden/>
          </w:rPr>
          <w:fldChar w:fldCharType="separate"/>
        </w:r>
        <w:r w:rsidR="00447597" w:rsidRPr="00447597">
          <w:rPr>
            <w:rFonts w:ascii="Arial" w:hAnsi="Arial" w:cs="Arial"/>
            <w:noProof/>
            <w:webHidden/>
          </w:rPr>
          <w:t>41</w:t>
        </w:r>
        <w:r w:rsidR="00447597" w:rsidRPr="00447597">
          <w:rPr>
            <w:rFonts w:ascii="Arial" w:hAnsi="Arial" w:cs="Arial"/>
            <w:noProof/>
            <w:webHidden/>
          </w:rPr>
          <w:fldChar w:fldCharType="end"/>
        </w:r>
      </w:hyperlink>
    </w:p>
    <w:p w14:paraId="114F620D" w14:textId="77777777" w:rsidR="00447597" w:rsidRPr="00447597" w:rsidRDefault="00451C90">
      <w:pPr>
        <w:pStyle w:val="Kazalovsebine3"/>
        <w:tabs>
          <w:tab w:val="right" w:leader="dot" w:pos="9054"/>
        </w:tabs>
        <w:rPr>
          <w:rFonts w:ascii="Arial" w:eastAsiaTheme="minorEastAsia" w:hAnsi="Arial" w:cs="Arial"/>
          <w:noProof/>
          <w:lang w:eastAsia="sl-SI"/>
        </w:rPr>
      </w:pPr>
      <w:hyperlink w:anchor="_Toc75160041" w:history="1">
        <w:r w:rsidR="00447597" w:rsidRPr="00447597">
          <w:rPr>
            <w:rStyle w:val="Hiperpovezava"/>
            <w:rFonts w:ascii="Arial" w:eastAsia="Calibri" w:hAnsi="Arial" w:cs="Arial"/>
            <w:noProof/>
          </w:rPr>
          <w:t>Primeri: D1f</w:t>
        </w:r>
        <w:r w:rsidR="00447597" w:rsidRPr="00447597">
          <w:rPr>
            <w:rFonts w:ascii="Arial" w:hAnsi="Arial" w:cs="Arial"/>
            <w:noProof/>
            <w:webHidden/>
          </w:rPr>
          <w:tab/>
        </w:r>
        <w:r w:rsidR="00447597" w:rsidRPr="00447597">
          <w:rPr>
            <w:rFonts w:ascii="Arial" w:hAnsi="Arial" w:cs="Arial"/>
            <w:noProof/>
            <w:webHidden/>
          </w:rPr>
          <w:fldChar w:fldCharType="begin"/>
        </w:r>
        <w:r w:rsidR="00447597" w:rsidRPr="00447597">
          <w:rPr>
            <w:rFonts w:ascii="Arial" w:hAnsi="Arial" w:cs="Arial"/>
            <w:noProof/>
            <w:webHidden/>
          </w:rPr>
          <w:instrText xml:space="preserve"> PAGEREF _Toc75160041 \h </w:instrText>
        </w:r>
        <w:r w:rsidR="00447597" w:rsidRPr="00447597">
          <w:rPr>
            <w:rFonts w:ascii="Arial" w:hAnsi="Arial" w:cs="Arial"/>
            <w:noProof/>
            <w:webHidden/>
          </w:rPr>
        </w:r>
        <w:r w:rsidR="00447597" w:rsidRPr="00447597">
          <w:rPr>
            <w:rFonts w:ascii="Arial" w:hAnsi="Arial" w:cs="Arial"/>
            <w:noProof/>
            <w:webHidden/>
          </w:rPr>
          <w:fldChar w:fldCharType="separate"/>
        </w:r>
        <w:r w:rsidR="00447597" w:rsidRPr="00447597">
          <w:rPr>
            <w:rFonts w:ascii="Arial" w:hAnsi="Arial" w:cs="Arial"/>
            <w:noProof/>
            <w:webHidden/>
          </w:rPr>
          <w:t>43</w:t>
        </w:r>
        <w:r w:rsidR="00447597" w:rsidRPr="00447597">
          <w:rPr>
            <w:rFonts w:ascii="Arial" w:hAnsi="Arial" w:cs="Arial"/>
            <w:noProof/>
            <w:webHidden/>
          </w:rPr>
          <w:fldChar w:fldCharType="end"/>
        </w:r>
      </w:hyperlink>
    </w:p>
    <w:p w14:paraId="2D714645" w14:textId="77777777" w:rsidR="00447597" w:rsidRPr="00447597" w:rsidRDefault="00451C90">
      <w:pPr>
        <w:pStyle w:val="Kazalovsebine3"/>
        <w:tabs>
          <w:tab w:val="right" w:leader="dot" w:pos="9054"/>
        </w:tabs>
        <w:rPr>
          <w:rFonts w:ascii="Arial" w:eastAsiaTheme="minorEastAsia" w:hAnsi="Arial" w:cs="Arial"/>
          <w:noProof/>
          <w:lang w:eastAsia="sl-SI"/>
        </w:rPr>
      </w:pPr>
      <w:hyperlink w:anchor="_Toc75160042" w:history="1">
        <w:r w:rsidR="00447597" w:rsidRPr="00447597">
          <w:rPr>
            <w:rStyle w:val="Hiperpovezava"/>
            <w:rFonts w:ascii="Arial" w:eastAsia="Calibri" w:hAnsi="Arial" w:cs="Arial"/>
            <w:noProof/>
          </w:rPr>
          <w:t>D2. Aranžma, ki vključuje nepregledno verigo pravnega ali upravičenega lastništva</w:t>
        </w:r>
        <w:r w:rsidR="00447597" w:rsidRPr="00447597">
          <w:rPr>
            <w:rFonts w:ascii="Arial" w:hAnsi="Arial" w:cs="Arial"/>
            <w:noProof/>
            <w:webHidden/>
          </w:rPr>
          <w:tab/>
        </w:r>
        <w:r w:rsidR="00447597" w:rsidRPr="00447597">
          <w:rPr>
            <w:rFonts w:ascii="Arial" w:hAnsi="Arial" w:cs="Arial"/>
            <w:noProof/>
            <w:webHidden/>
          </w:rPr>
          <w:fldChar w:fldCharType="begin"/>
        </w:r>
        <w:r w:rsidR="00447597" w:rsidRPr="00447597">
          <w:rPr>
            <w:rFonts w:ascii="Arial" w:hAnsi="Arial" w:cs="Arial"/>
            <w:noProof/>
            <w:webHidden/>
          </w:rPr>
          <w:instrText xml:space="preserve"> PAGEREF _Toc75160042 \h </w:instrText>
        </w:r>
        <w:r w:rsidR="00447597" w:rsidRPr="00447597">
          <w:rPr>
            <w:rFonts w:ascii="Arial" w:hAnsi="Arial" w:cs="Arial"/>
            <w:noProof/>
            <w:webHidden/>
          </w:rPr>
        </w:r>
        <w:r w:rsidR="00447597" w:rsidRPr="00447597">
          <w:rPr>
            <w:rFonts w:ascii="Arial" w:hAnsi="Arial" w:cs="Arial"/>
            <w:noProof/>
            <w:webHidden/>
          </w:rPr>
          <w:fldChar w:fldCharType="separate"/>
        </w:r>
        <w:r w:rsidR="00447597" w:rsidRPr="00447597">
          <w:rPr>
            <w:rFonts w:ascii="Arial" w:hAnsi="Arial" w:cs="Arial"/>
            <w:noProof/>
            <w:webHidden/>
          </w:rPr>
          <w:t>43</w:t>
        </w:r>
        <w:r w:rsidR="00447597" w:rsidRPr="00447597">
          <w:rPr>
            <w:rFonts w:ascii="Arial" w:hAnsi="Arial" w:cs="Arial"/>
            <w:noProof/>
            <w:webHidden/>
          </w:rPr>
          <w:fldChar w:fldCharType="end"/>
        </w:r>
      </w:hyperlink>
    </w:p>
    <w:p w14:paraId="6DA18BB9" w14:textId="77777777" w:rsidR="00447597" w:rsidRPr="00447597" w:rsidRDefault="00451C90">
      <w:pPr>
        <w:pStyle w:val="Kazalovsebine3"/>
        <w:tabs>
          <w:tab w:val="right" w:leader="dot" w:pos="9054"/>
        </w:tabs>
        <w:rPr>
          <w:rFonts w:ascii="Arial" w:eastAsiaTheme="minorEastAsia" w:hAnsi="Arial" w:cs="Arial"/>
          <w:noProof/>
          <w:lang w:eastAsia="sl-SI"/>
        </w:rPr>
      </w:pPr>
      <w:hyperlink w:anchor="_Toc75160043" w:history="1">
        <w:r w:rsidR="00447597" w:rsidRPr="00447597">
          <w:rPr>
            <w:rStyle w:val="Hiperpovezava"/>
            <w:rFonts w:ascii="Arial" w:eastAsia="Calibri" w:hAnsi="Arial" w:cs="Arial"/>
            <w:noProof/>
          </w:rPr>
          <w:t>Primeri: D2</w:t>
        </w:r>
        <w:r w:rsidR="00447597" w:rsidRPr="00447597">
          <w:rPr>
            <w:rFonts w:ascii="Arial" w:hAnsi="Arial" w:cs="Arial"/>
            <w:noProof/>
            <w:webHidden/>
          </w:rPr>
          <w:tab/>
        </w:r>
        <w:r w:rsidR="00447597" w:rsidRPr="00447597">
          <w:rPr>
            <w:rFonts w:ascii="Arial" w:hAnsi="Arial" w:cs="Arial"/>
            <w:noProof/>
            <w:webHidden/>
          </w:rPr>
          <w:fldChar w:fldCharType="begin"/>
        </w:r>
        <w:r w:rsidR="00447597" w:rsidRPr="00447597">
          <w:rPr>
            <w:rFonts w:ascii="Arial" w:hAnsi="Arial" w:cs="Arial"/>
            <w:noProof/>
            <w:webHidden/>
          </w:rPr>
          <w:instrText xml:space="preserve"> PAGEREF _Toc75160043 \h </w:instrText>
        </w:r>
        <w:r w:rsidR="00447597" w:rsidRPr="00447597">
          <w:rPr>
            <w:rFonts w:ascii="Arial" w:hAnsi="Arial" w:cs="Arial"/>
            <w:noProof/>
            <w:webHidden/>
          </w:rPr>
        </w:r>
        <w:r w:rsidR="00447597" w:rsidRPr="00447597">
          <w:rPr>
            <w:rFonts w:ascii="Arial" w:hAnsi="Arial" w:cs="Arial"/>
            <w:noProof/>
            <w:webHidden/>
          </w:rPr>
          <w:fldChar w:fldCharType="separate"/>
        </w:r>
        <w:r w:rsidR="00447597" w:rsidRPr="00447597">
          <w:rPr>
            <w:rFonts w:ascii="Arial" w:hAnsi="Arial" w:cs="Arial"/>
            <w:noProof/>
            <w:webHidden/>
          </w:rPr>
          <w:t>45</w:t>
        </w:r>
        <w:r w:rsidR="00447597" w:rsidRPr="00447597">
          <w:rPr>
            <w:rFonts w:ascii="Arial" w:hAnsi="Arial" w:cs="Arial"/>
            <w:noProof/>
            <w:webHidden/>
          </w:rPr>
          <w:fldChar w:fldCharType="end"/>
        </w:r>
      </w:hyperlink>
    </w:p>
    <w:p w14:paraId="697A1D0F" w14:textId="77777777" w:rsidR="00447597" w:rsidRPr="00447597" w:rsidRDefault="00451C90">
      <w:pPr>
        <w:pStyle w:val="Kazalovsebine2"/>
        <w:tabs>
          <w:tab w:val="left" w:pos="800"/>
          <w:tab w:val="right" w:leader="dot" w:pos="9054"/>
        </w:tabs>
        <w:rPr>
          <w:rFonts w:ascii="Arial" w:eastAsiaTheme="minorEastAsia" w:hAnsi="Arial" w:cs="Arial"/>
          <w:b w:val="0"/>
          <w:bCs w:val="0"/>
          <w:noProof/>
          <w:sz w:val="20"/>
          <w:szCs w:val="20"/>
          <w:lang w:eastAsia="sl-SI"/>
        </w:rPr>
      </w:pPr>
      <w:hyperlink w:anchor="_Toc75160044" w:history="1">
        <w:r w:rsidR="00447597" w:rsidRPr="00447597">
          <w:rPr>
            <w:rStyle w:val="Hiperpovezava"/>
            <w:rFonts w:ascii="Arial" w:hAnsi="Arial" w:cs="Arial"/>
            <w:noProof/>
            <w:sz w:val="20"/>
            <w:szCs w:val="20"/>
          </w:rPr>
          <w:t>7.6</w:t>
        </w:r>
        <w:r w:rsidR="00447597" w:rsidRPr="00447597">
          <w:rPr>
            <w:rFonts w:ascii="Arial" w:eastAsiaTheme="minorEastAsia" w:hAnsi="Arial" w:cs="Arial"/>
            <w:b w:val="0"/>
            <w:bCs w:val="0"/>
            <w:noProof/>
            <w:sz w:val="20"/>
            <w:szCs w:val="20"/>
            <w:lang w:eastAsia="sl-SI"/>
          </w:rPr>
          <w:tab/>
        </w:r>
        <w:r w:rsidR="00447597" w:rsidRPr="00447597">
          <w:rPr>
            <w:rStyle w:val="Hiperpovezava"/>
            <w:rFonts w:ascii="Arial" w:hAnsi="Arial" w:cs="Arial"/>
            <w:noProof/>
            <w:sz w:val="20"/>
            <w:szCs w:val="20"/>
          </w:rPr>
          <w:t>POSEBNE PREPOZNAVNE ZNAČILNOSTI, POVEZANE S TRANSFERNIMI CENAMI</w:t>
        </w:r>
        <w:r w:rsidR="00447597" w:rsidRPr="00447597">
          <w:rPr>
            <w:rFonts w:ascii="Arial" w:hAnsi="Arial" w:cs="Arial"/>
            <w:noProof/>
            <w:webHidden/>
            <w:sz w:val="20"/>
            <w:szCs w:val="20"/>
          </w:rPr>
          <w:tab/>
        </w:r>
        <w:r w:rsidR="00447597" w:rsidRPr="00447597">
          <w:rPr>
            <w:rFonts w:ascii="Arial" w:hAnsi="Arial" w:cs="Arial"/>
            <w:noProof/>
            <w:webHidden/>
            <w:sz w:val="20"/>
            <w:szCs w:val="20"/>
          </w:rPr>
          <w:fldChar w:fldCharType="begin"/>
        </w:r>
        <w:r w:rsidR="00447597" w:rsidRPr="00447597">
          <w:rPr>
            <w:rFonts w:ascii="Arial" w:hAnsi="Arial" w:cs="Arial"/>
            <w:noProof/>
            <w:webHidden/>
            <w:sz w:val="20"/>
            <w:szCs w:val="20"/>
          </w:rPr>
          <w:instrText xml:space="preserve"> PAGEREF _Toc75160044 \h </w:instrText>
        </w:r>
        <w:r w:rsidR="00447597" w:rsidRPr="00447597">
          <w:rPr>
            <w:rFonts w:ascii="Arial" w:hAnsi="Arial" w:cs="Arial"/>
            <w:noProof/>
            <w:webHidden/>
            <w:sz w:val="20"/>
            <w:szCs w:val="20"/>
          </w:rPr>
        </w:r>
        <w:r w:rsidR="00447597" w:rsidRPr="00447597">
          <w:rPr>
            <w:rFonts w:ascii="Arial" w:hAnsi="Arial" w:cs="Arial"/>
            <w:noProof/>
            <w:webHidden/>
            <w:sz w:val="20"/>
            <w:szCs w:val="20"/>
          </w:rPr>
          <w:fldChar w:fldCharType="separate"/>
        </w:r>
        <w:r w:rsidR="00447597" w:rsidRPr="00447597">
          <w:rPr>
            <w:rFonts w:ascii="Arial" w:hAnsi="Arial" w:cs="Arial"/>
            <w:noProof/>
            <w:webHidden/>
            <w:sz w:val="20"/>
            <w:szCs w:val="20"/>
          </w:rPr>
          <w:t>45</w:t>
        </w:r>
        <w:r w:rsidR="00447597" w:rsidRPr="00447597">
          <w:rPr>
            <w:rFonts w:ascii="Arial" w:hAnsi="Arial" w:cs="Arial"/>
            <w:noProof/>
            <w:webHidden/>
            <w:sz w:val="20"/>
            <w:szCs w:val="20"/>
          </w:rPr>
          <w:fldChar w:fldCharType="end"/>
        </w:r>
      </w:hyperlink>
    </w:p>
    <w:p w14:paraId="0CB9B52C" w14:textId="77777777" w:rsidR="00447597" w:rsidRPr="00447597" w:rsidRDefault="00451C90">
      <w:pPr>
        <w:pStyle w:val="Kazalovsebine3"/>
        <w:tabs>
          <w:tab w:val="right" w:leader="dot" w:pos="9054"/>
        </w:tabs>
        <w:rPr>
          <w:rFonts w:ascii="Arial" w:eastAsiaTheme="minorEastAsia" w:hAnsi="Arial" w:cs="Arial"/>
          <w:noProof/>
          <w:lang w:eastAsia="sl-SI"/>
        </w:rPr>
      </w:pPr>
      <w:hyperlink w:anchor="_Toc75160045" w:history="1">
        <w:r w:rsidR="00447597" w:rsidRPr="00447597">
          <w:rPr>
            <w:rStyle w:val="Hiperpovezava"/>
            <w:rFonts w:ascii="Arial" w:eastAsia="Calibri" w:hAnsi="Arial" w:cs="Arial"/>
            <w:noProof/>
          </w:rPr>
          <w:t>E1. Aranžma, ki vključuje uporabo enostranskih pravil izjeme »varnega pristana«</w:t>
        </w:r>
        <w:r w:rsidR="00447597" w:rsidRPr="00447597">
          <w:rPr>
            <w:rFonts w:ascii="Arial" w:hAnsi="Arial" w:cs="Arial"/>
            <w:noProof/>
            <w:webHidden/>
          </w:rPr>
          <w:tab/>
        </w:r>
        <w:r w:rsidR="00447597" w:rsidRPr="00447597">
          <w:rPr>
            <w:rFonts w:ascii="Arial" w:hAnsi="Arial" w:cs="Arial"/>
            <w:noProof/>
            <w:webHidden/>
          </w:rPr>
          <w:fldChar w:fldCharType="begin"/>
        </w:r>
        <w:r w:rsidR="00447597" w:rsidRPr="00447597">
          <w:rPr>
            <w:rFonts w:ascii="Arial" w:hAnsi="Arial" w:cs="Arial"/>
            <w:noProof/>
            <w:webHidden/>
          </w:rPr>
          <w:instrText xml:space="preserve"> PAGEREF _Toc75160045 \h </w:instrText>
        </w:r>
        <w:r w:rsidR="00447597" w:rsidRPr="00447597">
          <w:rPr>
            <w:rFonts w:ascii="Arial" w:hAnsi="Arial" w:cs="Arial"/>
            <w:noProof/>
            <w:webHidden/>
          </w:rPr>
        </w:r>
        <w:r w:rsidR="00447597" w:rsidRPr="00447597">
          <w:rPr>
            <w:rFonts w:ascii="Arial" w:hAnsi="Arial" w:cs="Arial"/>
            <w:noProof/>
            <w:webHidden/>
          </w:rPr>
          <w:fldChar w:fldCharType="separate"/>
        </w:r>
        <w:r w:rsidR="00447597" w:rsidRPr="00447597">
          <w:rPr>
            <w:rFonts w:ascii="Arial" w:hAnsi="Arial" w:cs="Arial"/>
            <w:noProof/>
            <w:webHidden/>
          </w:rPr>
          <w:t>46</w:t>
        </w:r>
        <w:r w:rsidR="00447597" w:rsidRPr="00447597">
          <w:rPr>
            <w:rFonts w:ascii="Arial" w:hAnsi="Arial" w:cs="Arial"/>
            <w:noProof/>
            <w:webHidden/>
          </w:rPr>
          <w:fldChar w:fldCharType="end"/>
        </w:r>
      </w:hyperlink>
    </w:p>
    <w:p w14:paraId="4B6821F7" w14:textId="77777777" w:rsidR="00447597" w:rsidRPr="00447597" w:rsidRDefault="00451C90">
      <w:pPr>
        <w:pStyle w:val="Kazalovsebine3"/>
        <w:tabs>
          <w:tab w:val="right" w:leader="dot" w:pos="9054"/>
        </w:tabs>
        <w:rPr>
          <w:rFonts w:ascii="Arial" w:eastAsiaTheme="minorEastAsia" w:hAnsi="Arial" w:cs="Arial"/>
          <w:noProof/>
          <w:lang w:eastAsia="sl-SI"/>
        </w:rPr>
      </w:pPr>
      <w:hyperlink w:anchor="_Toc75160046" w:history="1">
        <w:r w:rsidR="00447597" w:rsidRPr="00447597">
          <w:rPr>
            <w:rStyle w:val="Hiperpovezava"/>
            <w:rFonts w:ascii="Arial" w:hAnsi="Arial" w:cs="Arial"/>
            <w:noProof/>
          </w:rPr>
          <w:t>Primeri: E1</w:t>
        </w:r>
        <w:r w:rsidR="00447597" w:rsidRPr="00447597">
          <w:rPr>
            <w:rFonts w:ascii="Arial" w:hAnsi="Arial" w:cs="Arial"/>
            <w:noProof/>
            <w:webHidden/>
          </w:rPr>
          <w:tab/>
        </w:r>
        <w:r w:rsidR="00447597" w:rsidRPr="00447597">
          <w:rPr>
            <w:rFonts w:ascii="Arial" w:hAnsi="Arial" w:cs="Arial"/>
            <w:noProof/>
            <w:webHidden/>
          </w:rPr>
          <w:fldChar w:fldCharType="begin"/>
        </w:r>
        <w:r w:rsidR="00447597" w:rsidRPr="00447597">
          <w:rPr>
            <w:rFonts w:ascii="Arial" w:hAnsi="Arial" w:cs="Arial"/>
            <w:noProof/>
            <w:webHidden/>
          </w:rPr>
          <w:instrText xml:space="preserve"> PAGEREF _Toc75160046 \h </w:instrText>
        </w:r>
        <w:r w:rsidR="00447597" w:rsidRPr="00447597">
          <w:rPr>
            <w:rFonts w:ascii="Arial" w:hAnsi="Arial" w:cs="Arial"/>
            <w:noProof/>
            <w:webHidden/>
          </w:rPr>
        </w:r>
        <w:r w:rsidR="00447597" w:rsidRPr="00447597">
          <w:rPr>
            <w:rFonts w:ascii="Arial" w:hAnsi="Arial" w:cs="Arial"/>
            <w:noProof/>
            <w:webHidden/>
          </w:rPr>
          <w:fldChar w:fldCharType="separate"/>
        </w:r>
        <w:r w:rsidR="00447597" w:rsidRPr="00447597">
          <w:rPr>
            <w:rFonts w:ascii="Arial" w:hAnsi="Arial" w:cs="Arial"/>
            <w:noProof/>
            <w:webHidden/>
          </w:rPr>
          <w:t>47</w:t>
        </w:r>
        <w:r w:rsidR="00447597" w:rsidRPr="00447597">
          <w:rPr>
            <w:rFonts w:ascii="Arial" w:hAnsi="Arial" w:cs="Arial"/>
            <w:noProof/>
            <w:webHidden/>
          </w:rPr>
          <w:fldChar w:fldCharType="end"/>
        </w:r>
      </w:hyperlink>
    </w:p>
    <w:p w14:paraId="74EBD76B" w14:textId="77777777" w:rsidR="00447597" w:rsidRPr="00447597" w:rsidRDefault="00451C90">
      <w:pPr>
        <w:pStyle w:val="Kazalovsebine3"/>
        <w:tabs>
          <w:tab w:val="right" w:leader="dot" w:pos="9054"/>
        </w:tabs>
        <w:rPr>
          <w:rFonts w:ascii="Arial" w:eastAsiaTheme="minorEastAsia" w:hAnsi="Arial" w:cs="Arial"/>
          <w:noProof/>
          <w:lang w:eastAsia="sl-SI"/>
        </w:rPr>
      </w:pPr>
      <w:hyperlink w:anchor="_Toc75160047" w:history="1">
        <w:r w:rsidR="00447597" w:rsidRPr="00447597">
          <w:rPr>
            <w:rStyle w:val="Hiperpovezava"/>
            <w:rFonts w:ascii="Arial" w:eastAsia="Calibri" w:hAnsi="Arial" w:cs="Arial"/>
            <w:noProof/>
          </w:rPr>
          <w:t>E2. Aranžma, ki vključuje prenos neopredmetenih sredstev, ki jih je težko ovrednotiti.</w:t>
        </w:r>
        <w:r w:rsidR="00447597" w:rsidRPr="00447597">
          <w:rPr>
            <w:rFonts w:ascii="Arial" w:hAnsi="Arial" w:cs="Arial"/>
            <w:noProof/>
            <w:webHidden/>
          </w:rPr>
          <w:tab/>
        </w:r>
        <w:r w:rsidR="00447597" w:rsidRPr="00447597">
          <w:rPr>
            <w:rFonts w:ascii="Arial" w:hAnsi="Arial" w:cs="Arial"/>
            <w:noProof/>
            <w:webHidden/>
          </w:rPr>
          <w:fldChar w:fldCharType="begin"/>
        </w:r>
        <w:r w:rsidR="00447597" w:rsidRPr="00447597">
          <w:rPr>
            <w:rFonts w:ascii="Arial" w:hAnsi="Arial" w:cs="Arial"/>
            <w:noProof/>
            <w:webHidden/>
          </w:rPr>
          <w:instrText xml:space="preserve"> PAGEREF _Toc75160047 \h </w:instrText>
        </w:r>
        <w:r w:rsidR="00447597" w:rsidRPr="00447597">
          <w:rPr>
            <w:rFonts w:ascii="Arial" w:hAnsi="Arial" w:cs="Arial"/>
            <w:noProof/>
            <w:webHidden/>
          </w:rPr>
        </w:r>
        <w:r w:rsidR="00447597" w:rsidRPr="00447597">
          <w:rPr>
            <w:rFonts w:ascii="Arial" w:hAnsi="Arial" w:cs="Arial"/>
            <w:noProof/>
            <w:webHidden/>
          </w:rPr>
          <w:fldChar w:fldCharType="separate"/>
        </w:r>
        <w:r w:rsidR="00447597" w:rsidRPr="00447597">
          <w:rPr>
            <w:rFonts w:ascii="Arial" w:hAnsi="Arial" w:cs="Arial"/>
            <w:noProof/>
            <w:webHidden/>
          </w:rPr>
          <w:t>48</w:t>
        </w:r>
        <w:r w:rsidR="00447597" w:rsidRPr="00447597">
          <w:rPr>
            <w:rFonts w:ascii="Arial" w:hAnsi="Arial" w:cs="Arial"/>
            <w:noProof/>
            <w:webHidden/>
          </w:rPr>
          <w:fldChar w:fldCharType="end"/>
        </w:r>
      </w:hyperlink>
    </w:p>
    <w:p w14:paraId="16B42A25" w14:textId="77777777" w:rsidR="00447597" w:rsidRPr="00447597" w:rsidRDefault="00451C90">
      <w:pPr>
        <w:pStyle w:val="Kazalovsebine3"/>
        <w:tabs>
          <w:tab w:val="right" w:leader="dot" w:pos="9054"/>
        </w:tabs>
        <w:rPr>
          <w:rFonts w:ascii="Arial" w:eastAsiaTheme="minorEastAsia" w:hAnsi="Arial" w:cs="Arial"/>
          <w:noProof/>
          <w:lang w:eastAsia="sl-SI"/>
        </w:rPr>
      </w:pPr>
      <w:hyperlink w:anchor="_Toc75160048" w:history="1">
        <w:r w:rsidR="00447597" w:rsidRPr="00447597">
          <w:rPr>
            <w:rStyle w:val="Hiperpovezava"/>
            <w:rFonts w:ascii="Arial" w:hAnsi="Arial" w:cs="Arial"/>
            <w:noProof/>
          </w:rPr>
          <w:t>E3. Aranžma, ki vključuje čezmejni prenos funkcij in/ali tveganj in/ali sredstev znotraj skupine</w:t>
        </w:r>
        <w:r w:rsidR="00447597" w:rsidRPr="00447597">
          <w:rPr>
            <w:rFonts w:ascii="Arial" w:hAnsi="Arial" w:cs="Arial"/>
            <w:noProof/>
            <w:webHidden/>
          </w:rPr>
          <w:tab/>
        </w:r>
        <w:r w:rsidR="00447597" w:rsidRPr="00447597">
          <w:rPr>
            <w:rFonts w:ascii="Arial" w:hAnsi="Arial" w:cs="Arial"/>
            <w:noProof/>
            <w:webHidden/>
          </w:rPr>
          <w:fldChar w:fldCharType="begin"/>
        </w:r>
        <w:r w:rsidR="00447597" w:rsidRPr="00447597">
          <w:rPr>
            <w:rFonts w:ascii="Arial" w:hAnsi="Arial" w:cs="Arial"/>
            <w:noProof/>
            <w:webHidden/>
          </w:rPr>
          <w:instrText xml:space="preserve"> PAGEREF _Toc75160048 \h </w:instrText>
        </w:r>
        <w:r w:rsidR="00447597" w:rsidRPr="00447597">
          <w:rPr>
            <w:rFonts w:ascii="Arial" w:hAnsi="Arial" w:cs="Arial"/>
            <w:noProof/>
            <w:webHidden/>
          </w:rPr>
        </w:r>
        <w:r w:rsidR="00447597" w:rsidRPr="00447597">
          <w:rPr>
            <w:rFonts w:ascii="Arial" w:hAnsi="Arial" w:cs="Arial"/>
            <w:noProof/>
            <w:webHidden/>
          </w:rPr>
          <w:fldChar w:fldCharType="separate"/>
        </w:r>
        <w:r w:rsidR="00447597" w:rsidRPr="00447597">
          <w:rPr>
            <w:rFonts w:ascii="Arial" w:hAnsi="Arial" w:cs="Arial"/>
            <w:noProof/>
            <w:webHidden/>
          </w:rPr>
          <w:t>49</w:t>
        </w:r>
        <w:r w:rsidR="00447597" w:rsidRPr="00447597">
          <w:rPr>
            <w:rFonts w:ascii="Arial" w:hAnsi="Arial" w:cs="Arial"/>
            <w:noProof/>
            <w:webHidden/>
          </w:rPr>
          <w:fldChar w:fldCharType="end"/>
        </w:r>
      </w:hyperlink>
    </w:p>
    <w:p w14:paraId="18C1941A" w14:textId="77777777" w:rsidR="00447597" w:rsidRPr="00447597" w:rsidRDefault="00451C90">
      <w:pPr>
        <w:pStyle w:val="Kazalovsebine1"/>
        <w:tabs>
          <w:tab w:val="left" w:pos="400"/>
          <w:tab w:val="right" w:leader="dot" w:pos="9054"/>
        </w:tabs>
        <w:rPr>
          <w:rFonts w:eastAsiaTheme="minorEastAsia" w:cs="Arial"/>
          <w:b w:val="0"/>
          <w:bCs w:val="0"/>
          <w:iCs w:val="0"/>
          <w:noProof/>
          <w:szCs w:val="20"/>
          <w:lang w:eastAsia="sl-SI"/>
        </w:rPr>
      </w:pPr>
      <w:hyperlink w:anchor="_Toc75160049" w:history="1">
        <w:r w:rsidR="00447597" w:rsidRPr="00447597">
          <w:rPr>
            <w:rStyle w:val="Hiperpovezava"/>
            <w:rFonts w:cs="Arial"/>
            <w:noProof/>
            <w:szCs w:val="20"/>
          </w:rPr>
          <w:t>8</w:t>
        </w:r>
        <w:r w:rsidR="00447597" w:rsidRPr="00447597">
          <w:rPr>
            <w:rFonts w:eastAsiaTheme="minorEastAsia" w:cs="Arial"/>
            <w:b w:val="0"/>
            <w:bCs w:val="0"/>
            <w:iCs w:val="0"/>
            <w:noProof/>
            <w:szCs w:val="20"/>
            <w:lang w:eastAsia="sl-SI"/>
          </w:rPr>
          <w:tab/>
        </w:r>
        <w:r w:rsidR="00447597" w:rsidRPr="00447597">
          <w:rPr>
            <w:rStyle w:val="Hiperpovezava"/>
            <w:rFonts w:cs="Arial"/>
            <w:noProof/>
            <w:szCs w:val="20"/>
          </w:rPr>
          <w:t>DODATNE INFORMACIJE</w:t>
        </w:r>
        <w:r w:rsidR="00447597" w:rsidRPr="00447597">
          <w:rPr>
            <w:rFonts w:cs="Arial"/>
            <w:noProof/>
            <w:webHidden/>
            <w:szCs w:val="20"/>
          </w:rPr>
          <w:tab/>
        </w:r>
        <w:r w:rsidR="00447597" w:rsidRPr="00447597">
          <w:rPr>
            <w:rFonts w:cs="Arial"/>
            <w:noProof/>
            <w:webHidden/>
            <w:szCs w:val="20"/>
          </w:rPr>
          <w:fldChar w:fldCharType="begin"/>
        </w:r>
        <w:r w:rsidR="00447597" w:rsidRPr="00447597">
          <w:rPr>
            <w:rFonts w:cs="Arial"/>
            <w:noProof/>
            <w:webHidden/>
            <w:szCs w:val="20"/>
          </w:rPr>
          <w:instrText xml:space="preserve"> PAGEREF _Toc75160049 \h </w:instrText>
        </w:r>
        <w:r w:rsidR="00447597" w:rsidRPr="00447597">
          <w:rPr>
            <w:rFonts w:cs="Arial"/>
            <w:noProof/>
            <w:webHidden/>
            <w:szCs w:val="20"/>
          </w:rPr>
        </w:r>
        <w:r w:rsidR="00447597" w:rsidRPr="00447597">
          <w:rPr>
            <w:rFonts w:cs="Arial"/>
            <w:noProof/>
            <w:webHidden/>
            <w:szCs w:val="20"/>
          </w:rPr>
          <w:fldChar w:fldCharType="separate"/>
        </w:r>
        <w:r w:rsidR="00447597" w:rsidRPr="00447597">
          <w:rPr>
            <w:rFonts w:cs="Arial"/>
            <w:noProof/>
            <w:webHidden/>
            <w:szCs w:val="20"/>
          </w:rPr>
          <w:t>50</w:t>
        </w:r>
        <w:r w:rsidR="00447597" w:rsidRPr="00447597">
          <w:rPr>
            <w:rFonts w:cs="Arial"/>
            <w:noProof/>
            <w:webHidden/>
            <w:szCs w:val="20"/>
          </w:rPr>
          <w:fldChar w:fldCharType="end"/>
        </w:r>
      </w:hyperlink>
    </w:p>
    <w:p w14:paraId="555B67EF" w14:textId="77777777" w:rsidR="00447597" w:rsidRPr="00447597" w:rsidRDefault="00451C90">
      <w:pPr>
        <w:pStyle w:val="Kazalovsebine2"/>
        <w:tabs>
          <w:tab w:val="left" w:pos="800"/>
          <w:tab w:val="right" w:leader="dot" w:pos="9054"/>
        </w:tabs>
        <w:rPr>
          <w:rFonts w:ascii="Arial" w:eastAsiaTheme="minorEastAsia" w:hAnsi="Arial" w:cs="Arial"/>
          <w:b w:val="0"/>
          <w:bCs w:val="0"/>
          <w:noProof/>
          <w:sz w:val="20"/>
          <w:szCs w:val="20"/>
          <w:lang w:eastAsia="sl-SI"/>
        </w:rPr>
      </w:pPr>
      <w:hyperlink w:anchor="_Toc75160050" w:history="1">
        <w:r w:rsidR="00447597" w:rsidRPr="00447597">
          <w:rPr>
            <w:rStyle w:val="Hiperpovezava"/>
            <w:rFonts w:ascii="Arial" w:hAnsi="Arial" w:cs="Arial"/>
            <w:noProof/>
            <w:sz w:val="20"/>
            <w:szCs w:val="20"/>
          </w:rPr>
          <w:t>8.1</w:t>
        </w:r>
        <w:r w:rsidR="00447597" w:rsidRPr="00447597">
          <w:rPr>
            <w:rFonts w:ascii="Arial" w:eastAsiaTheme="minorEastAsia" w:hAnsi="Arial" w:cs="Arial"/>
            <w:b w:val="0"/>
            <w:bCs w:val="0"/>
            <w:noProof/>
            <w:sz w:val="20"/>
            <w:szCs w:val="20"/>
            <w:lang w:eastAsia="sl-SI"/>
          </w:rPr>
          <w:tab/>
        </w:r>
        <w:r w:rsidR="00447597" w:rsidRPr="00447597">
          <w:rPr>
            <w:rStyle w:val="Hiperpovezava"/>
            <w:rFonts w:ascii="Arial" w:hAnsi="Arial" w:cs="Arial"/>
            <w:noProof/>
            <w:sz w:val="20"/>
            <w:szCs w:val="20"/>
          </w:rPr>
          <w:t>Kje so na voljo dodatne informacije?</w:t>
        </w:r>
        <w:r w:rsidR="00447597" w:rsidRPr="00447597">
          <w:rPr>
            <w:rFonts w:ascii="Arial" w:hAnsi="Arial" w:cs="Arial"/>
            <w:noProof/>
            <w:webHidden/>
            <w:sz w:val="20"/>
            <w:szCs w:val="20"/>
          </w:rPr>
          <w:tab/>
        </w:r>
        <w:r w:rsidR="00447597" w:rsidRPr="00447597">
          <w:rPr>
            <w:rFonts w:ascii="Arial" w:hAnsi="Arial" w:cs="Arial"/>
            <w:noProof/>
            <w:webHidden/>
            <w:sz w:val="20"/>
            <w:szCs w:val="20"/>
          </w:rPr>
          <w:fldChar w:fldCharType="begin"/>
        </w:r>
        <w:r w:rsidR="00447597" w:rsidRPr="00447597">
          <w:rPr>
            <w:rFonts w:ascii="Arial" w:hAnsi="Arial" w:cs="Arial"/>
            <w:noProof/>
            <w:webHidden/>
            <w:sz w:val="20"/>
            <w:szCs w:val="20"/>
          </w:rPr>
          <w:instrText xml:space="preserve"> PAGEREF _Toc75160050 \h </w:instrText>
        </w:r>
        <w:r w:rsidR="00447597" w:rsidRPr="00447597">
          <w:rPr>
            <w:rFonts w:ascii="Arial" w:hAnsi="Arial" w:cs="Arial"/>
            <w:noProof/>
            <w:webHidden/>
            <w:sz w:val="20"/>
            <w:szCs w:val="20"/>
          </w:rPr>
        </w:r>
        <w:r w:rsidR="00447597" w:rsidRPr="00447597">
          <w:rPr>
            <w:rFonts w:ascii="Arial" w:hAnsi="Arial" w:cs="Arial"/>
            <w:noProof/>
            <w:webHidden/>
            <w:sz w:val="20"/>
            <w:szCs w:val="20"/>
          </w:rPr>
          <w:fldChar w:fldCharType="separate"/>
        </w:r>
        <w:r w:rsidR="00447597" w:rsidRPr="00447597">
          <w:rPr>
            <w:rFonts w:ascii="Arial" w:hAnsi="Arial" w:cs="Arial"/>
            <w:noProof/>
            <w:webHidden/>
            <w:sz w:val="20"/>
            <w:szCs w:val="20"/>
          </w:rPr>
          <w:t>50</w:t>
        </w:r>
        <w:r w:rsidR="00447597" w:rsidRPr="00447597">
          <w:rPr>
            <w:rFonts w:ascii="Arial" w:hAnsi="Arial" w:cs="Arial"/>
            <w:noProof/>
            <w:webHidden/>
            <w:sz w:val="20"/>
            <w:szCs w:val="20"/>
          </w:rPr>
          <w:fldChar w:fldCharType="end"/>
        </w:r>
      </w:hyperlink>
    </w:p>
    <w:p w14:paraId="2EAF2866" w14:textId="77777777" w:rsidR="00447597" w:rsidRPr="00447597" w:rsidRDefault="00451C90">
      <w:pPr>
        <w:pStyle w:val="Kazalovsebine1"/>
        <w:tabs>
          <w:tab w:val="left" w:pos="400"/>
          <w:tab w:val="right" w:leader="dot" w:pos="9054"/>
        </w:tabs>
        <w:rPr>
          <w:rFonts w:eastAsiaTheme="minorEastAsia" w:cs="Arial"/>
          <w:b w:val="0"/>
          <w:bCs w:val="0"/>
          <w:iCs w:val="0"/>
          <w:noProof/>
          <w:szCs w:val="20"/>
          <w:lang w:eastAsia="sl-SI"/>
        </w:rPr>
      </w:pPr>
      <w:hyperlink w:anchor="_Toc75160051" w:history="1">
        <w:r w:rsidR="00447597" w:rsidRPr="00447597">
          <w:rPr>
            <w:rStyle w:val="Hiperpovezava"/>
            <w:rFonts w:cs="Arial"/>
            <w:noProof/>
            <w:szCs w:val="20"/>
          </w:rPr>
          <w:t>9</w:t>
        </w:r>
        <w:r w:rsidR="00447597" w:rsidRPr="00447597">
          <w:rPr>
            <w:rFonts w:eastAsiaTheme="minorEastAsia" w:cs="Arial"/>
            <w:b w:val="0"/>
            <w:bCs w:val="0"/>
            <w:iCs w:val="0"/>
            <w:noProof/>
            <w:szCs w:val="20"/>
            <w:lang w:eastAsia="sl-SI"/>
          </w:rPr>
          <w:tab/>
        </w:r>
        <w:r w:rsidR="00447597" w:rsidRPr="00447597">
          <w:rPr>
            <w:rStyle w:val="Hiperpovezava"/>
            <w:rFonts w:cs="Arial"/>
            <w:noProof/>
            <w:szCs w:val="20"/>
          </w:rPr>
          <w:t>POGOSTA VPRAŠANJA</w:t>
        </w:r>
        <w:r w:rsidR="00447597" w:rsidRPr="00447597">
          <w:rPr>
            <w:rFonts w:cs="Arial"/>
            <w:noProof/>
            <w:webHidden/>
            <w:szCs w:val="20"/>
          </w:rPr>
          <w:tab/>
        </w:r>
        <w:r w:rsidR="00447597" w:rsidRPr="00447597">
          <w:rPr>
            <w:rFonts w:cs="Arial"/>
            <w:noProof/>
            <w:webHidden/>
            <w:szCs w:val="20"/>
          </w:rPr>
          <w:fldChar w:fldCharType="begin"/>
        </w:r>
        <w:r w:rsidR="00447597" w:rsidRPr="00447597">
          <w:rPr>
            <w:rFonts w:cs="Arial"/>
            <w:noProof/>
            <w:webHidden/>
            <w:szCs w:val="20"/>
          </w:rPr>
          <w:instrText xml:space="preserve"> PAGEREF _Toc75160051 \h </w:instrText>
        </w:r>
        <w:r w:rsidR="00447597" w:rsidRPr="00447597">
          <w:rPr>
            <w:rFonts w:cs="Arial"/>
            <w:noProof/>
            <w:webHidden/>
            <w:szCs w:val="20"/>
          </w:rPr>
        </w:r>
        <w:r w:rsidR="00447597" w:rsidRPr="00447597">
          <w:rPr>
            <w:rFonts w:cs="Arial"/>
            <w:noProof/>
            <w:webHidden/>
            <w:szCs w:val="20"/>
          </w:rPr>
          <w:fldChar w:fldCharType="separate"/>
        </w:r>
        <w:r w:rsidR="00447597" w:rsidRPr="00447597">
          <w:rPr>
            <w:rFonts w:cs="Arial"/>
            <w:noProof/>
            <w:webHidden/>
            <w:szCs w:val="20"/>
          </w:rPr>
          <w:t>50</w:t>
        </w:r>
        <w:r w:rsidR="00447597" w:rsidRPr="00447597">
          <w:rPr>
            <w:rFonts w:cs="Arial"/>
            <w:noProof/>
            <w:webHidden/>
            <w:szCs w:val="20"/>
          </w:rPr>
          <w:fldChar w:fldCharType="end"/>
        </w:r>
      </w:hyperlink>
    </w:p>
    <w:p w14:paraId="113A8E60" w14:textId="77777777" w:rsidR="008D7B77" w:rsidRPr="00447597" w:rsidRDefault="00D54A22" w:rsidP="00296E00">
      <w:pPr>
        <w:pStyle w:val="Kazalovsebine1"/>
        <w:tabs>
          <w:tab w:val="left" w:pos="400"/>
          <w:tab w:val="right" w:leader="dot" w:pos="9346"/>
        </w:tabs>
        <w:spacing w:line="260" w:lineRule="exact"/>
        <w:rPr>
          <w:rFonts w:cs="Arial"/>
          <w:szCs w:val="20"/>
        </w:rPr>
      </w:pPr>
      <w:r w:rsidRPr="00447597">
        <w:rPr>
          <w:rFonts w:cs="Arial"/>
          <w:bCs w:val="0"/>
          <w:caps/>
          <w:szCs w:val="20"/>
        </w:rPr>
        <w:fldChar w:fldCharType="end"/>
      </w:r>
    </w:p>
    <w:p w14:paraId="0E74BF9C" w14:textId="77777777" w:rsidR="008D7B77" w:rsidRPr="00447597" w:rsidRDefault="008D7B77" w:rsidP="00697F07">
      <w:pPr>
        <w:spacing w:line="260" w:lineRule="exact"/>
        <w:jc w:val="both"/>
        <w:outlineLvl w:val="1"/>
        <w:rPr>
          <w:rFonts w:cs="Arial"/>
          <w:szCs w:val="20"/>
        </w:rPr>
      </w:pPr>
    </w:p>
    <w:p w14:paraId="2FE78922" w14:textId="77777777" w:rsidR="008D7B77" w:rsidRPr="00296E00" w:rsidRDefault="008D7B77" w:rsidP="00697F07">
      <w:pPr>
        <w:spacing w:line="260" w:lineRule="exact"/>
        <w:jc w:val="both"/>
        <w:outlineLvl w:val="1"/>
        <w:rPr>
          <w:rFonts w:cs="Arial"/>
          <w:szCs w:val="20"/>
        </w:rPr>
      </w:pPr>
    </w:p>
    <w:p w14:paraId="60849F70" w14:textId="77777777" w:rsidR="008D7B77" w:rsidRPr="00296E00" w:rsidRDefault="008D7B77" w:rsidP="00697F07">
      <w:pPr>
        <w:spacing w:line="260" w:lineRule="exact"/>
        <w:jc w:val="both"/>
        <w:outlineLvl w:val="1"/>
        <w:rPr>
          <w:rFonts w:cs="Arial"/>
          <w:szCs w:val="20"/>
        </w:rPr>
      </w:pPr>
    </w:p>
    <w:p w14:paraId="5AE56D78" w14:textId="77777777" w:rsidR="008D7B77" w:rsidRPr="00296E00" w:rsidRDefault="008D7B77" w:rsidP="00697F07">
      <w:pPr>
        <w:spacing w:line="260" w:lineRule="exact"/>
        <w:jc w:val="both"/>
        <w:outlineLvl w:val="1"/>
        <w:rPr>
          <w:rFonts w:cs="Arial"/>
          <w:szCs w:val="20"/>
        </w:rPr>
      </w:pPr>
    </w:p>
    <w:p w14:paraId="2EA57002" w14:textId="77777777" w:rsidR="008D7B77" w:rsidRPr="00296E00" w:rsidRDefault="008D7B77" w:rsidP="00697F07">
      <w:pPr>
        <w:spacing w:line="260" w:lineRule="exact"/>
        <w:jc w:val="both"/>
        <w:outlineLvl w:val="1"/>
        <w:rPr>
          <w:rFonts w:cs="Arial"/>
          <w:szCs w:val="20"/>
        </w:rPr>
      </w:pPr>
    </w:p>
    <w:p w14:paraId="1BC6C748" w14:textId="77777777" w:rsidR="001573D2" w:rsidRPr="00FB2B24" w:rsidRDefault="001573D2" w:rsidP="00697F07">
      <w:pPr>
        <w:spacing w:line="260" w:lineRule="exact"/>
        <w:jc w:val="both"/>
        <w:outlineLvl w:val="1"/>
        <w:rPr>
          <w:rFonts w:cs="Arial"/>
          <w:szCs w:val="20"/>
        </w:rPr>
      </w:pPr>
    </w:p>
    <w:p w14:paraId="33D7E4BB" w14:textId="77777777" w:rsidR="001573D2" w:rsidRPr="00FB2B24" w:rsidRDefault="001573D2" w:rsidP="00697F07">
      <w:pPr>
        <w:spacing w:line="260" w:lineRule="exact"/>
        <w:jc w:val="both"/>
        <w:outlineLvl w:val="1"/>
        <w:rPr>
          <w:rFonts w:cs="Arial"/>
          <w:szCs w:val="20"/>
        </w:rPr>
      </w:pPr>
    </w:p>
    <w:p w14:paraId="7C6EB006" w14:textId="77777777" w:rsidR="001573D2" w:rsidRPr="00093A31" w:rsidRDefault="001573D2" w:rsidP="00697F07">
      <w:pPr>
        <w:spacing w:line="260" w:lineRule="exact"/>
        <w:jc w:val="both"/>
        <w:outlineLvl w:val="1"/>
        <w:rPr>
          <w:rFonts w:cs="Arial"/>
          <w:szCs w:val="20"/>
        </w:rPr>
      </w:pPr>
    </w:p>
    <w:p w14:paraId="3D63CB11" w14:textId="77777777" w:rsidR="001573D2" w:rsidRPr="00093A31" w:rsidRDefault="001573D2" w:rsidP="00697F07">
      <w:pPr>
        <w:spacing w:line="260" w:lineRule="exact"/>
        <w:jc w:val="both"/>
        <w:outlineLvl w:val="1"/>
        <w:rPr>
          <w:rFonts w:cs="Arial"/>
          <w:szCs w:val="20"/>
        </w:rPr>
      </w:pPr>
    </w:p>
    <w:p w14:paraId="387232CD" w14:textId="77777777" w:rsidR="001573D2" w:rsidRPr="00093A31" w:rsidRDefault="001573D2" w:rsidP="00697F07">
      <w:pPr>
        <w:spacing w:line="260" w:lineRule="exact"/>
        <w:jc w:val="both"/>
        <w:outlineLvl w:val="1"/>
        <w:rPr>
          <w:rFonts w:cs="Arial"/>
          <w:szCs w:val="20"/>
        </w:rPr>
      </w:pPr>
    </w:p>
    <w:p w14:paraId="1013C455" w14:textId="77777777" w:rsidR="001573D2" w:rsidRDefault="001573D2" w:rsidP="00697F07">
      <w:pPr>
        <w:spacing w:line="260" w:lineRule="exact"/>
        <w:jc w:val="both"/>
        <w:outlineLvl w:val="1"/>
        <w:rPr>
          <w:sz w:val="16"/>
          <w:szCs w:val="16"/>
        </w:rPr>
      </w:pPr>
    </w:p>
    <w:p w14:paraId="615FACE5" w14:textId="77777777" w:rsidR="001573D2" w:rsidRDefault="001573D2" w:rsidP="00697F07">
      <w:pPr>
        <w:spacing w:line="260" w:lineRule="exact"/>
        <w:jc w:val="both"/>
        <w:outlineLvl w:val="1"/>
        <w:rPr>
          <w:sz w:val="16"/>
          <w:szCs w:val="16"/>
        </w:rPr>
      </w:pPr>
    </w:p>
    <w:p w14:paraId="2E78B9FD" w14:textId="77777777" w:rsidR="001573D2" w:rsidRDefault="001573D2" w:rsidP="00697F07">
      <w:pPr>
        <w:spacing w:line="260" w:lineRule="exact"/>
        <w:jc w:val="both"/>
        <w:outlineLvl w:val="1"/>
        <w:rPr>
          <w:sz w:val="16"/>
          <w:szCs w:val="16"/>
        </w:rPr>
      </w:pPr>
    </w:p>
    <w:p w14:paraId="6883EEDB" w14:textId="77777777" w:rsidR="003E64B8" w:rsidRPr="004B2C70" w:rsidRDefault="00FE10A4" w:rsidP="00697F07">
      <w:pPr>
        <w:spacing w:line="260" w:lineRule="exact"/>
        <w:rPr>
          <w:sz w:val="16"/>
          <w:szCs w:val="16"/>
        </w:rPr>
      </w:pPr>
      <w:r w:rsidRPr="004B2C70">
        <w:rPr>
          <w:sz w:val="16"/>
          <w:szCs w:val="16"/>
        </w:rPr>
        <w:t>I</w:t>
      </w:r>
      <w:r w:rsidR="003E64B8" w:rsidRPr="004B2C70">
        <w:rPr>
          <w:sz w:val="16"/>
          <w:szCs w:val="16"/>
        </w:rPr>
        <w:t>zjava o omejitvi odgovornosti:</w:t>
      </w:r>
    </w:p>
    <w:p w14:paraId="286F407F" w14:textId="77777777" w:rsidR="005B7A64" w:rsidRDefault="003E64B8" w:rsidP="00697F07">
      <w:pPr>
        <w:spacing w:line="260" w:lineRule="exact"/>
        <w:rPr>
          <w:sz w:val="16"/>
          <w:szCs w:val="16"/>
        </w:rPr>
      </w:pPr>
      <w:r w:rsidRPr="004B2C70">
        <w:rPr>
          <w:sz w:val="16"/>
          <w:szCs w:val="16"/>
        </w:rPr>
        <w:t>Pojasnila</w:t>
      </w:r>
      <w:r w:rsidR="00B8404F" w:rsidRPr="004B2C70">
        <w:rPr>
          <w:sz w:val="16"/>
          <w:szCs w:val="16"/>
        </w:rPr>
        <w:t xml:space="preserve">, </w:t>
      </w:r>
      <w:r w:rsidRPr="004B2C70">
        <w:rPr>
          <w:sz w:val="16"/>
          <w:szCs w:val="16"/>
        </w:rPr>
        <w:t>objavljena na spletni strani</w:t>
      </w:r>
      <w:r w:rsidR="008D7B77" w:rsidRPr="004B2C70">
        <w:rPr>
          <w:sz w:val="16"/>
          <w:szCs w:val="16"/>
        </w:rPr>
        <w:t xml:space="preserve"> so namenjena lažjemu razumevanju glede </w:t>
      </w:r>
      <w:r w:rsidR="00FE10A4" w:rsidRPr="004B2C70">
        <w:rPr>
          <w:sz w:val="16"/>
          <w:szCs w:val="16"/>
        </w:rPr>
        <w:t xml:space="preserve">obveznosti </w:t>
      </w:r>
      <w:r w:rsidR="008D7B77" w:rsidRPr="004B2C70">
        <w:rPr>
          <w:sz w:val="16"/>
          <w:szCs w:val="16"/>
        </w:rPr>
        <w:t>poročanja in izmenjave poročil po državah in niso pravno zavezujoča.</w:t>
      </w:r>
      <w:r w:rsidR="005B7A64">
        <w:rPr>
          <w:sz w:val="16"/>
          <w:szCs w:val="16"/>
        </w:rPr>
        <w:br w:type="page"/>
      </w:r>
    </w:p>
    <w:p w14:paraId="4F0A020E" w14:textId="77777777" w:rsidR="00B0537B" w:rsidRPr="00CA27C5" w:rsidRDefault="00B0537B" w:rsidP="00697F07">
      <w:pPr>
        <w:pStyle w:val="Naslov1"/>
        <w:spacing w:line="260" w:lineRule="exact"/>
      </w:pPr>
      <w:bookmarkStart w:id="1" w:name="_Toc75159991"/>
      <w:bookmarkStart w:id="2" w:name="_Toc405981583"/>
      <w:bookmarkStart w:id="3" w:name="_Toc405981697"/>
      <w:bookmarkStart w:id="4" w:name="_Toc405981698"/>
      <w:r w:rsidRPr="00CA27C5">
        <w:lastRenderedPageBreak/>
        <w:t>SPLOŠNO</w:t>
      </w:r>
      <w:bookmarkEnd w:id="1"/>
    </w:p>
    <w:p w14:paraId="4DFDBC96" w14:textId="77777777" w:rsidR="006800F0" w:rsidRPr="00CA2042" w:rsidRDefault="00D0610A" w:rsidP="00697F07">
      <w:pPr>
        <w:pStyle w:val="Naslov2"/>
      </w:pPr>
      <w:bookmarkStart w:id="5" w:name="_Toc75159992"/>
      <w:bookmarkEnd w:id="2"/>
      <w:bookmarkEnd w:id="3"/>
      <w:bookmarkEnd w:id="4"/>
      <w:r w:rsidRPr="00CA2042">
        <w:t xml:space="preserve">Kaj je poročanje </w:t>
      </w:r>
      <w:r w:rsidR="00B90A75" w:rsidRPr="00CA2042">
        <w:t>o čezmejnih aranžmajih</w:t>
      </w:r>
      <w:bookmarkEnd w:id="5"/>
      <w:r w:rsidR="00E51566" w:rsidRPr="00CA2042">
        <w:t xml:space="preserve"> </w:t>
      </w:r>
    </w:p>
    <w:p w14:paraId="1A3896BE" w14:textId="77777777" w:rsidR="004C4437" w:rsidRDefault="004C4437" w:rsidP="00697F07">
      <w:pPr>
        <w:spacing w:line="260" w:lineRule="exact"/>
        <w:jc w:val="both"/>
      </w:pPr>
    </w:p>
    <w:p w14:paraId="07FBBF1C" w14:textId="77777777" w:rsidR="00B90A75" w:rsidRDefault="00D0610A" w:rsidP="00697F07">
      <w:pPr>
        <w:spacing w:line="260" w:lineRule="exact"/>
        <w:jc w:val="both"/>
      </w:pPr>
      <w:r>
        <w:t>Obveznost poročanja o potencialno agresivnih čezmejnih aranžmajih davčnega načrtovanja</w:t>
      </w:r>
      <w:r w:rsidRPr="008C2317">
        <w:t xml:space="preserve"> </w:t>
      </w:r>
      <w:r>
        <w:t>uvaja Direktiva Sveta (EU) 2</w:t>
      </w:r>
      <w:r w:rsidR="00A57D78">
        <w:t>018/822 o spremembi Direktive 20</w:t>
      </w:r>
      <w:r>
        <w:t>11/16/EU glede avtomatične izmenjave informacij na področju obdavčenja v zvezi s čezmejnimi aranžmaji, o katerih se poroča</w:t>
      </w:r>
      <w:r w:rsidR="00B90A75">
        <w:t xml:space="preserve"> (v nadaljevanju</w:t>
      </w:r>
      <w:r w:rsidR="00C80FAD">
        <w:t>:</w:t>
      </w:r>
      <w:r w:rsidR="00B90A75">
        <w:t xml:space="preserve"> Direktiva)</w:t>
      </w:r>
      <w:r>
        <w:t>. Cilj Direktive je zaščita nacionalnih davčnih prihodkov pred agresivnimi davčnimi strukturami</w:t>
      </w:r>
      <w:r w:rsidR="00142B50">
        <w:t>,</w:t>
      </w:r>
      <w:r>
        <w:t xml:space="preserve"> katerih glavni namen je prelivanje dobičkov v davčno ugodnejše jurisdikcije. </w:t>
      </w:r>
    </w:p>
    <w:p w14:paraId="5FDF3E9B" w14:textId="77777777" w:rsidR="00B90A75" w:rsidRDefault="00B90A75" w:rsidP="00697F07">
      <w:pPr>
        <w:spacing w:line="260" w:lineRule="exact"/>
        <w:jc w:val="both"/>
      </w:pPr>
    </w:p>
    <w:p w14:paraId="1271AB4F" w14:textId="77777777" w:rsidR="00702CDB" w:rsidRPr="00285D36" w:rsidRDefault="00702CDB" w:rsidP="00697F07">
      <w:pPr>
        <w:spacing w:line="260" w:lineRule="exact"/>
        <w:jc w:val="both"/>
      </w:pPr>
      <w:r>
        <w:t>Direktiva je zasnovana po vzoru priporočil BEPS Ukrepa 12</w:t>
      </w:r>
      <w:r>
        <w:rPr>
          <w:rStyle w:val="Sprotnaopomba-sklic"/>
        </w:rPr>
        <w:footnoteReference w:id="2"/>
      </w:r>
      <w:r>
        <w:t xml:space="preserve"> glede zahteve, da davčni zavezanci razkrijejo svoje aranžmaje agresivnega davčnega načrtovanja, s čimer se davčnemu organu zagotavljajo pravočasne, celovite in relevantne informacije o potencialno agresivnih aranžmajih in shemah davčnega načrtovanja.</w:t>
      </w:r>
    </w:p>
    <w:p w14:paraId="2DC5B7DD" w14:textId="77777777" w:rsidR="00B90A75" w:rsidRDefault="00B90A75" w:rsidP="00697F07">
      <w:pPr>
        <w:spacing w:line="260" w:lineRule="exact"/>
        <w:jc w:val="both"/>
      </w:pPr>
    </w:p>
    <w:p w14:paraId="152B5BAD" w14:textId="77777777" w:rsidR="00E51566" w:rsidRDefault="00E51566" w:rsidP="00697F07">
      <w:pPr>
        <w:spacing w:line="260" w:lineRule="exact"/>
        <w:jc w:val="both"/>
      </w:pPr>
      <w:r>
        <w:t xml:space="preserve">V slovenski zakonodaji je </w:t>
      </w:r>
      <w:r w:rsidR="00C80FAD">
        <w:t xml:space="preserve">poročanje v skladu z Direktivo (v nadaljevanju: </w:t>
      </w:r>
      <w:r>
        <w:t>DAC6 poročanje</w:t>
      </w:r>
      <w:r w:rsidR="00C80FAD">
        <w:t>)</w:t>
      </w:r>
      <w:r>
        <w:t xml:space="preserve"> urejeno v </w:t>
      </w:r>
      <w:hyperlink r:id="rId12" w:history="1">
        <w:r w:rsidRPr="00296E00">
          <w:rPr>
            <w:rStyle w:val="Hiperpovezava"/>
          </w:rPr>
          <w:t>Zakonu o davčnem postopku</w:t>
        </w:r>
      </w:hyperlink>
      <w:r>
        <w:t xml:space="preserve"> </w:t>
      </w:r>
      <w:r w:rsidR="00296E00">
        <w:t>(</w:t>
      </w:r>
      <w:r w:rsidR="005B7A64">
        <w:t xml:space="preserve">v nadaljevanju </w:t>
      </w:r>
      <w:r w:rsidR="00D42BDF">
        <w:t xml:space="preserve">ZDavP-2), v naslednjih členih: </w:t>
      </w:r>
      <w:r w:rsidR="005B7A64">
        <w:t>243</w:t>
      </w:r>
      <w:r w:rsidR="00142B50">
        <w:t>.</w:t>
      </w:r>
      <w:r w:rsidR="005B7A64">
        <w:t>a</w:t>
      </w:r>
      <w:r w:rsidR="00297E90">
        <w:t>, 248.</w:t>
      </w:r>
      <w:r>
        <w:t xml:space="preserve">c, 255.m, 255.n, 255.o, 255.p, 255.r, 255.s, 255.š, 255.t, 255.u in 255.v (III. C poglavje) in v </w:t>
      </w:r>
      <w:r w:rsidR="005B7A64">
        <w:t xml:space="preserve">členih 394., 397 ter </w:t>
      </w:r>
      <w:r>
        <w:t>v Prilogi IV Direktive 2011/2016/EU.</w:t>
      </w:r>
      <w:r w:rsidRPr="005A74BD">
        <w:t xml:space="preserve"> </w:t>
      </w:r>
      <w:r>
        <w:t xml:space="preserve"> </w:t>
      </w:r>
    </w:p>
    <w:p w14:paraId="3B68ACC7" w14:textId="77777777" w:rsidR="00E51566" w:rsidRDefault="00E51566" w:rsidP="00697F07">
      <w:pPr>
        <w:spacing w:line="260" w:lineRule="exact"/>
        <w:jc w:val="both"/>
      </w:pPr>
    </w:p>
    <w:p w14:paraId="39B91939" w14:textId="77777777" w:rsidR="000324B2" w:rsidRPr="000324B2" w:rsidRDefault="00E51566" w:rsidP="00697F07">
      <w:pPr>
        <w:spacing w:line="260" w:lineRule="exact"/>
        <w:jc w:val="both"/>
      </w:pPr>
      <w:r w:rsidRPr="000324B2">
        <w:t>Izvajanje pravil za poročanje o čezmejnih aranžmajih na podlagi III. C poglavja ZDavP-2</w:t>
      </w:r>
      <w:r w:rsidR="000324B2" w:rsidRPr="000324B2">
        <w:t xml:space="preserve"> </w:t>
      </w:r>
      <w:r w:rsidR="00296E00">
        <w:t xml:space="preserve">pa je </w:t>
      </w:r>
      <w:r w:rsidR="000324B2" w:rsidRPr="000324B2">
        <w:t>podrobneje urejeno v</w:t>
      </w:r>
      <w:r w:rsidR="00F22CE9">
        <w:t xml:space="preserve"> II.B delu</w:t>
      </w:r>
      <w:r w:rsidR="000324B2" w:rsidRPr="000324B2">
        <w:t xml:space="preserve"> </w:t>
      </w:r>
      <w:hyperlink r:id="rId13" w:history="1">
        <w:r w:rsidR="00F22CE9">
          <w:rPr>
            <w:rStyle w:val="Hiperpovezava"/>
          </w:rPr>
          <w:t>Pravilnika</w:t>
        </w:r>
        <w:r w:rsidR="00296E00" w:rsidRPr="00F22CE9">
          <w:rPr>
            <w:rStyle w:val="Hiperpovezava"/>
          </w:rPr>
          <w:t xml:space="preserve"> o izvajanju ZDavP-2</w:t>
        </w:r>
      </w:hyperlink>
      <w:r w:rsidR="00296E00">
        <w:t xml:space="preserve"> (v nadaljevanju P</w:t>
      </w:r>
      <w:r w:rsidR="00F22CE9">
        <w:t xml:space="preserve">ravilnik), v členih od 85.c člena do vključno 85. j člena in v Prilogi 22, ki je sestavni del tega Pravilnika. </w:t>
      </w:r>
    </w:p>
    <w:p w14:paraId="0D096BC3" w14:textId="77777777" w:rsidR="00E51566" w:rsidRPr="004029AF" w:rsidRDefault="00E51566" w:rsidP="00697F07">
      <w:pPr>
        <w:spacing w:line="260" w:lineRule="exact"/>
        <w:jc w:val="both"/>
        <w:rPr>
          <w:i/>
        </w:rPr>
      </w:pPr>
    </w:p>
    <w:p w14:paraId="3D77D954" w14:textId="77777777" w:rsidR="00E51566" w:rsidRPr="00C94109" w:rsidRDefault="00E51566" w:rsidP="00697F07">
      <w:pPr>
        <w:pStyle w:val="Naslov2"/>
      </w:pPr>
      <w:r w:rsidRPr="00C94109">
        <w:t xml:space="preserve"> </w:t>
      </w:r>
      <w:bookmarkStart w:id="6" w:name="_Toc75159993"/>
      <w:r w:rsidR="00615944">
        <w:t xml:space="preserve">Kdo </w:t>
      </w:r>
      <w:r w:rsidRPr="00C94109">
        <w:t>poroča o čezmejnih aranžmajih</w:t>
      </w:r>
      <w:bookmarkEnd w:id="6"/>
    </w:p>
    <w:p w14:paraId="39D93BEA" w14:textId="77777777" w:rsidR="00185E5A" w:rsidRDefault="00185E5A" w:rsidP="00697F07">
      <w:pPr>
        <w:spacing w:line="260" w:lineRule="exact"/>
        <w:jc w:val="both"/>
      </w:pPr>
    </w:p>
    <w:p w14:paraId="5DDC5606" w14:textId="4551B126" w:rsidR="00185E5A" w:rsidRDefault="00185E5A" w:rsidP="00697F07">
      <w:pPr>
        <w:spacing w:line="260" w:lineRule="exact"/>
        <w:jc w:val="both"/>
      </w:pPr>
      <w:r>
        <w:t xml:space="preserve">DAC6 poročanje uvaja obveznost poročanja za podjetja in posameznike, ki ponujajo storitve svetovanja na področju davčnega načrtovanja in se v direktivi imenujejo posredniki. To so lahko davčni svetovalci, banke, bonitetne agencije, notarji, odvetniki, </w:t>
      </w:r>
      <w:r w:rsidR="002F06F8">
        <w:t xml:space="preserve">revizorji, </w:t>
      </w:r>
      <w:r>
        <w:t>računovodski servisi in druge institucije in podjetja, ki v razmerju do davčnih zavezancev ustrezajo opredelitvi posrednika.</w:t>
      </w:r>
    </w:p>
    <w:p w14:paraId="68DD1219" w14:textId="77777777" w:rsidR="00C04A05" w:rsidRDefault="00C04A05" w:rsidP="00697F07">
      <w:pPr>
        <w:spacing w:line="260" w:lineRule="exact"/>
        <w:jc w:val="both"/>
      </w:pPr>
    </w:p>
    <w:p w14:paraId="040C34D5" w14:textId="77777777" w:rsidR="00D0610A" w:rsidRDefault="00C80FAD" w:rsidP="00697F07">
      <w:pPr>
        <w:spacing w:line="260" w:lineRule="exact"/>
        <w:jc w:val="both"/>
      </w:pPr>
      <w:r>
        <w:t>Obveznost r</w:t>
      </w:r>
      <w:r w:rsidR="00D0610A">
        <w:t>azkritj</w:t>
      </w:r>
      <w:r>
        <w:t>a</w:t>
      </w:r>
      <w:r w:rsidR="00D0610A">
        <w:t xml:space="preserve"> se nanaša na osebe, ki so opredeljene kot posredniki. </w:t>
      </w:r>
      <w:r w:rsidR="00702CDB">
        <w:t xml:space="preserve">Definicija posrednika v  ZDavP-2 sledi </w:t>
      </w:r>
      <w:r>
        <w:t xml:space="preserve">dvodelni </w:t>
      </w:r>
      <w:r w:rsidR="00702CDB">
        <w:t xml:space="preserve">opredelitvi v </w:t>
      </w:r>
      <w:r>
        <w:t>D</w:t>
      </w:r>
      <w:r w:rsidR="00702CDB">
        <w:t>irektivi, ki določa,</w:t>
      </w:r>
      <w:r w:rsidR="00D0610A">
        <w:t xml:space="preserve"> da je posrednik vsaka fizična ali pravna oseba ali subjekt brez pravne osebnosti, ki </w:t>
      </w:r>
      <w:r w:rsidR="00D0610A" w:rsidRPr="00976804">
        <w:t>oblikuje, trži, organizira ali da na voljo za izvajanje ali upravlja izvajanje čezmej</w:t>
      </w:r>
      <w:r w:rsidR="00D0610A">
        <w:t>ne ureditve, o kateri</w:t>
      </w:r>
      <w:r w:rsidR="00297E90">
        <w:t>h</w:t>
      </w:r>
      <w:r w:rsidR="00D0610A">
        <w:t xml:space="preserve"> se poroča</w:t>
      </w:r>
      <w:r w:rsidR="00D0610A" w:rsidRPr="00976804">
        <w:t>.</w:t>
      </w:r>
      <w:r w:rsidR="00D0610A">
        <w:t xml:space="preserve"> </w:t>
      </w:r>
      <w:r w:rsidR="00D0610A" w:rsidRPr="00976804">
        <w:t xml:space="preserve">Posrednik je tudi vsaka oseba, ki </w:t>
      </w:r>
      <w:r w:rsidR="00D0610A">
        <w:t xml:space="preserve">se ob upoštevanju ustreznih dejstev in okoliščin ter na podlagi razpoložljivih informacij in ustreznega strokovnega znanja in razumevanja, potrebnega za zagotovitev takih storitev, zaveda, ali bi bilo zanjo upravičeno pričakovati, da se zaveda, da bo </w:t>
      </w:r>
      <w:r w:rsidR="00D0610A" w:rsidRPr="00976804">
        <w:t xml:space="preserve">neposredno ali s pomočjo drugih oseb </w:t>
      </w:r>
      <w:r w:rsidR="0084325E">
        <w:t>nudila</w:t>
      </w:r>
      <w:r w:rsidR="00D0610A" w:rsidRPr="00976804">
        <w:t xml:space="preserve"> pomoč, </w:t>
      </w:r>
      <w:r w:rsidR="00D0610A">
        <w:t>oziroma svetovanje pri oblikovanju, trženju, organizaciji, dajanju</w:t>
      </w:r>
      <w:r w:rsidR="00D0610A" w:rsidRPr="00976804">
        <w:t xml:space="preserve"> na voljo za</w:t>
      </w:r>
      <w:r w:rsidR="00D0610A">
        <w:t xml:space="preserve"> uporabo ali</w:t>
      </w:r>
      <w:r w:rsidR="00D0610A" w:rsidRPr="00976804">
        <w:t xml:space="preserve"> upravljanja izvajanja čezmej</w:t>
      </w:r>
      <w:r w:rsidR="00D0610A">
        <w:t xml:space="preserve">ne ureditve, o kateri se poroča. </w:t>
      </w:r>
      <w:r w:rsidR="00BB7FF5">
        <w:t xml:space="preserve">Posrednik poroča v državi članici rezidentstva oziroma tisti državi, v kateri so navezne okoliščine najmočnejše (npr. kjer je registrirana stalna poslovna enota), kot je določeno v </w:t>
      </w:r>
      <w:r w:rsidR="00577F4D">
        <w:t>255.r</w:t>
      </w:r>
      <w:r w:rsidR="00BB7FF5">
        <w:t xml:space="preserve"> členu ZDavP-2. </w:t>
      </w:r>
    </w:p>
    <w:p w14:paraId="63538A7F" w14:textId="77777777" w:rsidR="00E51566" w:rsidRDefault="00E51566" w:rsidP="00697F07">
      <w:pPr>
        <w:spacing w:line="260" w:lineRule="exact"/>
        <w:jc w:val="both"/>
      </w:pPr>
    </w:p>
    <w:p w14:paraId="16F5100B" w14:textId="77777777" w:rsidR="00D0610A" w:rsidRDefault="00D0610A" w:rsidP="00697F07">
      <w:pPr>
        <w:spacing w:line="260" w:lineRule="exact"/>
        <w:jc w:val="both"/>
      </w:pPr>
      <w:r>
        <w:t>V primeru, ko se posrednik sklicuje na poklicno tajnost oziroma</w:t>
      </w:r>
      <w:r w:rsidR="0084325E">
        <w:t>,</w:t>
      </w:r>
      <w:r>
        <w:t xml:space="preserve"> če posrednika ni</w:t>
      </w:r>
      <w:r w:rsidR="0084325E">
        <w:t>,</w:t>
      </w:r>
      <w:r>
        <w:t xml:space="preserve"> ali le-ta ne izpolnjuje vsaj enega od prej </w:t>
      </w:r>
      <w:r w:rsidR="004B7052">
        <w:t>omenjenih</w:t>
      </w:r>
      <w:r>
        <w:t xml:space="preserve"> pogojev</w:t>
      </w:r>
      <w:r w:rsidR="00EB4575">
        <w:t xml:space="preserve"> </w:t>
      </w:r>
      <w:r w:rsidR="00702CDB">
        <w:t>(kar pomeni, da ni posrednika, ki bi bil zavezan poročati slovenskemu pristojnemu organu)</w:t>
      </w:r>
      <w:r>
        <w:t>, se obveznost poročanja pre</w:t>
      </w:r>
      <w:r w:rsidR="0084325E">
        <w:t>nese</w:t>
      </w:r>
      <w:r>
        <w:t xml:space="preserve"> na zadevnega davčnega zavezanca. </w:t>
      </w:r>
    </w:p>
    <w:p w14:paraId="52752AAB" w14:textId="77777777" w:rsidR="00D0610A" w:rsidRDefault="00D0610A" w:rsidP="00697F07">
      <w:pPr>
        <w:spacing w:line="260" w:lineRule="exact"/>
        <w:jc w:val="both"/>
      </w:pPr>
    </w:p>
    <w:p w14:paraId="73F2D68F" w14:textId="6A05CF6D" w:rsidR="005B7A64" w:rsidRDefault="00E51566" w:rsidP="00697F07">
      <w:pPr>
        <w:spacing w:line="260" w:lineRule="exact"/>
        <w:jc w:val="both"/>
        <w:rPr>
          <w:rFonts w:cs="Arial"/>
          <w:b/>
          <w:bCs/>
          <w:iCs/>
          <w:color w:val="FF0000"/>
          <w:szCs w:val="20"/>
        </w:rPr>
      </w:pPr>
      <w:r>
        <w:t xml:space="preserve">Osebe, ki so zavezane k poročanju, </w:t>
      </w:r>
      <w:r w:rsidR="004A66C9">
        <w:t>določa</w:t>
      </w:r>
      <w:r w:rsidR="00D0610A">
        <w:t xml:space="preserve"> ZDavP-2 v 255.o členu, 255.s, 255.š in 255.t členu.</w:t>
      </w:r>
      <w:bookmarkStart w:id="7" w:name="_Toc405981699"/>
    </w:p>
    <w:p w14:paraId="461E1021" w14:textId="77777777" w:rsidR="009B4CD6" w:rsidRPr="005B7A64" w:rsidRDefault="009B4CD6" w:rsidP="00697F07">
      <w:pPr>
        <w:pStyle w:val="Naslov2"/>
      </w:pPr>
      <w:bookmarkStart w:id="8" w:name="_Toc75159994"/>
      <w:r w:rsidRPr="005B7A64">
        <w:t>Katere davke zajema poročanje</w:t>
      </w:r>
      <w:bookmarkEnd w:id="8"/>
    </w:p>
    <w:p w14:paraId="0A5D9649" w14:textId="77777777" w:rsidR="005B7A64" w:rsidRPr="005B7A64" w:rsidRDefault="005B7A64" w:rsidP="00697F07">
      <w:pPr>
        <w:spacing w:line="260" w:lineRule="exact"/>
      </w:pPr>
    </w:p>
    <w:p w14:paraId="435B2F42" w14:textId="77777777" w:rsidR="00D0610A" w:rsidRPr="00434C50" w:rsidRDefault="00C70754" w:rsidP="00697F07">
      <w:pPr>
        <w:spacing w:line="260" w:lineRule="exact"/>
        <w:jc w:val="both"/>
      </w:pPr>
      <w:r>
        <w:t xml:space="preserve">DAC6 </w:t>
      </w:r>
      <w:r w:rsidR="007D1446">
        <w:t>p</w:t>
      </w:r>
      <w:r w:rsidR="00D0610A">
        <w:t>oročanje zajema vse vrste davkov, ki jih določajo predpisi EU ali predpisi držav članic EU, razen davka na dodano vrednost, carin, trošarin in obveznih prispevkov za socialno varnost. Izvzete so tudi upravne takse in podobne pristojbine</w:t>
      </w:r>
      <w:r w:rsidR="00EB4575">
        <w:t>.</w:t>
      </w:r>
      <w:r w:rsidR="00E6152F">
        <w:t xml:space="preserve"> </w:t>
      </w:r>
      <w:r w:rsidR="00C63471">
        <w:t xml:space="preserve">Zajete so torej vrste davščin, ki so </w:t>
      </w:r>
      <w:r w:rsidR="00EB4575">
        <w:t xml:space="preserve">tudi </w:t>
      </w:r>
      <w:r w:rsidR="00C63471">
        <w:t xml:space="preserve">sicer v dometu Direktive 2011/16/EU </w:t>
      </w:r>
      <w:r w:rsidR="00E6152F">
        <w:t>(244.</w:t>
      </w:r>
      <w:r w:rsidR="00C63471">
        <w:t xml:space="preserve"> in 255.n</w:t>
      </w:r>
      <w:r w:rsidR="00E6152F">
        <w:t xml:space="preserve"> člen</w:t>
      </w:r>
      <w:r w:rsidR="00D0610A">
        <w:t xml:space="preserve"> ZDavP-2</w:t>
      </w:r>
      <w:r w:rsidR="00E6152F">
        <w:t>)</w:t>
      </w:r>
      <w:r w:rsidR="00D0610A">
        <w:t>.</w:t>
      </w:r>
      <w:r w:rsidR="00B85F99">
        <w:t xml:space="preserve"> </w:t>
      </w:r>
    </w:p>
    <w:p w14:paraId="1C30CE6C" w14:textId="77777777" w:rsidR="001D6B08" w:rsidRPr="00BB7FF5" w:rsidRDefault="001D6B08" w:rsidP="00697F07">
      <w:pPr>
        <w:spacing w:line="260" w:lineRule="exact"/>
        <w:rPr>
          <w:rFonts w:eastAsiaTheme="minorHAnsi"/>
          <w:b/>
          <w:kern w:val="32"/>
          <w:sz w:val="22"/>
          <w:szCs w:val="22"/>
          <w:lang w:eastAsia="sl-SI"/>
        </w:rPr>
      </w:pPr>
      <w:r>
        <w:br w:type="page"/>
      </w:r>
    </w:p>
    <w:p w14:paraId="176BB7BD" w14:textId="77777777" w:rsidR="009B4CD6" w:rsidRPr="00CA2042" w:rsidRDefault="009B4CD6" w:rsidP="00697F07">
      <w:pPr>
        <w:pStyle w:val="Naslov1"/>
        <w:spacing w:line="260" w:lineRule="exact"/>
      </w:pPr>
      <w:bookmarkStart w:id="9" w:name="_Toc75159995"/>
      <w:r w:rsidRPr="00CA2042">
        <w:lastRenderedPageBreak/>
        <w:t>ČEZMEJNI ARANŽMA</w:t>
      </w:r>
      <w:bookmarkEnd w:id="9"/>
    </w:p>
    <w:p w14:paraId="1A749179" w14:textId="77777777" w:rsidR="009F5F9C" w:rsidRPr="00023632" w:rsidRDefault="00687664" w:rsidP="00697F07">
      <w:pPr>
        <w:pStyle w:val="Naslov2"/>
      </w:pPr>
      <w:bookmarkStart w:id="10" w:name="_Toc75159996"/>
      <w:r w:rsidRPr="00023632">
        <w:t>Kaj je čezmejni aranžma</w:t>
      </w:r>
      <w:bookmarkEnd w:id="10"/>
      <w:r w:rsidR="00332090" w:rsidRPr="00023632">
        <w:t xml:space="preserve"> </w:t>
      </w:r>
    </w:p>
    <w:p w14:paraId="04FD9133" w14:textId="77777777" w:rsidR="00A56C46" w:rsidRPr="00A56C46" w:rsidRDefault="00A56C46" w:rsidP="00697F07">
      <w:pPr>
        <w:spacing w:line="260" w:lineRule="exact"/>
      </w:pPr>
    </w:p>
    <w:p w14:paraId="0EB7F486" w14:textId="77777777" w:rsidR="00D0610A" w:rsidRDefault="00D0610A" w:rsidP="00697F07">
      <w:pPr>
        <w:spacing w:line="260" w:lineRule="exact"/>
        <w:jc w:val="both"/>
      </w:pPr>
      <w:r>
        <w:t xml:space="preserve">V Poročilu o akcijskem načrtu o ukrepih BEPS, Ukrep 6, je aranžma opredeljen zelo široko in sicer je v zvezi s testom glavnega namena določeno, da pojem aranžma vključuje kakršen koli dogovor, shemo, transakcijo ali serijo transakcij, ne glede na to ali so pravno iztožljive. Vključuje zlasti ustvarjanje, pripis, pridobitev ali prenos dohodka, premoženja ali pravice, ki izvirajo iz dohodka. </w:t>
      </w:r>
    </w:p>
    <w:p w14:paraId="422C657D" w14:textId="77777777" w:rsidR="00D0610A" w:rsidRDefault="00D0610A" w:rsidP="00697F07">
      <w:pPr>
        <w:spacing w:line="260" w:lineRule="exact"/>
        <w:jc w:val="both"/>
      </w:pPr>
    </w:p>
    <w:p w14:paraId="3C3E37B7" w14:textId="77777777" w:rsidR="00D0610A" w:rsidRDefault="00B40622" w:rsidP="00697F07">
      <w:pPr>
        <w:spacing w:line="260" w:lineRule="exact"/>
        <w:jc w:val="both"/>
      </w:pPr>
      <w:r>
        <w:t xml:space="preserve">Po </w:t>
      </w:r>
      <w:r w:rsidR="00A56C46">
        <w:t xml:space="preserve">Direktivi </w:t>
      </w:r>
      <w:r w:rsidR="00D0610A">
        <w:t xml:space="preserve">in ZDavP-2 (10. točka 243.a člena) </w:t>
      </w:r>
      <w:r>
        <w:t xml:space="preserve">je </w:t>
      </w:r>
      <w:r w:rsidR="00D0610A">
        <w:t>čezmejni aranžma</w:t>
      </w:r>
      <w:r>
        <w:t xml:space="preserve"> opredeljen </w:t>
      </w:r>
      <w:r w:rsidR="00D0610A">
        <w:t xml:space="preserve">kot aranžma, ki </w:t>
      </w:r>
      <w:r>
        <w:t xml:space="preserve">zadeva </w:t>
      </w:r>
      <w:r w:rsidR="00D0610A">
        <w:t>več kot eno državo članice EU ali državo članico EU in tretjo državo, pri čemer je izpolnjen vsaj eden od naslednjih pogojev</w:t>
      </w:r>
      <w:r w:rsidR="00C63471">
        <w:t xml:space="preserve"> (tuji element)</w:t>
      </w:r>
      <w:r w:rsidR="00D0610A">
        <w:t>:</w:t>
      </w:r>
    </w:p>
    <w:p w14:paraId="39EC3003" w14:textId="77777777" w:rsidR="004A66C9" w:rsidRDefault="004A66C9" w:rsidP="00697F07">
      <w:pPr>
        <w:spacing w:line="260" w:lineRule="exact"/>
        <w:jc w:val="both"/>
      </w:pPr>
    </w:p>
    <w:p w14:paraId="34FAB656" w14:textId="77777777" w:rsidR="00D0610A" w:rsidRDefault="00D0610A" w:rsidP="00697F07">
      <w:pPr>
        <w:pStyle w:val="Odstavekseznama"/>
        <w:numPr>
          <w:ilvl w:val="0"/>
          <w:numId w:val="2"/>
        </w:numPr>
        <w:spacing w:line="260" w:lineRule="exact"/>
        <w:jc w:val="both"/>
      </w:pPr>
      <w:r>
        <w:t>vsi udeleženci v aranžmaju niso rezidenti za davčne namene v isti jurisdikciji,</w:t>
      </w:r>
    </w:p>
    <w:p w14:paraId="1131D384" w14:textId="77777777" w:rsidR="00D0610A" w:rsidRDefault="00D0610A" w:rsidP="00697F07">
      <w:pPr>
        <w:pStyle w:val="Odstavekseznama"/>
        <w:numPr>
          <w:ilvl w:val="0"/>
          <w:numId w:val="2"/>
        </w:numPr>
        <w:spacing w:line="260" w:lineRule="exact"/>
        <w:jc w:val="both"/>
      </w:pPr>
      <w:r>
        <w:t>vsaj eden od udeležencev v aranžmaju je hkrati rezident za davčne namene v več kot eni jurisdikciji,</w:t>
      </w:r>
    </w:p>
    <w:p w14:paraId="3F8C335D" w14:textId="77777777" w:rsidR="00D0610A" w:rsidRDefault="00D0610A" w:rsidP="00697F07">
      <w:pPr>
        <w:pStyle w:val="Odstavekseznama"/>
        <w:numPr>
          <w:ilvl w:val="0"/>
          <w:numId w:val="2"/>
        </w:numPr>
        <w:spacing w:line="260" w:lineRule="exact"/>
        <w:jc w:val="both"/>
      </w:pPr>
      <w:r>
        <w:t>eden ali več udeležencev v aranžmaju izvaja dejavnost v drugi jurisdikciji prek stalne poslovne enote, ki se nahaja v navedeni jurisdikciji in aranžma predstavlja celotno poslovanje stalne poslovne enote ali njegov del,</w:t>
      </w:r>
    </w:p>
    <w:p w14:paraId="009B4A69" w14:textId="77777777" w:rsidR="00D0610A" w:rsidRDefault="00D0610A" w:rsidP="00697F07">
      <w:pPr>
        <w:pStyle w:val="Odstavekseznama"/>
        <w:numPr>
          <w:ilvl w:val="0"/>
          <w:numId w:val="2"/>
        </w:numPr>
        <w:spacing w:line="260" w:lineRule="exact"/>
        <w:jc w:val="both"/>
      </w:pPr>
      <w:r>
        <w:t>eden ali več udeležencev v aranžmaju izvaja dejavnost v drugi jurisdikciji, v kateri ni rezident za davčne namene in nima stalne poslovne enote,</w:t>
      </w:r>
    </w:p>
    <w:p w14:paraId="60824687" w14:textId="77777777" w:rsidR="00D0610A" w:rsidRDefault="00D0610A" w:rsidP="00697F07">
      <w:pPr>
        <w:pStyle w:val="Odstavekseznama"/>
        <w:numPr>
          <w:ilvl w:val="0"/>
          <w:numId w:val="2"/>
        </w:numPr>
        <w:spacing w:line="260" w:lineRule="exact"/>
        <w:jc w:val="both"/>
      </w:pPr>
      <w:r>
        <w:t>tak aranžma bi lahko vplival na avtomatično izmenjavo informacij ali identifikacijo upra</w:t>
      </w:r>
      <w:r w:rsidR="004A66C9">
        <w:t>vičenega lastništva.</w:t>
      </w:r>
    </w:p>
    <w:p w14:paraId="00D8A594" w14:textId="77777777" w:rsidR="00D0610A" w:rsidRDefault="00D0610A" w:rsidP="00697F07">
      <w:pPr>
        <w:spacing w:line="260" w:lineRule="exact"/>
        <w:jc w:val="both"/>
      </w:pPr>
    </w:p>
    <w:p w14:paraId="1254D95D" w14:textId="77777777" w:rsidR="004A66C9" w:rsidRDefault="004A66C9" w:rsidP="00697F07">
      <w:pPr>
        <w:spacing w:line="260" w:lineRule="exact"/>
        <w:jc w:val="both"/>
      </w:pPr>
      <w:r>
        <w:t>Aranžma lahko vključuje</w:t>
      </w:r>
      <w:r w:rsidR="00D0610A">
        <w:t xml:space="preserve"> niz aranžmajev, posamezen aranžma pa je lahko sestavljen tudi iz več delov ali korakov. Direktiva poleg</w:t>
      </w:r>
      <w:r>
        <w:t xml:space="preserve"> tega za aranžma uporablja </w:t>
      </w:r>
      <w:r w:rsidR="00D0610A">
        <w:t>različne izraze, kot so sheme ali transakcije.</w:t>
      </w:r>
    </w:p>
    <w:p w14:paraId="5C2379E9" w14:textId="77777777" w:rsidR="00D113ED" w:rsidRDefault="00D113ED" w:rsidP="00697F07">
      <w:pPr>
        <w:spacing w:line="260" w:lineRule="exact"/>
        <w:jc w:val="both"/>
      </w:pPr>
      <w:r>
        <w:t>Aranžma je torej lahko sestavljen iz več delov oziroma faz. Kjer posamezni del ne kaže izogibanja, je treba gledati celotno sliko in oceniti, ali transakcija, kombinacija transakcij ali kombinacija transakcij in drugih dejanj tvorijo čezmejni aranžma. V tem primeru se poroča o kombinaciji transakcij in dejanj, ki tvorijo en aranžma.</w:t>
      </w:r>
    </w:p>
    <w:p w14:paraId="5808BCAB" w14:textId="77777777" w:rsidR="00D113ED" w:rsidRDefault="00D113ED" w:rsidP="00697F07">
      <w:pPr>
        <w:spacing w:line="260" w:lineRule="exact"/>
        <w:jc w:val="both"/>
      </w:pPr>
    </w:p>
    <w:p w14:paraId="623AC62F" w14:textId="77777777" w:rsidR="00C63471" w:rsidRDefault="008D7B6D" w:rsidP="00697F07">
      <w:pPr>
        <w:spacing w:line="260" w:lineRule="exact"/>
        <w:jc w:val="both"/>
      </w:pPr>
      <w:r>
        <w:t>Kot uporabnike č</w:t>
      </w:r>
      <w:r w:rsidR="005A1E05">
        <w:t>ezmejn</w:t>
      </w:r>
      <w:r>
        <w:t>ega</w:t>
      </w:r>
      <w:r w:rsidR="005A1E05">
        <w:t xml:space="preserve"> aranžma</w:t>
      </w:r>
      <w:r w:rsidR="004516C4">
        <w:t>ja se lahko šteje</w:t>
      </w:r>
      <w:r>
        <w:t xml:space="preserve"> </w:t>
      </w:r>
      <w:r w:rsidR="005A1E05">
        <w:t>vse vr</w:t>
      </w:r>
      <w:r>
        <w:t>s</w:t>
      </w:r>
      <w:r w:rsidR="005A1E05">
        <w:t>te davčnih zaveza</w:t>
      </w:r>
      <w:r>
        <w:t>n</w:t>
      </w:r>
      <w:r w:rsidR="005A1E05">
        <w:t xml:space="preserve">cev, torej tako fizične </w:t>
      </w:r>
      <w:r w:rsidR="00042B64">
        <w:t xml:space="preserve">osebe, </w:t>
      </w:r>
      <w:r w:rsidR="005A1E05">
        <w:t xml:space="preserve">kot tudi </w:t>
      </w:r>
      <w:r>
        <w:t xml:space="preserve">gospodarske družbe zasebnega in javnega prava ter ustanove. </w:t>
      </w:r>
    </w:p>
    <w:p w14:paraId="03D1DFA8" w14:textId="77777777" w:rsidR="00C63471" w:rsidRDefault="00C63471" w:rsidP="00697F07">
      <w:pPr>
        <w:spacing w:line="260" w:lineRule="exact"/>
        <w:jc w:val="both"/>
      </w:pPr>
    </w:p>
    <w:p w14:paraId="257DD6B2" w14:textId="77777777" w:rsidR="00D0610A" w:rsidRDefault="00C63471" w:rsidP="00697F07">
      <w:pPr>
        <w:spacing w:line="260" w:lineRule="exact"/>
        <w:jc w:val="both"/>
      </w:pPr>
      <w:r>
        <w:t>Obličnost aranžmaja ni določena, tako n</w:t>
      </w:r>
      <w:r w:rsidR="000F7EB0">
        <w:t xml:space="preserve">i </w:t>
      </w:r>
      <w:r>
        <w:t>potrebno</w:t>
      </w:r>
      <w:r w:rsidR="000F7EB0">
        <w:t>, da je</w:t>
      </w:r>
      <w:r w:rsidR="004A66C9">
        <w:t xml:space="preserve"> aranžma v pisni obliki, lahko gre zgolj za ustni dogovor</w:t>
      </w:r>
      <w:r w:rsidR="000F7EB0">
        <w:t xml:space="preserve">. </w:t>
      </w:r>
    </w:p>
    <w:p w14:paraId="67A23A03" w14:textId="77777777" w:rsidR="000A2B87" w:rsidRDefault="000A2B87" w:rsidP="00697F07">
      <w:pPr>
        <w:spacing w:line="260" w:lineRule="exact"/>
        <w:jc w:val="both"/>
      </w:pPr>
    </w:p>
    <w:p w14:paraId="55986CA4" w14:textId="7BF37384" w:rsidR="004A66C9" w:rsidRDefault="004A66C9" w:rsidP="00697F07">
      <w:pPr>
        <w:spacing w:line="260" w:lineRule="exact"/>
        <w:jc w:val="both"/>
      </w:pPr>
      <w:r w:rsidRPr="004516C4">
        <w:t>O</w:t>
      </w:r>
      <w:r w:rsidR="00B40622" w:rsidRPr="004516C4">
        <w:t>predelit</w:t>
      </w:r>
      <w:r w:rsidRPr="004516C4">
        <w:t>e</w:t>
      </w:r>
      <w:r w:rsidR="00B40622" w:rsidRPr="004516C4">
        <w:t>v, koliko jurisdikcij »zadeva« aranžma</w:t>
      </w:r>
      <w:r w:rsidRPr="004516C4">
        <w:t>:</w:t>
      </w:r>
      <w:r w:rsidR="00B40622" w:rsidRPr="0084617F">
        <w:t xml:space="preserve"> </w:t>
      </w:r>
      <w:r w:rsidR="00782001">
        <w:t>pomen koncepta</w:t>
      </w:r>
      <w:r w:rsidR="000C4388" w:rsidRPr="000C4388">
        <w:t xml:space="preserve"> »</w:t>
      </w:r>
      <w:r w:rsidR="00782001" w:rsidRPr="000C4388">
        <w:t>zadev</w:t>
      </w:r>
      <w:r w:rsidR="00782001">
        <w:t>anja</w:t>
      </w:r>
      <w:r w:rsidR="000C4388" w:rsidRPr="000C4388">
        <w:t>«</w:t>
      </w:r>
      <w:r w:rsidR="00782001">
        <w:t xml:space="preserve"> (angl. </w:t>
      </w:r>
      <w:r w:rsidR="00782001" w:rsidRPr="00C15B8A">
        <w:rPr>
          <w:i/>
        </w:rPr>
        <w:t>concerning</w:t>
      </w:r>
      <w:r w:rsidR="00782001">
        <w:t>)</w:t>
      </w:r>
      <w:r w:rsidR="007E5F7C">
        <w:t xml:space="preserve"> v </w:t>
      </w:r>
      <w:r w:rsidR="00782001">
        <w:t>opredelitvi</w:t>
      </w:r>
      <w:r w:rsidR="007E5F7C">
        <w:t xml:space="preserve"> čezmejnega aranžmaja iz</w:t>
      </w:r>
      <w:r w:rsidR="000C4388" w:rsidRPr="000C4388">
        <w:t xml:space="preserve"> 10. </w:t>
      </w:r>
      <w:r w:rsidR="007E5F7C" w:rsidRPr="000C4388">
        <w:t>točk</w:t>
      </w:r>
      <w:r w:rsidR="007E5F7C">
        <w:t>e</w:t>
      </w:r>
      <w:r w:rsidR="007E5F7C" w:rsidRPr="000C4388">
        <w:t xml:space="preserve"> </w:t>
      </w:r>
      <w:r w:rsidR="000C4388" w:rsidRPr="000C4388">
        <w:t xml:space="preserve">243.a </w:t>
      </w:r>
      <w:r w:rsidR="00782001">
        <w:t>izhaja iz same</w:t>
      </w:r>
      <w:r w:rsidR="00D05B47">
        <w:t xml:space="preserve"> </w:t>
      </w:r>
      <w:r w:rsidR="00782001">
        <w:t>definicije, ki je sestavljena iz generalne klavzule (</w:t>
      </w:r>
      <w:r w:rsidR="00782001" w:rsidRPr="00C15B8A">
        <w:rPr>
          <w:i/>
        </w:rPr>
        <w:t>čezmejni aranžma je aranžma, ki zadeva več kot eno državo članico EU ali državo članico EU in tretjo državo</w:t>
      </w:r>
      <w:r w:rsidR="00782001">
        <w:t xml:space="preserve">) in </w:t>
      </w:r>
      <w:r w:rsidR="00782001" w:rsidRPr="000C4388">
        <w:t>opredelit</w:t>
      </w:r>
      <w:r w:rsidR="00782001">
        <w:t xml:space="preserve">ev </w:t>
      </w:r>
      <w:r w:rsidR="000C4388" w:rsidRPr="000C4388">
        <w:t xml:space="preserve">v alinejah, ki </w:t>
      </w:r>
      <w:r w:rsidR="00D05B47">
        <w:t xml:space="preserve">predstavljajo </w:t>
      </w:r>
      <w:r w:rsidR="00C9183D">
        <w:t xml:space="preserve">izčrpen seznam možnih </w:t>
      </w:r>
      <w:r w:rsidR="000C4388" w:rsidRPr="000C4388">
        <w:t xml:space="preserve">tujih elementov, ki bi vplivali na to, da aranžma zadeva več kot eno jurisdikcijo. </w:t>
      </w:r>
    </w:p>
    <w:p w14:paraId="538CAA77" w14:textId="77777777" w:rsidR="004A66C9" w:rsidRDefault="004A66C9" w:rsidP="00697F07">
      <w:pPr>
        <w:spacing w:line="260" w:lineRule="exact"/>
        <w:jc w:val="both"/>
      </w:pPr>
    </w:p>
    <w:p w14:paraId="56747DBB" w14:textId="77777777" w:rsidR="000053B3" w:rsidRDefault="000C4388" w:rsidP="00697F07">
      <w:pPr>
        <w:spacing w:line="260" w:lineRule="exact"/>
        <w:jc w:val="both"/>
      </w:pPr>
      <w:r w:rsidRPr="000C4388">
        <w:t>Da čezmejni aranžma</w:t>
      </w:r>
      <w:r w:rsidR="004A66C9">
        <w:t>,</w:t>
      </w:r>
      <w:r w:rsidRPr="000C4388">
        <w:t xml:space="preserve"> o katerem se poroča</w:t>
      </w:r>
      <w:r w:rsidR="004A66C9">
        <w:t>,</w:t>
      </w:r>
      <w:r w:rsidRPr="000C4388">
        <w:t xml:space="preserve"> zadeva več jurisdikcij</w:t>
      </w:r>
      <w:r w:rsidR="000053B3">
        <w:t>,</w:t>
      </w:r>
      <w:r w:rsidRPr="000C4388">
        <w:t xml:space="preserve"> je potrebna </w:t>
      </w:r>
      <w:r w:rsidR="00092983">
        <w:t>določena</w:t>
      </w:r>
      <w:r w:rsidRPr="000C4388">
        <w:t xml:space="preserve"> </w:t>
      </w:r>
      <w:r w:rsidR="0003482A">
        <w:t>vsebinska</w:t>
      </w:r>
      <w:r w:rsidRPr="000C4388">
        <w:t xml:space="preserve"> povezava</w:t>
      </w:r>
      <w:r w:rsidR="000053B3">
        <w:t xml:space="preserve"> jurisdikcije</w:t>
      </w:r>
      <w:r w:rsidRPr="000C4388">
        <w:t xml:space="preserve"> z aranžmajem. </w:t>
      </w:r>
    </w:p>
    <w:p w14:paraId="4E085B5B" w14:textId="77777777" w:rsidR="00C15B8A" w:rsidRDefault="00C15B8A" w:rsidP="00697F07">
      <w:pPr>
        <w:spacing w:line="260" w:lineRule="exact"/>
        <w:jc w:val="both"/>
      </w:pPr>
    </w:p>
    <w:p w14:paraId="31A58588" w14:textId="77777777" w:rsidR="00B40622" w:rsidRDefault="00092983" w:rsidP="00697F07">
      <w:pPr>
        <w:spacing w:line="260" w:lineRule="exact"/>
        <w:jc w:val="both"/>
      </w:pPr>
      <w:r>
        <w:t xml:space="preserve">Na primer: </w:t>
      </w:r>
      <w:r w:rsidR="0003482A">
        <w:t>podjetje v eni državi</w:t>
      </w:r>
      <w:r w:rsidR="00F97D0F" w:rsidRPr="00F97D0F">
        <w:t xml:space="preserve"> posluje preko </w:t>
      </w:r>
      <w:r w:rsidR="00140086">
        <w:t>stalne poslovne enote</w:t>
      </w:r>
      <w:r w:rsidR="00F97D0F" w:rsidRPr="00F97D0F">
        <w:t xml:space="preserve"> v drugi državi. Podjetje lah</w:t>
      </w:r>
      <w:r w:rsidR="00B75565">
        <w:t xml:space="preserve">ko vstopi v aranžma preko </w:t>
      </w:r>
      <w:r w:rsidR="00F97D0F" w:rsidRPr="00F97D0F">
        <w:t>svoje stalne poslovne enote, kar zadeva samo stalno poslovno enoto (in nasprotne stranke s stalnim prebivališčem v državi članici</w:t>
      </w:r>
      <w:r w:rsidR="000053B3">
        <w:t>,</w:t>
      </w:r>
      <w:r w:rsidR="00F97D0F" w:rsidRPr="00F97D0F">
        <w:t xml:space="preserve"> kjer je stalna poslovna enota) in ne vpliva na druge jurisdikcije. V tem primeru dejstvo, da je podjetje davčni rezident v drugi jurisdikciji kot nasprotne stranke ne pomeni, da aranžma "zadeva" več jurisdikcij. Aranžma je v tem primeru med podružnico in jurisdikcijo X in drugimi strankami, ki</w:t>
      </w:r>
      <w:r w:rsidR="00B75565">
        <w:t xml:space="preserve"> so</w:t>
      </w:r>
      <w:r w:rsidR="00F97D0F" w:rsidRPr="00F97D0F">
        <w:t xml:space="preserve"> prav tako rezidentke jurisdikcije X. Država</w:t>
      </w:r>
      <w:r w:rsidR="00190355">
        <w:t>,</w:t>
      </w:r>
      <w:r w:rsidR="00F97D0F" w:rsidRPr="00F97D0F">
        <w:t xml:space="preserve"> kjer je matična družba davčni </w:t>
      </w:r>
      <w:r w:rsidR="00F97D0F" w:rsidRPr="00F97D0F">
        <w:lastRenderedPageBreak/>
        <w:t>rezident, ne bo imela materialne povezave z aranžmajem.</w:t>
      </w:r>
      <w:r w:rsidR="000C4388" w:rsidRPr="000C4388">
        <w:t xml:space="preserve"> Vsekakor pa se </w:t>
      </w:r>
      <w:r w:rsidR="00615944">
        <w:t xml:space="preserve">opredelitev in število zadevnih jurisdikcij </w:t>
      </w:r>
      <w:r w:rsidR="000C4388">
        <w:t xml:space="preserve"> presoja od primera do primera. </w:t>
      </w:r>
    </w:p>
    <w:p w14:paraId="36007338" w14:textId="77777777" w:rsidR="00697F07" w:rsidRDefault="00697F07" w:rsidP="00697F07">
      <w:pPr>
        <w:spacing w:line="260" w:lineRule="exact"/>
        <w:jc w:val="both"/>
      </w:pPr>
    </w:p>
    <w:p w14:paraId="4A5109C1" w14:textId="77777777" w:rsidR="00687664" w:rsidRPr="00023632" w:rsidRDefault="00332090" w:rsidP="00697F07">
      <w:pPr>
        <w:pStyle w:val="Naslov2"/>
      </w:pPr>
      <w:bookmarkStart w:id="11" w:name="_Toc75159997"/>
      <w:r w:rsidRPr="00023632">
        <w:t>Kaj je čezmejni aranžma, o katerem se poroča</w:t>
      </w:r>
      <w:bookmarkEnd w:id="11"/>
    </w:p>
    <w:p w14:paraId="21F005DC" w14:textId="77777777" w:rsidR="00B40622" w:rsidRPr="00B40622" w:rsidRDefault="00B40622" w:rsidP="00697F07">
      <w:pPr>
        <w:spacing w:line="260" w:lineRule="exact"/>
      </w:pPr>
    </w:p>
    <w:p w14:paraId="101D8D1C" w14:textId="77777777" w:rsidR="00C666E9" w:rsidRDefault="00B40622" w:rsidP="00697F07">
      <w:pPr>
        <w:spacing w:line="260" w:lineRule="exact"/>
        <w:jc w:val="both"/>
      </w:pPr>
      <w:r w:rsidRPr="00B40622">
        <w:t xml:space="preserve">Agresivno davčno načrtovanje izkorišča tehnične podrobnosti davčnega sistema ali neskladja med dvema ali več davčnimi sistemi z namenom zmanjševanja davčne obveznosti. Aranžmaji agresivnega davčnega načrtovanja so z leti postali vse bolj zapleteni in se ves čas spreminjajo in prilagajajo obrambnim protiukrepom davčnih organov. </w:t>
      </w:r>
    </w:p>
    <w:p w14:paraId="58BB29E3" w14:textId="77777777" w:rsidR="00EB4575" w:rsidRPr="00B40622" w:rsidRDefault="00EB4575" w:rsidP="00697F07">
      <w:pPr>
        <w:spacing w:line="260" w:lineRule="exact"/>
        <w:jc w:val="both"/>
      </w:pPr>
    </w:p>
    <w:p w14:paraId="1F42C494" w14:textId="77777777" w:rsidR="00702CDB" w:rsidRDefault="00D113ED" w:rsidP="00697F07">
      <w:pPr>
        <w:spacing w:line="260" w:lineRule="exact"/>
        <w:jc w:val="both"/>
      </w:pPr>
      <w:r>
        <w:t>Zato n</w:t>
      </w:r>
      <w:r w:rsidRPr="00B40622">
        <w:t xml:space="preserve">amesto </w:t>
      </w:r>
      <w:r w:rsidR="00702CDB" w:rsidRPr="00B40622">
        <w:t xml:space="preserve">opredelitve pojma agresivnega davčnega načrtovanja </w:t>
      </w:r>
      <w:r w:rsidR="00843909">
        <w:t>D</w:t>
      </w:r>
      <w:r w:rsidR="00AF23AF">
        <w:t>irektiva</w:t>
      </w:r>
      <w:r w:rsidR="00702CDB" w:rsidRPr="00B40622">
        <w:t xml:space="preserve"> aranžmaj</w:t>
      </w:r>
      <w:r w:rsidR="00702CDB">
        <w:t>e</w:t>
      </w:r>
      <w:r w:rsidR="00702CDB" w:rsidRPr="00B40622">
        <w:t xml:space="preserve"> potencialno agresivnega davčnega načrtovanja zajame s seznamom značilnosti in elementov transakcij, ki močno kažejo na izogibanje davkom ali davčno zlorabo. Ti znaki so opredeljeni kot prepoznavne značilnosti.</w:t>
      </w:r>
      <w:r w:rsidR="00702CDB">
        <w:t xml:space="preserve"> </w:t>
      </w:r>
    </w:p>
    <w:p w14:paraId="5F7C36CF" w14:textId="77777777" w:rsidR="00702CDB" w:rsidRDefault="00702CDB" w:rsidP="00697F07">
      <w:pPr>
        <w:spacing w:line="260" w:lineRule="exact"/>
        <w:jc w:val="both"/>
      </w:pPr>
    </w:p>
    <w:p w14:paraId="3B4F8342" w14:textId="77777777" w:rsidR="00702CDB" w:rsidRDefault="00702CDB" w:rsidP="00697F07">
      <w:pPr>
        <w:spacing w:line="260" w:lineRule="exact"/>
        <w:jc w:val="both"/>
      </w:pPr>
      <w:r>
        <w:t xml:space="preserve">Nabor prepoznavnih značilnosti je opredeljen v Prilogi IV </w:t>
      </w:r>
      <w:r w:rsidR="004516C4">
        <w:t>D</w:t>
      </w:r>
      <w:r>
        <w:t xml:space="preserve">irektive. Če aranžma vsebuje vsaj eno od teh značilnosti (angl. </w:t>
      </w:r>
      <w:r w:rsidRPr="004972C0">
        <w:rPr>
          <w:i/>
        </w:rPr>
        <w:t>Hallmarks</w:t>
      </w:r>
      <w:r>
        <w:t xml:space="preserve">), gre za čezmejni aranžma, o katerem je treba poročati, kar izhaja tudi iz definicije takega aranžmaja v 11. točki 243.a člena ZDavP-2, ki se v tem delu neposredno sklicuje na prepoznavne </w:t>
      </w:r>
      <w:r w:rsidR="004516C4">
        <w:t>značilnosti v D</w:t>
      </w:r>
      <w:r>
        <w:t>irektivi</w:t>
      </w:r>
      <w:r>
        <w:rPr>
          <w:rStyle w:val="Sprotnaopomba-sklic"/>
        </w:rPr>
        <w:footnoteReference w:id="3"/>
      </w:r>
      <w:r>
        <w:t>.</w:t>
      </w:r>
    </w:p>
    <w:p w14:paraId="746B4F91" w14:textId="77777777" w:rsidR="00702CDB" w:rsidRDefault="00702CDB" w:rsidP="00697F07">
      <w:pPr>
        <w:spacing w:line="260" w:lineRule="exact"/>
        <w:jc w:val="both"/>
      </w:pPr>
    </w:p>
    <w:p w14:paraId="53D870A6" w14:textId="77777777" w:rsidR="00702CDB" w:rsidRDefault="00702CDB" w:rsidP="00697F07">
      <w:pPr>
        <w:spacing w:line="260" w:lineRule="exact"/>
        <w:jc w:val="both"/>
      </w:pPr>
      <w:r>
        <w:t>Prepoznavne značilnosti so razdelj</w:t>
      </w:r>
      <w:r w:rsidR="00EB4575">
        <w:t>ene v 5 kategorij. Kategoriji A in B ter</w:t>
      </w:r>
      <w:r>
        <w:t xml:space="preserve"> določeni elementi kategorije C bodo obvezni za poročanje, če bo izpolnjen tako imenovan »Test glavne koristi«. Pozitiven test pomeni, da je eden od glavnih namenov aranžmaja doseči davčno korist. </w:t>
      </w:r>
    </w:p>
    <w:p w14:paraId="31667DA0" w14:textId="77777777" w:rsidR="00697F07" w:rsidRDefault="00697F07" w:rsidP="00697F07">
      <w:pPr>
        <w:spacing w:line="260" w:lineRule="exact"/>
        <w:jc w:val="both"/>
      </w:pPr>
    </w:p>
    <w:p w14:paraId="43EE3D7D" w14:textId="77777777" w:rsidR="00520BB0" w:rsidRDefault="00520BB0" w:rsidP="00697F07">
      <w:pPr>
        <w:pStyle w:val="Naslov2"/>
      </w:pPr>
      <w:bookmarkStart w:id="12" w:name="_Toc75159998"/>
      <w:r w:rsidRPr="00520BB0">
        <w:t>Kaj je tržni aranžma</w:t>
      </w:r>
      <w:r w:rsidR="00060AB1">
        <w:t xml:space="preserve"> in kaj je prilagojeni aranžma</w:t>
      </w:r>
      <w:bookmarkEnd w:id="12"/>
    </w:p>
    <w:p w14:paraId="25B9C080" w14:textId="77777777" w:rsidR="00060AB1" w:rsidRDefault="00060AB1" w:rsidP="00697F07">
      <w:pPr>
        <w:spacing w:line="260" w:lineRule="exact"/>
        <w:rPr>
          <w:b/>
        </w:rPr>
      </w:pPr>
    </w:p>
    <w:p w14:paraId="621AAB0A" w14:textId="45A396DF" w:rsidR="00F57DB6" w:rsidRDefault="00060AB1" w:rsidP="00F57DB6">
      <w:pPr>
        <w:spacing w:line="260" w:lineRule="exact"/>
        <w:jc w:val="both"/>
      </w:pPr>
      <w:r>
        <w:t xml:space="preserve">Tržni aranžma </w:t>
      </w:r>
      <w:r w:rsidR="00D113ED">
        <w:t>iz</w:t>
      </w:r>
      <w:r>
        <w:t xml:space="preserve"> </w:t>
      </w:r>
      <w:r w:rsidRPr="00430172">
        <w:t>24. točke 3. člena</w:t>
      </w:r>
      <w:r>
        <w:t xml:space="preserve"> Direktive </w:t>
      </w:r>
      <w:r w:rsidR="00B6658F">
        <w:t xml:space="preserve">in 14. odstavka </w:t>
      </w:r>
      <w:r w:rsidR="00577F4D">
        <w:t>243.a</w:t>
      </w:r>
      <w:r w:rsidR="00B6658F">
        <w:t xml:space="preserve"> člena Z</w:t>
      </w:r>
      <w:r w:rsidR="000A2B87">
        <w:t>D</w:t>
      </w:r>
      <w:r w:rsidR="00B6658F">
        <w:t xml:space="preserve">avP-2 </w:t>
      </w:r>
      <w:r>
        <w:t>pomeni čezmejni aranžma, ki je zasnovan, dan na tržišče, pripravljen za izvajanje ali dan na voljo za izvajanje, ne da bi ga bilo treba bistveno prilagoditi</w:t>
      </w:r>
      <w:r w:rsidR="00B22CE4">
        <w:t xml:space="preserve"> konkretnemu davčnemu zavezancu in ga lahko vsak zainteresirani davčni zavezanec uporabi takšnega, kot je pripravljen. Takšne aranžmaje (ki so na območjih z anglosaksonskim pravom dobro poznani, v kontinentalnem pravu pa niso običajni) lahko uporablja veliko število zavezancev. </w:t>
      </w:r>
      <w:r w:rsidR="00582270">
        <w:t>Presoja o tem, kdaj je tržni aranžma zas</w:t>
      </w:r>
      <w:r w:rsidR="00F57DB6">
        <w:t>n</w:t>
      </w:r>
      <w:r w:rsidR="00582270">
        <w:t xml:space="preserve">ovan tako, da ga ne bi bilo treba bistveno prilagoditi za uporabo, je odvisna od okoliščin konkretnega primera. </w:t>
      </w:r>
      <w:r w:rsidR="00F57DB6">
        <w:t>Pri presoji, ali se predmetni aranžma šteje za tržni aranžma, se lahko prim</w:t>
      </w:r>
      <w:r w:rsidR="00703A33">
        <w:t>e</w:t>
      </w:r>
      <w:r w:rsidR="00F57DB6">
        <w:t>roma sledi nas</w:t>
      </w:r>
      <w:r w:rsidR="00703A33">
        <w:t>le</w:t>
      </w:r>
      <w:r w:rsidR="00F57DB6">
        <w:t>dnjim vpr</w:t>
      </w:r>
      <w:r w:rsidR="00E91EFE">
        <w:t>a</w:t>
      </w:r>
      <w:r w:rsidR="00F57DB6">
        <w:t>šanjem:</w:t>
      </w:r>
    </w:p>
    <w:p w14:paraId="342095D8" w14:textId="77777777" w:rsidR="00F57DB6" w:rsidRDefault="00F57DB6" w:rsidP="00F57DB6">
      <w:pPr>
        <w:pStyle w:val="Odstavekseznama"/>
        <w:numPr>
          <w:ilvl w:val="0"/>
          <w:numId w:val="2"/>
        </w:numPr>
        <w:spacing w:line="260" w:lineRule="exact"/>
        <w:jc w:val="both"/>
      </w:pPr>
      <w:r>
        <w:t>ali je aranžma dan na voljo za uporabo širšemu krogu uporabnikov in je s tem vstop novih uporabnikov razmeroma enostaven</w:t>
      </w:r>
      <w:r w:rsidR="00703A33">
        <w:t>;</w:t>
      </w:r>
    </w:p>
    <w:p w14:paraId="612158EE" w14:textId="77777777" w:rsidR="00F57DB6" w:rsidRDefault="00F57DB6" w:rsidP="00F57DB6">
      <w:pPr>
        <w:pStyle w:val="Odstavekseznama"/>
        <w:numPr>
          <w:ilvl w:val="0"/>
          <w:numId w:val="2"/>
        </w:numPr>
        <w:spacing w:line="260" w:lineRule="exact"/>
        <w:jc w:val="both"/>
      </w:pPr>
      <w:r>
        <w:t>ali se aranžma ponuja kot celostni (davčni) standardiziran produkt, za katerega so vnaprej določene vrsta in vsebina pogodb ter predv</w:t>
      </w:r>
      <w:r w:rsidR="00703A33">
        <w:t>i</w:t>
      </w:r>
      <w:r>
        <w:t>den končni rezultat, brez bistvene prilagoditve posameznemu uporabniku;</w:t>
      </w:r>
    </w:p>
    <w:p w14:paraId="575D9E04" w14:textId="77777777" w:rsidR="00F57DB6" w:rsidRDefault="00F57DB6" w:rsidP="00F57DB6">
      <w:pPr>
        <w:pStyle w:val="Odstavekseznama"/>
        <w:spacing w:line="260" w:lineRule="exact"/>
        <w:jc w:val="both"/>
      </w:pPr>
    </w:p>
    <w:p w14:paraId="3D83ED73" w14:textId="77777777" w:rsidR="00B22CE4" w:rsidRDefault="00B22CE4" w:rsidP="00697F07">
      <w:pPr>
        <w:spacing w:line="260" w:lineRule="exact"/>
        <w:jc w:val="both"/>
      </w:pPr>
      <w:r>
        <w:t>Pri t</w:t>
      </w:r>
      <w:r w:rsidRPr="0019396F">
        <w:t>ržn</w:t>
      </w:r>
      <w:r>
        <w:t>em</w:t>
      </w:r>
      <w:r w:rsidRPr="0019396F">
        <w:t xml:space="preserve"> aranžma</w:t>
      </w:r>
      <w:r>
        <w:t>ju</w:t>
      </w:r>
      <w:r w:rsidRPr="0019396F">
        <w:t xml:space="preserve"> v trenutku, ko nastopi obveznost poročanja,</w:t>
      </w:r>
      <w:r>
        <w:t xml:space="preserve"> </w:t>
      </w:r>
      <w:r w:rsidR="00D113ED">
        <w:t xml:space="preserve">običajno </w:t>
      </w:r>
      <w:r>
        <w:t>ne bodo znani vsi podatki, ki se poročajo, ali pa se bodo ti podatki v naslednjih časovnih obdobjih spreminjali. Tako bodo, na primer, k aranžmaju pristopile nove stranke</w:t>
      </w:r>
      <w:r w:rsidR="00042B64">
        <w:t xml:space="preserve"> </w:t>
      </w:r>
      <w:r w:rsidR="00D113ED">
        <w:t xml:space="preserve">iz </w:t>
      </w:r>
      <w:r>
        <w:t>držav članic EU, zato je potrebno v periodičnih poročilih posredovati posodobljene podatke o aranžmaju in zadevnih zavezancih</w:t>
      </w:r>
      <w:r w:rsidR="00D113ED">
        <w:t xml:space="preserve"> (posodobljen seznam strank, ki konkretni aranžma uporabljajo)</w:t>
      </w:r>
      <w:r>
        <w:t>.</w:t>
      </w:r>
    </w:p>
    <w:p w14:paraId="09392122" w14:textId="77777777" w:rsidR="00B22CE4" w:rsidRDefault="00B22CE4" w:rsidP="00697F07">
      <w:pPr>
        <w:spacing w:line="260" w:lineRule="exact"/>
        <w:jc w:val="both"/>
      </w:pPr>
    </w:p>
    <w:p w14:paraId="6FB8CC59" w14:textId="77777777" w:rsidR="00697F07" w:rsidRDefault="00A57D78" w:rsidP="00697F07">
      <w:pPr>
        <w:spacing w:line="260" w:lineRule="exact"/>
        <w:jc w:val="both"/>
      </w:pPr>
      <w:r>
        <w:t>Na drugi strani pa je posebej prilagojeni</w:t>
      </w:r>
      <w:r w:rsidR="00060AB1">
        <w:t xml:space="preserve"> aranžma </w:t>
      </w:r>
      <w:r w:rsidR="00D113ED">
        <w:t>iz</w:t>
      </w:r>
      <w:r w:rsidR="00060AB1">
        <w:t xml:space="preserve"> </w:t>
      </w:r>
      <w:r w:rsidR="00060AB1" w:rsidRPr="00430172">
        <w:t>25. točke 3. člena</w:t>
      </w:r>
      <w:r w:rsidR="00060AB1">
        <w:t xml:space="preserve"> Direktive </w:t>
      </w:r>
      <w:r w:rsidR="00D113ED">
        <w:t>vsak aranžma</w:t>
      </w:r>
      <w:r w:rsidR="00060AB1">
        <w:t>, ki ni tržni aranžma.</w:t>
      </w:r>
      <w:r w:rsidR="00B22CE4">
        <w:t xml:space="preserve"> Gre za aranžma, ki je zasnovan za konkretnega davčnega zavezanca, saj upošteva njegove značilnosti in potrebe.</w:t>
      </w:r>
    </w:p>
    <w:p w14:paraId="1F84589D" w14:textId="77777777" w:rsidR="00792552" w:rsidRDefault="00792552" w:rsidP="00697F07">
      <w:pPr>
        <w:spacing w:line="260" w:lineRule="exact"/>
        <w:jc w:val="both"/>
      </w:pPr>
    </w:p>
    <w:p w14:paraId="33483044" w14:textId="77777777" w:rsidR="00042B64" w:rsidRDefault="00B22CE4" w:rsidP="00697F07">
      <w:pPr>
        <w:spacing w:line="260" w:lineRule="exact"/>
        <w:jc w:val="both"/>
      </w:pPr>
      <w:r>
        <w:t xml:space="preserve"> </w:t>
      </w:r>
    </w:p>
    <w:p w14:paraId="73706123" w14:textId="77777777" w:rsidR="00702CDB" w:rsidRPr="007B3CB9" w:rsidRDefault="00702CDB" w:rsidP="00697F07">
      <w:pPr>
        <w:pStyle w:val="Naslov2"/>
      </w:pPr>
      <w:bookmarkStart w:id="13" w:name="_Toc26529047"/>
      <w:bookmarkStart w:id="14" w:name="_Toc75159999"/>
      <w:r w:rsidRPr="007B3CB9">
        <w:t>Primeri:</w:t>
      </w:r>
      <w:r w:rsidRPr="007B3CB9">
        <w:rPr>
          <w:rStyle w:val="Naslov2Znak"/>
          <w:b/>
          <w:bCs/>
          <w:iCs/>
        </w:rPr>
        <w:t xml:space="preserve"> čezmejni aranžma, o katerem se poroča</w:t>
      </w:r>
      <w:bookmarkEnd w:id="13"/>
      <w:bookmarkEnd w:id="14"/>
      <w:r w:rsidRPr="007B3CB9">
        <w:t xml:space="preserve"> </w:t>
      </w:r>
    </w:p>
    <w:p w14:paraId="394B8403" w14:textId="77777777" w:rsidR="00702CDB" w:rsidRPr="001A2DF8" w:rsidRDefault="00702CDB" w:rsidP="00697F07">
      <w:pPr>
        <w:spacing w:line="260" w:lineRule="exact"/>
        <w:jc w:val="both"/>
        <w:rPr>
          <w:i/>
          <w:color w:val="4F81BD" w:themeColor="accent1"/>
        </w:rPr>
      </w:pPr>
    </w:p>
    <w:p w14:paraId="21142A27" w14:textId="77777777" w:rsidR="00B70FFD" w:rsidRPr="00B70FFD" w:rsidRDefault="00B70FFD" w:rsidP="00B70FFD">
      <w:pPr>
        <w:pStyle w:val="Odstavekseznama"/>
        <w:numPr>
          <w:ilvl w:val="0"/>
          <w:numId w:val="3"/>
        </w:numPr>
        <w:spacing w:line="260" w:lineRule="exact"/>
        <w:jc w:val="both"/>
        <w:rPr>
          <w:i/>
        </w:rPr>
      </w:pPr>
      <w:r w:rsidRPr="00B70FFD">
        <w:rPr>
          <w:i/>
        </w:rPr>
        <w:t>Kje je tista bistvena meja oziroma mejnik, ki razmejuje, da je tržni aranžma zasnovan tako, da ga ne bi bilo treba bistveno prilagoditi za uporabo?</w:t>
      </w:r>
    </w:p>
    <w:p w14:paraId="1DA1E373" w14:textId="77777777" w:rsidR="00B70FFD" w:rsidRPr="00B70FFD" w:rsidRDefault="00B70FFD" w:rsidP="00B70FFD">
      <w:pPr>
        <w:pStyle w:val="Odstavekseznama"/>
        <w:spacing w:line="260" w:lineRule="exact"/>
        <w:rPr>
          <w:i/>
        </w:rPr>
      </w:pPr>
    </w:p>
    <w:p w14:paraId="669F7EFA" w14:textId="77777777" w:rsidR="00B70FFD" w:rsidRDefault="00B70FFD" w:rsidP="00B70FFD">
      <w:pPr>
        <w:pStyle w:val="Odstavekseznama"/>
        <w:spacing w:line="260" w:lineRule="exact"/>
        <w:jc w:val="both"/>
      </w:pPr>
      <w:r>
        <w:t xml:space="preserve">Razmejitev narave oziroma vrste aranžmaja (ali gre za posebej prilagojeni aranžma ali za tržni aranžma) je odvisna od značilnosti oziroma bistvenih elementov aranžmaja, zato je presoja vedno odvisna od dejanskega stanja in okoliščin vsakega posameznega primera. V splošnem lahko tovrstni aranžmaji primeroma vključujejo standardizirane pogodbe (prepoznavna značilnost A3), kjer uporabnik zagotovi zgolj določene identifikacijske podatke, posrednik pa nato po vnaprej dogovorjenih korakih/fazah uredi izvedbo transakcij, poslov, ipd.   </w:t>
      </w:r>
    </w:p>
    <w:p w14:paraId="0FD7329C" w14:textId="77777777" w:rsidR="00B70FFD" w:rsidRDefault="00B70FFD" w:rsidP="00B70FFD">
      <w:pPr>
        <w:pStyle w:val="Odstavekseznama"/>
        <w:spacing w:line="260" w:lineRule="exact"/>
      </w:pPr>
    </w:p>
    <w:p w14:paraId="4DBD52D4" w14:textId="77777777" w:rsidR="00B70FFD" w:rsidRPr="00B70FFD" w:rsidRDefault="00B70FFD" w:rsidP="00B70FFD">
      <w:pPr>
        <w:pStyle w:val="Odstavekseznama"/>
        <w:numPr>
          <w:ilvl w:val="0"/>
          <w:numId w:val="3"/>
        </w:numPr>
        <w:spacing w:line="260" w:lineRule="exact"/>
        <w:jc w:val="both"/>
        <w:rPr>
          <w:i/>
        </w:rPr>
      </w:pPr>
      <w:r w:rsidRPr="00B70FFD">
        <w:rPr>
          <w:i/>
        </w:rPr>
        <w:t>Davčni svetovalec svojim strankam množično, naenkrat predstavlja čezmejni aranžma, npr. predstavitev davčnih novic vsem svojim strankam v sejni sobi, kjer nadrobno razloži čezmejni aranžma in njegovo implementacijo. Ali je v tem primeru podana obveznost poročanja, ali gre za tržni aranžma?</w:t>
      </w:r>
    </w:p>
    <w:p w14:paraId="731F65C8" w14:textId="77777777" w:rsidR="00B70FFD" w:rsidRPr="00B70FFD" w:rsidRDefault="00B70FFD" w:rsidP="00B70FFD">
      <w:pPr>
        <w:pStyle w:val="Odstavekseznama"/>
        <w:spacing w:line="260" w:lineRule="exact"/>
        <w:jc w:val="both"/>
        <w:rPr>
          <w:i/>
        </w:rPr>
      </w:pPr>
    </w:p>
    <w:p w14:paraId="16909089" w14:textId="77777777" w:rsidR="00B70FFD" w:rsidRPr="00912B22" w:rsidRDefault="00B70FFD" w:rsidP="00B70FFD">
      <w:pPr>
        <w:pStyle w:val="Odstavekseznama"/>
        <w:spacing w:line="260" w:lineRule="exact"/>
        <w:jc w:val="both"/>
      </w:pPr>
      <w:r>
        <w:t>Če je tržni aranžma</w:t>
      </w:r>
      <w:r>
        <w:rPr>
          <w:rStyle w:val="Sprotnaopomba-sklic"/>
        </w:rPr>
        <w:footnoteReference w:id="4"/>
      </w:r>
      <w:r>
        <w:t xml:space="preserve"> ob izvedbi predstavitve zasnovan v zadostni meri, da so znani vsi bistveni elementi in lahko k aranžmaju brez bistvenih prilagoditev pristopijo stranke, ki so prisotne v sejni sobi, ravno tak</w:t>
      </w:r>
      <w:r w:rsidR="004D0B80">
        <w:t>o</w:t>
      </w:r>
      <w:r>
        <w:t xml:space="preserve"> pa tudi druge potencialne stranke, potem se šteje, da že gre za tržni aranžma, o katerem se poroča. V kolikor so izpolnjene tudi druge okoliščine, ki sprožijo obveznost poročanja, potem je o zadevnem aranžmaju potrebno poročati v roku 30 dni od predstavitve. </w:t>
      </w:r>
    </w:p>
    <w:p w14:paraId="43059A62" w14:textId="77777777" w:rsidR="00B70FFD" w:rsidRDefault="00B70FFD" w:rsidP="00B70FFD">
      <w:pPr>
        <w:pStyle w:val="Odstavekseznama"/>
        <w:spacing w:line="260" w:lineRule="exact"/>
        <w:jc w:val="both"/>
        <w:rPr>
          <w:i/>
        </w:rPr>
      </w:pPr>
    </w:p>
    <w:p w14:paraId="4900676F" w14:textId="77777777" w:rsidR="007B3CB9" w:rsidRPr="00CA27C5" w:rsidRDefault="00702CDB" w:rsidP="00697F07">
      <w:pPr>
        <w:pStyle w:val="Odstavekseznama"/>
        <w:numPr>
          <w:ilvl w:val="0"/>
          <w:numId w:val="3"/>
        </w:numPr>
        <w:spacing w:line="260" w:lineRule="exact"/>
        <w:jc w:val="both"/>
        <w:rPr>
          <w:i/>
        </w:rPr>
      </w:pPr>
      <w:r w:rsidRPr="00CA27C5">
        <w:rPr>
          <w:i/>
        </w:rPr>
        <w:t>Družba A, rezident države A, je v decembru 2019 pridobila deleže v družbi X, ki je nepovezana oseba v državi X in im</w:t>
      </w:r>
      <w:r w:rsidR="00AF23AF">
        <w:rPr>
          <w:i/>
        </w:rPr>
        <w:t>a neopredmetena sredstva M in L. K</w:t>
      </w:r>
      <w:r w:rsidRPr="00CA27C5">
        <w:rPr>
          <w:i/>
        </w:rPr>
        <w:t xml:space="preserve">ot del strukturiranja transakcije po prevzemu, </w:t>
      </w:r>
      <w:r w:rsidR="00AF23AF">
        <w:rPr>
          <w:i/>
        </w:rPr>
        <w:t xml:space="preserve">se </w:t>
      </w:r>
      <w:r w:rsidRPr="00CA27C5">
        <w:rPr>
          <w:i/>
        </w:rPr>
        <w:t xml:space="preserve">družba X v aprilu 2020 odloči, da bo prenesla sredstvo M na povezano družbo B (rezident države B) in v maju 2020 sredstvo L na povezano osebo C (rezident države C). Prenos sredstva M na B se zaključi v juniju 2020. Zaradi zamud se prenos sredstva L na C začne pred letom 2022. </w:t>
      </w:r>
    </w:p>
    <w:p w14:paraId="2F8CF241" w14:textId="77777777" w:rsidR="007B3CB9" w:rsidRPr="00CA27C5" w:rsidRDefault="007B3CB9" w:rsidP="00697F07">
      <w:pPr>
        <w:pStyle w:val="Odstavekseznama"/>
        <w:spacing w:line="260" w:lineRule="exact"/>
        <w:jc w:val="both"/>
        <w:rPr>
          <w:i/>
        </w:rPr>
      </w:pPr>
    </w:p>
    <w:p w14:paraId="4D3674CA" w14:textId="77777777" w:rsidR="007B3CB9" w:rsidRDefault="007B3CB9" w:rsidP="00697F07">
      <w:pPr>
        <w:pStyle w:val="Odstavekseznama"/>
        <w:spacing w:line="260" w:lineRule="exact"/>
        <w:jc w:val="both"/>
        <w:rPr>
          <w:i/>
        </w:rPr>
      </w:pPr>
      <w:r w:rsidRPr="00CA27C5">
        <w:rPr>
          <w:i/>
        </w:rPr>
        <w:t>Vprašanje: Ali sta prenosa sredstev dva ločena aranžmaja ali se štejeta za en aranžma, implementiran v maju 2020?</w:t>
      </w:r>
    </w:p>
    <w:p w14:paraId="3D2B46AB" w14:textId="77777777" w:rsidR="003E60C9" w:rsidRPr="00CA27C5" w:rsidRDefault="003E60C9" w:rsidP="00697F07">
      <w:pPr>
        <w:pStyle w:val="Odstavekseznama"/>
        <w:spacing w:line="260" w:lineRule="exact"/>
        <w:jc w:val="both"/>
        <w:rPr>
          <w:i/>
        </w:rPr>
      </w:pPr>
    </w:p>
    <w:p w14:paraId="4042ED6E" w14:textId="77777777" w:rsidR="007B3CB9" w:rsidRPr="00CA27C5" w:rsidRDefault="003E60C9" w:rsidP="00697F07">
      <w:pPr>
        <w:pStyle w:val="Odstavekseznama"/>
        <w:spacing w:line="260" w:lineRule="exact"/>
        <w:jc w:val="both"/>
        <w:rPr>
          <w:i/>
        </w:rPr>
      </w:pPr>
      <w:r w:rsidRPr="009C132C">
        <w:t>V tem pr</w:t>
      </w:r>
      <w:r>
        <w:t xml:space="preserve">imeru gre za situacijo, ko je </w:t>
      </w:r>
      <w:r w:rsidRPr="009C132C">
        <w:t xml:space="preserve">aranžma sestavljen iz več delov ali korakov. Gre torej za en aranžma, čeprav je bil drugi korak storjen </w:t>
      </w:r>
      <w:r w:rsidR="00AF23AF">
        <w:t>kasneje.</w:t>
      </w:r>
    </w:p>
    <w:p w14:paraId="629B7099" w14:textId="77777777" w:rsidR="009821F2" w:rsidRPr="00582270" w:rsidRDefault="009821F2" w:rsidP="00697F07">
      <w:pPr>
        <w:spacing w:line="260" w:lineRule="exact"/>
        <w:rPr>
          <w:rFonts w:eastAsiaTheme="minorHAnsi"/>
          <w:b/>
          <w:kern w:val="32"/>
          <w:sz w:val="22"/>
          <w:szCs w:val="22"/>
          <w:lang w:eastAsia="sl-SI"/>
        </w:rPr>
      </w:pPr>
      <w:r>
        <w:br w:type="page"/>
      </w:r>
    </w:p>
    <w:p w14:paraId="003B7D0B" w14:textId="77777777" w:rsidR="00720CF0" w:rsidRDefault="00102470" w:rsidP="00697F07">
      <w:pPr>
        <w:pStyle w:val="Naslov1"/>
        <w:spacing w:line="260" w:lineRule="exact"/>
      </w:pPr>
      <w:bookmarkStart w:id="15" w:name="_Toc75160000"/>
      <w:r w:rsidRPr="009C132C">
        <w:lastRenderedPageBreak/>
        <w:t>POROČANJE DAVČNEMU ORGANU</w:t>
      </w:r>
      <w:bookmarkEnd w:id="15"/>
      <w:r w:rsidRPr="009C132C">
        <w:t xml:space="preserve"> </w:t>
      </w:r>
    </w:p>
    <w:p w14:paraId="0538D236" w14:textId="77777777" w:rsidR="00697F07" w:rsidRDefault="00697F07" w:rsidP="00697F07">
      <w:pPr>
        <w:spacing w:line="260" w:lineRule="exact"/>
        <w:jc w:val="both"/>
      </w:pPr>
    </w:p>
    <w:p w14:paraId="6FE51278" w14:textId="77777777" w:rsidR="003B7E21" w:rsidRDefault="00720CF0" w:rsidP="00697F07">
      <w:pPr>
        <w:spacing w:line="260" w:lineRule="exact"/>
        <w:jc w:val="both"/>
      </w:pPr>
      <w:r>
        <w:t>K poročanju o čezmejnem aranžmaju so zavezani posredniki in zadevni davčni zavezanci.</w:t>
      </w:r>
      <w:r w:rsidR="003B7E21">
        <w:t xml:space="preserve"> </w:t>
      </w:r>
      <w:r w:rsidR="003B7E21" w:rsidRPr="00B60CBF">
        <w:t xml:space="preserve">Prvenstveno so k poročanju zavezani posredniki: če posrednika ni, ali če posrednik uporabi privilegij poklicne tajnosti, se obveznost poročanja prenese na zadevne </w:t>
      </w:r>
      <w:r w:rsidR="009F0E53">
        <w:t xml:space="preserve">davčne </w:t>
      </w:r>
      <w:r w:rsidR="003B7E21" w:rsidRPr="00B60CBF">
        <w:t xml:space="preserve">zavezance. </w:t>
      </w:r>
      <w:r w:rsidR="00643245">
        <w:t xml:space="preserve">Zadevni davčni zavezanec torej poroča le v </w:t>
      </w:r>
      <w:r w:rsidR="00941899">
        <w:t>teh dveh (</w:t>
      </w:r>
      <w:r w:rsidR="00643245">
        <w:t>izjemnih</w:t>
      </w:r>
      <w:r w:rsidR="00941899">
        <w:t>)</w:t>
      </w:r>
      <w:r w:rsidR="00643245">
        <w:t xml:space="preserve"> primerih, zato se posrednik ne more razbremeniti obveznosti poročanja na način, da bi namesto </w:t>
      </w:r>
      <w:r w:rsidR="00643245" w:rsidRPr="00C04A05">
        <w:t xml:space="preserve">njega poročal zadevni davčni zavezanec. </w:t>
      </w:r>
    </w:p>
    <w:p w14:paraId="42027E4A" w14:textId="77777777" w:rsidR="00102470" w:rsidRDefault="003A76DF" w:rsidP="00697F07">
      <w:pPr>
        <w:pStyle w:val="Naslov2"/>
        <w:rPr>
          <w:color w:val="00B050"/>
        </w:rPr>
      </w:pPr>
      <w:bookmarkStart w:id="16" w:name="_Toc75160001"/>
      <w:r>
        <w:t>Obveznost p</w:t>
      </w:r>
      <w:r w:rsidR="00767044">
        <w:t>o</w:t>
      </w:r>
      <w:r>
        <w:t>ročanja</w:t>
      </w:r>
      <w:r w:rsidR="00B60CBF" w:rsidRPr="00C04A05">
        <w:t xml:space="preserve"> </w:t>
      </w:r>
      <w:r w:rsidR="00720CF0" w:rsidRPr="00C04A05">
        <w:t>- posredniki</w:t>
      </w:r>
      <w:bookmarkEnd w:id="16"/>
    </w:p>
    <w:p w14:paraId="74B3B7C5" w14:textId="77777777" w:rsidR="00E0185F" w:rsidRDefault="00E0185F" w:rsidP="00697F07">
      <w:pPr>
        <w:spacing w:line="260" w:lineRule="exact"/>
        <w:jc w:val="both"/>
      </w:pPr>
    </w:p>
    <w:p w14:paraId="2D9DE712" w14:textId="77777777" w:rsidR="00430172" w:rsidRDefault="00E0185F" w:rsidP="00697F07">
      <w:pPr>
        <w:spacing w:line="260" w:lineRule="exact"/>
        <w:jc w:val="both"/>
      </w:pPr>
      <w:r>
        <w:t>Posrednik</w:t>
      </w:r>
      <w:r w:rsidR="00430172">
        <w:t>i so določeni v 255.o členu ZDavP-2, in sicer je posr</w:t>
      </w:r>
      <w:r w:rsidR="003B7E21">
        <w:t>e</w:t>
      </w:r>
      <w:r w:rsidR="00430172">
        <w:t>dnik:</w:t>
      </w:r>
    </w:p>
    <w:p w14:paraId="1DB66399" w14:textId="77777777" w:rsidR="0030284D" w:rsidRPr="006C46D3" w:rsidRDefault="0030284D" w:rsidP="00697F07">
      <w:pPr>
        <w:spacing w:line="260" w:lineRule="exact"/>
        <w:jc w:val="both"/>
        <w:rPr>
          <w:sz w:val="4"/>
        </w:rPr>
      </w:pPr>
    </w:p>
    <w:p w14:paraId="7917B80D" w14:textId="77777777" w:rsidR="0030284D" w:rsidRDefault="00E0185F" w:rsidP="00697F07">
      <w:pPr>
        <w:pStyle w:val="Odstavekseznama"/>
        <w:numPr>
          <w:ilvl w:val="0"/>
          <w:numId w:val="4"/>
        </w:numPr>
        <w:spacing w:after="120" w:line="260" w:lineRule="exact"/>
        <w:jc w:val="both"/>
      </w:pPr>
      <w:r>
        <w:t>oseba,</w:t>
      </w:r>
      <w:r w:rsidR="0030284D">
        <w:t xml:space="preserve"> ki oblikuje, trži, organizira ali daje na voljo za uporabo čezmejni aranžma, o katerem se poroča, </w:t>
      </w:r>
      <w:r w:rsidR="00430172">
        <w:t>ali upravlja njegovo izvajanje</w:t>
      </w:r>
      <w:r w:rsidR="00AD0FF0">
        <w:t xml:space="preserve"> in</w:t>
      </w:r>
    </w:p>
    <w:p w14:paraId="1DFCB1E7" w14:textId="77777777" w:rsidR="00AD0FF0" w:rsidRDefault="00AD0FF0" w:rsidP="00697F07">
      <w:pPr>
        <w:pStyle w:val="Odstavekseznama"/>
        <w:spacing w:after="120" w:line="260" w:lineRule="exact"/>
        <w:ind w:left="284"/>
        <w:jc w:val="both"/>
      </w:pPr>
    </w:p>
    <w:p w14:paraId="0241A30B" w14:textId="77777777" w:rsidR="0030284D" w:rsidRDefault="0030284D" w:rsidP="00697F07">
      <w:pPr>
        <w:pStyle w:val="Odstavekseznama"/>
        <w:numPr>
          <w:ilvl w:val="0"/>
          <w:numId w:val="4"/>
        </w:numPr>
        <w:spacing w:after="240" w:line="260" w:lineRule="exact"/>
        <w:jc w:val="both"/>
      </w:pPr>
      <w:r>
        <w:t>oseba, ki se šteje za posrednika v primeru, da se ob upoštevanju ustreznih dejstev in okoliščin ter na podlagi razpoložljivih informacij in ustreznega strokovnega znanja in razumevanja, potrebnega za zagotavljanje takih storitev, zaveda, ali bi bilo zanjo upravičeno pričakovati, da se zaveda, da bo neposredno ali prek drugih oseb nudila pomoč oziroma svetovanje pri oblikovanju, trženju, organizaciji, dajanju na voljo za uporabo ali upravljanju izvajanja čezmejnega aranžmaja, o katerem se poroča.</w:t>
      </w:r>
      <w:r w:rsidR="00430172">
        <w:t xml:space="preserve"> </w:t>
      </w:r>
      <w:r w:rsidR="00702CDB">
        <w:t xml:space="preserve">V tem delu </w:t>
      </w:r>
      <w:r w:rsidR="00702CDB" w:rsidRPr="007A196B">
        <w:t>ZDavP-2</w:t>
      </w:r>
      <w:r w:rsidR="00702CDB" w:rsidRPr="00C666E9">
        <w:rPr>
          <w:b/>
        </w:rPr>
        <w:t xml:space="preserve"> </w:t>
      </w:r>
      <w:r w:rsidR="00702CDB">
        <w:t>je tako določen</w:t>
      </w:r>
      <w:r w:rsidR="00702CDB" w:rsidRPr="001B770B">
        <w:t xml:space="preserve"> pravni standard upoštevanja ustreznih dejstev in okoliščin, razpoložljivih informacij in ustreznega strokovnega znanja in razumevanja</w:t>
      </w:r>
      <w:r w:rsidR="00702CDB">
        <w:t>.</w:t>
      </w:r>
      <w:r w:rsidR="00702CDB" w:rsidRPr="001B770B">
        <w:t xml:space="preserve"> </w:t>
      </w:r>
    </w:p>
    <w:p w14:paraId="2B189259" w14:textId="77777777" w:rsidR="009F0E53" w:rsidRDefault="00584057" w:rsidP="00697F07">
      <w:pPr>
        <w:spacing w:after="240" w:line="260" w:lineRule="exact"/>
        <w:jc w:val="both"/>
      </w:pPr>
      <w:r>
        <w:t>Z</w:t>
      </w:r>
      <w:r w:rsidR="003D0B40">
        <w:t xml:space="preserve">DavP-2 </w:t>
      </w:r>
      <w:r w:rsidR="00941899">
        <w:t>sl</w:t>
      </w:r>
      <w:r w:rsidR="00843909">
        <w:t>edi definiciji iz D</w:t>
      </w:r>
      <w:r w:rsidR="00941899">
        <w:t>irektive in</w:t>
      </w:r>
      <w:r>
        <w:t xml:space="preserve"> določa široko</w:t>
      </w:r>
      <w:r w:rsidR="00941899">
        <w:t xml:space="preserve"> zastavljeno, dvodelno </w:t>
      </w:r>
      <w:r>
        <w:t>definicijo posrednika</w:t>
      </w:r>
      <w:r w:rsidR="000C4388">
        <w:t>: tisti</w:t>
      </w:r>
      <w:r>
        <w:t>, ki o</w:t>
      </w:r>
      <w:r w:rsidR="000C4388">
        <w:t>blikuje, trži, organizira, daje</w:t>
      </w:r>
      <w:r>
        <w:t xml:space="preserve"> na voljo za uporabo ali upravlj</w:t>
      </w:r>
      <w:r w:rsidR="000C4388">
        <w:t>a čezmejni aranžma o katerem se poroča (</w:t>
      </w:r>
      <w:r w:rsidR="00AE6B18">
        <w:t>t.i. »</w:t>
      </w:r>
      <w:r w:rsidR="000C4388">
        <w:t>promotor</w:t>
      </w:r>
      <w:r w:rsidR="00AE6B18">
        <w:t>« ali »designer«</w:t>
      </w:r>
      <w:r w:rsidR="000C4388">
        <w:t xml:space="preserve">) </w:t>
      </w:r>
      <w:r>
        <w:t xml:space="preserve">in tisti, ki </w:t>
      </w:r>
      <w:r w:rsidR="000C4388">
        <w:t>nudi</w:t>
      </w:r>
      <w:r>
        <w:t xml:space="preserve"> </w:t>
      </w:r>
      <w:r w:rsidR="000C4388">
        <w:t xml:space="preserve">pomoč ali svetovanje </w:t>
      </w:r>
      <w:r>
        <w:t xml:space="preserve">pri </w:t>
      </w:r>
      <w:r w:rsidR="000C4388">
        <w:t>oblikovanju</w:t>
      </w:r>
      <w:r>
        <w:t xml:space="preserve">, trženju, organiziranju ali </w:t>
      </w:r>
      <w:r w:rsidR="000C4388">
        <w:t>dajanju na voljo ali upravljanju izvajanja</w:t>
      </w:r>
      <w:r>
        <w:t xml:space="preserve"> čezmejnega </w:t>
      </w:r>
      <w:r w:rsidR="00A57D78">
        <w:t>aranžmaja (</w:t>
      </w:r>
      <w:r w:rsidR="000C4388">
        <w:t>t.i.</w:t>
      </w:r>
      <w:r>
        <w:t>"</w:t>
      </w:r>
      <w:r w:rsidR="000C4388">
        <w:t>service provider</w:t>
      </w:r>
      <w:r>
        <w:t>").</w:t>
      </w:r>
    </w:p>
    <w:p w14:paraId="68B32065" w14:textId="77777777" w:rsidR="00702CDB" w:rsidRDefault="00702CDB" w:rsidP="00697F07">
      <w:pPr>
        <w:spacing w:line="260" w:lineRule="exact"/>
        <w:jc w:val="both"/>
      </w:pPr>
      <w:r>
        <w:t>V</w:t>
      </w:r>
      <w:r w:rsidR="00941899">
        <w:t xml:space="preserve"> drugem delu definicije posrednika (drugi odstavek </w:t>
      </w:r>
      <w:r>
        <w:t>255.o člena</w:t>
      </w:r>
      <w:r w:rsidR="003D0B40">
        <w:t xml:space="preserve"> ZDavP-2</w:t>
      </w:r>
      <w:r w:rsidR="00941899">
        <w:t>)</w:t>
      </w:r>
      <w:r>
        <w:t xml:space="preserve"> je tako vsebovan objektivni test, po katerem se presoja, ali oseba izpolnjuje pogoje za posrednika, in sicer je to lahko le tisti, ki glede na:</w:t>
      </w:r>
      <w:r w:rsidR="00C666E9">
        <w:t xml:space="preserve"> </w:t>
      </w:r>
    </w:p>
    <w:p w14:paraId="3AEEBF26" w14:textId="77777777" w:rsidR="00E702B7" w:rsidRDefault="00E702B7" w:rsidP="00697F07">
      <w:pPr>
        <w:spacing w:line="260" w:lineRule="exact"/>
        <w:jc w:val="both"/>
      </w:pPr>
    </w:p>
    <w:p w14:paraId="7427E354" w14:textId="77777777" w:rsidR="00702CDB" w:rsidRDefault="00702CDB" w:rsidP="00697F07">
      <w:pPr>
        <w:pStyle w:val="Odstavekseznama"/>
        <w:numPr>
          <w:ilvl w:val="0"/>
          <w:numId w:val="12"/>
        </w:numPr>
        <w:spacing w:line="260" w:lineRule="exact"/>
        <w:jc w:val="both"/>
      </w:pPr>
      <w:r>
        <w:t>ustrezne dejstva in okoliščine,</w:t>
      </w:r>
    </w:p>
    <w:p w14:paraId="3948F524" w14:textId="77777777" w:rsidR="00C666E9" w:rsidRDefault="00C666E9" w:rsidP="00697F07">
      <w:pPr>
        <w:pStyle w:val="Odstavekseznama"/>
        <w:numPr>
          <w:ilvl w:val="0"/>
          <w:numId w:val="12"/>
        </w:numPr>
        <w:spacing w:line="260" w:lineRule="exact"/>
        <w:jc w:val="both"/>
      </w:pPr>
      <w:r>
        <w:t>razpoložljive informacije in</w:t>
      </w:r>
    </w:p>
    <w:p w14:paraId="3EF14803" w14:textId="77777777" w:rsidR="00C666E9" w:rsidRDefault="00C666E9" w:rsidP="00697F07">
      <w:pPr>
        <w:pStyle w:val="Odstavekseznama"/>
        <w:numPr>
          <w:ilvl w:val="0"/>
          <w:numId w:val="12"/>
        </w:numPr>
        <w:spacing w:line="260" w:lineRule="exact"/>
        <w:jc w:val="both"/>
      </w:pPr>
      <w:r>
        <w:t xml:space="preserve">ustrezno strokovno znanje in razumevanje </w:t>
      </w:r>
    </w:p>
    <w:p w14:paraId="49645E13" w14:textId="77777777" w:rsidR="00E702B7" w:rsidRDefault="00E702B7" w:rsidP="00E702B7">
      <w:pPr>
        <w:pStyle w:val="Odstavekseznama"/>
        <w:spacing w:line="260" w:lineRule="exact"/>
        <w:jc w:val="both"/>
      </w:pPr>
    </w:p>
    <w:p w14:paraId="2A79E794" w14:textId="77777777" w:rsidR="00C666E9" w:rsidRDefault="00C666E9" w:rsidP="00697F07">
      <w:pPr>
        <w:spacing w:line="260" w:lineRule="exact"/>
        <w:jc w:val="both"/>
      </w:pPr>
      <w:r>
        <w:t>lahko šteje za posrednika.</w:t>
      </w:r>
    </w:p>
    <w:p w14:paraId="21B5E917" w14:textId="77777777" w:rsidR="009821F2" w:rsidRDefault="009821F2" w:rsidP="00697F07">
      <w:pPr>
        <w:spacing w:line="260" w:lineRule="exact"/>
        <w:jc w:val="both"/>
      </w:pPr>
    </w:p>
    <w:p w14:paraId="5ABBE667" w14:textId="77777777" w:rsidR="00941899" w:rsidRDefault="00941899" w:rsidP="00697F07">
      <w:pPr>
        <w:spacing w:after="240" w:line="260" w:lineRule="exact"/>
        <w:jc w:val="both"/>
      </w:pPr>
      <w:r w:rsidRPr="001B770B">
        <w:t>Vse te tri prvine testa morajo biti podane, da se nekdo lahko šteje za posrednika, sicer pa ne</w:t>
      </w:r>
      <w:r>
        <w:t>.</w:t>
      </w:r>
    </w:p>
    <w:p w14:paraId="7582EF75" w14:textId="2FDFD609" w:rsidR="008574DF" w:rsidRDefault="00702CDB" w:rsidP="00697F07">
      <w:pPr>
        <w:spacing w:line="260" w:lineRule="exact"/>
        <w:jc w:val="both"/>
      </w:pPr>
      <w:r>
        <w:t>Razlika med promotorji in service providerji je v vlogi, ki jo ima eden ali drugi v aranžmaju. Iz tega izhaja tudi razlika, da ima service provider možnost ugovora</w:t>
      </w:r>
      <w:r w:rsidR="003A0950">
        <w:t xml:space="preserve"> </w:t>
      </w:r>
      <w:r w:rsidR="00603B42">
        <w:t>(</w:t>
      </w:r>
      <w:r w:rsidR="003A0950">
        <w:t>in dokazovanja</w:t>
      </w:r>
      <w:r w:rsidR="00603B42">
        <w:t>)</w:t>
      </w:r>
      <w:r>
        <w:t>, da ni posrednik, ker se ni zavedal oziroma od njega ne bi bilo razumno pričakovati, da se zaveda vključenosti v izvajanje čezmejnega aranžmaja, s tem pa je izključena dolžnost poročanja.</w:t>
      </w:r>
    </w:p>
    <w:p w14:paraId="3B2946E0" w14:textId="77777777" w:rsidR="008574DF" w:rsidRDefault="008574DF" w:rsidP="00697F07">
      <w:pPr>
        <w:spacing w:line="260" w:lineRule="exact"/>
        <w:jc w:val="both"/>
      </w:pPr>
    </w:p>
    <w:p w14:paraId="3990E474" w14:textId="77777777" w:rsidR="008574DF" w:rsidRDefault="00C17D9B" w:rsidP="00697F07">
      <w:pPr>
        <w:spacing w:line="260" w:lineRule="exact"/>
        <w:jc w:val="both"/>
      </w:pPr>
      <w:r>
        <w:t>Tudi v primerih, ko bi service provider naknadno ugotovil, da je sodeloval v aranžmaju, o katerem se poroča, (na primer, če revizor v postopku revidiranja identificira transakcijo, o kateri se poroča), obveznost poročanja ne nastopi, saj revizo</w:t>
      </w:r>
      <w:r w:rsidR="006059BC">
        <w:t>r</w:t>
      </w:r>
      <w:r>
        <w:t xml:space="preserve"> ni nudil pomoči pri oblikovanju in trženju aranžmaja</w:t>
      </w:r>
      <w:r w:rsidR="006059BC">
        <w:t>, temveč je zgolj naknadno zaznal to transakcijo.</w:t>
      </w:r>
    </w:p>
    <w:p w14:paraId="06991142" w14:textId="77777777" w:rsidR="000F7EB0" w:rsidRDefault="00584057" w:rsidP="00697F07">
      <w:pPr>
        <w:spacing w:line="260" w:lineRule="exact"/>
        <w:jc w:val="both"/>
      </w:pPr>
      <w:r>
        <w:t xml:space="preserve"> </w:t>
      </w:r>
    </w:p>
    <w:p w14:paraId="3937BFA8" w14:textId="77777777" w:rsidR="0030284D" w:rsidRDefault="0030284D" w:rsidP="00697F07">
      <w:pPr>
        <w:pStyle w:val="Brezrazmikov"/>
        <w:spacing w:line="260" w:lineRule="exact"/>
        <w:jc w:val="both"/>
        <w:rPr>
          <w:b w:val="0"/>
          <w:sz w:val="20"/>
        </w:rPr>
      </w:pPr>
      <w:r w:rsidRPr="00BE03EB">
        <w:rPr>
          <w:b w:val="0"/>
          <w:sz w:val="20"/>
        </w:rPr>
        <w:t>Oseba se šteje za posrednika, če izpolnjuje vsaj enega od dodatnih pogojev:</w:t>
      </w:r>
    </w:p>
    <w:p w14:paraId="2AC07017" w14:textId="77777777" w:rsidR="0030284D" w:rsidRPr="004020DD" w:rsidRDefault="0030284D" w:rsidP="00697F07">
      <w:pPr>
        <w:pStyle w:val="Brezrazmikov"/>
        <w:spacing w:line="260" w:lineRule="exact"/>
        <w:jc w:val="both"/>
        <w:rPr>
          <w:b w:val="0"/>
          <w:sz w:val="6"/>
        </w:rPr>
      </w:pPr>
    </w:p>
    <w:p w14:paraId="3398F6F3" w14:textId="77777777" w:rsidR="0030284D" w:rsidRPr="00BE03EB" w:rsidRDefault="0030284D" w:rsidP="00697F07">
      <w:pPr>
        <w:pStyle w:val="Brezrazmikov"/>
        <w:numPr>
          <w:ilvl w:val="0"/>
          <w:numId w:val="9"/>
        </w:numPr>
        <w:spacing w:line="260" w:lineRule="exact"/>
        <w:jc w:val="both"/>
        <w:rPr>
          <w:b w:val="0"/>
          <w:sz w:val="20"/>
        </w:rPr>
      </w:pPr>
      <w:r w:rsidRPr="00BE03EB">
        <w:rPr>
          <w:b w:val="0"/>
          <w:sz w:val="20"/>
        </w:rPr>
        <w:lastRenderedPageBreak/>
        <w:t>je rezident za davčne namene v Sloveniji;</w:t>
      </w:r>
    </w:p>
    <w:p w14:paraId="0E46A4E4" w14:textId="77777777" w:rsidR="0030284D" w:rsidRPr="00BE03EB" w:rsidRDefault="0030284D" w:rsidP="00697F07">
      <w:pPr>
        <w:pStyle w:val="Brezrazmikov"/>
        <w:numPr>
          <w:ilvl w:val="0"/>
          <w:numId w:val="9"/>
        </w:numPr>
        <w:spacing w:line="260" w:lineRule="exact"/>
        <w:jc w:val="both"/>
        <w:rPr>
          <w:b w:val="0"/>
          <w:sz w:val="20"/>
        </w:rPr>
      </w:pPr>
      <w:r w:rsidRPr="00BE03EB">
        <w:rPr>
          <w:b w:val="0"/>
          <w:sz w:val="20"/>
        </w:rPr>
        <w:t>ima stalno poslovno enoto v Sloveniji, prek katere zagotavlja storitve v zvezi s čezmejnim aranžmajem;</w:t>
      </w:r>
    </w:p>
    <w:p w14:paraId="473085C9" w14:textId="77777777" w:rsidR="00E0185F" w:rsidRPr="00F45B57" w:rsidRDefault="0030284D" w:rsidP="00697F07">
      <w:pPr>
        <w:pStyle w:val="Brezrazmikov"/>
        <w:numPr>
          <w:ilvl w:val="0"/>
          <w:numId w:val="9"/>
        </w:numPr>
        <w:spacing w:line="260" w:lineRule="exact"/>
        <w:jc w:val="both"/>
        <w:rPr>
          <w:b w:val="0"/>
          <w:sz w:val="20"/>
        </w:rPr>
      </w:pPr>
      <w:r w:rsidRPr="00F45B57">
        <w:rPr>
          <w:b w:val="0"/>
          <w:sz w:val="20"/>
        </w:rPr>
        <w:t>je ustanovljena oziroma organizirana v skladu s slovenskim pravom ali</w:t>
      </w:r>
    </w:p>
    <w:p w14:paraId="2B894A62" w14:textId="77777777" w:rsidR="0030284D" w:rsidRDefault="0030284D" w:rsidP="00697F07">
      <w:pPr>
        <w:pStyle w:val="Brezrazmikov"/>
        <w:numPr>
          <w:ilvl w:val="0"/>
          <w:numId w:val="9"/>
        </w:numPr>
        <w:spacing w:line="260" w:lineRule="exact"/>
        <w:jc w:val="both"/>
        <w:rPr>
          <w:b w:val="0"/>
          <w:sz w:val="20"/>
        </w:rPr>
      </w:pPr>
      <w:r w:rsidRPr="00BE03EB">
        <w:rPr>
          <w:b w:val="0"/>
          <w:sz w:val="20"/>
        </w:rPr>
        <w:t>je v Sloveniji registrirana za opravljanje pravnih, davčnih ali svetovalnih storitev.</w:t>
      </w:r>
    </w:p>
    <w:p w14:paraId="4CF76DB0" w14:textId="77777777" w:rsidR="00B60CBF" w:rsidRDefault="00B60CBF" w:rsidP="00697F07">
      <w:pPr>
        <w:spacing w:line="260" w:lineRule="exact"/>
        <w:rPr>
          <w:b/>
        </w:rPr>
      </w:pPr>
    </w:p>
    <w:p w14:paraId="4B37DBD8" w14:textId="77777777" w:rsidR="00B60CBF" w:rsidRDefault="00B60CBF" w:rsidP="00697F07">
      <w:pPr>
        <w:spacing w:line="260" w:lineRule="exact"/>
        <w:jc w:val="both"/>
      </w:pPr>
      <w:r w:rsidRPr="00B60CBF">
        <w:t>Kadar mora posrednik predložiti podatke pristojnim organom več kot ene države članice EU, predloži po</w:t>
      </w:r>
      <w:r w:rsidR="003B7E21">
        <w:t>d</w:t>
      </w:r>
      <w:r w:rsidRPr="00B60CBF">
        <w:t xml:space="preserve">atke le v Sloveniji po pravilih, ki so določena v </w:t>
      </w:r>
      <w:r w:rsidR="00577F4D">
        <w:t>255.r</w:t>
      </w:r>
      <w:r w:rsidRPr="00B60CBF">
        <w:t xml:space="preserve"> členu ZDavP-2. </w:t>
      </w:r>
      <w:r w:rsidR="003066FC">
        <w:t>V skladu s tem členom je določena hierarhija glede na navezne okoliščine (nexus), pri čemer slovenskemu davčnemu organu poroča ta</w:t>
      </w:r>
      <w:r w:rsidR="00AE6B18">
        <w:t>krat, kadar je ta vez najmočnejš</w:t>
      </w:r>
      <w:r w:rsidR="003066FC">
        <w:t xml:space="preserve">a. </w:t>
      </w:r>
    </w:p>
    <w:p w14:paraId="38F9BE51" w14:textId="77777777" w:rsidR="00B22CE4" w:rsidRPr="00FA5F7E" w:rsidRDefault="00B22CE4" w:rsidP="00697F07">
      <w:pPr>
        <w:pStyle w:val="Naslov2"/>
      </w:pPr>
      <w:bookmarkStart w:id="17" w:name="_Toc75160002"/>
      <w:r w:rsidRPr="00FA5F7E">
        <w:t>Privilegij poklicne molčečnosti</w:t>
      </w:r>
      <w:bookmarkEnd w:id="17"/>
    </w:p>
    <w:p w14:paraId="600702E3" w14:textId="77777777" w:rsidR="00B22CE4" w:rsidRDefault="00B22CE4" w:rsidP="00697F07">
      <w:pPr>
        <w:spacing w:line="260" w:lineRule="exact"/>
      </w:pPr>
    </w:p>
    <w:p w14:paraId="0806BA06" w14:textId="77777777" w:rsidR="009133F9" w:rsidRDefault="009133F9" w:rsidP="00697F07">
      <w:pPr>
        <w:spacing w:line="260" w:lineRule="exact"/>
        <w:jc w:val="both"/>
      </w:pPr>
      <w:r>
        <w:t>Posrednik je oproščen predložitve podatkov, če bi s poročanjem kršil varovanje poklicne tajnosti, kot jo določa zakon, ki ureja poklicno tajnost. Tako dolžnost določa Zakon o odvetništvu</w:t>
      </w:r>
      <w:r w:rsidR="00D23ED5">
        <w:t xml:space="preserve"> (Uradni list RS, št. 18/93, 24/96 – odl. US, 24/10, 54/08, 35/09, 97/14, 8/16 – odl. US, 46/16 in 36/19</w:t>
      </w:r>
      <w:r w:rsidR="00B8777E">
        <w:t>, v nadaljevanju: ZOdv</w:t>
      </w:r>
      <w:r w:rsidR="00D23ED5">
        <w:t>)</w:t>
      </w:r>
      <w:r>
        <w:t>, ki v 6. č</w:t>
      </w:r>
      <w:r w:rsidR="009F0E53">
        <w:t>l</w:t>
      </w:r>
      <w:r>
        <w:t>enu določa, da mora odvetnik varovati kot tajnost, kar mu je zaupala stranka.</w:t>
      </w:r>
    </w:p>
    <w:p w14:paraId="051B3FD1" w14:textId="77777777" w:rsidR="009133F9" w:rsidRPr="000135A6" w:rsidRDefault="009133F9" w:rsidP="00697F07">
      <w:pPr>
        <w:autoSpaceDE w:val="0"/>
        <w:autoSpaceDN w:val="0"/>
        <w:adjustRightInd w:val="0"/>
        <w:spacing w:before="240" w:line="260" w:lineRule="exact"/>
        <w:jc w:val="both"/>
        <w:rPr>
          <w:szCs w:val="20"/>
        </w:rPr>
      </w:pPr>
      <w:r>
        <w:t xml:space="preserve">Zakonsko določena poklicna tajnost, relevantna pri ustvarjanju davčnih aranžmajev, je določena v </w:t>
      </w:r>
      <w:r w:rsidR="009F0E53">
        <w:t>ZOdv</w:t>
      </w:r>
      <w:r>
        <w:t xml:space="preserve"> in Kodeksu </w:t>
      </w:r>
      <w:r w:rsidR="00B8777E">
        <w:t xml:space="preserve">odvetniške </w:t>
      </w:r>
      <w:r>
        <w:t xml:space="preserve">poklicne </w:t>
      </w:r>
      <w:r w:rsidR="00B8777E">
        <w:t>etike</w:t>
      </w:r>
      <w:r>
        <w:t xml:space="preserve">. </w:t>
      </w:r>
      <w:r w:rsidRPr="000135A6">
        <w:rPr>
          <w:rFonts w:cs="Arial"/>
          <w:szCs w:val="20"/>
        </w:rPr>
        <w:t>Skozi zagotavljanje zasebnosti odvetniku se zagotavlja tajnost in zaupnost razmerja do stranke</w:t>
      </w:r>
      <w:r w:rsidR="009F0E53">
        <w:rPr>
          <w:rFonts w:cs="Arial"/>
          <w:szCs w:val="20"/>
        </w:rPr>
        <w:t>.</w:t>
      </w:r>
      <w:r w:rsidRPr="000135A6">
        <w:rPr>
          <w:szCs w:val="20"/>
        </w:rPr>
        <w:t xml:space="preserve"> Zaupni so podatki o stranki, ki so pri odvetniku, kot tudi odvetnikova korespondenca s stranko ter njegovo svetovanje stranki. Ta dolžnost varovanja podatkov, ki so jih odvetniku zaupale stranke, je bistveni temelj zaupnega razmerja med odvetnikom in njegovo stranko. </w:t>
      </w:r>
      <w:r w:rsidRPr="000135A6">
        <w:rPr>
          <w:rFonts w:cs="Arial"/>
          <w:szCs w:val="20"/>
        </w:rPr>
        <w:t>Namen poklicne tajnosti ni zaščita odvetnika/posrednika, ampak zaščita njegovih strank, torej davčnih zavezancev.</w:t>
      </w:r>
    </w:p>
    <w:p w14:paraId="016BDAEB" w14:textId="77777777" w:rsidR="009133F9" w:rsidRDefault="009133F9" w:rsidP="00697F07">
      <w:pPr>
        <w:autoSpaceDE w:val="0"/>
        <w:autoSpaceDN w:val="0"/>
        <w:adjustRightInd w:val="0"/>
        <w:spacing w:before="240" w:line="260" w:lineRule="exact"/>
        <w:jc w:val="both"/>
        <w:rPr>
          <w:rFonts w:cs="Arial"/>
          <w:szCs w:val="20"/>
        </w:rPr>
      </w:pPr>
      <w:r w:rsidRPr="000135A6">
        <w:rPr>
          <w:rFonts w:cs="Arial"/>
          <w:szCs w:val="20"/>
        </w:rPr>
        <w:t xml:space="preserve">Med odvetniške poklicne dejavnosti spadajo storitve, kot jih opredeljuje 2. člen ZOdv. To so pravno svetovanje, zastopanje in zagovarjanje strank pred sodišči in drugimi državnimi organi, sestavljanje listin in zastopanje strank v njihovih pravnih razmerjih. Odvetniška poklicna tajnost obsega tako storitve zunaj postopkov pred državnimi organi (svetovanje, sestavljanje listin in zastopanje v pravnih razmerjih) kot tudi storitve v zvezi s sodnimi in drugimi postopki pred državnimi organi. </w:t>
      </w:r>
    </w:p>
    <w:p w14:paraId="21BA205F" w14:textId="77777777" w:rsidR="00F45B57" w:rsidRDefault="00F45B57" w:rsidP="00697F07">
      <w:pPr>
        <w:spacing w:line="260" w:lineRule="exact"/>
        <w:jc w:val="both"/>
      </w:pPr>
    </w:p>
    <w:p w14:paraId="7C789C6C" w14:textId="77777777" w:rsidR="00B22CE4" w:rsidRDefault="00B22CE4" w:rsidP="00697F07">
      <w:pPr>
        <w:spacing w:line="260" w:lineRule="exact"/>
        <w:jc w:val="both"/>
      </w:pPr>
      <w:r>
        <w:t>Razlika med posredniki, ki se lahko</w:t>
      </w:r>
      <w:r w:rsidR="004516C4">
        <w:t xml:space="preserve"> sklicujejo na privilegij, in</w:t>
      </w:r>
      <w:r>
        <w:t xml:space="preserve"> tist</w:t>
      </w:r>
      <w:r w:rsidR="004516C4">
        <w:t>imi</w:t>
      </w:r>
      <w:r>
        <w:t>, ki se ne morejo, se pokaže pri vpra</w:t>
      </w:r>
      <w:r w:rsidR="00AF2D58">
        <w:t>šanj</w:t>
      </w:r>
      <w:r>
        <w:t>u, ali gre za tržni ali posebej dogo</w:t>
      </w:r>
      <w:r w:rsidR="009133F9">
        <w:t>v</w:t>
      </w:r>
      <w:r w:rsidR="00AE6B18">
        <w:t>orjeni aran</w:t>
      </w:r>
      <w:r w:rsidR="00A57D78">
        <w:t>žma. Pri tržnem aran</w:t>
      </w:r>
      <w:r>
        <w:t>žmaju morajo namreč tudi posredniki, ki se sklicujejo na privilegij, poročati o tržnem aranžmaju, saj glede na to, da je standardiziran, podatkov o strankah (davčnih zavezancih) ne vsebuje. Same podatke o strankah pa morajo v tem primeru poročati zadevni davčni zave</w:t>
      </w:r>
      <w:r w:rsidR="00AE6B18">
        <w:t>za</w:t>
      </w:r>
      <w:r>
        <w:t>nci</w:t>
      </w:r>
      <w:r w:rsidR="00AF2D58">
        <w:t>, ki bodo tak aranžma uporabili oziroma ga uporabljajo.</w:t>
      </w:r>
      <w:r>
        <w:t xml:space="preserve"> </w:t>
      </w:r>
    </w:p>
    <w:p w14:paraId="3A15E49E" w14:textId="77777777" w:rsidR="00B22CE4" w:rsidRDefault="00B22CE4" w:rsidP="00697F07">
      <w:pPr>
        <w:spacing w:line="260" w:lineRule="exact"/>
        <w:jc w:val="both"/>
      </w:pPr>
    </w:p>
    <w:p w14:paraId="74F0498D" w14:textId="77777777" w:rsidR="00B22CE4" w:rsidRDefault="00B22CE4" w:rsidP="00697F07">
      <w:pPr>
        <w:spacing w:line="260" w:lineRule="exact"/>
        <w:jc w:val="both"/>
      </w:pPr>
      <w:r>
        <w:t>Ko bo šlo z</w:t>
      </w:r>
      <w:r w:rsidR="00AF2D58">
        <w:t>a posebej dogovorjeni aranžma, p</w:t>
      </w:r>
      <w:r>
        <w:t xml:space="preserve">a </w:t>
      </w:r>
      <w:r w:rsidR="00AF2D58">
        <w:t>mora</w:t>
      </w:r>
      <w:r>
        <w:t xml:space="preserve"> zaradi uveljavitve privilegija </w:t>
      </w:r>
      <w:r w:rsidR="009F0E53">
        <w:t xml:space="preserve">zadevni </w:t>
      </w:r>
      <w:r>
        <w:t xml:space="preserve">davčni zavezanec </w:t>
      </w:r>
      <w:r w:rsidR="00AF2D58">
        <w:t>poročati o celotnem naboru podatkov, o katerih se poroča.</w:t>
      </w:r>
    </w:p>
    <w:p w14:paraId="4142A35A" w14:textId="77777777" w:rsidR="009133F9" w:rsidRDefault="009133F9" w:rsidP="00697F07">
      <w:pPr>
        <w:spacing w:line="260" w:lineRule="exact"/>
        <w:jc w:val="both"/>
      </w:pPr>
    </w:p>
    <w:p w14:paraId="34819AB9" w14:textId="77777777" w:rsidR="009133F9" w:rsidRPr="000135A6" w:rsidRDefault="009133F9" w:rsidP="00697F07">
      <w:pPr>
        <w:autoSpaceDE w:val="0"/>
        <w:autoSpaceDN w:val="0"/>
        <w:adjustRightInd w:val="0"/>
        <w:spacing w:line="260" w:lineRule="exact"/>
        <w:jc w:val="both"/>
        <w:rPr>
          <w:rFonts w:cs="Arial"/>
          <w:szCs w:val="20"/>
        </w:rPr>
      </w:pPr>
      <w:r w:rsidRPr="000135A6">
        <w:rPr>
          <w:rFonts w:cs="Arial"/>
          <w:szCs w:val="20"/>
        </w:rPr>
        <w:t>Kadar se posrednik sklicuje na poklicno tajnost, mora o tem pisno obvestiti kateregakoli drugega posrednika, ali če tega ni, zadevnega davčnega zavezanca. Prenos obveznosti poročanja je torej pogojena z obvestilom/notifikacijo posrednika, ki bi bil primarno zavezan poročati, če se ne bi skliceval na poklicno molčečnost.</w:t>
      </w:r>
    </w:p>
    <w:p w14:paraId="6B197BAD" w14:textId="77777777" w:rsidR="009133F9" w:rsidRPr="000135A6" w:rsidRDefault="009133F9" w:rsidP="00697F07">
      <w:pPr>
        <w:autoSpaceDE w:val="0"/>
        <w:autoSpaceDN w:val="0"/>
        <w:adjustRightInd w:val="0"/>
        <w:spacing w:line="260" w:lineRule="exact"/>
        <w:jc w:val="both"/>
        <w:rPr>
          <w:rFonts w:cs="Arial"/>
          <w:szCs w:val="20"/>
        </w:rPr>
      </w:pPr>
    </w:p>
    <w:p w14:paraId="4BAA9F32" w14:textId="77777777" w:rsidR="00697F07" w:rsidRDefault="009133F9" w:rsidP="00697F07">
      <w:pPr>
        <w:autoSpaceDE w:val="0"/>
        <w:autoSpaceDN w:val="0"/>
        <w:adjustRightInd w:val="0"/>
        <w:spacing w:line="260" w:lineRule="exact"/>
        <w:jc w:val="both"/>
        <w:rPr>
          <w:rFonts w:cs="Arial"/>
          <w:szCs w:val="20"/>
        </w:rPr>
      </w:pPr>
      <w:r w:rsidRPr="000135A6">
        <w:rPr>
          <w:rFonts w:cs="Arial"/>
          <w:szCs w:val="20"/>
        </w:rPr>
        <w:t>Posrednik j</w:t>
      </w:r>
      <w:r w:rsidR="00AE6B18">
        <w:rPr>
          <w:rFonts w:cs="Arial"/>
          <w:szCs w:val="20"/>
        </w:rPr>
        <w:t xml:space="preserve">e oproščen poročanja v skladu z </w:t>
      </w:r>
      <w:r w:rsidR="00577F4D">
        <w:rPr>
          <w:rFonts w:cs="Arial"/>
          <w:szCs w:val="20"/>
        </w:rPr>
        <w:t>255.s</w:t>
      </w:r>
      <w:r w:rsidR="00AE6B18">
        <w:rPr>
          <w:rFonts w:cs="Arial"/>
          <w:szCs w:val="20"/>
        </w:rPr>
        <w:t xml:space="preserve"> </w:t>
      </w:r>
      <w:r w:rsidRPr="000135A6">
        <w:rPr>
          <w:rFonts w:cs="Arial"/>
          <w:szCs w:val="20"/>
        </w:rPr>
        <w:t xml:space="preserve">členom </w:t>
      </w:r>
      <w:r w:rsidR="00843909">
        <w:rPr>
          <w:rFonts w:cs="Arial"/>
          <w:szCs w:val="20"/>
        </w:rPr>
        <w:t xml:space="preserve">ZDavP-2 </w:t>
      </w:r>
      <w:r w:rsidRPr="000135A6">
        <w:rPr>
          <w:rFonts w:cs="Arial"/>
          <w:szCs w:val="20"/>
        </w:rPr>
        <w:t>le v obsegu, ki ga za njegov poklic določa zakon, ki ureja poklicno tajnost. Navedeno pomeni, da se privilegij nanaša le na podatke, ki jih je odv</w:t>
      </w:r>
      <w:r w:rsidR="009F0E53">
        <w:rPr>
          <w:rFonts w:cs="Arial"/>
          <w:szCs w:val="20"/>
        </w:rPr>
        <w:t>etniku zaupal davčni zavezanec.</w:t>
      </w:r>
    </w:p>
    <w:p w14:paraId="6BAA2B09" w14:textId="77777777" w:rsidR="00697F07" w:rsidRDefault="00697F07" w:rsidP="00697F07">
      <w:pPr>
        <w:autoSpaceDE w:val="0"/>
        <w:autoSpaceDN w:val="0"/>
        <w:adjustRightInd w:val="0"/>
        <w:spacing w:line="260" w:lineRule="exact"/>
        <w:jc w:val="both"/>
        <w:rPr>
          <w:rFonts w:cs="Arial"/>
          <w:szCs w:val="20"/>
        </w:rPr>
      </w:pPr>
    </w:p>
    <w:p w14:paraId="7A41EB5B" w14:textId="77777777" w:rsidR="00697F07" w:rsidRPr="000135A6" w:rsidRDefault="00697F07" w:rsidP="00697F07">
      <w:pPr>
        <w:autoSpaceDE w:val="0"/>
        <w:autoSpaceDN w:val="0"/>
        <w:adjustRightInd w:val="0"/>
        <w:spacing w:line="260" w:lineRule="exact"/>
        <w:jc w:val="both"/>
        <w:rPr>
          <w:rFonts w:cs="Arial"/>
          <w:szCs w:val="20"/>
        </w:rPr>
      </w:pPr>
    </w:p>
    <w:p w14:paraId="4DEF0243" w14:textId="77777777" w:rsidR="00B60CBF" w:rsidRPr="00546BD6" w:rsidRDefault="00B60CBF" w:rsidP="00697F07">
      <w:pPr>
        <w:pStyle w:val="Naslov2"/>
      </w:pPr>
      <w:bookmarkStart w:id="18" w:name="_Toc75160003"/>
      <w:r w:rsidRPr="00546BD6">
        <w:lastRenderedPageBreak/>
        <w:t>Kdo je zavezan k poročanju, če ni posrednika</w:t>
      </w:r>
      <w:bookmarkEnd w:id="18"/>
    </w:p>
    <w:p w14:paraId="65369616" w14:textId="77777777" w:rsidR="00B60CBF" w:rsidRPr="00B60CBF" w:rsidRDefault="00B60CBF" w:rsidP="00697F07">
      <w:pPr>
        <w:spacing w:line="260" w:lineRule="exact"/>
      </w:pPr>
    </w:p>
    <w:p w14:paraId="7A28AA59" w14:textId="77777777" w:rsidR="0030284D" w:rsidRDefault="00E0185F" w:rsidP="00697F07">
      <w:pPr>
        <w:spacing w:after="240" w:line="260" w:lineRule="exact"/>
        <w:jc w:val="both"/>
      </w:pPr>
      <w:r>
        <w:t xml:space="preserve">Prvenstveno so torej k poročanju zavezani posredniki: če </w:t>
      </w:r>
      <w:r w:rsidR="0030284D">
        <w:t xml:space="preserve">posrednika </w:t>
      </w:r>
      <w:r>
        <w:t xml:space="preserve">ni </w:t>
      </w:r>
      <w:r w:rsidR="0030284D">
        <w:t xml:space="preserve">ali če posrednik pisno obvesti zadevnega </w:t>
      </w:r>
      <w:r w:rsidR="009F0E53">
        <w:t>drugega posrednika ali davčnega zavezanca</w:t>
      </w:r>
      <w:r w:rsidR="0030284D">
        <w:t xml:space="preserve"> o uporabi privile</w:t>
      </w:r>
      <w:r w:rsidR="004516C4">
        <w:t xml:space="preserve">gija poklicne skrivnosti iz </w:t>
      </w:r>
      <w:r w:rsidR="00577F4D">
        <w:t>255.s</w:t>
      </w:r>
      <w:r w:rsidR="0030284D">
        <w:t xml:space="preserve"> člena </w:t>
      </w:r>
      <w:r w:rsidR="003D0B40">
        <w:t>ZDavP-2</w:t>
      </w:r>
      <w:r w:rsidR="0030284D">
        <w:t>, podatke o čezmejnem aranžmaju, o katerem se poroča, predloži drug posrednik ali, če tega ni, zadevni davčni zavezanec</w:t>
      </w:r>
      <w:r w:rsidR="00720CF0">
        <w:t xml:space="preserve"> po pravil</w:t>
      </w:r>
      <w:r w:rsidR="00BB714C">
        <w:t>i</w:t>
      </w:r>
      <w:r w:rsidR="00720CF0">
        <w:t xml:space="preserve">h iz </w:t>
      </w:r>
      <w:r w:rsidR="00577F4D">
        <w:t>255.š</w:t>
      </w:r>
      <w:r w:rsidR="00720CF0">
        <w:t xml:space="preserve"> člena</w:t>
      </w:r>
      <w:r w:rsidR="00BB714C">
        <w:t xml:space="preserve"> ZD</w:t>
      </w:r>
      <w:r w:rsidR="00430172">
        <w:t>avP-2.</w:t>
      </w:r>
      <w:r>
        <w:t xml:space="preserve"> </w:t>
      </w:r>
    </w:p>
    <w:p w14:paraId="051C08CE" w14:textId="77777777" w:rsidR="00BB714C" w:rsidRDefault="00BB714C" w:rsidP="00697F07">
      <w:pPr>
        <w:spacing w:after="240" w:line="260" w:lineRule="exact"/>
        <w:jc w:val="both"/>
      </w:pPr>
      <w:r>
        <w:t xml:space="preserve">Za zadevnega davčnega zavezanca se štejejo rezidenti in nerezidenti RS. </w:t>
      </w:r>
      <w:r w:rsidR="007705A3">
        <w:t>Z</w:t>
      </w:r>
      <w:r w:rsidR="00B6658F">
        <w:t>ad</w:t>
      </w:r>
      <w:r w:rsidR="00A57D78">
        <w:t>evni davčni zaveza</w:t>
      </w:r>
      <w:r w:rsidR="00B6658F">
        <w:t>n</w:t>
      </w:r>
      <w:r w:rsidR="00A57D78">
        <w:t>e</w:t>
      </w:r>
      <w:r w:rsidR="00B6658F">
        <w:t xml:space="preserve">c pomeni udeleženca v aranžmaju, ki </w:t>
      </w:r>
      <w:r w:rsidR="004516C4">
        <w:t>mu je čezmejni aranžma bil dan</w:t>
      </w:r>
      <w:r w:rsidR="00B6658F">
        <w:t xml:space="preserve"> na voljo za izvajanje ali ki je tak aranžma pripravljen izvajati oziroma je že izvedel njegov prvi del (13. točka </w:t>
      </w:r>
      <w:r w:rsidR="00577F4D">
        <w:t>243.a</w:t>
      </w:r>
      <w:r w:rsidR="00B6658F">
        <w:t xml:space="preserve"> člena ZDavP-2).</w:t>
      </w:r>
    </w:p>
    <w:p w14:paraId="1F8A6CAD" w14:textId="77777777" w:rsidR="008D2649" w:rsidRDefault="009F0E53" w:rsidP="00697F07">
      <w:pPr>
        <w:spacing w:after="240" w:line="260" w:lineRule="exact"/>
        <w:jc w:val="both"/>
      </w:pPr>
      <w:r>
        <w:t xml:space="preserve">Kot je že bilo pojasnjeno, </w:t>
      </w:r>
      <w:r w:rsidR="008D2649">
        <w:t xml:space="preserve">mora </w:t>
      </w:r>
      <w:r>
        <w:t xml:space="preserve">pri tržnih aranžmajih </w:t>
      </w:r>
      <w:r w:rsidR="008D2649">
        <w:t>v primeru sklicevanja na poklicno molčečnost posrednik javiti podatke o aranžmaju brez identi</w:t>
      </w:r>
      <w:r>
        <w:t>ficiranja podatkov o zavezancih;</w:t>
      </w:r>
      <w:r w:rsidR="008D2649">
        <w:t xml:space="preserve"> ko bo tak aranžma začel tržiti, pa bodo morali o njem poročati uporabniki sheme. </w:t>
      </w:r>
    </w:p>
    <w:p w14:paraId="1C77F846" w14:textId="77777777" w:rsidR="00102470" w:rsidRPr="007705A3" w:rsidRDefault="00720CF0" w:rsidP="00697F07">
      <w:pPr>
        <w:pStyle w:val="Naslov2"/>
      </w:pPr>
      <w:bookmarkStart w:id="19" w:name="_Toc75160004"/>
      <w:r w:rsidRPr="007705A3">
        <w:t>Poročanje, kadar je več posrednikov ali zadevnih zavezancev</w:t>
      </w:r>
      <w:bookmarkEnd w:id="19"/>
      <w:r w:rsidRPr="007705A3">
        <w:t xml:space="preserve"> </w:t>
      </w:r>
    </w:p>
    <w:p w14:paraId="417C5D96" w14:textId="77777777" w:rsidR="00E0185F" w:rsidRDefault="00E0185F" w:rsidP="00697F07">
      <w:pPr>
        <w:spacing w:line="260" w:lineRule="exact"/>
        <w:jc w:val="both"/>
        <w:rPr>
          <w:color w:val="000000" w:themeColor="text1"/>
        </w:rPr>
      </w:pPr>
    </w:p>
    <w:p w14:paraId="5B1F1A42" w14:textId="77777777" w:rsidR="0030284D" w:rsidRDefault="00430172" w:rsidP="00697F07">
      <w:pPr>
        <w:spacing w:line="260" w:lineRule="exact"/>
        <w:jc w:val="both"/>
        <w:rPr>
          <w:color w:val="000000" w:themeColor="text1"/>
        </w:rPr>
      </w:pPr>
      <w:r>
        <w:rPr>
          <w:color w:val="000000" w:themeColor="text1"/>
        </w:rPr>
        <w:t>Pravila poro</w:t>
      </w:r>
      <w:r w:rsidR="004516C4">
        <w:rPr>
          <w:color w:val="000000" w:themeColor="text1"/>
        </w:rPr>
        <w:t xml:space="preserve">čanja so določena v </w:t>
      </w:r>
      <w:r w:rsidR="00577F4D">
        <w:rPr>
          <w:color w:val="000000" w:themeColor="text1"/>
        </w:rPr>
        <w:t>255.t</w:t>
      </w:r>
      <w:r w:rsidR="003B7E21">
        <w:rPr>
          <w:color w:val="000000" w:themeColor="text1"/>
        </w:rPr>
        <w:t xml:space="preserve"> členu</w:t>
      </w:r>
      <w:r w:rsidR="003D0B40">
        <w:rPr>
          <w:color w:val="000000" w:themeColor="text1"/>
        </w:rPr>
        <w:t xml:space="preserve"> ZDavP-2</w:t>
      </w:r>
      <w:r w:rsidR="00B2020F">
        <w:rPr>
          <w:color w:val="000000" w:themeColor="text1"/>
        </w:rPr>
        <w:t>. Pravila preprečujejo dvojno poročanje in na drugi strani preprečujejo vrzeli v poročanju.</w:t>
      </w:r>
      <w:r w:rsidR="003B7E21">
        <w:rPr>
          <w:color w:val="000000" w:themeColor="text1"/>
        </w:rPr>
        <w:t xml:space="preserve"> </w:t>
      </w:r>
      <w:r w:rsidR="0030284D" w:rsidRPr="00B947B8">
        <w:rPr>
          <w:color w:val="000000" w:themeColor="text1"/>
        </w:rPr>
        <w:t>Če je posrednikov več, morajo</w:t>
      </w:r>
      <w:r>
        <w:rPr>
          <w:color w:val="000000" w:themeColor="text1"/>
        </w:rPr>
        <w:t xml:space="preserve"> podatke </w:t>
      </w:r>
      <w:r w:rsidR="0030284D">
        <w:rPr>
          <w:color w:val="000000" w:themeColor="text1"/>
        </w:rPr>
        <w:t xml:space="preserve">o </w:t>
      </w:r>
      <w:r w:rsidR="0030284D" w:rsidRPr="00B947B8">
        <w:rPr>
          <w:color w:val="000000" w:themeColor="text1"/>
        </w:rPr>
        <w:t>čezmejnem aran</w:t>
      </w:r>
      <w:r w:rsidR="0030284D">
        <w:rPr>
          <w:color w:val="000000" w:themeColor="text1"/>
        </w:rPr>
        <w:t>žmaju, o katerem se poroča,</w:t>
      </w:r>
      <w:r>
        <w:rPr>
          <w:color w:val="000000" w:themeColor="text1"/>
        </w:rPr>
        <w:t xml:space="preserve"> predložiti</w:t>
      </w:r>
      <w:r w:rsidR="0030284D">
        <w:rPr>
          <w:color w:val="000000" w:themeColor="text1"/>
        </w:rPr>
        <w:t xml:space="preserve"> </w:t>
      </w:r>
      <w:r w:rsidR="0030284D" w:rsidRPr="00430172">
        <w:rPr>
          <w:color w:val="000000" w:themeColor="text1"/>
        </w:rPr>
        <w:t>vsi posredniki, ki so vključeni v isti čezmejni aranžma</w:t>
      </w:r>
      <w:r w:rsidR="003B7E21">
        <w:rPr>
          <w:color w:val="000000" w:themeColor="text1"/>
        </w:rPr>
        <w:t xml:space="preserve">. </w:t>
      </w:r>
      <w:r w:rsidR="0030284D" w:rsidRPr="00B947B8">
        <w:rPr>
          <w:color w:val="000000" w:themeColor="text1"/>
        </w:rPr>
        <w:t xml:space="preserve">Posrednik je </w:t>
      </w:r>
      <w:r w:rsidR="0030284D" w:rsidRPr="00720CF0">
        <w:rPr>
          <w:color w:val="000000" w:themeColor="text1"/>
        </w:rPr>
        <w:t xml:space="preserve">oproščen </w:t>
      </w:r>
      <w:r w:rsidR="0030284D" w:rsidRPr="00B947B8">
        <w:rPr>
          <w:color w:val="000000" w:themeColor="text1"/>
        </w:rPr>
        <w:t>pr</w:t>
      </w:r>
      <w:r w:rsidR="0030284D">
        <w:rPr>
          <w:color w:val="000000" w:themeColor="text1"/>
        </w:rPr>
        <w:t xml:space="preserve">edložitve podatkov le, če lahko </w:t>
      </w:r>
      <w:r w:rsidR="0030284D" w:rsidRPr="00B947B8">
        <w:rPr>
          <w:color w:val="000000" w:themeColor="text1"/>
        </w:rPr>
        <w:t>dokaže, da je iste p</w:t>
      </w:r>
      <w:r w:rsidR="004516C4">
        <w:rPr>
          <w:color w:val="000000" w:themeColor="text1"/>
        </w:rPr>
        <w:t xml:space="preserve">odatke iz prvega odstavka </w:t>
      </w:r>
      <w:r w:rsidR="00577F4D">
        <w:rPr>
          <w:color w:val="000000" w:themeColor="text1"/>
        </w:rPr>
        <w:t>248.c</w:t>
      </w:r>
      <w:r w:rsidR="0030284D">
        <w:rPr>
          <w:color w:val="000000" w:themeColor="text1"/>
        </w:rPr>
        <w:t xml:space="preserve"> </w:t>
      </w:r>
      <w:r w:rsidR="0030284D" w:rsidRPr="00B947B8">
        <w:rPr>
          <w:color w:val="000000" w:themeColor="text1"/>
        </w:rPr>
        <w:t xml:space="preserve">člena </w:t>
      </w:r>
      <w:r w:rsidR="003D0B40">
        <w:rPr>
          <w:color w:val="000000" w:themeColor="text1"/>
        </w:rPr>
        <w:t>ZDavP-2</w:t>
      </w:r>
      <w:r w:rsidR="0030284D" w:rsidRPr="00B947B8">
        <w:rPr>
          <w:color w:val="000000" w:themeColor="text1"/>
        </w:rPr>
        <w:t xml:space="preserve"> že predložil drug posrednik.</w:t>
      </w:r>
      <w:r w:rsidR="003066FC">
        <w:rPr>
          <w:color w:val="000000" w:themeColor="text1"/>
        </w:rPr>
        <w:t xml:space="preserve"> Kot dokaz lahko uporabi katerokoli dokazno sredstvo in uporabi katerikoli dokaz</w:t>
      </w:r>
      <w:r w:rsidR="00FC64B8">
        <w:rPr>
          <w:color w:val="000000" w:themeColor="text1"/>
        </w:rPr>
        <w:t>.</w:t>
      </w:r>
    </w:p>
    <w:p w14:paraId="533F3CDA" w14:textId="77777777" w:rsidR="0030284D" w:rsidRDefault="0030284D" w:rsidP="00697F07">
      <w:pPr>
        <w:spacing w:line="260" w:lineRule="exact"/>
        <w:jc w:val="both"/>
        <w:rPr>
          <w:color w:val="000000" w:themeColor="text1"/>
        </w:rPr>
      </w:pPr>
    </w:p>
    <w:p w14:paraId="3C0E6018" w14:textId="77777777" w:rsidR="0030284D" w:rsidRDefault="0030284D" w:rsidP="00697F07">
      <w:pPr>
        <w:spacing w:line="260" w:lineRule="exact"/>
        <w:jc w:val="both"/>
        <w:rPr>
          <w:color w:val="000000" w:themeColor="text1"/>
        </w:rPr>
      </w:pPr>
      <w:r>
        <w:rPr>
          <w:color w:val="000000" w:themeColor="text1"/>
        </w:rPr>
        <w:t xml:space="preserve">Če pa je k </w:t>
      </w:r>
      <w:r w:rsidRPr="00B947B8">
        <w:rPr>
          <w:color w:val="000000" w:themeColor="text1"/>
        </w:rPr>
        <w:t>poročanju</w:t>
      </w:r>
      <w:r>
        <w:rPr>
          <w:color w:val="000000" w:themeColor="text1"/>
        </w:rPr>
        <w:t xml:space="preserve"> zavezanih več zadevnih davčnih </w:t>
      </w:r>
      <w:r w:rsidRPr="00B947B8">
        <w:rPr>
          <w:color w:val="000000" w:themeColor="text1"/>
        </w:rPr>
        <w:t>zavezancev, pr</w:t>
      </w:r>
      <w:r>
        <w:rPr>
          <w:color w:val="000000" w:themeColor="text1"/>
        </w:rPr>
        <w:t>edloži</w:t>
      </w:r>
      <w:r>
        <w:rPr>
          <w:b/>
          <w:color w:val="000000" w:themeColor="text1"/>
        </w:rPr>
        <w:t xml:space="preserve"> </w:t>
      </w:r>
      <w:r>
        <w:rPr>
          <w:color w:val="000000" w:themeColor="text1"/>
        </w:rPr>
        <w:t xml:space="preserve">podatke </w:t>
      </w:r>
      <w:r w:rsidRPr="00234FE5">
        <w:rPr>
          <w:color w:val="000000" w:themeColor="text1"/>
        </w:rPr>
        <w:t>prvi zadevni davčni zavezanec</w:t>
      </w:r>
      <w:r w:rsidR="003B7E21">
        <w:rPr>
          <w:color w:val="000000" w:themeColor="text1"/>
        </w:rPr>
        <w:t>, ki se je s posrednikom o čezmejnem aranžmaju dogovoril oziroma, k</w:t>
      </w:r>
      <w:r w:rsidR="00A57D78">
        <w:rPr>
          <w:color w:val="000000" w:themeColor="text1"/>
        </w:rPr>
        <w:t>i izvajanje aranžmaja upravlja.</w:t>
      </w:r>
      <w:r w:rsidR="003B7E21">
        <w:rPr>
          <w:color w:val="000000" w:themeColor="text1"/>
        </w:rPr>
        <w:t xml:space="preserve"> </w:t>
      </w:r>
      <w:r>
        <w:rPr>
          <w:color w:val="000000" w:themeColor="text1"/>
        </w:rPr>
        <w:t xml:space="preserve">Zadevni davčni zavezanec je oproščen predložitve </w:t>
      </w:r>
      <w:r w:rsidRPr="00234FE5">
        <w:rPr>
          <w:color w:val="000000" w:themeColor="text1"/>
        </w:rPr>
        <w:t>podatkov le, če lahk</w:t>
      </w:r>
      <w:r>
        <w:rPr>
          <w:color w:val="000000" w:themeColor="text1"/>
        </w:rPr>
        <w:t xml:space="preserve">o dokaže, da je iste podatke iz </w:t>
      </w:r>
      <w:r w:rsidRPr="00234FE5">
        <w:rPr>
          <w:color w:val="000000" w:themeColor="text1"/>
        </w:rPr>
        <w:t xml:space="preserve">prvega odstavka </w:t>
      </w:r>
      <w:r w:rsidR="00577F4D">
        <w:rPr>
          <w:color w:val="000000" w:themeColor="text1"/>
        </w:rPr>
        <w:t>248.c</w:t>
      </w:r>
      <w:r>
        <w:rPr>
          <w:color w:val="000000" w:themeColor="text1"/>
        </w:rPr>
        <w:t xml:space="preserve"> člena </w:t>
      </w:r>
      <w:r w:rsidR="003D0B40">
        <w:rPr>
          <w:color w:val="000000" w:themeColor="text1"/>
        </w:rPr>
        <w:t>ZDavP-2</w:t>
      </w:r>
      <w:r>
        <w:rPr>
          <w:color w:val="000000" w:themeColor="text1"/>
        </w:rPr>
        <w:t xml:space="preserve"> že predložil </w:t>
      </w:r>
      <w:r w:rsidRPr="00234FE5">
        <w:rPr>
          <w:color w:val="000000" w:themeColor="text1"/>
        </w:rPr>
        <w:t>drug zadevni davčni zavezanec.</w:t>
      </w:r>
    </w:p>
    <w:p w14:paraId="0E895DF3" w14:textId="77777777" w:rsidR="009133F9" w:rsidRDefault="009133F9" w:rsidP="00697F07">
      <w:pPr>
        <w:spacing w:line="260" w:lineRule="exact"/>
        <w:jc w:val="both"/>
        <w:rPr>
          <w:color w:val="000000" w:themeColor="text1"/>
        </w:rPr>
      </w:pPr>
    </w:p>
    <w:p w14:paraId="46E5F5F7" w14:textId="77777777" w:rsidR="009133F9" w:rsidRPr="00234FE5" w:rsidRDefault="009133F9" w:rsidP="00697F07">
      <w:pPr>
        <w:spacing w:line="260" w:lineRule="exact"/>
        <w:jc w:val="both"/>
        <w:rPr>
          <w:color w:val="000000" w:themeColor="text1"/>
        </w:rPr>
      </w:pPr>
      <w:r w:rsidRPr="000135A6">
        <w:rPr>
          <w:rFonts w:cs="Arial"/>
          <w:noProof/>
          <w:color w:val="000000" w:themeColor="text1"/>
          <w:szCs w:val="20"/>
        </w:rPr>
        <w:t xml:space="preserve">Davčni zavezanec bo predložil podatke slovenskemu pristojnemu organu takrat, kadar bo </w:t>
      </w:r>
      <w:r w:rsidRPr="000135A6">
        <w:rPr>
          <w:rFonts w:cs="Arial"/>
          <w:i/>
          <w:noProof/>
          <w:color w:val="000000" w:themeColor="text1"/>
          <w:szCs w:val="20"/>
        </w:rPr>
        <w:t>nexus</w:t>
      </w:r>
      <w:r w:rsidRPr="000135A6">
        <w:rPr>
          <w:rFonts w:cs="Arial"/>
          <w:noProof/>
          <w:color w:val="000000" w:themeColor="text1"/>
          <w:szCs w:val="20"/>
        </w:rPr>
        <w:t xml:space="preserve"> v Sloveniji najmočnejši</w:t>
      </w:r>
      <w:r w:rsidR="00247F2A">
        <w:rPr>
          <w:rFonts w:cs="Arial"/>
          <w:noProof/>
          <w:color w:val="000000" w:themeColor="text1"/>
          <w:szCs w:val="20"/>
        </w:rPr>
        <w:t>.</w:t>
      </w:r>
    </w:p>
    <w:p w14:paraId="7F19D187" w14:textId="77777777" w:rsidR="0030284D" w:rsidRPr="00FA5128" w:rsidRDefault="0030284D" w:rsidP="00697F07">
      <w:pPr>
        <w:spacing w:line="260" w:lineRule="exact"/>
        <w:jc w:val="both"/>
        <w:rPr>
          <w:color w:val="000000" w:themeColor="text1"/>
        </w:rPr>
      </w:pPr>
    </w:p>
    <w:p w14:paraId="1C882F37" w14:textId="77777777" w:rsidR="0030284D" w:rsidRDefault="0030284D" w:rsidP="00697F07">
      <w:pPr>
        <w:spacing w:line="260" w:lineRule="exact"/>
        <w:jc w:val="both"/>
        <w:rPr>
          <w:color w:val="000000" w:themeColor="text1"/>
        </w:rPr>
      </w:pPr>
      <w:r w:rsidRPr="00680F12">
        <w:rPr>
          <w:color w:val="000000" w:themeColor="text1"/>
        </w:rPr>
        <w:t>Vsak zadevni dav</w:t>
      </w:r>
      <w:r w:rsidRPr="00680F12">
        <w:rPr>
          <w:rFonts w:hint="eastAsia"/>
          <w:color w:val="000000" w:themeColor="text1"/>
        </w:rPr>
        <w:t>č</w:t>
      </w:r>
      <w:r w:rsidRPr="00680F12">
        <w:rPr>
          <w:color w:val="000000" w:themeColor="text1"/>
        </w:rPr>
        <w:t xml:space="preserve">ni zavezanec na podlagi četrtega odstavka </w:t>
      </w:r>
      <w:r w:rsidR="00577F4D">
        <w:rPr>
          <w:color w:val="000000" w:themeColor="text1"/>
        </w:rPr>
        <w:t>255.t</w:t>
      </w:r>
      <w:r w:rsidRPr="00680F12">
        <w:rPr>
          <w:color w:val="000000" w:themeColor="text1"/>
        </w:rPr>
        <w:t xml:space="preserve"> člena ZDavP-2 podatke o uporabi aran</w:t>
      </w:r>
      <w:r w:rsidRPr="00680F12">
        <w:rPr>
          <w:rFonts w:hint="eastAsia"/>
          <w:color w:val="000000" w:themeColor="text1"/>
        </w:rPr>
        <w:t>ž</w:t>
      </w:r>
      <w:r w:rsidRPr="00680F12">
        <w:rPr>
          <w:color w:val="000000" w:themeColor="text1"/>
        </w:rPr>
        <w:t>maja posreduje dav</w:t>
      </w:r>
      <w:r w:rsidRPr="00680F12">
        <w:rPr>
          <w:rFonts w:hint="eastAsia"/>
          <w:color w:val="000000" w:themeColor="text1"/>
        </w:rPr>
        <w:t>č</w:t>
      </w:r>
      <w:r w:rsidRPr="00680F12">
        <w:rPr>
          <w:color w:val="000000" w:themeColor="text1"/>
        </w:rPr>
        <w:t>nemu organu vsako leto, za katero ga uporablja.</w:t>
      </w:r>
    </w:p>
    <w:p w14:paraId="2F881E88" w14:textId="77777777" w:rsidR="00702CDB" w:rsidRPr="00454BF6" w:rsidRDefault="00702CDB" w:rsidP="00697F07">
      <w:pPr>
        <w:pStyle w:val="Naslov2"/>
        <w:rPr>
          <w:rStyle w:val="Naslov2Znak"/>
          <w:b/>
          <w:bCs/>
          <w:iCs/>
        </w:rPr>
      </w:pPr>
      <w:bookmarkStart w:id="20" w:name="_Toc26529053"/>
      <w:bookmarkStart w:id="21" w:name="_Toc75160005"/>
      <w:r w:rsidRPr="00454BF6">
        <w:rPr>
          <w:rStyle w:val="Naslov2Znak"/>
          <w:b/>
          <w:bCs/>
          <w:iCs/>
        </w:rPr>
        <w:t>Primeri: pravila poročanja</w:t>
      </w:r>
      <w:bookmarkEnd w:id="20"/>
      <w:bookmarkEnd w:id="21"/>
      <w:r w:rsidRPr="00454BF6">
        <w:rPr>
          <w:rStyle w:val="Naslov2Znak"/>
          <w:b/>
          <w:bCs/>
          <w:iCs/>
        </w:rPr>
        <w:t xml:space="preserve"> </w:t>
      </w:r>
    </w:p>
    <w:p w14:paraId="1408212C" w14:textId="77777777" w:rsidR="009F0E53" w:rsidRPr="009F0E53" w:rsidRDefault="009F0E53" w:rsidP="00697F07">
      <w:pPr>
        <w:pStyle w:val="Odstavekseznama"/>
        <w:spacing w:after="240" w:line="260" w:lineRule="exact"/>
        <w:ind w:left="0"/>
        <w:jc w:val="both"/>
      </w:pPr>
    </w:p>
    <w:p w14:paraId="16ED5FB1" w14:textId="77777777" w:rsidR="00454BF6" w:rsidRPr="00454BF6" w:rsidRDefault="00454BF6" w:rsidP="00697F07">
      <w:pPr>
        <w:pStyle w:val="Odstavekseznama"/>
        <w:numPr>
          <w:ilvl w:val="0"/>
          <w:numId w:val="25"/>
        </w:numPr>
        <w:spacing w:after="240" w:line="260" w:lineRule="exact"/>
        <w:ind w:left="709" w:hanging="425"/>
        <w:jc w:val="both"/>
        <w:rPr>
          <w:i/>
        </w:rPr>
      </w:pPr>
      <w:r w:rsidRPr="00454BF6">
        <w:rPr>
          <w:i/>
        </w:rPr>
        <w:t>Ali se finančne institucije, ki po interni politiki ne dajejo davčnih svetovalnih storitev, štejejo kot subjekt, ki ima pri svojem rednem poslovanju zadostne informacije in dovolj znanja in s tem izpolnjuje kriterije za vlogo service providerja?</w:t>
      </w:r>
    </w:p>
    <w:p w14:paraId="2B7CC073" w14:textId="77777777" w:rsidR="00454BF6" w:rsidRDefault="00454BF6" w:rsidP="00697F07">
      <w:pPr>
        <w:pStyle w:val="Odstavekseznama"/>
        <w:spacing w:after="240" w:line="260" w:lineRule="exact"/>
        <w:ind w:left="709"/>
        <w:jc w:val="both"/>
      </w:pPr>
    </w:p>
    <w:p w14:paraId="6BEFC9A0" w14:textId="77777777" w:rsidR="009F0E53" w:rsidRPr="009F0E53" w:rsidRDefault="009F0E53" w:rsidP="00697F07">
      <w:pPr>
        <w:pStyle w:val="Odstavekseznama"/>
        <w:spacing w:after="240" w:line="260" w:lineRule="exact"/>
        <w:ind w:left="709"/>
        <w:jc w:val="both"/>
      </w:pPr>
      <w:r w:rsidRPr="009F0E53">
        <w:t xml:space="preserve">Ko so posredniki </w:t>
      </w:r>
      <w:r w:rsidR="00454BF6">
        <w:t>finančne institucije ozi</w:t>
      </w:r>
      <w:r w:rsidR="00F44E37">
        <w:t xml:space="preserve">roma </w:t>
      </w:r>
      <w:r w:rsidR="00AD6130">
        <w:t>banke,</w:t>
      </w:r>
      <w:r w:rsidRPr="009F0E53">
        <w:t xml:space="preserve"> velja, da kadar te opravljajo rutinske storitve in transakcije, takrat ne u</w:t>
      </w:r>
      <w:r w:rsidR="00767044">
        <w:t xml:space="preserve">strezajo definiciji posrednika. Kljub temu </w:t>
      </w:r>
      <w:r w:rsidRPr="009F0E53">
        <w:t xml:space="preserve">pa jih ni mogoče vnaprej kategorično izključiti iz definicije, saj je </w:t>
      </w:r>
      <w:r w:rsidR="00767044">
        <w:t>ta vezana na vlogo v aranžmaju (</w:t>
      </w:r>
      <w:r w:rsidRPr="009F0E53">
        <w:t>torej na vsebinske pogoje, kdaj se nekdo šteje za posrednika</w:t>
      </w:r>
      <w:r w:rsidR="00767044">
        <w:t>) in ne</w:t>
      </w:r>
      <w:r w:rsidRPr="009F0E53">
        <w:t xml:space="preserve"> na pravno-organizacijsko obliko ali dejavnost subjekta. Pri presoji se mora uporabiti pravni standard iz drugega odstavka </w:t>
      </w:r>
      <w:r w:rsidR="00577F4D">
        <w:t>255.o</w:t>
      </w:r>
      <w:r w:rsidRPr="009F0E53">
        <w:t xml:space="preserve"> člena ZDavP-2. Na primer: od nekega bančnega uslužbenca, ki izvaja standardna rutinska opravila, se ne pričakuje, da bi poznal vse relevantne okoliščine in informacije v zvezi z aranžmajem, niti se ne pričakuje, da ima zadostno ekspertno znanje, da bi lahko v teh okoliščinah prepoznal, da gre za aranžma, zato po vsebinskem preizkusu ne bi bil zajet v definiciji. Nasprotno pa se pri izvajanju kompleksnejših transakcij, storitev ali pogodb, ki jih tudi izvajajo banke, lahko pojavijo znani riziki, o teh pa je banka dolžna poročati, če prepozna</w:t>
      </w:r>
      <w:r w:rsidR="00AF23AF">
        <w:t>,</w:t>
      </w:r>
      <w:r w:rsidRPr="009F0E53">
        <w:t xml:space="preserve"> da </w:t>
      </w:r>
      <w:r w:rsidRPr="009F0E53">
        <w:lastRenderedPageBreak/>
        <w:t>gre v transakciji za aranžma. Pri zahtevnejših storitvah, ki po naravi predpostavljajo individualno obravnavo stranke, se taki riziki, ki predstavljajo prepoznav</w:t>
      </w:r>
      <w:r w:rsidR="000D0744">
        <w:t>ne značilnosti, lahko odkrijejo.</w:t>
      </w:r>
    </w:p>
    <w:p w14:paraId="6916F4C3" w14:textId="77777777" w:rsidR="009F0E53" w:rsidRPr="009F0E53" w:rsidRDefault="009F0E53" w:rsidP="00697F07">
      <w:pPr>
        <w:pStyle w:val="Odstavekseznama"/>
        <w:spacing w:after="240" w:line="260" w:lineRule="exact"/>
        <w:ind w:left="1004"/>
        <w:jc w:val="both"/>
      </w:pPr>
    </w:p>
    <w:p w14:paraId="30B8BD93" w14:textId="77777777" w:rsidR="009F0E53" w:rsidRPr="00336676" w:rsidRDefault="009F0E53" w:rsidP="00697F07">
      <w:pPr>
        <w:pStyle w:val="Odstavekseznama"/>
        <w:numPr>
          <w:ilvl w:val="0"/>
          <w:numId w:val="25"/>
        </w:numPr>
        <w:spacing w:after="240" w:line="260" w:lineRule="exact"/>
        <w:ind w:left="709" w:hanging="425"/>
        <w:jc w:val="both"/>
        <w:rPr>
          <w:i/>
        </w:rPr>
      </w:pPr>
      <w:r w:rsidRPr="00336676">
        <w:rPr>
          <w:i/>
        </w:rPr>
        <w:t>Davčna ekipa znotraj mednarodne skupine podjetij analizira čezmejni aranžma, pri čemer se v analizo vključi zunanji izvajalec storitev davčnega svetovanja</w:t>
      </w:r>
      <w:r w:rsidR="00F44E37" w:rsidRPr="00336676">
        <w:rPr>
          <w:i/>
        </w:rPr>
        <w:t>.</w:t>
      </w:r>
      <w:r w:rsidRPr="00336676">
        <w:rPr>
          <w:i/>
        </w:rPr>
        <w:t xml:space="preserve"> </w:t>
      </w:r>
      <w:r w:rsidR="00AF23AF">
        <w:rPr>
          <w:i/>
        </w:rPr>
        <w:t>Ali mor</w:t>
      </w:r>
      <w:r w:rsidR="00F44E37" w:rsidRPr="00336676">
        <w:rPr>
          <w:i/>
        </w:rPr>
        <w:t>a n</w:t>
      </w:r>
      <w:r w:rsidRPr="00336676">
        <w:rPr>
          <w:i/>
        </w:rPr>
        <w:t xml:space="preserve">a podlagi drugega odstavka </w:t>
      </w:r>
      <w:r w:rsidR="00577F4D">
        <w:rPr>
          <w:i/>
        </w:rPr>
        <w:t>255.o</w:t>
      </w:r>
      <w:r w:rsidRPr="00336676">
        <w:rPr>
          <w:i/>
        </w:rPr>
        <w:t xml:space="preserve"> člena ZDavP-2 zunanji izvajalec poročati o čezmejnem aranžmaju, čeprav aranžma še ni pripravljen za izvedbo, niti na voljo za izvedbo in tudi prvi korak ni bil storjen</w:t>
      </w:r>
      <w:r w:rsidR="00F44E37" w:rsidRPr="00336676">
        <w:rPr>
          <w:i/>
        </w:rPr>
        <w:t>?</w:t>
      </w:r>
      <w:r w:rsidRPr="00336676">
        <w:rPr>
          <w:i/>
        </w:rPr>
        <w:t xml:space="preserve"> </w:t>
      </w:r>
    </w:p>
    <w:p w14:paraId="3A4D76FC" w14:textId="77777777" w:rsidR="00F44E37" w:rsidRPr="00336676" w:rsidRDefault="00F44E37" w:rsidP="00697F07">
      <w:pPr>
        <w:pStyle w:val="Odstavekseznama"/>
        <w:spacing w:after="240" w:line="260" w:lineRule="exact"/>
        <w:ind w:left="1364"/>
        <w:jc w:val="both"/>
        <w:rPr>
          <w:i/>
        </w:rPr>
      </w:pPr>
    </w:p>
    <w:p w14:paraId="48DA7F6F" w14:textId="77777777" w:rsidR="009F0E53" w:rsidRPr="00336676" w:rsidRDefault="009F0E53" w:rsidP="00697F07">
      <w:pPr>
        <w:pStyle w:val="Odstavekseznama"/>
        <w:spacing w:after="240" w:line="260" w:lineRule="exact"/>
        <w:ind w:left="709"/>
        <w:jc w:val="both"/>
        <w:rPr>
          <w:i/>
        </w:rPr>
      </w:pPr>
      <w:r w:rsidRPr="00336676">
        <w:rPr>
          <w:i/>
        </w:rPr>
        <w:t>Dejstva kažejo, da zunanji izvajalec storitev davčnega svetovanja lahko nima vseh informacij in celotne slike o aranžmaju. Poleg tega analizirani aranžma lahko ne bo nikdar izveden ali pa bo občutno spremenjen na podlagi naslednjih analiz in pred izvedbo. Dodatno je lahko poleg prvega zunanjega svetovalca vključenih še več ostalih zunanjih svetovalcev/posrednikov. Vsi ti izvajalci storitev bodo lahko oddali poročila z nepopolnimi in verjetno zavajajočimi informacijami o aranžmaju, pri čemer pa lahko naročnik (davčna ekipa znotraj mednarodnega podjetja) poroča o celem aranžmaju naknadno, ko bo aranžma pripravljen za izvedbo oziroma bo izveden prvi korak.</w:t>
      </w:r>
    </w:p>
    <w:p w14:paraId="01578FA8" w14:textId="77777777" w:rsidR="009F0E53" w:rsidRPr="009F0E53" w:rsidRDefault="009F0E53" w:rsidP="00697F07">
      <w:pPr>
        <w:pStyle w:val="Odstavekseznama"/>
        <w:spacing w:after="240" w:line="260" w:lineRule="exact"/>
        <w:ind w:left="284"/>
        <w:jc w:val="both"/>
      </w:pPr>
    </w:p>
    <w:p w14:paraId="172EDAB4" w14:textId="77777777" w:rsidR="009F0E53" w:rsidRPr="009F0E53" w:rsidRDefault="009F0E53" w:rsidP="00697F07">
      <w:pPr>
        <w:pStyle w:val="Odstavekseznama"/>
        <w:spacing w:after="240" w:line="260" w:lineRule="exact"/>
        <w:ind w:left="709"/>
        <w:jc w:val="both"/>
      </w:pPr>
      <w:r w:rsidRPr="009F0E53">
        <w:t>Najprej je potrebno</w:t>
      </w:r>
      <w:r w:rsidR="00B70B06">
        <w:t xml:space="preserve"> pojasniti, da se o aranžmaju</w:t>
      </w:r>
      <w:r w:rsidRPr="009F0E53">
        <w:t xml:space="preserve"> poroča takrat, ko je ta zasnovan v zadostni meri, da se lahko uporablja. V tem kontekstu se torej ne poročajo »ideje«, temveč zaključene »rešitve«.</w:t>
      </w:r>
    </w:p>
    <w:p w14:paraId="7B88E77B" w14:textId="77777777" w:rsidR="009F0E53" w:rsidRPr="009F0E53" w:rsidRDefault="009F0E53" w:rsidP="00697F07">
      <w:pPr>
        <w:pStyle w:val="Odstavekseznama"/>
        <w:spacing w:after="240" w:line="260" w:lineRule="exact"/>
        <w:ind w:left="709"/>
        <w:jc w:val="both"/>
      </w:pPr>
    </w:p>
    <w:p w14:paraId="4E2558F3" w14:textId="77777777" w:rsidR="009F0E53" w:rsidRPr="009F0E53" w:rsidRDefault="00A57D78" w:rsidP="00697F07">
      <w:pPr>
        <w:pStyle w:val="Odstavekseznama"/>
        <w:spacing w:after="240" w:line="260" w:lineRule="exact"/>
        <w:ind w:left="709"/>
        <w:jc w:val="both"/>
      </w:pPr>
      <w:r>
        <w:t>V nasle</w:t>
      </w:r>
      <w:r w:rsidR="009F0E53" w:rsidRPr="009F0E53">
        <w:t>d</w:t>
      </w:r>
      <w:r>
        <w:t>n</w:t>
      </w:r>
      <w:r w:rsidR="009F0E53" w:rsidRPr="009F0E53">
        <w:t xml:space="preserve">jem koraku je potrebno upoštevati, da vsak od vključenih posrednikov posreduje tiste podatke, ki jih ima na razpolago. To pomeni, da bo v primeru, kot je opisan, v praksi potrebna določena stopnja sodelovanja med vsemi osebami, vključenimi v pripravo aranžmaja. </w:t>
      </w:r>
    </w:p>
    <w:p w14:paraId="09D23CDF" w14:textId="77777777" w:rsidR="009F0E53" w:rsidRPr="009F0E53" w:rsidRDefault="009F0E53" w:rsidP="00697F07">
      <w:pPr>
        <w:pStyle w:val="Odstavekseznama"/>
        <w:spacing w:after="240" w:line="260" w:lineRule="exact"/>
        <w:ind w:left="709"/>
        <w:jc w:val="both"/>
      </w:pPr>
    </w:p>
    <w:p w14:paraId="6175DB46" w14:textId="77777777" w:rsidR="009F0E53" w:rsidRPr="009F0E53" w:rsidRDefault="009F0E53" w:rsidP="00697F07">
      <w:pPr>
        <w:pStyle w:val="Odstavekseznama"/>
        <w:spacing w:after="240" w:line="260" w:lineRule="exact"/>
        <w:ind w:left="709"/>
        <w:jc w:val="both"/>
      </w:pPr>
      <w:r w:rsidRPr="009F0E53">
        <w:t xml:space="preserve">Določbe ZDavP-2 ne določajo možnosti predložitve dokazila, da bo o čezmejnem aranžmaju poročal davčni zavezanec sam namesto posrednika. Obstaja le možnost, da en posrednik poroča podatke o vseh posrednikih, zaradi česar nato drugim posrednikom ni potrebno pošiljati ločenih poročil. Zato na podlagi drugega odstavka </w:t>
      </w:r>
      <w:r w:rsidR="00577F4D">
        <w:t>255.o</w:t>
      </w:r>
      <w:r w:rsidRPr="009F0E53">
        <w:t xml:space="preserve"> člena ZDavP-2 v zgoraj navedenem primeru obstaja dolžnost poročanja s strani zunanjega izvajalca storitev davčnega svetovanja, v kolikor je izpolnjen vsaj en dodatni pogoj iz tretjega odstavka </w:t>
      </w:r>
      <w:r w:rsidR="00577F4D">
        <w:t>255.o</w:t>
      </w:r>
      <w:r w:rsidRPr="009F0E53">
        <w:t xml:space="preserve"> člena ZDavP-2.</w:t>
      </w:r>
    </w:p>
    <w:p w14:paraId="016A0957" w14:textId="77777777" w:rsidR="009F0E53" w:rsidRPr="00336676" w:rsidRDefault="009F0E53" w:rsidP="00697F07">
      <w:pPr>
        <w:pStyle w:val="Brezrazmikov"/>
        <w:numPr>
          <w:ilvl w:val="0"/>
          <w:numId w:val="25"/>
        </w:numPr>
        <w:spacing w:line="260" w:lineRule="exact"/>
        <w:ind w:left="709" w:hanging="425"/>
        <w:jc w:val="both"/>
        <w:rPr>
          <w:b w:val="0"/>
          <w:i/>
          <w:sz w:val="20"/>
        </w:rPr>
      </w:pPr>
      <w:r w:rsidRPr="00336676">
        <w:rPr>
          <w:b w:val="0"/>
          <w:i/>
          <w:sz w:val="20"/>
        </w:rPr>
        <w:t>Davčno svetovalna družba, ki je del skupine s svetovalnimi družbami v večjem številu držav, se z davčnim zavezancem dogovori, da bo pripravila okvirno študijo čezmejnega prestrukturiranja. Nekaj analiziranih alternativ</w:t>
      </w:r>
      <w:r w:rsidR="00886FCF">
        <w:rPr>
          <w:b w:val="0"/>
          <w:i/>
          <w:sz w:val="20"/>
        </w:rPr>
        <w:t xml:space="preserve"> ima</w:t>
      </w:r>
      <w:r w:rsidRPr="00336676">
        <w:rPr>
          <w:b w:val="0"/>
          <w:i/>
          <w:sz w:val="20"/>
        </w:rPr>
        <w:t xml:space="preserve"> elemente, ki bi morali biti poročani. Davčno svetovalna družba (glavna), ki ima dogovor z davčnim zavezancem, prosi za lokalno analizo ostale pisarne, ki so del skupine svetovalnih družb, v drugih državah. Za glavno davčno svetovalno družbo ta storitev ni predmet poročanja, saj analiza, ki jo dobi davčni zavezanec, ne dosega standardov »pripravljen za izvedbo« ali »na voljo za izvedbo« in ker prvi korak ni bil izveden. Ne glede na to na podlagi besedne razlage določb ZDavP-2 pomoč enega posrednika drugemu posredniku predstavlja razlog za poročanje. Ali je namen Direktive zajeti primere, ko se svetuje/pomaga davčnemu zavezancu in ne primerov pomoči enega posrednika drugemu posredniku? </w:t>
      </w:r>
    </w:p>
    <w:p w14:paraId="5BF4FA36" w14:textId="77777777" w:rsidR="009F0E53" w:rsidRPr="009F0E53" w:rsidRDefault="009F0E53" w:rsidP="00697F07">
      <w:pPr>
        <w:pStyle w:val="Brezrazmikov"/>
        <w:spacing w:line="260" w:lineRule="exact"/>
        <w:ind w:left="644"/>
        <w:jc w:val="both"/>
        <w:rPr>
          <w:b w:val="0"/>
          <w:sz w:val="20"/>
        </w:rPr>
      </w:pPr>
    </w:p>
    <w:p w14:paraId="602FDEE1" w14:textId="77777777" w:rsidR="009F0E53" w:rsidRPr="009F0E53" w:rsidRDefault="00336676" w:rsidP="00DE2CDD">
      <w:pPr>
        <w:pStyle w:val="Brezrazmikov"/>
        <w:spacing w:line="276" w:lineRule="auto"/>
        <w:ind w:left="709"/>
        <w:jc w:val="both"/>
        <w:rPr>
          <w:b w:val="0"/>
          <w:sz w:val="20"/>
        </w:rPr>
      </w:pPr>
      <w:r w:rsidRPr="00336676">
        <w:rPr>
          <w:b w:val="0"/>
          <w:sz w:val="20"/>
        </w:rPr>
        <w:t>Kot je bilo že omenjeno – poročajo se aranžmaji, ki so zasnovani v zadostni meri, da se lahko uporabljajo</w:t>
      </w:r>
      <w:r>
        <w:rPr>
          <w:b w:val="0"/>
          <w:sz w:val="20"/>
        </w:rPr>
        <w:t xml:space="preserve">. Ker se presoja celotni aranžma, ki v opisanem primeru vključuje več posrednikov, </w:t>
      </w:r>
      <w:r w:rsidR="00CD2723">
        <w:rPr>
          <w:b w:val="0"/>
          <w:sz w:val="20"/>
        </w:rPr>
        <w:t xml:space="preserve">se </w:t>
      </w:r>
      <w:r>
        <w:rPr>
          <w:b w:val="0"/>
          <w:sz w:val="20"/>
        </w:rPr>
        <w:t xml:space="preserve">posredniki, ki nudijo pomoč drugemu posredniku, </w:t>
      </w:r>
      <w:r w:rsidR="00CD2723">
        <w:rPr>
          <w:b w:val="0"/>
          <w:sz w:val="20"/>
        </w:rPr>
        <w:t xml:space="preserve">štejejo za service providerje po drugem in tretjem odstavku </w:t>
      </w:r>
      <w:r w:rsidR="00577F4D">
        <w:rPr>
          <w:b w:val="0"/>
          <w:sz w:val="20"/>
        </w:rPr>
        <w:t>255.o</w:t>
      </w:r>
      <w:r w:rsidR="009F0E53" w:rsidRPr="00CD2723">
        <w:rPr>
          <w:b w:val="0"/>
          <w:sz w:val="20"/>
        </w:rPr>
        <w:t xml:space="preserve"> člena</w:t>
      </w:r>
      <w:r w:rsidR="009F0E53" w:rsidRPr="009F0E53">
        <w:rPr>
          <w:b w:val="0"/>
          <w:sz w:val="20"/>
        </w:rPr>
        <w:t xml:space="preserve"> ZDavP-2</w:t>
      </w:r>
      <w:r w:rsidR="00963EF2">
        <w:rPr>
          <w:b w:val="0"/>
          <w:sz w:val="20"/>
        </w:rPr>
        <w:t xml:space="preserve">. </w:t>
      </w:r>
      <w:r w:rsidR="00CD2723">
        <w:rPr>
          <w:b w:val="0"/>
          <w:sz w:val="20"/>
        </w:rPr>
        <w:t>P</w:t>
      </w:r>
      <w:r w:rsidR="009F0E53" w:rsidRPr="009F0E53">
        <w:rPr>
          <w:b w:val="0"/>
          <w:sz w:val="20"/>
        </w:rPr>
        <w:t xml:space="preserve">omoč enega posrednika davčnemu zavezancu ali drugemu posredniku </w:t>
      </w:r>
      <w:r w:rsidR="00CD2723">
        <w:rPr>
          <w:b w:val="0"/>
          <w:sz w:val="20"/>
        </w:rPr>
        <w:t xml:space="preserve">je </w:t>
      </w:r>
      <w:r w:rsidR="009F0E53" w:rsidRPr="009F0E53">
        <w:rPr>
          <w:b w:val="0"/>
          <w:sz w:val="20"/>
        </w:rPr>
        <w:t>razlog za poročanje</w:t>
      </w:r>
      <w:r w:rsidR="00CD2723">
        <w:rPr>
          <w:b w:val="0"/>
          <w:sz w:val="20"/>
        </w:rPr>
        <w:t xml:space="preserve"> o čezmejnem aranžmaju</w:t>
      </w:r>
      <w:r w:rsidR="000D0744">
        <w:rPr>
          <w:b w:val="0"/>
          <w:sz w:val="20"/>
        </w:rPr>
        <w:t>.</w:t>
      </w:r>
      <w:r w:rsidR="00CD2723">
        <w:rPr>
          <w:b w:val="0"/>
          <w:sz w:val="20"/>
        </w:rPr>
        <w:t xml:space="preserve"> </w:t>
      </w:r>
      <w:r w:rsidR="009F0E53" w:rsidRPr="009F0E53">
        <w:rPr>
          <w:b w:val="0"/>
          <w:sz w:val="20"/>
        </w:rPr>
        <w:t xml:space="preserve"> </w:t>
      </w:r>
    </w:p>
    <w:p w14:paraId="27864D4F" w14:textId="77777777" w:rsidR="009F0E53" w:rsidRPr="009F0E53" w:rsidRDefault="009F0E53" w:rsidP="00697F07">
      <w:pPr>
        <w:pStyle w:val="Brezrazmikov"/>
        <w:spacing w:line="260" w:lineRule="exact"/>
        <w:ind w:left="284" w:hanging="284"/>
        <w:jc w:val="both"/>
        <w:rPr>
          <w:b w:val="0"/>
          <w:sz w:val="20"/>
        </w:rPr>
      </w:pPr>
    </w:p>
    <w:p w14:paraId="665094EE" w14:textId="77777777" w:rsidR="009F0E53" w:rsidRPr="00CD2723" w:rsidRDefault="009F0E53" w:rsidP="00697F07">
      <w:pPr>
        <w:pStyle w:val="Brezrazmikov"/>
        <w:numPr>
          <w:ilvl w:val="0"/>
          <w:numId w:val="25"/>
        </w:numPr>
        <w:spacing w:line="260" w:lineRule="exact"/>
        <w:ind w:left="709" w:hanging="425"/>
        <w:jc w:val="both"/>
        <w:rPr>
          <w:b w:val="0"/>
          <w:i/>
          <w:sz w:val="20"/>
        </w:rPr>
      </w:pPr>
      <w:r w:rsidRPr="00CD2723">
        <w:rPr>
          <w:b w:val="0"/>
          <w:i/>
          <w:sz w:val="20"/>
        </w:rPr>
        <w:t xml:space="preserve">Mednarodna skupina podjetij z družbami v državah po svetu zaposluje davčne strokovnjake, ki pripravljajo, analizirajo in izvajajo čezmejne aranžmaje. Ti so zaposleni v posebni družbi znotraj skupine, ki opravlja storitve za povezane osebe in hkrati sama ni del aranžmaja. Ali je ta </w:t>
      </w:r>
      <w:r w:rsidRPr="00CD2723">
        <w:rPr>
          <w:b w:val="0"/>
          <w:i/>
          <w:sz w:val="20"/>
        </w:rPr>
        <w:lastRenderedPageBreak/>
        <w:t>posebna družba znotraj skupine potencialn</w:t>
      </w:r>
      <w:r w:rsidR="006B0A36">
        <w:rPr>
          <w:b w:val="0"/>
          <w:i/>
          <w:sz w:val="20"/>
        </w:rPr>
        <w:t>o</w:t>
      </w:r>
      <w:r w:rsidRPr="00CD2723">
        <w:rPr>
          <w:b w:val="0"/>
          <w:i/>
          <w:sz w:val="20"/>
        </w:rPr>
        <w:t xml:space="preserve"> davčni zavezanec (če je aranžma dan na voljo za izvedbo), posrednik, ali oboje?</w:t>
      </w:r>
    </w:p>
    <w:p w14:paraId="3C6E685F" w14:textId="77777777" w:rsidR="009F0E53" w:rsidRPr="009F0E53" w:rsidRDefault="009F0E53" w:rsidP="00697F07">
      <w:pPr>
        <w:pStyle w:val="Brezrazmikov"/>
        <w:spacing w:line="260" w:lineRule="exact"/>
        <w:ind w:left="644"/>
        <w:jc w:val="both"/>
        <w:rPr>
          <w:b w:val="0"/>
          <w:sz w:val="20"/>
        </w:rPr>
      </w:pPr>
    </w:p>
    <w:p w14:paraId="72A6CC4A" w14:textId="77777777" w:rsidR="009F0E53" w:rsidRPr="009F0E53" w:rsidRDefault="00CD2723" w:rsidP="00697F07">
      <w:pPr>
        <w:pStyle w:val="Brezrazmikov"/>
        <w:spacing w:line="260" w:lineRule="exact"/>
        <w:ind w:left="709"/>
        <w:jc w:val="both"/>
        <w:rPr>
          <w:b w:val="0"/>
          <w:sz w:val="20"/>
        </w:rPr>
      </w:pPr>
      <w:r w:rsidRPr="00CD2723">
        <w:rPr>
          <w:b w:val="0"/>
          <w:sz w:val="20"/>
        </w:rPr>
        <w:t>Na</w:t>
      </w:r>
      <w:r w:rsidR="009F0E53" w:rsidRPr="00CD2723">
        <w:rPr>
          <w:b w:val="0"/>
          <w:sz w:val="20"/>
        </w:rPr>
        <w:t xml:space="preserve"> podlagi prvega odstavka </w:t>
      </w:r>
      <w:r w:rsidR="00577F4D">
        <w:rPr>
          <w:b w:val="0"/>
          <w:sz w:val="20"/>
        </w:rPr>
        <w:t>255.o</w:t>
      </w:r>
      <w:r w:rsidR="009F0E53" w:rsidRPr="00CD2723">
        <w:rPr>
          <w:b w:val="0"/>
          <w:sz w:val="20"/>
        </w:rPr>
        <w:t xml:space="preserve"> člena ZDavP-2</w:t>
      </w:r>
      <w:r w:rsidR="009F0E53" w:rsidRPr="009F0E53">
        <w:rPr>
          <w:b w:val="0"/>
          <w:sz w:val="20"/>
        </w:rPr>
        <w:t xml:space="preserve"> je posebna družba posrednik v primerih, ko oblikuje, trži, organizira ali daje na voljo za uporabo čezmejni aranžma, o katerem se poroča, ali upravlja njegovo izvajanje in izpolnjuje vsaj enega od dodatnih pogojev iz tretjega odstavka </w:t>
      </w:r>
      <w:r w:rsidR="00577F4D">
        <w:rPr>
          <w:b w:val="0"/>
          <w:sz w:val="20"/>
        </w:rPr>
        <w:t>255.o</w:t>
      </w:r>
      <w:r w:rsidR="009F0E53" w:rsidRPr="009F0E53">
        <w:rPr>
          <w:b w:val="0"/>
          <w:sz w:val="20"/>
        </w:rPr>
        <w:t xml:space="preserve"> člena ZDavP-2. Kot zadevni davčni zavezanec bi se ta </w:t>
      </w:r>
      <w:r w:rsidR="00CA7ADC">
        <w:rPr>
          <w:b w:val="0"/>
          <w:sz w:val="20"/>
        </w:rPr>
        <w:t xml:space="preserve">posebna </w:t>
      </w:r>
      <w:r w:rsidR="009F0E53" w:rsidRPr="009F0E53">
        <w:rPr>
          <w:b w:val="0"/>
          <w:sz w:val="20"/>
        </w:rPr>
        <w:t xml:space="preserve">družba obravnavala, če bi bila </w:t>
      </w:r>
      <w:r w:rsidR="00CA7ADC">
        <w:rPr>
          <w:b w:val="0"/>
          <w:sz w:val="20"/>
        </w:rPr>
        <w:t xml:space="preserve">(1) uporabnica aranžmaja, ki jo je zadnjo oblikoval nek drug posrednik, </w:t>
      </w:r>
      <w:r w:rsidR="00434295">
        <w:rPr>
          <w:b w:val="0"/>
          <w:sz w:val="20"/>
        </w:rPr>
        <w:t xml:space="preserve">ali </w:t>
      </w:r>
      <w:r w:rsidR="00CA7ADC">
        <w:rPr>
          <w:b w:val="0"/>
          <w:sz w:val="20"/>
        </w:rPr>
        <w:t>(2) če bi šlo za t.i. »in-house« aranžma</w:t>
      </w:r>
      <w:r w:rsidR="00301FD1">
        <w:rPr>
          <w:b w:val="0"/>
          <w:sz w:val="20"/>
        </w:rPr>
        <w:t xml:space="preserve"> (kadar ni posrednika)</w:t>
      </w:r>
      <w:r w:rsidR="00CA7ADC">
        <w:rPr>
          <w:b w:val="0"/>
          <w:sz w:val="20"/>
        </w:rPr>
        <w:t xml:space="preserve">. V obeh primerih se posebna družba šteje za davčnega zavezanca takrat, kadar le-ta pridobi koristi iz aranžmaja. </w:t>
      </w:r>
      <w:r w:rsidR="00697F07">
        <w:rPr>
          <w:b w:val="0"/>
          <w:sz w:val="20"/>
        </w:rPr>
        <w:t xml:space="preserve"> </w:t>
      </w:r>
    </w:p>
    <w:p w14:paraId="03F8338A" w14:textId="77777777" w:rsidR="009F0E53" w:rsidRPr="009F0E53" w:rsidRDefault="009F0E53" w:rsidP="00697F07">
      <w:pPr>
        <w:pStyle w:val="Brezrazmikov"/>
        <w:spacing w:line="260" w:lineRule="exact"/>
        <w:ind w:left="284" w:hanging="284"/>
        <w:jc w:val="both"/>
        <w:rPr>
          <w:b w:val="0"/>
          <w:sz w:val="20"/>
        </w:rPr>
      </w:pPr>
    </w:p>
    <w:p w14:paraId="63DDE3F6" w14:textId="77777777" w:rsidR="009F0E53" w:rsidRPr="00CD2723" w:rsidRDefault="009F0E53" w:rsidP="00697F07">
      <w:pPr>
        <w:pStyle w:val="Brezrazmikov"/>
        <w:numPr>
          <w:ilvl w:val="0"/>
          <w:numId w:val="25"/>
        </w:numPr>
        <w:spacing w:line="260" w:lineRule="exact"/>
        <w:ind w:left="709" w:hanging="425"/>
        <w:jc w:val="both"/>
        <w:rPr>
          <w:b w:val="0"/>
          <w:i/>
          <w:sz w:val="20"/>
        </w:rPr>
      </w:pPr>
      <w:r w:rsidRPr="00CD2723">
        <w:rPr>
          <w:b w:val="0"/>
          <w:i/>
          <w:sz w:val="20"/>
        </w:rPr>
        <w:t>Ali so v primerih, ko davčni strokovnjaki mednarodne skupine podjetij prosijo za nasvet ali mnenje tudi zunanje davčne svetovalce, zunanji davčni svetovalci posredniki in to izključi obveznost poročanja davčnih strokovnja</w:t>
      </w:r>
      <w:r w:rsidR="00CD2723" w:rsidRPr="00CD2723">
        <w:rPr>
          <w:b w:val="0"/>
          <w:i/>
          <w:sz w:val="20"/>
        </w:rPr>
        <w:t>kov mednarodne skupine podjetij?</w:t>
      </w:r>
    </w:p>
    <w:p w14:paraId="527F425C" w14:textId="77777777" w:rsidR="009F0E53" w:rsidRPr="009F0E53" w:rsidRDefault="009F0E53" w:rsidP="00697F07">
      <w:pPr>
        <w:pStyle w:val="Brezrazmikov"/>
        <w:spacing w:line="260" w:lineRule="exact"/>
        <w:ind w:left="709" w:hanging="425"/>
        <w:jc w:val="both"/>
        <w:rPr>
          <w:b w:val="0"/>
          <w:sz w:val="20"/>
        </w:rPr>
      </w:pPr>
    </w:p>
    <w:p w14:paraId="7721B622" w14:textId="3922D5C3" w:rsidR="009F0E53" w:rsidRPr="009F0E53" w:rsidRDefault="00CD2723" w:rsidP="00697F07">
      <w:pPr>
        <w:pStyle w:val="Brezrazmikov"/>
        <w:spacing w:line="260" w:lineRule="exact"/>
        <w:ind w:left="709"/>
        <w:jc w:val="both"/>
        <w:rPr>
          <w:b w:val="0"/>
          <w:sz w:val="20"/>
        </w:rPr>
      </w:pPr>
      <w:r>
        <w:rPr>
          <w:b w:val="0"/>
          <w:sz w:val="20"/>
        </w:rPr>
        <w:t>Z</w:t>
      </w:r>
      <w:r w:rsidR="009F0E53" w:rsidRPr="009F0E53">
        <w:rPr>
          <w:b w:val="0"/>
          <w:sz w:val="20"/>
        </w:rPr>
        <w:t xml:space="preserve">unanji davčni svetovalci se štejejo za posrednike, v kolikor izpolnjujejo pogoje iz prvega ali drugega odstavka </w:t>
      </w:r>
      <w:r w:rsidR="00577F4D">
        <w:rPr>
          <w:b w:val="0"/>
          <w:sz w:val="20"/>
        </w:rPr>
        <w:t>255.o</w:t>
      </w:r>
      <w:r w:rsidR="009F0E53" w:rsidRPr="009F0E53">
        <w:rPr>
          <w:b w:val="0"/>
          <w:sz w:val="20"/>
        </w:rPr>
        <w:t xml:space="preserve"> člena ZDavP-2. V kolikor se zunanji davčni svetovalci štejejo za posrednike v skladu s prvim odstavkom </w:t>
      </w:r>
      <w:r w:rsidR="00577F4D">
        <w:rPr>
          <w:b w:val="0"/>
          <w:sz w:val="20"/>
        </w:rPr>
        <w:t>255.o</w:t>
      </w:r>
      <w:r w:rsidR="009F0E53" w:rsidRPr="009F0E53">
        <w:rPr>
          <w:b w:val="0"/>
          <w:sz w:val="20"/>
        </w:rPr>
        <w:t xml:space="preserve"> člena ZDavP-2, so davčni strokovnjaki mednarodne skupine podjetij izključeni od obveznosti poročanja le v primeru, če lahko dokažejo, da je iste podatke predložil že drug posrednik</w:t>
      </w:r>
      <w:r>
        <w:rPr>
          <w:b w:val="0"/>
          <w:sz w:val="20"/>
        </w:rPr>
        <w:t>, torej zunanji davčni svetovalec</w:t>
      </w:r>
      <w:r w:rsidR="009F0E53" w:rsidRPr="009F0E53">
        <w:rPr>
          <w:b w:val="0"/>
          <w:sz w:val="20"/>
        </w:rPr>
        <w:t xml:space="preserve"> (</w:t>
      </w:r>
      <w:r w:rsidR="00577F4D">
        <w:rPr>
          <w:b w:val="0"/>
          <w:sz w:val="20"/>
        </w:rPr>
        <w:t>255.t</w:t>
      </w:r>
      <w:r w:rsidR="009F0E53" w:rsidRPr="009F0E53">
        <w:rPr>
          <w:b w:val="0"/>
          <w:sz w:val="20"/>
        </w:rPr>
        <w:t xml:space="preserve"> člen ZDavP-2).</w:t>
      </w:r>
    </w:p>
    <w:p w14:paraId="63553A13" w14:textId="77777777" w:rsidR="009F0E53" w:rsidRPr="009F0E53" w:rsidRDefault="009F0E53" w:rsidP="00697F07">
      <w:pPr>
        <w:pStyle w:val="Brezrazmikov"/>
        <w:spacing w:line="260" w:lineRule="exact"/>
        <w:ind w:left="284" w:hanging="284"/>
        <w:jc w:val="both"/>
        <w:rPr>
          <w:b w:val="0"/>
          <w:sz w:val="20"/>
        </w:rPr>
      </w:pPr>
    </w:p>
    <w:p w14:paraId="57A1D154" w14:textId="77777777" w:rsidR="009F0E53" w:rsidRPr="00CD2723" w:rsidRDefault="009F0E53" w:rsidP="00697F07">
      <w:pPr>
        <w:pStyle w:val="Brezrazmikov"/>
        <w:numPr>
          <w:ilvl w:val="0"/>
          <w:numId w:val="25"/>
        </w:numPr>
        <w:spacing w:line="260" w:lineRule="exact"/>
        <w:ind w:left="709" w:hanging="425"/>
        <w:jc w:val="both"/>
        <w:rPr>
          <w:b w:val="0"/>
          <w:i/>
          <w:sz w:val="20"/>
        </w:rPr>
      </w:pPr>
      <w:r w:rsidRPr="00CD2723">
        <w:rPr>
          <w:b w:val="0"/>
          <w:i/>
          <w:sz w:val="20"/>
        </w:rPr>
        <w:t>Davčni strokovnjaki znotraj skladov ali investicijskih hiš načrtujejo in izvajajo ali upravljajo izvedbo čezmejnih aranžmajev in jih dajejo na voljo investitorjem ali družbam, ki predstavljajo za njih naložbo. Davčni strokovnjaki opravljajo storitve in dajejo nasvete vsakemu skladu na podlagi pogodbe (manager) ali na podlagi statusno pravnega položaja kot družbenik. Načeloma se ne morejo šteti za povezane osebe v smislu 23</w:t>
      </w:r>
      <w:r w:rsidR="003B3D27" w:rsidRPr="00CD2723">
        <w:rPr>
          <w:b w:val="0"/>
          <w:i/>
          <w:sz w:val="20"/>
        </w:rPr>
        <w:t>.</w:t>
      </w:r>
      <w:r w:rsidRPr="00CD2723">
        <w:rPr>
          <w:b w:val="0"/>
          <w:i/>
          <w:sz w:val="20"/>
        </w:rPr>
        <w:t xml:space="preserve"> točke 3. člena</w:t>
      </w:r>
      <w:r w:rsidRPr="00CD2723">
        <w:rPr>
          <w:i/>
        </w:rPr>
        <w:t xml:space="preserve"> </w:t>
      </w:r>
      <w:r w:rsidRPr="00CD2723">
        <w:rPr>
          <w:b w:val="0"/>
          <w:i/>
          <w:sz w:val="20"/>
        </w:rPr>
        <w:t>Direktive 2011/16/EU. Ali je taka družba oziroma investicijska hiša, ki zaposluje davčne strokovnjake, davčni zavezanec, posrednik ali oboje? Ali je s tega vidika pomembno, ali njihove aktivnosti zadevajo investitorje v skladih ali hčerinske družbe, ki so v lasti skladov?</w:t>
      </w:r>
    </w:p>
    <w:p w14:paraId="75E868F7" w14:textId="77777777" w:rsidR="009F0E53" w:rsidRPr="009F0E53" w:rsidRDefault="009F0E53" w:rsidP="00697F07">
      <w:pPr>
        <w:pStyle w:val="Brezrazmikov"/>
        <w:spacing w:line="260" w:lineRule="exact"/>
        <w:ind w:left="709" w:hanging="425"/>
        <w:jc w:val="both"/>
        <w:rPr>
          <w:sz w:val="20"/>
        </w:rPr>
      </w:pPr>
    </w:p>
    <w:p w14:paraId="700FC9AF" w14:textId="77777777" w:rsidR="009F0E53" w:rsidRDefault="00CD2723" w:rsidP="00697F07">
      <w:pPr>
        <w:pStyle w:val="Brezrazmikov"/>
        <w:spacing w:line="260" w:lineRule="exact"/>
        <w:ind w:left="644"/>
        <w:jc w:val="both"/>
        <w:rPr>
          <w:b w:val="0"/>
          <w:sz w:val="20"/>
        </w:rPr>
      </w:pPr>
      <w:r w:rsidRPr="00CD2723">
        <w:rPr>
          <w:b w:val="0"/>
          <w:sz w:val="20"/>
        </w:rPr>
        <w:t>V</w:t>
      </w:r>
      <w:r w:rsidR="009F0E53" w:rsidRPr="00CD2723">
        <w:rPr>
          <w:b w:val="0"/>
          <w:sz w:val="20"/>
        </w:rPr>
        <w:t xml:space="preserve"> </w:t>
      </w:r>
      <w:r w:rsidR="009F0E53" w:rsidRPr="009F0E53">
        <w:rPr>
          <w:b w:val="0"/>
          <w:sz w:val="20"/>
        </w:rPr>
        <w:t xml:space="preserve">opisanem primeru je investicijska hiša glede na različne storitve, ki jih </w:t>
      </w:r>
      <w:r w:rsidRPr="009F0E53">
        <w:rPr>
          <w:b w:val="0"/>
          <w:sz w:val="20"/>
        </w:rPr>
        <w:t>za investitorje ali hčerinske družbe (sklade)</w:t>
      </w:r>
      <w:r>
        <w:rPr>
          <w:b w:val="0"/>
          <w:sz w:val="20"/>
        </w:rPr>
        <w:t xml:space="preserve"> </w:t>
      </w:r>
      <w:r w:rsidR="009F0E53" w:rsidRPr="009F0E53">
        <w:rPr>
          <w:b w:val="0"/>
          <w:sz w:val="20"/>
        </w:rPr>
        <w:t>opravlja preko davčnih strokovnjakov, posrednik</w:t>
      </w:r>
      <w:r w:rsidR="009663F9">
        <w:rPr>
          <w:b w:val="0"/>
          <w:sz w:val="20"/>
        </w:rPr>
        <w:t xml:space="preserve"> na podlagi </w:t>
      </w:r>
      <w:r w:rsidR="00577F4D">
        <w:rPr>
          <w:b w:val="0"/>
          <w:sz w:val="20"/>
        </w:rPr>
        <w:t>255.o</w:t>
      </w:r>
      <w:r w:rsidR="009663F9">
        <w:rPr>
          <w:b w:val="0"/>
          <w:sz w:val="20"/>
        </w:rPr>
        <w:t xml:space="preserve"> člena ZDavP-2, ne glede na status</w:t>
      </w:r>
      <w:r w:rsidR="00F37E7A">
        <w:rPr>
          <w:b w:val="0"/>
          <w:sz w:val="20"/>
        </w:rPr>
        <w:t>/pravnoorganizacijsko obliko</w:t>
      </w:r>
      <w:r w:rsidR="009663F9">
        <w:rPr>
          <w:b w:val="0"/>
          <w:sz w:val="20"/>
        </w:rPr>
        <w:t xml:space="preserve"> prejemnika storitev.</w:t>
      </w:r>
    </w:p>
    <w:p w14:paraId="28B92574" w14:textId="77777777" w:rsidR="000A11C4" w:rsidRDefault="000A11C4" w:rsidP="00697F07">
      <w:pPr>
        <w:pStyle w:val="Brezrazmikov"/>
        <w:spacing w:line="260" w:lineRule="exact"/>
        <w:ind w:left="644"/>
        <w:jc w:val="both"/>
        <w:rPr>
          <w:b w:val="0"/>
          <w:sz w:val="20"/>
        </w:rPr>
      </w:pPr>
    </w:p>
    <w:p w14:paraId="61DE95C0" w14:textId="77777777" w:rsidR="000A11C4" w:rsidRPr="009663F9" w:rsidRDefault="000A11C4" w:rsidP="00697F07">
      <w:pPr>
        <w:pStyle w:val="Brezrazmikov"/>
        <w:numPr>
          <w:ilvl w:val="0"/>
          <w:numId w:val="25"/>
        </w:numPr>
        <w:spacing w:line="260" w:lineRule="exact"/>
        <w:ind w:left="709" w:hanging="425"/>
        <w:jc w:val="both"/>
        <w:rPr>
          <w:b w:val="0"/>
          <w:i/>
          <w:sz w:val="20"/>
        </w:rPr>
      </w:pPr>
      <w:r w:rsidRPr="009663F9">
        <w:rPr>
          <w:b w:val="0"/>
          <w:i/>
          <w:sz w:val="20"/>
        </w:rPr>
        <w:t>Davčni zavezanec pri zunanjih svetovalcih naroči davčno mnenje o npr. davčno optimalni rešitvi kapitalske neustreznosti povezane/odvisne družbe i</w:t>
      </w:r>
      <w:r w:rsidR="00AF23AF">
        <w:rPr>
          <w:b w:val="0"/>
          <w:i/>
          <w:sz w:val="20"/>
        </w:rPr>
        <w:t>n sta tako zunanji davčni sveto</w:t>
      </w:r>
      <w:r w:rsidRPr="009663F9">
        <w:rPr>
          <w:b w:val="0"/>
          <w:i/>
          <w:sz w:val="20"/>
        </w:rPr>
        <w:t>valec kot povezana družba rezidenta države, ki ni članica EU. Ali je potrebno o pridobitvi takega mnenja poročati</w:t>
      </w:r>
      <w:r w:rsidR="00DE2CDD">
        <w:rPr>
          <w:b w:val="0"/>
          <w:i/>
          <w:sz w:val="20"/>
        </w:rPr>
        <w:t xml:space="preserve"> in katera pravna podlaga se uporabi</w:t>
      </w:r>
      <w:r w:rsidRPr="009663F9">
        <w:rPr>
          <w:b w:val="0"/>
          <w:i/>
          <w:sz w:val="20"/>
        </w:rPr>
        <w:t xml:space="preserve">? </w:t>
      </w:r>
    </w:p>
    <w:p w14:paraId="3323D2F3" w14:textId="77777777" w:rsidR="000A11C4" w:rsidRDefault="000A11C4" w:rsidP="00697F07">
      <w:pPr>
        <w:pStyle w:val="Brezrazmikov"/>
        <w:spacing w:line="260" w:lineRule="exact"/>
        <w:ind w:left="709" w:hanging="425"/>
        <w:jc w:val="both"/>
        <w:rPr>
          <w:b w:val="0"/>
          <w:sz w:val="20"/>
        </w:rPr>
      </w:pPr>
    </w:p>
    <w:p w14:paraId="006072D9" w14:textId="77777777" w:rsidR="00697F07" w:rsidRDefault="000A11C4" w:rsidP="00697F07">
      <w:pPr>
        <w:pStyle w:val="Brezrazmikov"/>
        <w:spacing w:line="260" w:lineRule="exact"/>
        <w:ind w:left="709"/>
        <w:jc w:val="both"/>
        <w:rPr>
          <w:b w:val="0"/>
          <w:sz w:val="20"/>
        </w:rPr>
      </w:pPr>
      <w:r>
        <w:rPr>
          <w:b w:val="0"/>
          <w:sz w:val="20"/>
        </w:rPr>
        <w:t>V opisanem primeru se šteje, da ni posrednika in zato se obveznost poročanja prenese</w:t>
      </w:r>
      <w:r w:rsidR="00AF23AF">
        <w:rPr>
          <w:b w:val="0"/>
          <w:sz w:val="20"/>
        </w:rPr>
        <w:t xml:space="preserve"> </w:t>
      </w:r>
      <w:r>
        <w:rPr>
          <w:b w:val="0"/>
          <w:sz w:val="20"/>
        </w:rPr>
        <w:t xml:space="preserve">na zadevnega davčnega zavezanca. Ta podatke predloži v državi rezidentstva, pri čemer </w:t>
      </w:r>
      <w:r w:rsidR="00DE2CDD">
        <w:rPr>
          <w:b w:val="0"/>
          <w:sz w:val="20"/>
        </w:rPr>
        <w:t xml:space="preserve">lahko </w:t>
      </w:r>
      <w:r>
        <w:rPr>
          <w:b w:val="0"/>
          <w:sz w:val="20"/>
        </w:rPr>
        <w:t xml:space="preserve">kot pravno podlago (nacionalne določbe) navede sklenjeno mednarodno pogodbo med državo rezidentstva in državo posrednika oziroma državo povezane pravne osebe.  </w:t>
      </w:r>
    </w:p>
    <w:p w14:paraId="0F2295A6" w14:textId="77777777" w:rsidR="00697F07" w:rsidRDefault="00697F07" w:rsidP="00697F07">
      <w:pPr>
        <w:pStyle w:val="Brezrazmikov"/>
        <w:spacing w:line="260" w:lineRule="exact"/>
        <w:ind w:left="709"/>
        <w:jc w:val="both"/>
        <w:rPr>
          <w:b w:val="0"/>
          <w:sz w:val="20"/>
        </w:rPr>
      </w:pPr>
    </w:p>
    <w:p w14:paraId="3CD3B83B" w14:textId="77777777" w:rsidR="00697F07" w:rsidRDefault="00697F07" w:rsidP="00697F07">
      <w:pPr>
        <w:pStyle w:val="Brezrazmikov"/>
        <w:spacing w:line="260" w:lineRule="exact"/>
        <w:ind w:left="709"/>
        <w:jc w:val="both"/>
        <w:rPr>
          <w:b w:val="0"/>
          <w:sz w:val="20"/>
        </w:rPr>
      </w:pPr>
    </w:p>
    <w:p w14:paraId="214F76C0" w14:textId="77777777" w:rsidR="00697F07" w:rsidRDefault="00697F07" w:rsidP="00697F07">
      <w:pPr>
        <w:pStyle w:val="Brezrazmikov"/>
        <w:spacing w:line="260" w:lineRule="exact"/>
        <w:ind w:left="709"/>
        <w:jc w:val="both"/>
        <w:rPr>
          <w:b w:val="0"/>
          <w:sz w:val="20"/>
        </w:rPr>
      </w:pPr>
    </w:p>
    <w:p w14:paraId="008B5C1A" w14:textId="77777777" w:rsidR="00697F07" w:rsidRDefault="00697F07" w:rsidP="00697F07">
      <w:pPr>
        <w:pStyle w:val="Brezrazmikov"/>
        <w:spacing w:line="260" w:lineRule="exact"/>
        <w:ind w:left="709"/>
        <w:jc w:val="both"/>
        <w:rPr>
          <w:b w:val="0"/>
          <w:sz w:val="20"/>
        </w:rPr>
      </w:pPr>
    </w:p>
    <w:p w14:paraId="7D58F555" w14:textId="77777777" w:rsidR="00697F07" w:rsidRDefault="00697F07" w:rsidP="00697F07">
      <w:pPr>
        <w:pStyle w:val="Brezrazmikov"/>
        <w:spacing w:line="260" w:lineRule="exact"/>
        <w:ind w:left="709"/>
        <w:jc w:val="both"/>
        <w:rPr>
          <w:b w:val="0"/>
          <w:sz w:val="20"/>
        </w:rPr>
      </w:pPr>
    </w:p>
    <w:p w14:paraId="58C8BE4E" w14:textId="77777777" w:rsidR="00697F07" w:rsidRDefault="00697F07" w:rsidP="00697F07">
      <w:pPr>
        <w:pStyle w:val="Brezrazmikov"/>
        <w:spacing w:line="260" w:lineRule="exact"/>
        <w:ind w:left="709"/>
        <w:jc w:val="both"/>
        <w:rPr>
          <w:b w:val="0"/>
          <w:sz w:val="20"/>
        </w:rPr>
      </w:pPr>
    </w:p>
    <w:p w14:paraId="2839A874" w14:textId="77777777" w:rsidR="00697F07" w:rsidRPr="009F0E53" w:rsidRDefault="00697F07" w:rsidP="00697F07">
      <w:pPr>
        <w:pStyle w:val="Brezrazmikov"/>
        <w:spacing w:line="260" w:lineRule="exact"/>
        <w:ind w:left="709"/>
        <w:jc w:val="both"/>
        <w:rPr>
          <w:b w:val="0"/>
          <w:sz w:val="20"/>
        </w:rPr>
      </w:pPr>
    </w:p>
    <w:p w14:paraId="4700361E" w14:textId="77777777" w:rsidR="009F0E53" w:rsidRPr="00680F12" w:rsidRDefault="009F0E53" w:rsidP="00697F07">
      <w:pPr>
        <w:pStyle w:val="Naslov2"/>
      </w:pPr>
      <w:bookmarkStart w:id="22" w:name="_Toc75160006"/>
      <w:r w:rsidRPr="00680F12">
        <w:lastRenderedPageBreak/>
        <w:t>Katere podatke je treba poročati in kako</w:t>
      </w:r>
      <w:r w:rsidR="00023632">
        <w:t xml:space="preserve"> se podatki predložijo</w:t>
      </w:r>
      <w:r w:rsidRPr="00680F12">
        <w:t xml:space="preserve"> Finančni upravi</w:t>
      </w:r>
      <w:r w:rsidR="00843909">
        <w:t xml:space="preserve"> RS</w:t>
      </w:r>
      <w:bookmarkEnd w:id="22"/>
    </w:p>
    <w:p w14:paraId="6E28FDC7" w14:textId="77777777" w:rsidR="009F0E53" w:rsidRDefault="009F0E53" w:rsidP="00697F07">
      <w:pPr>
        <w:spacing w:line="260" w:lineRule="exact"/>
      </w:pPr>
    </w:p>
    <w:p w14:paraId="359CB62D" w14:textId="77777777" w:rsidR="009F0E53" w:rsidRDefault="009F0E53" w:rsidP="00697F07">
      <w:pPr>
        <w:spacing w:line="260" w:lineRule="exact"/>
        <w:jc w:val="both"/>
      </w:pPr>
      <w:r>
        <w:t xml:space="preserve">Posredniki in zadevni davčni zavezanci poročajo podatke, ki so vsebinsko razvrščeni v 8 skupin in podrobneje navedeni v </w:t>
      </w:r>
      <w:r w:rsidR="00577F4D">
        <w:t>255.p</w:t>
      </w:r>
      <w:r>
        <w:t xml:space="preserve"> členu ZDavP-2. Sporočajo se identifikacijski podatki o posrednikih ter zadevnih davčnih zavezancih, podrobnosti o prepoznavnih značilnostih, datumih začetka uporabe, o določbah nacionalnega prava</w:t>
      </w:r>
      <w:r>
        <w:rPr>
          <w:rStyle w:val="Sprotnaopomba-sklic"/>
        </w:rPr>
        <w:footnoteReference w:id="5"/>
      </w:r>
      <w:r>
        <w:t>, vrednostih aranžmaja</w:t>
      </w:r>
      <w:r w:rsidR="00702CDB">
        <w:rPr>
          <w:rStyle w:val="Sprotnaopomba-sklic"/>
        </w:rPr>
        <w:footnoteReference w:id="6"/>
      </w:r>
      <w:r>
        <w:t xml:space="preserve">, zadevnih državah članicah in drugi relevantni podatki. </w:t>
      </w:r>
    </w:p>
    <w:p w14:paraId="5805B1FD" w14:textId="77777777" w:rsidR="009F0E53" w:rsidRDefault="009F0E53" w:rsidP="00697F07">
      <w:pPr>
        <w:spacing w:line="260" w:lineRule="exact"/>
      </w:pPr>
    </w:p>
    <w:p w14:paraId="6D8A2859" w14:textId="77777777" w:rsidR="00577F4D" w:rsidRDefault="00577F4D" w:rsidP="00577F4D">
      <w:pPr>
        <w:spacing w:line="260" w:lineRule="exact"/>
        <w:jc w:val="both"/>
      </w:pPr>
      <w:r>
        <w:t>Podatki se predloži</w:t>
      </w:r>
      <w:r w:rsidR="001E34A0">
        <w:t>jo</w:t>
      </w:r>
      <w:r>
        <w:t xml:space="preserve"> z oddajo </w:t>
      </w:r>
      <w:r w:rsidRPr="003D5F27">
        <w:t xml:space="preserve">obrazca </w:t>
      </w:r>
      <w:r w:rsidR="00582270">
        <w:t xml:space="preserve">DAC6 Čezmejni </w:t>
      </w:r>
      <w:r w:rsidR="008B2CF8">
        <w:t>a</w:t>
      </w:r>
      <w:r w:rsidR="00582270">
        <w:t xml:space="preserve">ranžma/razkritje </w:t>
      </w:r>
      <w:r>
        <w:t xml:space="preserve">preko portala </w:t>
      </w:r>
      <w:hyperlink r:id="rId14" w:history="1">
        <w:r w:rsidRPr="00B16951">
          <w:rPr>
            <w:rStyle w:val="Hiperpovezava"/>
          </w:rPr>
          <w:t>eDavk</w:t>
        </w:r>
      </w:hyperlink>
      <w:r>
        <w:t>i</w:t>
      </w:r>
      <w:r>
        <w:rPr>
          <w:rStyle w:val="Sprotnaopomba-sklic"/>
        </w:rPr>
        <w:footnoteReference w:id="7"/>
      </w:r>
      <w:r>
        <w:t>.</w:t>
      </w:r>
    </w:p>
    <w:p w14:paraId="683ADEAF" w14:textId="77777777" w:rsidR="00577F4D" w:rsidRDefault="00577F4D" w:rsidP="00577F4D">
      <w:pPr>
        <w:spacing w:line="260" w:lineRule="exact"/>
        <w:jc w:val="both"/>
      </w:pPr>
    </w:p>
    <w:p w14:paraId="357DBF42" w14:textId="77777777" w:rsidR="009F0E53" w:rsidRPr="00722BD5" w:rsidRDefault="00043AE5" w:rsidP="00697F07">
      <w:pPr>
        <w:spacing w:line="260" w:lineRule="exact"/>
        <w:jc w:val="both"/>
      </w:pPr>
      <w:r w:rsidRPr="000324B2">
        <w:t>Način predložitve podatkov</w:t>
      </w:r>
      <w:r w:rsidR="009F0E53" w:rsidRPr="000324B2">
        <w:t xml:space="preserve"> Finančni upravi </w:t>
      </w:r>
      <w:r w:rsidR="00843909">
        <w:t xml:space="preserve">RS </w:t>
      </w:r>
      <w:r w:rsidR="001E34A0">
        <w:t>je</w:t>
      </w:r>
      <w:r w:rsidR="001E34A0" w:rsidRPr="000324B2">
        <w:t xml:space="preserve"> </w:t>
      </w:r>
      <w:r w:rsidRPr="000324B2">
        <w:t xml:space="preserve">podrobneje urejen </w:t>
      </w:r>
      <w:r w:rsidRPr="00722BD5">
        <w:t xml:space="preserve">v </w:t>
      </w:r>
      <w:hyperlink r:id="rId15" w:history="1">
        <w:r w:rsidR="00582270" w:rsidRPr="00E32DCB">
          <w:rPr>
            <w:rStyle w:val="Hiperpovezava"/>
          </w:rPr>
          <w:t>Pravilniku o izvajanju zakona od davčnem postopku.</w:t>
        </w:r>
      </w:hyperlink>
      <w:r w:rsidR="004621AC" w:rsidRPr="00DD07AA">
        <w:t xml:space="preserve"> </w:t>
      </w:r>
      <w:r w:rsidR="00722BD5" w:rsidRPr="00DD07AA">
        <w:t>Vsebino obrazca</w:t>
      </w:r>
      <w:r w:rsidR="004621AC" w:rsidRPr="00DD07AA">
        <w:t xml:space="preserve"> vsebuje Priloga 22, ki je sestavni del Pravilnika</w:t>
      </w:r>
      <w:r w:rsidR="00722BD5" w:rsidRPr="00DD07AA">
        <w:t xml:space="preserve"> in v kateri so opisana tudi navodila za izpolnjevanje obrazca. Dodatna pojasnila posameznih elementov in pravil DAC6 poročanja pa so opisana v </w:t>
      </w:r>
      <w:hyperlink r:id="rId16" w:history="1">
        <w:r w:rsidR="00722BD5" w:rsidRPr="00E32DCB">
          <w:rPr>
            <w:rStyle w:val="Hiperpovezava"/>
          </w:rPr>
          <w:t>Tehni</w:t>
        </w:r>
        <w:r w:rsidR="00E32DCB" w:rsidRPr="00E32DCB">
          <w:rPr>
            <w:rStyle w:val="Hiperpovezava"/>
          </w:rPr>
          <w:t>č</w:t>
        </w:r>
        <w:r w:rsidR="00722BD5" w:rsidRPr="00E32DCB">
          <w:rPr>
            <w:rStyle w:val="Hiperpovezava"/>
          </w:rPr>
          <w:t>nem navodilu za poročanje</w:t>
        </w:r>
      </w:hyperlink>
      <w:r w:rsidR="00722BD5" w:rsidRPr="00DD07AA">
        <w:t xml:space="preserve">. </w:t>
      </w:r>
      <w:r w:rsidR="004621AC" w:rsidRPr="00DD07AA">
        <w:t xml:space="preserve"> </w:t>
      </w:r>
    </w:p>
    <w:p w14:paraId="341F1F18" w14:textId="77777777" w:rsidR="009F0E53" w:rsidRDefault="009F0E53" w:rsidP="00697F07">
      <w:pPr>
        <w:spacing w:line="260" w:lineRule="exact"/>
        <w:jc w:val="both"/>
      </w:pPr>
    </w:p>
    <w:p w14:paraId="28F8A693" w14:textId="77777777" w:rsidR="00D16674" w:rsidRDefault="009040CD" w:rsidP="00697F07">
      <w:pPr>
        <w:spacing w:line="260" w:lineRule="exact"/>
        <w:jc w:val="both"/>
      </w:pPr>
      <w:r>
        <w:t>U</w:t>
      </w:r>
      <w:r w:rsidR="00577F4D">
        <w:t>činkovitost</w:t>
      </w:r>
      <w:r w:rsidR="00D16674">
        <w:t xml:space="preserve"> obvezne avtomatične izmenjave podatkov o čezmejnih aranžmajih, o katerih se poroča, zlasti, kadar je podatke dolžan predložiti več kot en posrednik al</w:t>
      </w:r>
      <w:r w:rsidR="00C04A05">
        <w:t>i zadevni davčni zaveza</w:t>
      </w:r>
      <w:r w:rsidR="00D16674">
        <w:t>n</w:t>
      </w:r>
      <w:r w:rsidR="00C04A05">
        <w:t>e</w:t>
      </w:r>
      <w:r w:rsidR="00D16674">
        <w:t>c</w:t>
      </w:r>
      <w:r>
        <w:t xml:space="preserve">, se zagotavlja z obvezno uporabo referenčne številke aranžmaja. </w:t>
      </w:r>
    </w:p>
    <w:p w14:paraId="661B1A7C" w14:textId="77777777" w:rsidR="00D16674" w:rsidRDefault="00D16674" w:rsidP="00697F07">
      <w:pPr>
        <w:spacing w:line="260" w:lineRule="exact"/>
        <w:jc w:val="both"/>
      </w:pPr>
    </w:p>
    <w:p w14:paraId="38D3F305" w14:textId="77777777" w:rsidR="00D16674" w:rsidRDefault="00D16674" w:rsidP="00697F07">
      <w:pPr>
        <w:spacing w:line="260" w:lineRule="exact"/>
        <w:jc w:val="both"/>
      </w:pPr>
      <w:r>
        <w:t>Če je podatke dolžan predložiti več kot en posred</w:t>
      </w:r>
      <w:r w:rsidR="009040CD">
        <w:t>n</w:t>
      </w:r>
      <w:r>
        <w:t>ik ali zadevni davčni zavezanec, morajo vse izmenjave v zvezi z istim aranžmajem vsebovati eno samo referenčno število, tako da je te izmenjave mogoče povezati z enim samim aranžmajem v osrednji podatkovni zbirki</w:t>
      </w:r>
      <w:r w:rsidR="00AD6130">
        <w:rPr>
          <w:rStyle w:val="Sprotnaopomba-sklic"/>
        </w:rPr>
        <w:footnoteReference w:id="8"/>
      </w:r>
      <w:r w:rsidR="00AF23AF">
        <w:t>.</w:t>
      </w:r>
    </w:p>
    <w:p w14:paraId="361ED6D7" w14:textId="77777777" w:rsidR="00F77EE2" w:rsidRDefault="00F77EE2" w:rsidP="00697F07">
      <w:pPr>
        <w:spacing w:line="260" w:lineRule="exact"/>
        <w:jc w:val="both"/>
      </w:pPr>
    </w:p>
    <w:p w14:paraId="5824CFA5" w14:textId="77777777" w:rsidR="00F77EE2" w:rsidRDefault="00F77EE2" w:rsidP="00697F07">
      <w:pPr>
        <w:keepNext/>
        <w:spacing w:beforeLines="60" w:before="144" w:afterLines="60" w:after="144" w:line="260" w:lineRule="exact"/>
        <w:jc w:val="both"/>
      </w:pPr>
      <w:r>
        <w:t xml:space="preserve">Uporaba referenčne številke je vpeljana na podlagi Izvedbene uredbe komisije </w:t>
      </w:r>
      <w:r w:rsidRPr="009A4158">
        <w:t>(EU) 2019/532 z dne 28. marca 2019 o spremembi Izvedbene uredbe (EU) 2015/2378 glede standardnih obrazcev, vključno z jezikovno ureditvijo, za obvezno avtomatično izmenjavo podatkov o čezmejnih aranžmajih, o katerih se poroča</w:t>
      </w:r>
      <w:r>
        <w:rPr>
          <w:rStyle w:val="Sprotnaopomba-sklic"/>
        </w:rPr>
        <w:footnoteReference w:id="9"/>
      </w:r>
      <w:r>
        <w:t>.</w:t>
      </w:r>
    </w:p>
    <w:p w14:paraId="173EC91B" w14:textId="77777777" w:rsidR="00D16674" w:rsidRDefault="00D16674" w:rsidP="00697F07">
      <w:pPr>
        <w:spacing w:line="260" w:lineRule="exact"/>
        <w:jc w:val="both"/>
      </w:pPr>
    </w:p>
    <w:p w14:paraId="5EB5D451" w14:textId="086F600D" w:rsidR="002338F1" w:rsidRDefault="00D16674" w:rsidP="00697F07">
      <w:pPr>
        <w:spacing w:line="260" w:lineRule="exact"/>
        <w:jc w:val="both"/>
      </w:pPr>
      <w:r>
        <w:t xml:space="preserve">Ob prvem poročanju o posameznem čezmejnem aranžmaju se </w:t>
      </w:r>
      <w:r w:rsidR="00E07711">
        <w:t xml:space="preserve">zato </w:t>
      </w:r>
      <w:r>
        <w:t>aranžmaju dodeli referenčna številka</w:t>
      </w:r>
      <w:r w:rsidR="009040CD">
        <w:t xml:space="preserve"> (v nadaljevanju A-ID)</w:t>
      </w:r>
      <w:r w:rsidR="00E07711">
        <w:t>, ki se nato obvezno uporabi pri</w:t>
      </w:r>
      <w:r w:rsidR="002338F1">
        <w:t xml:space="preserve"> vsakem naslednjem poročanju o tem aranžmaju</w:t>
      </w:r>
      <w:r w:rsidR="00E07711">
        <w:t xml:space="preserve">. </w:t>
      </w:r>
      <w:r w:rsidR="002338F1">
        <w:t xml:space="preserve"> </w:t>
      </w:r>
    </w:p>
    <w:p w14:paraId="009F1A85" w14:textId="77777777" w:rsidR="002338F1" w:rsidRDefault="002338F1" w:rsidP="00697F07">
      <w:pPr>
        <w:spacing w:line="260" w:lineRule="exact"/>
        <w:jc w:val="both"/>
      </w:pPr>
    </w:p>
    <w:p w14:paraId="72C913CA" w14:textId="77777777" w:rsidR="00963EF2" w:rsidRDefault="00963EF2" w:rsidP="00697F07">
      <w:pPr>
        <w:spacing w:line="260" w:lineRule="exact"/>
        <w:jc w:val="both"/>
      </w:pPr>
    </w:p>
    <w:p w14:paraId="2709246C" w14:textId="77777777" w:rsidR="00963EF2" w:rsidRDefault="00963EF2" w:rsidP="00697F07">
      <w:pPr>
        <w:spacing w:line="260" w:lineRule="exact"/>
        <w:jc w:val="both"/>
      </w:pPr>
    </w:p>
    <w:p w14:paraId="24C701CD" w14:textId="77777777" w:rsidR="00963EF2" w:rsidRDefault="00963EF2" w:rsidP="00697F07">
      <w:pPr>
        <w:spacing w:line="260" w:lineRule="exact"/>
        <w:jc w:val="both"/>
      </w:pPr>
    </w:p>
    <w:p w14:paraId="019CE2A7" w14:textId="77777777" w:rsidR="00963EF2" w:rsidRDefault="00963EF2" w:rsidP="00697F07">
      <w:pPr>
        <w:spacing w:line="260" w:lineRule="exact"/>
        <w:jc w:val="both"/>
      </w:pPr>
    </w:p>
    <w:p w14:paraId="7AAFD796" w14:textId="77777777" w:rsidR="002338F1" w:rsidRPr="002338F1" w:rsidRDefault="002338F1" w:rsidP="00697F07">
      <w:pPr>
        <w:spacing w:line="260" w:lineRule="exact"/>
        <w:jc w:val="both"/>
        <w:rPr>
          <w:szCs w:val="20"/>
        </w:rPr>
      </w:pPr>
      <w:r w:rsidRPr="002338F1">
        <w:rPr>
          <w:szCs w:val="20"/>
        </w:rPr>
        <w:t>A-I</w:t>
      </w:r>
      <w:r>
        <w:rPr>
          <w:szCs w:val="20"/>
        </w:rPr>
        <w:t>D</w:t>
      </w:r>
      <w:r w:rsidRPr="002338F1">
        <w:rPr>
          <w:szCs w:val="20"/>
        </w:rPr>
        <w:t xml:space="preserve"> je sestavljena iz </w:t>
      </w:r>
      <w:r w:rsidR="009040CD">
        <w:rPr>
          <w:szCs w:val="20"/>
        </w:rPr>
        <w:t xml:space="preserve">niza </w:t>
      </w:r>
      <w:r w:rsidR="00AF23AF">
        <w:rPr>
          <w:szCs w:val="20"/>
        </w:rPr>
        <w:t xml:space="preserve">17 </w:t>
      </w:r>
      <w:r w:rsidR="009040CD">
        <w:rPr>
          <w:szCs w:val="20"/>
        </w:rPr>
        <w:t xml:space="preserve">znakov v strukturi </w:t>
      </w:r>
      <w:r w:rsidR="009040CD" w:rsidRPr="002338F1">
        <w:rPr>
          <w:rFonts w:cs="Arial"/>
          <w:noProof/>
          <w:color w:val="000000" w:themeColor="text1"/>
          <w:szCs w:val="20"/>
        </w:rPr>
        <w:t>CCAYYYYMMDDXXXXXX</w:t>
      </w:r>
      <w:r w:rsidR="009040CD">
        <w:rPr>
          <w:rFonts w:cs="Arial"/>
          <w:noProof/>
          <w:color w:val="000000" w:themeColor="text1"/>
          <w:szCs w:val="20"/>
        </w:rPr>
        <w:t xml:space="preserve">. Posamezni znaki identifikacijske številke znaka predstavljajo: </w:t>
      </w:r>
    </w:p>
    <w:p w14:paraId="46EE9B2A" w14:textId="77777777" w:rsidR="002338F1" w:rsidRDefault="002338F1" w:rsidP="00697F07">
      <w:pPr>
        <w:spacing w:line="260" w:lineRule="exact"/>
        <w:jc w:val="both"/>
      </w:pPr>
    </w:p>
    <w:p w14:paraId="4AC3816F" w14:textId="77777777" w:rsidR="002338F1" w:rsidRPr="002338F1" w:rsidRDefault="002338F1" w:rsidP="00697F07">
      <w:pPr>
        <w:pStyle w:val="Odstavekseznama"/>
        <w:keepNext/>
        <w:numPr>
          <w:ilvl w:val="0"/>
          <w:numId w:val="9"/>
        </w:numPr>
        <w:spacing w:beforeLines="60" w:before="144" w:afterLines="60" w:after="144" w:line="260" w:lineRule="exact"/>
        <w:ind w:left="714" w:hanging="357"/>
        <w:jc w:val="both"/>
        <w:rPr>
          <w:noProof/>
          <w:color w:val="000000" w:themeColor="text1"/>
        </w:rPr>
      </w:pPr>
      <w:r w:rsidRPr="002338F1">
        <w:rPr>
          <w:noProof/>
          <w:color w:val="000000" w:themeColor="text1"/>
        </w:rPr>
        <w:t>CC – pomeni ISO kodo države</w:t>
      </w:r>
      <w:r w:rsidR="00AF23AF">
        <w:rPr>
          <w:noProof/>
          <w:color w:val="000000" w:themeColor="text1"/>
        </w:rPr>
        <w:t>,</w:t>
      </w:r>
      <w:r w:rsidRPr="002338F1">
        <w:rPr>
          <w:noProof/>
          <w:color w:val="000000" w:themeColor="text1"/>
        </w:rPr>
        <w:t xml:space="preserve"> v kateri je posrednik ali davčni zavezanec prvič poročal o razkritju iz zadevnega čezmejnega aranžmaja, o katerem se poroča; v primeru, ko se </w:t>
      </w:r>
      <w:r w:rsidR="009040CD">
        <w:rPr>
          <w:noProof/>
          <w:color w:val="000000" w:themeColor="text1"/>
        </w:rPr>
        <w:t>dodeli s strani F</w:t>
      </w:r>
      <w:r w:rsidR="00963EF2">
        <w:rPr>
          <w:noProof/>
          <w:color w:val="000000" w:themeColor="text1"/>
        </w:rPr>
        <w:t>inančne uprave RS</w:t>
      </w:r>
      <w:r w:rsidR="009040CD">
        <w:rPr>
          <w:noProof/>
          <w:color w:val="000000" w:themeColor="text1"/>
        </w:rPr>
        <w:t>, je to oznaka »SI«;</w:t>
      </w:r>
    </w:p>
    <w:p w14:paraId="49495DBC" w14:textId="77777777" w:rsidR="002338F1" w:rsidRPr="002338F1" w:rsidRDefault="002338F1" w:rsidP="00697F07">
      <w:pPr>
        <w:pStyle w:val="Odstavekseznama"/>
        <w:keepNext/>
        <w:numPr>
          <w:ilvl w:val="0"/>
          <w:numId w:val="9"/>
        </w:numPr>
        <w:spacing w:beforeLines="60" w:before="144" w:afterLines="60" w:after="144" w:line="260" w:lineRule="exact"/>
        <w:ind w:left="714" w:hanging="357"/>
        <w:jc w:val="both"/>
        <w:rPr>
          <w:noProof/>
          <w:color w:val="000000" w:themeColor="text1"/>
        </w:rPr>
      </w:pPr>
      <w:r w:rsidRPr="002338F1">
        <w:rPr>
          <w:noProof/>
          <w:color w:val="000000" w:themeColor="text1"/>
        </w:rPr>
        <w:t>A – znak za aranžma;</w:t>
      </w:r>
    </w:p>
    <w:p w14:paraId="1E9DCA0B" w14:textId="77777777" w:rsidR="002338F1" w:rsidRPr="002338F1" w:rsidRDefault="002338F1" w:rsidP="00697F07">
      <w:pPr>
        <w:pStyle w:val="Odstavekseznama"/>
        <w:keepNext/>
        <w:numPr>
          <w:ilvl w:val="0"/>
          <w:numId w:val="9"/>
        </w:numPr>
        <w:spacing w:beforeLines="60" w:before="144" w:afterLines="60" w:after="144" w:line="260" w:lineRule="exact"/>
        <w:ind w:left="714" w:hanging="357"/>
        <w:jc w:val="both"/>
        <w:rPr>
          <w:noProof/>
          <w:color w:val="000000" w:themeColor="text1"/>
        </w:rPr>
      </w:pPr>
      <w:r w:rsidRPr="002338F1">
        <w:rPr>
          <w:noProof/>
          <w:color w:val="000000" w:themeColor="text1"/>
        </w:rPr>
        <w:t>YYYYMMDD – datum izdaje identifikacijske številke aranžmaja;</w:t>
      </w:r>
    </w:p>
    <w:p w14:paraId="265CCC2F" w14:textId="77777777" w:rsidR="00CA27C5" w:rsidRDefault="002338F1" w:rsidP="00697F07">
      <w:pPr>
        <w:pStyle w:val="Odstavekseznama"/>
        <w:keepNext/>
        <w:numPr>
          <w:ilvl w:val="0"/>
          <w:numId w:val="9"/>
        </w:numPr>
        <w:spacing w:beforeLines="60" w:before="144" w:afterLines="60" w:after="144" w:line="260" w:lineRule="exact"/>
        <w:ind w:left="714" w:hanging="357"/>
        <w:jc w:val="both"/>
        <w:rPr>
          <w:noProof/>
          <w:color w:val="000000" w:themeColor="text1"/>
        </w:rPr>
      </w:pPr>
      <w:r w:rsidRPr="002338F1">
        <w:rPr>
          <w:noProof/>
          <w:color w:val="000000" w:themeColor="text1"/>
        </w:rPr>
        <w:t>XXXXXX – enolična številka, ki lahko vključuje kombinacijo črk (A-Z) in številk (0-9).</w:t>
      </w:r>
    </w:p>
    <w:p w14:paraId="5111E5CA" w14:textId="77777777" w:rsidR="001B26A9" w:rsidRDefault="009040CD" w:rsidP="00697F07">
      <w:pPr>
        <w:keepNext/>
        <w:spacing w:beforeLines="60" w:before="144" w:afterLines="60" w:after="144" w:line="260" w:lineRule="exact"/>
        <w:jc w:val="both"/>
      </w:pPr>
      <w:r>
        <w:t xml:space="preserve">Ob prvem poročanju bo identifikacijsko številko dodelil pristojni nacionalni davčni organ, </w:t>
      </w:r>
      <w:r w:rsidR="00F77EE2">
        <w:t xml:space="preserve">vsi posredniki in </w:t>
      </w:r>
      <w:r>
        <w:t xml:space="preserve">uporabniki aranžmaja pa so dolžni poskrbeti za dosledno in pravilno uporabo </w:t>
      </w:r>
      <w:r w:rsidR="00EE64A8">
        <w:t xml:space="preserve">ustrezne </w:t>
      </w:r>
      <w:r>
        <w:t xml:space="preserve">A-ID številke pri vseh nadaljnjih poročanjih o </w:t>
      </w:r>
      <w:r w:rsidR="00F77EE2">
        <w:t xml:space="preserve">posameznem </w:t>
      </w:r>
      <w:r>
        <w:t>aranžmaju</w:t>
      </w:r>
      <w:r w:rsidR="00F77EE2">
        <w:t>, ki mu je pripadajoča A-ID številka dodeljena</w:t>
      </w:r>
      <w:r>
        <w:t xml:space="preserve">. </w:t>
      </w:r>
    </w:p>
    <w:p w14:paraId="36A9517F" w14:textId="77777777" w:rsidR="00697F07" w:rsidRDefault="00697F07" w:rsidP="00697F07">
      <w:pPr>
        <w:keepNext/>
        <w:spacing w:beforeLines="60" w:before="144" w:afterLines="60" w:after="144" w:line="260" w:lineRule="exact"/>
        <w:jc w:val="both"/>
      </w:pPr>
    </w:p>
    <w:p w14:paraId="18A84A2F" w14:textId="77777777" w:rsidR="006800F0" w:rsidRPr="006800F0" w:rsidRDefault="006800F0" w:rsidP="00697F07">
      <w:pPr>
        <w:spacing w:line="260" w:lineRule="exact"/>
      </w:pPr>
    </w:p>
    <w:p w14:paraId="0B32A6C6" w14:textId="77777777" w:rsidR="009821F2" w:rsidRPr="00B2036E" w:rsidRDefault="009821F2" w:rsidP="00697F07">
      <w:pPr>
        <w:spacing w:line="260" w:lineRule="exact"/>
        <w:rPr>
          <w:rFonts w:eastAsiaTheme="minorHAnsi"/>
          <w:b/>
          <w:kern w:val="32"/>
          <w:sz w:val="22"/>
          <w:szCs w:val="22"/>
          <w:lang w:eastAsia="sl-SI"/>
        </w:rPr>
      </w:pPr>
      <w:r>
        <w:br w:type="page"/>
      </w:r>
    </w:p>
    <w:p w14:paraId="3134A829" w14:textId="77777777" w:rsidR="00B0537B" w:rsidRDefault="00B0537B" w:rsidP="00697F07">
      <w:pPr>
        <w:pStyle w:val="Naslov1"/>
        <w:spacing w:line="260" w:lineRule="exact"/>
      </w:pPr>
      <w:bookmarkStart w:id="23" w:name="_Toc75160007"/>
      <w:r>
        <w:lastRenderedPageBreak/>
        <w:t>ROK ZA POROČANJE</w:t>
      </w:r>
      <w:r w:rsidR="00102470">
        <w:t xml:space="preserve"> IN IZMENJAVO INFORMACIJ</w:t>
      </w:r>
      <w:bookmarkEnd w:id="23"/>
    </w:p>
    <w:p w14:paraId="4C240981" w14:textId="77777777" w:rsidR="00B0537B" w:rsidRPr="00201986" w:rsidRDefault="00B0537B" w:rsidP="00697F07">
      <w:pPr>
        <w:pStyle w:val="Naslov2"/>
        <w:rPr>
          <w:color w:val="00B050"/>
        </w:rPr>
      </w:pPr>
      <w:bookmarkStart w:id="24" w:name="_Toc75160008"/>
      <w:bookmarkEnd w:id="7"/>
      <w:r w:rsidRPr="00CC173C">
        <w:t>Rok za predložitev podatkov</w:t>
      </w:r>
      <w:r w:rsidR="00843909">
        <w:t xml:space="preserve"> Fin</w:t>
      </w:r>
      <w:r w:rsidRPr="00CC173C">
        <w:t>ančni upravi</w:t>
      </w:r>
      <w:r w:rsidR="00843909">
        <w:t xml:space="preserve"> RS</w:t>
      </w:r>
      <w:bookmarkEnd w:id="24"/>
    </w:p>
    <w:p w14:paraId="1D8D8730" w14:textId="77777777" w:rsidR="0062474E" w:rsidRDefault="0062474E" w:rsidP="00697F07">
      <w:pPr>
        <w:spacing w:line="260" w:lineRule="exact"/>
        <w:jc w:val="both"/>
        <w:rPr>
          <w:b/>
        </w:rPr>
      </w:pPr>
    </w:p>
    <w:p w14:paraId="5987F070" w14:textId="77777777" w:rsidR="0062474E" w:rsidRDefault="0062474E" w:rsidP="00697F07">
      <w:pPr>
        <w:spacing w:line="260" w:lineRule="exact"/>
        <w:jc w:val="both"/>
      </w:pPr>
      <w:r>
        <w:t xml:space="preserve">Za predložitev podatkov velja splošni rok 30 dni, pri čemer se trenutek nastanka obveznosti </w:t>
      </w:r>
      <w:r w:rsidR="00702CDB">
        <w:t xml:space="preserve">poročanja </w:t>
      </w:r>
      <w:r>
        <w:t xml:space="preserve"> razlikuje glede na vlogo poročeva</w:t>
      </w:r>
      <w:r w:rsidR="007874CA">
        <w:t>lca in glede na vrsto aranžmaja.</w:t>
      </w:r>
      <w:r w:rsidR="008B2CF8">
        <w:t xml:space="preserve"> </w:t>
      </w:r>
    </w:p>
    <w:p w14:paraId="4F1FD4C6" w14:textId="77777777" w:rsidR="0062474E" w:rsidRDefault="0062474E" w:rsidP="00697F07">
      <w:pPr>
        <w:spacing w:line="260" w:lineRule="exact"/>
        <w:jc w:val="both"/>
      </w:pPr>
    </w:p>
    <w:p w14:paraId="133292D7" w14:textId="77777777" w:rsidR="003B7E21" w:rsidRDefault="003B7E21" w:rsidP="00697F07">
      <w:pPr>
        <w:spacing w:line="260" w:lineRule="exact"/>
        <w:jc w:val="both"/>
        <w:rPr>
          <w:b/>
        </w:rPr>
      </w:pPr>
      <w:r w:rsidRPr="003B7E21">
        <w:rPr>
          <w:b/>
        </w:rPr>
        <w:t>Posredniki:</w:t>
      </w:r>
    </w:p>
    <w:p w14:paraId="1637EC98" w14:textId="77777777" w:rsidR="00C8047C" w:rsidRPr="003B7E21" w:rsidRDefault="00C8047C" w:rsidP="00697F07">
      <w:pPr>
        <w:spacing w:line="260" w:lineRule="exact"/>
        <w:jc w:val="both"/>
        <w:rPr>
          <w:b/>
        </w:rPr>
      </w:pPr>
    </w:p>
    <w:p w14:paraId="7A7C3651" w14:textId="77777777" w:rsidR="0062474E" w:rsidRDefault="0062474E" w:rsidP="00697F07">
      <w:pPr>
        <w:spacing w:line="260" w:lineRule="exact"/>
        <w:jc w:val="both"/>
      </w:pPr>
      <w:r>
        <w:t>Posredniki, ki oblikujejo, tržijo, organizirajo ali dajejo na vo</w:t>
      </w:r>
      <w:r w:rsidR="00317B75">
        <w:t xml:space="preserve">ljo za uporabo čezmejni aranžma, </w:t>
      </w:r>
      <w:r>
        <w:t xml:space="preserve">podatke predložijo v 30 dneh od (drugi odstavek </w:t>
      </w:r>
      <w:r w:rsidR="00577F4D">
        <w:t>255.p</w:t>
      </w:r>
      <w:r>
        <w:t xml:space="preserve"> člena</w:t>
      </w:r>
      <w:r w:rsidR="00AD6130">
        <w:t xml:space="preserve"> ZDavP-2</w:t>
      </w:r>
      <w:r>
        <w:t>)</w:t>
      </w:r>
    </w:p>
    <w:p w14:paraId="0A3CBCFC" w14:textId="77777777" w:rsidR="0062474E" w:rsidRDefault="0062474E" w:rsidP="00697F07">
      <w:pPr>
        <w:spacing w:line="260" w:lineRule="exact"/>
        <w:jc w:val="both"/>
      </w:pPr>
    </w:p>
    <w:p w14:paraId="572AD741" w14:textId="77777777" w:rsidR="0030284D" w:rsidRDefault="0030284D" w:rsidP="00697F07">
      <w:pPr>
        <w:pStyle w:val="Odstavekseznama"/>
        <w:numPr>
          <w:ilvl w:val="0"/>
          <w:numId w:val="5"/>
        </w:numPr>
        <w:spacing w:line="260" w:lineRule="exact"/>
        <w:jc w:val="both"/>
      </w:pPr>
      <w:r>
        <w:t xml:space="preserve">dneva po tem, ko je tržni aranžma </w:t>
      </w:r>
      <w:r w:rsidRPr="00866A74">
        <w:t>na voljo</w:t>
      </w:r>
      <w:r>
        <w:t xml:space="preserve"> za izvajanje,</w:t>
      </w:r>
    </w:p>
    <w:p w14:paraId="2190ABF0" w14:textId="77777777" w:rsidR="0030284D" w:rsidRDefault="0030284D" w:rsidP="00697F07">
      <w:pPr>
        <w:pStyle w:val="Odstavekseznama"/>
        <w:numPr>
          <w:ilvl w:val="0"/>
          <w:numId w:val="5"/>
        </w:numPr>
        <w:spacing w:line="260" w:lineRule="exact"/>
        <w:jc w:val="both"/>
      </w:pPr>
      <w:r>
        <w:t xml:space="preserve">dneva po tem, ko je posebej prilagojeni aranžma </w:t>
      </w:r>
      <w:r w:rsidRPr="00866A74">
        <w:t>pripravljen za izvajanje</w:t>
      </w:r>
      <w:r>
        <w:t>, ali</w:t>
      </w:r>
    </w:p>
    <w:p w14:paraId="4620C910" w14:textId="77777777" w:rsidR="0030284D" w:rsidRDefault="0030284D" w:rsidP="00697F07">
      <w:pPr>
        <w:pStyle w:val="Odstavekseznama"/>
        <w:numPr>
          <w:ilvl w:val="0"/>
          <w:numId w:val="5"/>
        </w:numPr>
        <w:spacing w:line="260" w:lineRule="exact"/>
        <w:jc w:val="both"/>
      </w:pPr>
      <w:r>
        <w:t xml:space="preserve">dneva, ko se </w:t>
      </w:r>
      <w:r w:rsidRPr="00866A74">
        <w:t>izvede kakršna koli aktivnost, ki kaže na namero o izvajanju aranžmaja ali pomeni začetek izvajanja</w:t>
      </w:r>
      <w:r>
        <w:t xml:space="preserve"> aranžmaja.</w:t>
      </w:r>
    </w:p>
    <w:p w14:paraId="72CE5176" w14:textId="77777777" w:rsidR="00060AB1" w:rsidRDefault="00060AB1" w:rsidP="00697F07">
      <w:pPr>
        <w:spacing w:line="260" w:lineRule="exact"/>
        <w:jc w:val="both"/>
      </w:pPr>
    </w:p>
    <w:p w14:paraId="70181639" w14:textId="77777777" w:rsidR="0062474E" w:rsidRDefault="0062474E" w:rsidP="00697F07">
      <w:pPr>
        <w:spacing w:line="260" w:lineRule="exact"/>
        <w:jc w:val="both"/>
      </w:pPr>
      <w:r>
        <w:t>V primeru tržnih aranžmajev posrednik vsake tri mesece predloži redno poročilo, ki glede na predhodno poročilo vsebuje nove podatke</w:t>
      </w:r>
      <w:r w:rsidR="0019396F">
        <w:t xml:space="preserve"> iz 1., 4., 7. in 8. točke prvega odstavka </w:t>
      </w:r>
      <w:r w:rsidR="00577F4D">
        <w:t>255.p</w:t>
      </w:r>
      <w:r w:rsidR="0019396F">
        <w:t xml:space="preserve"> člena</w:t>
      </w:r>
      <w:r>
        <w:t xml:space="preserve"> </w:t>
      </w:r>
      <w:r w:rsidR="00AD6130">
        <w:t>ZDavP-2</w:t>
      </w:r>
      <w:r w:rsidR="0081100E">
        <w:t xml:space="preserve"> </w:t>
      </w:r>
      <w:r>
        <w:t xml:space="preserve">(podatki o posrednikih in zadevnih </w:t>
      </w:r>
      <w:r w:rsidR="00A57D78">
        <w:t xml:space="preserve">davčnih </w:t>
      </w:r>
      <w:r>
        <w:t>zavezancih, datume začetka uporabe, spremembe v zadevnih državah članicah EU in spremembe pri morebitnih drugih zadevnih osebah).</w:t>
      </w:r>
    </w:p>
    <w:p w14:paraId="67197A5F" w14:textId="77777777" w:rsidR="0062474E" w:rsidRDefault="0062474E" w:rsidP="00697F07">
      <w:pPr>
        <w:spacing w:line="260" w:lineRule="exact"/>
        <w:jc w:val="both"/>
      </w:pPr>
    </w:p>
    <w:p w14:paraId="57787D7B" w14:textId="77777777" w:rsidR="0030284D" w:rsidRDefault="0062474E" w:rsidP="00697F07">
      <w:pPr>
        <w:spacing w:line="260" w:lineRule="exact"/>
        <w:jc w:val="both"/>
      </w:pPr>
      <w:r>
        <w:t>Vse druge osebe, ki se po določilih</w:t>
      </w:r>
      <w:r w:rsidR="0030284D">
        <w:t xml:space="preserve"> </w:t>
      </w:r>
      <w:r w:rsidR="0030284D" w:rsidRPr="003B7E21">
        <w:t xml:space="preserve">drugega odstavka </w:t>
      </w:r>
      <w:r w:rsidR="00577F4D">
        <w:t>255.o</w:t>
      </w:r>
      <w:r w:rsidR="0030284D" w:rsidRPr="003B7E21">
        <w:t xml:space="preserve"> člena</w:t>
      </w:r>
      <w:r w:rsidR="0030284D">
        <w:t xml:space="preserve"> ZDavP-2</w:t>
      </w:r>
      <w:r>
        <w:t xml:space="preserve"> ra</w:t>
      </w:r>
      <w:r w:rsidR="007874CA">
        <w:t xml:space="preserve">vno tako štejejo za posrednike, </w:t>
      </w:r>
      <w:r w:rsidR="0030284D">
        <w:t xml:space="preserve">morajo podatke o čezmejnih aranžmajih predložiti v 30 dneh od dneva po tem, ko so </w:t>
      </w:r>
      <w:r w:rsidR="0030284D" w:rsidRPr="00866A74">
        <w:t>neposredno ali prek drugih oseb zagotovili pomoč oziroma svetovanje</w:t>
      </w:r>
      <w:r w:rsidR="003B7E21" w:rsidRPr="00866A74">
        <w:t xml:space="preserve"> (tretji odstavek </w:t>
      </w:r>
      <w:r w:rsidR="00577F4D">
        <w:t>255.p</w:t>
      </w:r>
      <w:r w:rsidR="003B7E21" w:rsidRPr="00866A74">
        <w:t xml:space="preserve"> člena ZDavP-2)</w:t>
      </w:r>
      <w:r w:rsidR="0030284D">
        <w:t>.</w:t>
      </w:r>
    </w:p>
    <w:p w14:paraId="4472B1E6" w14:textId="77777777" w:rsidR="00866A74" w:rsidRDefault="00866A74" w:rsidP="00697F07">
      <w:pPr>
        <w:spacing w:line="260" w:lineRule="exact"/>
        <w:jc w:val="both"/>
      </w:pPr>
    </w:p>
    <w:p w14:paraId="7F1F92B4" w14:textId="77777777" w:rsidR="00866A74" w:rsidRDefault="00866A74" w:rsidP="00697F07">
      <w:pPr>
        <w:spacing w:line="260" w:lineRule="exact"/>
        <w:jc w:val="both"/>
      </w:pPr>
      <w:r>
        <w:t>Začete</w:t>
      </w:r>
      <w:r w:rsidR="00CF5555">
        <w:t>k</w:t>
      </w:r>
      <w:r>
        <w:t xml:space="preserve"> izvajanja aranžmaja pomeni trenutek, ko je jasno, da se bo neka transakcija zgodila, ali pa ta pomeni že njegovo izvedbo. </w:t>
      </w:r>
    </w:p>
    <w:p w14:paraId="794BEE89" w14:textId="77777777" w:rsidR="00CF5555" w:rsidRDefault="00CF5555" w:rsidP="00697F07">
      <w:pPr>
        <w:spacing w:line="260" w:lineRule="exact"/>
        <w:jc w:val="both"/>
      </w:pPr>
    </w:p>
    <w:p w14:paraId="710AF461" w14:textId="77777777" w:rsidR="0030284D" w:rsidRDefault="003B7E21" w:rsidP="00697F07">
      <w:pPr>
        <w:spacing w:line="260" w:lineRule="exact"/>
        <w:jc w:val="both"/>
        <w:rPr>
          <w:b/>
        </w:rPr>
      </w:pPr>
      <w:r>
        <w:rPr>
          <w:b/>
        </w:rPr>
        <w:t>Zadevni davčni zavezanci:</w:t>
      </w:r>
    </w:p>
    <w:p w14:paraId="4C4E1BC2" w14:textId="77777777" w:rsidR="00C8047C" w:rsidRPr="00062880" w:rsidRDefault="00C8047C" w:rsidP="00697F07">
      <w:pPr>
        <w:spacing w:line="260" w:lineRule="exact"/>
        <w:jc w:val="both"/>
        <w:rPr>
          <w:b/>
        </w:rPr>
      </w:pPr>
    </w:p>
    <w:p w14:paraId="6B8BB851" w14:textId="77777777" w:rsidR="0030284D" w:rsidRDefault="0030284D" w:rsidP="00697F07">
      <w:pPr>
        <w:spacing w:line="260" w:lineRule="exact"/>
        <w:jc w:val="both"/>
      </w:pPr>
      <w:r>
        <w:t>V primerih</w:t>
      </w:r>
      <w:r w:rsidR="0062474E">
        <w:t xml:space="preserve">, </w:t>
      </w:r>
      <w:r w:rsidR="0084356A">
        <w:t>ko</w:t>
      </w:r>
      <w:r>
        <w:t xml:space="preserve"> ni posrednika</w:t>
      </w:r>
      <w:r w:rsidR="007874CA">
        <w:t>,</w:t>
      </w:r>
      <w:r>
        <w:t xml:space="preserve"> </w:t>
      </w:r>
      <w:r w:rsidR="00060AB1">
        <w:t xml:space="preserve"> </w:t>
      </w:r>
      <w:r>
        <w:t>ali če posrednik pisno obvesti zadevnega davčnega zavezanca ali drugega posrednika o uporabi privilegija poklicne skrivnosti, mora podatke o čezmejnem aranžmaju, o katerem se poroča, predložiti drug posrednik ali, če tega ni, zadevni davčni zavezanec</w:t>
      </w:r>
      <w:r w:rsidR="00577F4D">
        <w:t xml:space="preserve">. Podatke mora predložiti </w:t>
      </w:r>
      <w:r>
        <w:t xml:space="preserve"> v 30 dneh od dneva, </w:t>
      </w:r>
      <w:r w:rsidR="00577F4D">
        <w:t xml:space="preserve">ko </w:t>
      </w:r>
      <w:r>
        <w:t xml:space="preserve">je čezmejni aranžma </w:t>
      </w:r>
      <w:r w:rsidRPr="00866A74">
        <w:t>na voljo</w:t>
      </w:r>
      <w:r>
        <w:t xml:space="preserve"> zadevnemu davčnemu zavezancu za izvajanje ali je </w:t>
      </w:r>
      <w:r w:rsidRPr="00866A74">
        <w:t>pripravljen za izvajanje</w:t>
      </w:r>
      <w:r>
        <w:t xml:space="preserve"> s strani zadevnega</w:t>
      </w:r>
      <w:r w:rsidR="0084356A">
        <w:t xml:space="preserve"> </w:t>
      </w:r>
      <w:r>
        <w:t xml:space="preserve">davčnega zavezanca ali je </w:t>
      </w:r>
      <w:r w:rsidRPr="00866A74">
        <w:t>storjen prvi del pri njegovem izvajanju</w:t>
      </w:r>
      <w:r>
        <w:t>, odvisno od tega, kaj nastopi prej</w:t>
      </w:r>
      <w:r w:rsidR="00060AB1">
        <w:t xml:space="preserve"> (</w:t>
      </w:r>
      <w:r w:rsidR="00577F4D">
        <w:t>255.š</w:t>
      </w:r>
      <w:r w:rsidR="00BC341F">
        <w:t xml:space="preserve"> člen</w:t>
      </w:r>
      <w:r w:rsidR="00AD6130">
        <w:t xml:space="preserve"> ZDavP-2</w:t>
      </w:r>
      <w:r w:rsidR="00BC341F">
        <w:t>).</w:t>
      </w:r>
      <w:r w:rsidR="00060AB1">
        <w:t xml:space="preserve"> </w:t>
      </w:r>
    </w:p>
    <w:p w14:paraId="6A2AE945" w14:textId="77777777" w:rsidR="00BB714C" w:rsidRDefault="00BB714C" w:rsidP="00697F07">
      <w:pPr>
        <w:spacing w:line="260" w:lineRule="exact"/>
        <w:jc w:val="both"/>
      </w:pPr>
    </w:p>
    <w:p w14:paraId="0B43E100" w14:textId="77777777" w:rsidR="0019396F" w:rsidRDefault="00BB714C" w:rsidP="00697F07">
      <w:pPr>
        <w:spacing w:line="260" w:lineRule="exact"/>
        <w:jc w:val="both"/>
      </w:pPr>
      <w:r>
        <w:t>V primerih</w:t>
      </w:r>
      <w:r w:rsidR="003830E8">
        <w:t>, ko je k poročanju zavezanih več zadevnih davčnih zavez</w:t>
      </w:r>
      <w:r w:rsidR="00CF5555">
        <w:t>a</w:t>
      </w:r>
      <w:r w:rsidR="003830E8">
        <w:t>nce</w:t>
      </w:r>
      <w:r w:rsidR="00A57D78">
        <w:t>v, je pravilo določeno g</w:t>
      </w:r>
      <w:r w:rsidR="00CF5555">
        <w:t>l</w:t>
      </w:r>
      <w:r w:rsidR="00A57D78">
        <w:t>e</w:t>
      </w:r>
      <w:r w:rsidR="00CF5555">
        <w:t xml:space="preserve">de na dejstvo, kateri zavezanec je v kontaktu s posrednikom v zgodnejši fazi </w:t>
      </w:r>
      <w:r w:rsidR="0019396F">
        <w:t xml:space="preserve">(četrti </w:t>
      </w:r>
      <w:r w:rsidR="003830E8">
        <w:t xml:space="preserve">in peti </w:t>
      </w:r>
      <w:r w:rsidR="00C8047C">
        <w:t xml:space="preserve">odstavek </w:t>
      </w:r>
      <w:r w:rsidR="00577F4D">
        <w:t>255.t</w:t>
      </w:r>
      <w:r w:rsidR="00C8047C">
        <w:t xml:space="preserve"> člena ZDavP-2)</w:t>
      </w:r>
      <w:r w:rsidR="0057510E">
        <w:t>.</w:t>
      </w:r>
    </w:p>
    <w:p w14:paraId="461B63D0" w14:textId="77777777" w:rsidR="0057510E" w:rsidRDefault="0057510E" w:rsidP="00697F07">
      <w:pPr>
        <w:spacing w:line="260" w:lineRule="exact"/>
        <w:jc w:val="both"/>
      </w:pPr>
    </w:p>
    <w:p w14:paraId="23D0FFDA" w14:textId="77777777" w:rsidR="00BB714C" w:rsidRPr="00CF5555" w:rsidRDefault="00BB714C" w:rsidP="00697F07">
      <w:pPr>
        <w:spacing w:line="260" w:lineRule="exact"/>
        <w:rPr>
          <w:u w:val="single"/>
        </w:rPr>
      </w:pPr>
      <w:r w:rsidRPr="00CF5555">
        <w:rPr>
          <w:u w:val="single"/>
        </w:rPr>
        <w:t>Podrobnejša pojasnila o tem, kdaj nastane obveznost poročanja:</w:t>
      </w:r>
    </w:p>
    <w:p w14:paraId="23F40725" w14:textId="77777777" w:rsidR="00E93D31" w:rsidRDefault="00E93D31" w:rsidP="00697F07">
      <w:pPr>
        <w:spacing w:line="260" w:lineRule="exact"/>
        <w:jc w:val="both"/>
      </w:pPr>
    </w:p>
    <w:p w14:paraId="63C2CBB7" w14:textId="77777777" w:rsidR="00E32DCB" w:rsidRDefault="00F70149" w:rsidP="00E32DCB">
      <w:pPr>
        <w:spacing w:line="260" w:lineRule="exact"/>
        <w:jc w:val="both"/>
      </w:pPr>
      <w:r>
        <w:t>»Dan na voljo«</w:t>
      </w:r>
      <w:r w:rsidR="007C541E">
        <w:t xml:space="preserve"> in »pripravljen na izvajanje«</w:t>
      </w:r>
      <w:r w:rsidR="007874CA">
        <w:t xml:space="preserve"> pomeni</w:t>
      </w:r>
      <w:r>
        <w:t xml:space="preserve"> prvi trenutek, ki sproži obveznost poročanja. Na </w:t>
      </w:r>
      <w:r w:rsidR="00C8047C">
        <w:t>tej točki ni nujno, da je zaveza</w:t>
      </w:r>
      <w:r>
        <w:t xml:space="preserve">nec sprejel odločitev o uporabi aranžmaja, </w:t>
      </w:r>
      <w:r w:rsidR="00E93D31">
        <w:t xml:space="preserve">temveč zadostuje že dovolj znanih </w:t>
      </w:r>
      <w:r>
        <w:t xml:space="preserve">informacij, </w:t>
      </w:r>
      <w:r w:rsidR="00E93D31">
        <w:t xml:space="preserve">na podlagi katerih se lahko zavezanec odloči za uporabo aranžmaja </w:t>
      </w:r>
      <w:r>
        <w:t>oziroma je znan končni namen</w:t>
      </w:r>
      <w:r w:rsidR="00E93D31">
        <w:t>/cilj</w:t>
      </w:r>
      <w:r>
        <w:t xml:space="preserve"> aranžmaja.</w:t>
      </w:r>
    </w:p>
    <w:p w14:paraId="430E0AF0" w14:textId="77777777" w:rsidR="00E32DCB" w:rsidRDefault="00E32DCB" w:rsidP="00E32DCB">
      <w:pPr>
        <w:spacing w:line="260" w:lineRule="exact"/>
        <w:jc w:val="both"/>
      </w:pPr>
    </w:p>
    <w:p w14:paraId="0CC682C4" w14:textId="33C48DC4" w:rsidR="00F70149" w:rsidRPr="00E32DCB" w:rsidRDefault="00E32DCB" w:rsidP="00E32DCB">
      <w:pPr>
        <w:spacing w:line="260" w:lineRule="exact"/>
        <w:jc w:val="both"/>
      </w:pPr>
      <w:r w:rsidRPr="00E32DCB">
        <w:t xml:space="preserve">Direktiva 2011/16/EU in Poročilo OECD o ukrepih Beps št. 12 (pravila za obvezno razkritje) dodatno ne opredeljujeta pojma »storjen prvi korak«. V poročilu OECD priporoča, da se kot storjen prvi korak </w:t>
      </w:r>
      <w:r w:rsidRPr="00E32DCB">
        <w:lastRenderedPageBreak/>
        <w:t xml:space="preserve">opredeli trenutek, v katerem je jasno, da se bo transakcija nadaljevala in je omogočen dober pregled nad transakcijo (predpostavke, začetni koraki in pričakovani rezultati).  </w:t>
      </w:r>
    </w:p>
    <w:p w14:paraId="36934A0F" w14:textId="77777777" w:rsidR="00F70149" w:rsidRDefault="00F70149" w:rsidP="00E32DCB">
      <w:pPr>
        <w:spacing w:line="260" w:lineRule="exact"/>
        <w:jc w:val="both"/>
      </w:pPr>
    </w:p>
    <w:p w14:paraId="4B8CE569" w14:textId="77777777" w:rsidR="00F70149" w:rsidRDefault="00F70149" w:rsidP="00E32DCB">
      <w:pPr>
        <w:spacing w:line="260" w:lineRule="exact"/>
        <w:jc w:val="both"/>
      </w:pPr>
      <w:r>
        <w:t>Pojavne oblike so lahko različne, in sicer lahko vključujejo primere, ko se zadevni zavezanec obrne na posrednika zgolj z namenom iskanja nasvetov in idej, posrednik pa nato razvije primerni aranžma. Aranžma je lahko pripravljen kot ena izmed rešitev tudi v okviru predhodnega/dotedanjega sodelovanja med posrednikom in stranko. V to kategorijo se štejejo tudi aranžmaji, ki jih posredniki aktivno tr</w:t>
      </w:r>
      <w:r w:rsidR="001208C0">
        <w:t>žijo na spletu, po</w:t>
      </w:r>
      <w:r w:rsidR="00383B3A">
        <w:t xml:space="preserve"> </w:t>
      </w:r>
      <w:r w:rsidR="001208C0">
        <w:t>telefonu</w:t>
      </w:r>
      <w:r w:rsidR="00383B3A">
        <w:t xml:space="preserve">, </w:t>
      </w:r>
      <w:r w:rsidR="007874CA">
        <w:t xml:space="preserve">z </w:t>
      </w:r>
      <w:r w:rsidR="00383B3A">
        <w:t>neposredno prodajo</w:t>
      </w:r>
      <w:r w:rsidR="001208C0">
        <w:t xml:space="preserve"> ali </w:t>
      </w:r>
      <w:r w:rsidR="00383B3A">
        <w:t>preko drugih marketinških kanalov. Ni potrebno, da bi bile vse podrobnosti aranž</w:t>
      </w:r>
      <w:r w:rsidR="007874CA">
        <w:t>maja dodelane in znane v celoti, temveč</w:t>
      </w:r>
      <w:r w:rsidR="00383B3A">
        <w:t xml:space="preserve"> zadostuje, da je znan bistven namen oziroma dogovor. </w:t>
      </w:r>
      <w:r w:rsidR="00E93D31">
        <w:t>Ravno tako ni pomembno, če se zavezanec za uporabo aranžmaja ne odloči: aranžma je bil kljub temu »dan na voljo« in s tem nastane obveznost poročanja.</w:t>
      </w:r>
    </w:p>
    <w:p w14:paraId="7749BD51" w14:textId="77777777" w:rsidR="00801AA1" w:rsidRDefault="00801AA1" w:rsidP="00697F07">
      <w:pPr>
        <w:spacing w:line="260" w:lineRule="exact"/>
        <w:jc w:val="both"/>
      </w:pPr>
    </w:p>
    <w:p w14:paraId="62F0B3E6" w14:textId="77777777" w:rsidR="00801AA1" w:rsidRDefault="00801AA1" w:rsidP="00697F07">
      <w:pPr>
        <w:spacing w:line="260" w:lineRule="exact"/>
        <w:jc w:val="both"/>
      </w:pPr>
      <w:r>
        <w:t>Spremembe: če se obstoječi aranžma spremeni, je bistveno in odločilno, ali je sprememba ali pa že prvotni aranžma vse</w:t>
      </w:r>
      <w:r w:rsidR="00CF5555">
        <w:t>b</w:t>
      </w:r>
      <w:r>
        <w:t>oval prepoznavno značilnost, ki je sprožila obveznost poročanja. Če prepoznavno značilnost vsebuje sprememba oziroma, če sprememba aranžmaja vpliva na davčne koristi aranžmaja, je o</w:t>
      </w:r>
      <w:r w:rsidR="00A57D78">
        <w:t xml:space="preserve"> spremenjenem aranžmaju treba p</w:t>
      </w:r>
      <w:r>
        <w:t>or</w:t>
      </w:r>
      <w:r w:rsidR="00A57D78">
        <w:t>o</w:t>
      </w:r>
      <w:r>
        <w:t xml:space="preserve">čati, če pa je prepoznavno značilnost vseboval že prvotni aranžma, ali </w:t>
      </w:r>
      <w:r w:rsidR="0081121E">
        <w:t>sprememba ne vpliva na davčne koristi, pa praviloma ne.</w:t>
      </w:r>
    </w:p>
    <w:p w14:paraId="473278EA" w14:textId="77777777" w:rsidR="00CF5555" w:rsidRDefault="00CF5555" w:rsidP="00697F07">
      <w:pPr>
        <w:spacing w:line="260" w:lineRule="exact"/>
        <w:jc w:val="both"/>
      </w:pPr>
    </w:p>
    <w:p w14:paraId="7655743C" w14:textId="77777777" w:rsidR="00E93D31" w:rsidRPr="00077DD6" w:rsidRDefault="00E93D31" w:rsidP="00697F07">
      <w:pPr>
        <w:pStyle w:val="Naslov2"/>
      </w:pPr>
      <w:bookmarkStart w:id="25" w:name="_Toc75160009"/>
      <w:r w:rsidRPr="00077DD6">
        <w:rPr>
          <w:rStyle w:val="Naslov3Znak"/>
          <w:b/>
          <w:bCs/>
        </w:rPr>
        <w:t xml:space="preserve">Primeri: </w:t>
      </w:r>
      <w:r w:rsidR="00F37E7A" w:rsidRPr="00077DD6">
        <w:rPr>
          <w:rStyle w:val="Naslov3Znak"/>
          <w:b/>
          <w:bCs/>
        </w:rPr>
        <w:t>K</w:t>
      </w:r>
      <w:r w:rsidRPr="00077DD6">
        <w:rPr>
          <w:rStyle w:val="Naslov3Znak"/>
          <w:b/>
          <w:bCs/>
        </w:rPr>
        <w:t>daj nastane obveznost poročanja</w:t>
      </w:r>
      <w:bookmarkEnd w:id="25"/>
      <w:r w:rsidRPr="00077DD6">
        <w:t xml:space="preserve"> </w:t>
      </w:r>
    </w:p>
    <w:p w14:paraId="475909B9" w14:textId="77777777" w:rsidR="0030284D" w:rsidRPr="006924F0" w:rsidRDefault="0030284D" w:rsidP="00697F07">
      <w:pPr>
        <w:pStyle w:val="Odstavekseznama"/>
        <w:spacing w:after="240" w:line="260" w:lineRule="exact"/>
        <w:ind w:left="0"/>
        <w:jc w:val="both"/>
        <w:rPr>
          <w:color w:val="FF0000"/>
        </w:rPr>
      </w:pPr>
    </w:p>
    <w:p w14:paraId="3DD6D5A6" w14:textId="77777777" w:rsidR="0030284D" w:rsidRPr="00F37E7A" w:rsidRDefault="00DA02AE" w:rsidP="00697F07">
      <w:pPr>
        <w:pStyle w:val="Odstavekseznama"/>
        <w:numPr>
          <w:ilvl w:val="0"/>
          <w:numId w:val="30"/>
        </w:numPr>
        <w:spacing w:line="260" w:lineRule="exact"/>
        <w:jc w:val="both"/>
        <w:rPr>
          <w:i/>
        </w:rPr>
      </w:pPr>
      <w:r>
        <w:rPr>
          <w:i/>
        </w:rPr>
        <w:t xml:space="preserve">Primer 1: </w:t>
      </w:r>
      <w:r w:rsidR="0030284D" w:rsidRPr="00F37E7A">
        <w:rPr>
          <w:i/>
        </w:rPr>
        <w:t>Zavezanec ustanovi družbo v državi X, kar predstavlja več aktivnosti (npr. sestava statuta itd</w:t>
      </w:r>
      <w:r w:rsidR="00A57D78" w:rsidRPr="00F37E7A">
        <w:rPr>
          <w:i/>
        </w:rPr>
        <w:t>.</w:t>
      </w:r>
      <w:r w:rsidR="0030284D" w:rsidRPr="00F37E7A">
        <w:rPr>
          <w:i/>
        </w:rPr>
        <w:t xml:space="preserve">), kar lahko pomeni več mesecev dokler ni družba res ustanovljena. Kaj je v tem primeru prvi korak? </w:t>
      </w:r>
    </w:p>
    <w:p w14:paraId="75CF1A2B" w14:textId="77777777" w:rsidR="0057510E" w:rsidRPr="00CF5555" w:rsidRDefault="0057510E" w:rsidP="00697F07">
      <w:pPr>
        <w:pStyle w:val="Odstavekseznama"/>
        <w:spacing w:line="260" w:lineRule="exact"/>
        <w:ind w:left="360"/>
        <w:jc w:val="both"/>
      </w:pPr>
    </w:p>
    <w:p w14:paraId="252BCDCC" w14:textId="77777777" w:rsidR="0030284D" w:rsidRPr="00F37E7A" w:rsidRDefault="00DA02AE" w:rsidP="00697F07">
      <w:pPr>
        <w:pStyle w:val="Odstavekseznama"/>
        <w:spacing w:line="260" w:lineRule="exact"/>
        <w:ind w:left="709"/>
        <w:jc w:val="both"/>
        <w:rPr>
          <w:i/>
        </w:rPr>
      </w:pPr>
      <w:r>
        <w:rPr>
          <w:i/>
        </w:rPr>
        <w:t xml:space="preserve">Primer 2: </w:t>
      </w:r>
      <w:r w:rsidR="0030284D" w:rsidRPr="00F37E7A">
        <w:rPr>
          <w:i/>
        </w:rPr>
        <w:t>V decembru 2019 A Co, rezident države A, pridobi deleže v X Co, nepovezani osebi, ki je rezident države X. Kot del strukturiranja po prevzemu, X Co v aprilu 2020 odloči, da bo prenesel določena sredstva na družbo B Co (povezana oseba, rezident države B) v maju 2020 in drugi povezani osebi, družbi C Co (rezident države C) v juniju 2020. Zaradi zamud dejansko prenese sredstva družbi C v letu 2022. Ali se šteje, da so to ločeni aranžmaji ali pa gre za en aranžma, katerega prvi korak je bil izveden maja 2020?</w:t>
      </w:r>
    </w:p>
    <w:p w14:paraId="1C82CD6C" w14:textId="77777777" w:rsidR="0030284D" w:rsidRPr="00CF5555" w:rsidRDefault="0030284D" w:rsidP="00697F07">
      <w:pPr>
        <w:pStyle w:val="Odstavekseznama"/>
        <w:spacing w:line="260" w:lineRule="exact"/>
        <w:ind w:left="284"/>
        <w:jc w:val="both"/>
        <w:rPr>
          <w:b/>
        </w:rPr>
      </w:pPr>
    </w:p>
    <w:p w14:paraId="610F788E" w14:textId="77777777" w:rsidR="0057510E" w:rsidRDefault="001F1886" w:rsidP="00697F07">
      <w:pPr>
        <w:pStyle w:val="Odstavekseznama"/>
        <w:spacing w:line="260" w:lineRule="exact"/>
        <w:ind w:left="709"/>
        <w:jc w:val="both"/>
      </w:pPr>
      <w:r>
        <w:t xml:space="preserve">Na podlagi drugega odstavka </w:t>
      </w:r>
      <w:r w:rsidR="00577F4D">
        <w:t>255.p</w:t>
      </w:r>
      <w:r w:rsidR="0030284D" w:rsidRPr="00CF5555">
        <w:t xml:space="preserve"> člena ZDavP-2 je prvi korak storjen, ko se izvede kakršna koli aktivnost, ki kaže na namero o izvajanju aranžmaja ali pomeni začetek izvajanja aranžmaja. </w:t>
      </w:r>
      <w:r w:rsidR="0057510E" w:rsidRPr="00CF5555">
        <w:t>Poveda</w:t>
      </w:r>
      <w:r w:rsidR="00706A0E" w:rsidRPr="00CF5555">
        <w:t>n</w:t>
      </w:r>
      <w:r w:rsidR="0057510E" w:rsidRPr="00CF5555">
        <w:t xml:space="preserve">o drugače: </w:t>
      </w:r>
      <w:r w:rsidR="00F37E7A">
        <w:t xml:space="preserve">obveznost poročanja nastane, </w:t>
      </w:r>
      <w:r w:rsidR="0057510E" w:rsidRPr="00CF5555">
        <w:t>ko je zasnovana st</w:t>
      </w:r>
      <w:r w:rsidR="00A57D78">
        <w:t>r</w:t>
      </w:r>
      <w:r w:rsidR="0057510E" w:rsidRPr="00CF5555">
        <w:t xml:space="preserve">uktura aranžmaja in je znan njegov pričakovan učinek. V prvem </w:t>
      </w:r>
      <w:r w:rsidR="00DA02AE">
        <w:t xml:space="preserve">opisanem </w:t>
      </w:r>
      <w:r w:rsidR="0057510E" w:rsidRPr="00CF5555">
        <w:t>primeru je to začetek ustanovitve družbe. V drugem primeru je prvi korak pridobitev poslovnih deležev v decembru 2019, če je že ta transakcija del aranžmaja</w:t>
      </w:r>
      <w:r w:rsidR="005B2053" w:rsidRPr="00CF5555">
        <w:t xml:space="preserve"> in potrebna za njegovo izvedbo</w:t>
      </w:r>
      <w:r w:rsidR="0057510E" w:rsidRPr="00CF5555">
        <w:t xml:space="preserve">. </w:t>
      </w:r>
      <w:r w:rsidR="00706A0E" w:rsidRPr="00CF5555">
        <w:t xml:space="preserve">Faze znotraj aranžmaja se ne obravnavajo kot ločeni aranžmaji, temveč kot en aranžma. </w:t>
      </w:r>
    </w:p>
    <w:p w14:paraId="2990D500" w14:textId="77777777" w:rsidR="00016346" w:rsidRDefault="00016346" w:rsidP="00F27554">
      <w:pPr>
        <w:spacing w:line="260" w:lineRule="exact"/>
        <w:jc w:val="both"/>
      </w:pPr>
    </w:p>
    <w:p w14:paraId="34482CAE" w14:textId="77777777" w:rsidR="00697F07" w:rsidRDefault="00697F07" w:rsidP="00697F07">
      <w:pPr>
        <w:spacing w:line="260" w:lineRule="exact"/>
        <w:ind w:left="709"/>
        <w:jc w:val="both"/>
      </w:pPr>
    </w:p>
    <w:p w14:paraId="4FE6D438" w14:textId="77777777" w:rsidR="00B0537B" w:rsidRPr="00077DD6" w:rsidRDefault="00B0537B" w:rsidP="00697F07">
      <w:pPr>
        <w:pStyle w:val="Naslov2"/>
      </w:pPr>
      <w:bookmarkStart w:id="26" w:name="_Toc75160010"/>
      <w:r w:rsidRPr="00077DD6">
        <w:t>Izmenjava informacij</w:t>
      </w:r>
      <w:bookmarkEnd w:id="26"/>
    </w:p>
    <w:p w14:paraId="65684D58" w14:textId="77777777" w:rsidR="00B0537B" w:rsidRDefault="00B0537B" w:rsidP="00697F07">
      <w:pPr>
        <w:spacing w:line="260" w:lineRule="exact"/>
      </w:pPr>
    </w:p>
    <w:p w14:paraId="6D6C2379" w14:textId="77777777" w:rsidR="00AD6130" w:rsidRDefault="00AD6130" w:rsidP="00AD6130">
      <w:pPr>
        <w:spacing w:line="260" w:lineRule="exact"/>
        <w:jc w:val="both"/>
      </w:pPr>
      <w:r>
        <w:t>Finančna uprava RS, kot pristojni organ, prejete podatke avtomatično prek osredn</w:t>
      </w:r>
      <w:r w:rsidR="00843909">
        <w:t xml:space="preserve">je podatkovne zbirke posreduje </w:t>
      </w:r>
      <w:r>
        <w:t>pristojnim organom vseh drugih držav članic EU, v določenem obsegu pa tudi Evropski Komisiji.</w:t>
      </w:r>
    </w:p>
    <w:p w14:paraId="6899D87C" w14:textId="77777777" w:rsidR="009502CF" w:rsidRDefault="009502CF" w:rsidP="00697F07">
      <w:pPr>
        <w:spacing w:line="260" w:lineRule="exact"/>
        <w:jc w:val="both"/>
      </w:pPr>
    </w:p>
    <w:p w14:paraId="7112ECE1" w14:textId="77777777" w:rsidR="00B0537B" w:rsidRDefault="009502CF" w:rsidP="00F27554">
      <w:pPr>
        <w:spacing w:line="260" w:lineRule="exact"/>
        <w:jc w:val="both"/>
        <w:rPr>
          <w:strike/>
        </w:rPr>
      </w:pPr>
      <w:r>
        <w:t xml:space="preserve">Avtomatična izmenjava se izvede vsako četrtletje, v enem mesecu po </w:t>
      </w:r>
      <w:r w:rsidR="00CF5555">
        <w:t>koncu četrtletja, v katerem</w:t>
      </w:r>
      <w:r>
        <w:t xml:space="preserve"> so</w:t>
      </w:r>
      <w:r w:rsidR="00196683">
        <w:t xml:space="preserve"> bili p</w:t>
      </w:r>
      <w:r>
        <w:t>o</w:t>
      </w:r>
      <w:r w:rsidR="00196683">
        <w:t>d</w:t>
      </w:r>
      <w:r>
        <w:t xml:space="preserve">atki predloženi. </w:t>
      </w:r>
    </w:p>
    <w:p w14:paraId="7E1659CA" w14:textId="77777777" w:rsidR="009821F2" w:rsidRPr="00582270" w:rsidRDefault="009821F2" w:rsidP="00697F07">
      <w:pPr>
        <w:spacing w:line="260" w:lineRule="exact"/>
        <w:rPr>
          <w:rFonts w:eastAsiaTheme="minorHAnsi"/>
          <w:b/>
          <w:kern w:val="32"/>
          <w:sz w:val="22"/>
          <w:szCs w:val="22"/>
          <w:lang w:eastAsia="sl-SI"/>
        </w:rPr>
      </w:pPr>
      <w:r>
        <w:br w:type="page"/>
      </w:r>
    </w:p>
    <w:p w14:paraId="3A7F8382" w14:textId="77777777" w:rsidR="00697F07" w:rsidRPr="00A57D78" w:rsidRDefault="001C3149" w:rsidP="00697F07">
      <w:pPr>
        <w:pStyle w:val="Naslov1"/>
        <w:spacing w:line="260" w:lineRule="exact"/>
      </w:pPr>
      <w:bookmarkStart w:id="27" w:name="_Toc75160011"/>
      <w:r w:rsidRPr="00A57D78">
        <w:lastRenderedPageBreak/>
        <w:t>SANKCIJE</w:t>
      </w:r>
      <w:bookmarkEnd w:id="27"/>
    </w:p>
    <w:p w14:paraId="48E4E612" w14:textId="77777777" w:rsidR="00DA02AE" w:rsidRDefault="001C3149" w:rsidP="00697F07">
      <w:pPr>
        <w:pStyle w:val="Naslov2"/>
      </w:pPr>
      <w:bookmarkStart w:id="28" w:name="_Toc75160012"/>
      <w:r w:rsidRPr="00DA02AE">
        <w:t>Kakšne so</w:t>
      </w:r>
      <w:r w:rsidR="00702CDB" w:rsidRPr="00DA02AE">
        <w:t xml:space="preserve"> sankcije,</w:t>
      </w:r>
      <w:r w:rsidRPr="00DA02AE">
        <w:t xml:space="preserve"> če posrednik ali zadevni davčni zavezanec podatkov ne poroča</w:t>
      </w:r>
      <w:bookmarkEnd w:id="28"/>
    </w:p>
    <w:p w14:paraId="105B2432" w14:textId="77777777" w:rsidR="00DA02AE" w:rsidRPr="00DA02AE" w:rsidRDefault="00DA02AE" w:rsidP="00697F07">
      <w:pPr>
        <w:spacing w:line="260" w:lineRule="exact"/>
      </w:pPr>
    </w:p>
    <w:p w14:paraId="13885BF9" w14:textId="77777777" w:rsidR="001A1A2D" w:rsidRDefault="005510AA" w:rsidP="00697F07">
      <w:pPr>
        <w:spacing w:line="260" w:lineRule="exact"/>
        <w:jc w:val="both"/>
      </w:pPr>
      <w:r>
        <w:t>Sankcije za prekrške so določene v ZDav</w:t>
      </w:r>
      <w:r w:rsidR="00F51392">
        <w:t>P</w:t>
      </w:r>
      <w:r w:rsidR="001A1A2D">
        <w:t>-2, kjer so v</w:t>
      </w:r>
      <w:r w:rsidR="00702CDB">
        <w:t xml:space="preserve"> 394. oziroma 397. členu </w:t>
      </w:r>
      <w:r w:rsidR="001A1A2D">
        <w:t>pred</w:t>
      </w:r>
      <w:r w:rsidR="00702CDB">
        <w:t>pisane globe</w:t>
      </w:r>
      <w:r w:rsidR="000F0237">
        <w:t xml:space="preserve"> za pre</w:t>
      </w:r>
      <w:r w:rsidR="001A1A2D">
        <w:t>krške.</w:t>
      </w:r>
    </w:p>
    <w:p w14:paraId="713D0FB5" w14:textId="77777777" w:rsidR="001A1A2D" w:rsidRDefault="001A1A2D" w:rsidP="00697F07">
      <w:pPr>
        <w:spacing w:line="260" w:lineRule="exact"/>
        <w:jc w:val="both"/>
      </w:pPr>
    </w:p>
    <w:p w14:paraId="4E90920E" w14:textId="77777777" w:rsidR="005510AA" w:rsidRDefault="001A1A2D" w:rsidP="00697F07">
      <w:pPr>
        <w:spacing w:line="260" w:lineRule="exact"/>
        <w:jc w:val="both"/>
      </w:pPr>
      <w:r>
        <w:t>V</w:t>
      </w:r>
      <w:r w:rsidR="00A57D78">
        <w:t xml:space="preserve"> primeru ugotovljenih kr</w:t>
      </w:r>
      <w:r>
        <w:t>šitev</w:t>
      </w:r>
      <w:r w:rsidR="005510AA">
        <w:t xml:space="preserve"> se vodi p</w:t>
      </w:r>
      <w:r>
        <w:t>ostopek o prekršku po določbah Z</w:t>
      </w:r>
      <w:r w:rsidR="005510AA">
        <w:t xml:space="preserve">akona o prekrških – ZP-1 (Uradni list RS, št. 29/11 – uradno prečiščeno besedilo, 21/13, 111/13, 74/14 – odl. US, 32/16 in 15/17 – odl. US). Po splošnih pravilih za odmero sankcij po 26. členu ZP-1  mora davčni organ upoštevati vse okoliščine, ki vplivajo na izrek sankcije (tudi na višino, če je predpisana globa v razponu), zlasti pa: stopnjo storilčeve odgovornosti za prekršek, nagibe, iz katerih je prekršek storil, stopnjo ogrožanja </w:t>
      </w:r>
      <w:r>
        <w:t xml:space="preserve">ali kršitve zavarovane dobrine in </w:t>
      </w:r>
      <w:r w:rsidR="005510AA">
        <w:t xml:space="preserve">okoliščine, v katerih </w:t>
      </w:r>
      <w:r w:rsidR="00D20C67">
        <w:t>je bil prekršek storjen. Pri od</w:t>
      </w:r>
      <w:r w:rsidR="005510AA">
        <w:t>m</w:t>
      </w:r>
      <w:r w:rsidR="00D20C67">
        <w:t>eri globe pravni osebi in samostojnemu podjetniku posamezniku se kot relevantna okoliščina upošteva</w:t>
      </w:r>
      <w:r>
        <w:t>jo</w:t>
      </w:r>
      <w:r w:rsidR="00D20C67">
        <w:t xml:space="preserve"> tudi gospodarska moč</w:t>
      </w:r>
      <w:r>
        <w:t xml:space="preserve"> in predhodno</w:t>
      </w:r>
      <w:r w:rsidR="00D20C67">
        <w:t xml:space="preserve"> izrečene sankcije. </w:t>
      </w:r>
    </w:p>
    <w:p w14:paraId="1B40144E" w14:textId="77777777" w:rsidR="001A1A2D" w:rsidRDefault="001A1A2D" w:rsidP="00697F07">
      <w:pPr>
        <w:spacing w:line="260" w:lineRule="exact"/>
        <w:jc w:val="both"/>
      </w:pPr>
    </w:p>
    <w:p w14:paraId="0457B96C" w14:textId="77777777" w:rsidR="0044551A" w:rsidRDefault="0044551A" w:rsidP="00697F07">
      <w:pPr>
        <w:spacing w:line="260" w:lineRule="exact"/>
        <w:jc w:val="both"/>
        <w:rPr>
          <w:b/>
        </w:rPr>
      </w:pPr>
      <w:r w:rsidRPr="0044551A">
        <w:rPr>
          <w:b/>
        </w:rPr>
        <w:t>Posredniki:</w:t>
      </w:r>
    </w:p>
    <w:p w14:paraId="347129D8" w14:textId="77777777" w:rsidR="00697F07" w:rsidRPr="0044551A" w:rsidRDefault="00697F07" w:rsidP="00697F07">
      <w:pPr>
        <w:spacing w:line="260" w:lineRule="exact"/>
        <w:jc w:val="both"/>
        <w:rPr>
          <w:b/>
        </w:rPr>
      </w:pPr>
    </w:p>
    <w:p w14:paraId="745F137D" w14:textId="77777777" w:rsidR="00CF5555" w:rsidRDefault="006B28DF" w:rsidP="00697F07">
      <w:pPr>
        <w:spacing w:line="260" w:lineRule="exact"/>
        <w:jc w:val="both"/>
      </w:pPr>
      <w:r>
        <w:t xml:space="preserve">Sankcioniranje </w:t>
      </w:r>
      <w:r w:rsidR="005A6AC0">
        <w:t>oseb, ki opravljajo dejavnost (</w:t>
      </w:r>
      <w:r>
        <w:t>posrednikov</w:t>
      </w:r>
      <w:r w:rsidR="003942DF">
        <w:t>)</w:t>
      </w:r>
      <w:r>
        <w:t xml:space="preserve"> je določeno v prvem odstavku 397. člena ZDavP-2, in sicer znašajo</w:t>
      </w:r>
      <w:r w:rsidR="001F3C33">
        <w:t xml:space="preserve"> </w:t>
      </w:r>
      <w:r>
        <w:t xml:space="preserve">globe za prekrške:  </w:t>
      </w:r>
    </w:p>
    <w:p w14:paraId="7E7BA24F" w14:textId="77777777" w:rsidR="006B28DF" w:rsidRDefault="006B28DF" w:rsidP="00697F07">
      <w:pPr>
        <w:spacing w:line="260" w:lineRule="exact"/>
        <w:jc w:val="both"/>
      </w:pPr>
      <w:r>
        <w:t xml:space="preserve"> </w:t>
      </w:r>
    </w:p>
    <w:p w14:paraId="680EB34C" w14:textId="77777777" w:rsidR="006B28DF" w:rsidRDefault="006B28DF" w:rsidP="00697F07">
      <w:pPr>
        <w:pStyle w:val="Odstavekseznama"/>
        <w:numPr>
          <w:ilvl w:val="0"/>
          <w:numId w:val="2"/>
        </w:numPr>
        <w:spacing w:line="260" w:lineRule="exact"/>
        <w:jc w:val="both"/>
      </w:pPr>
      <w:r>
        <w:t>od 800 do 10.000 EUR za samostojne podjetnike posameznik</w:t>
      </w:r>
      <w:r w:rsidR="001F3C33">
        <w:t>e</w:t>
      </w:r>
      <w:r>
        <w:t xml:space="preserve"> ali posameznike, ki samostojno opravlja</w:t>
      </w:r>
      <w:r w:rsidR="001F3C33">
        <w:t>jo</w:t>
      </w:r>
      <w:r>
        <w:t xml:space="preserve"> dejavnost ter od 400 do 4.000 EUR za njihove odgovorne osebe;</w:t>
      </w:r>
    </w:p>
    <w:p w14:paraId="17015B87" w14:textId="77777777" w:rsidR="006B28DF" w:rsidRDefault="006B28DF" w:rsidP="00697F07">
      <w:pPr>
        <w:pStyle w:val="Odstavekseznama"/>
        <w:numPr>
          <w:ilvl w:val="0"/>
          <w:numId w:val="2"/>
        </w:numPr>
        <w:spacing w:line="260" w:lineRule="exact"/>
        <w:jc w:val="both"/>
      </w:pPr>
      <w:r>
        <w:t>od 1.200 do 15.000 EUR za pravne osebe</w:t>
      </w:r>
      <w:r w:rsidR="00D530A4">
        <w:t xml:space="preserve"> ter od 600 do 4.000 EUR za njihove odgovorne osebe</w:t>
      </w:r>
    </w:p>
    <w:p w14:paraId="2A21199E" w14:textId="77777777" w:rsidR="006B28DF" w:rsidRDefault="006B28DF" w:rsidP="00697F07">
      <w:pPr>
        <w:pStyle w:val="Odstavekseznama"/>
        <w:numPr>
          <w:ilvl w:val="0"/>
          <w:numId w:val="2"/>
        </w:numPr>
        <w:spacing w:line="260" w:lineRule="exact"/>
        <w:jc w:val="both"/>
      </w:pPr>
      <w:r>
        <w:t>3.200 do 30.000 EUR, za pravne osebe, ki se po zakonu o gospodarskih družbah štejejo za srednj</w:t>
      </w:r>
      <w:r w:rsidR="00D530A4">
        <w:t>e ali velike gospodarske družbe ter od 800 do 4.000 EUR za njiho</w:t>
      </w:r>
      <w:r w:rsidR="001F3C33">
        <w:t>v</w:t>
      </w:r>
      <w:r w:rsidR="00D530A4">
        <w:t>e odgovorne osebe.</w:t>
      </w:r>
    </w:p>
    <w:p w14:paraId="52E0987D" w14:textId="77777777" w:rsidR="00D530A4" w:rsidRDefault="00D530A4" w:rsidP="00697F07">
      <w:pPr>
        <w:spacing w:line="260" w:lineRule="exact"/>
        <w:jc w:val="both"/>
      </w:pPr>
    </w:p>
    <w:p w14:paraId="0D46E84D" w14:textId="77777777" w:rsidR="00D530A4" w:rsidRDefault="00D530A4" w:rsidP="00697F07">
      <w:pPr>
        <w:spacing w:line="260" w:lineRule="exact"/>
        <w:jc w:val="both"/>
      </w:pPr>
      <w:r>
        <w:t>Posrednik se za prekršek kaznuje, če (46. in 47. toč</w:t>
      </w:r>
      <w:r w:rsidR="001F3C33">
        <w:t>ka prvega odstavka 397. člena ZD</w:t>
      </w:r>
      <w:r>
        <w:t xml:space="preserve">avP-2):  </w:t>
      </w:r>
    </w:p>
    <w:p w14:paraId="744A933B" w14:textId="77777777" w:rsidR="00D530A4" w:rsidRDefault="00D530A4" w:rsidP="00697F07">
      <w:pPr>
        <w:pStyle w:val="Odstavekseznama"/>
        <w:numPr>
          <w:ilvl w:val="0"/>
          <w:numId w:val="2"/>
        </w:numPr>
        <w:spacing w:line="260" w:lineRule="exact"/>
        <w:jc w:val="both"/>
      </w:pPr>
      <w:r>
        <w:t>podatkov o aranžmaju in rednih poročil ne predloži, ali če ti niso predloženi v roku;</w:t>
      </w:r>
    </w:p>
    <w:p w14:paraId="6BFF46A7" w14:textId="77777777" w:rsidR="00D530A4" w:rsidRDefault="00D530A4" w:rsidP="00697F07">
      <w:pPr>
        <w:pStyle w:val="Odstavekseznama"/>
        <w:numPr>
          <w:ilvl w:val="0"/>
          <w:numId w:val="2"/>
        </w:numPr>
        <w:spacing w:line="260" w:lineRule="exact"/>
        <w:jc w:val="both"/>
      </w:pPr>
      <w:r>
        <w:t xml:space="preserve">ne obvesti drugega posrednika ali zadevnega davčnega zavezanca o uporabi privilegija zaupnosti in o obveznosti poročanja; </w:t>
      </w:r>
    </w:p>
    <w:p w14:paraId="3B465733" w14:textId="77777777" w:rsidR="006B28DF" w:rsidRDefault="006B28DF" w:rsidP="00697F07">
      <w:pPr>
        <w:spacing w:line="260" w:lineRule="exact"/>
        <w:jc w:val="both"/>
      </w:pPr>
    </w:p>
    <w:p w14:paraId="148C13F9" w14:textId="77777777" w:rsidR="00702CDB" w:rsidRDefault="00702CDB" w:rsidP="00697F07">
      <w:pPr>
        <w:spacing w:line="260" w:lineRule="exact"/>
        <w:jc w:val="both"/>
        <w:rPr>
          <w:b/>
        </w:rPr>
      </w:pPr>
      <w:r w:rsidRPr="00D530A4">
        <w:rPr>
          <w:b/>
        </w:rPr>
        <w:t>Zadevni davčni zavezanci:</w:t>
      </w:r>
    </w:p>
    <w:p w14:paraId="5CE70621" w14:textId="77777777" w:rsidR="00697F07" w:rsidRPr="00D530A4" w:rsidRDefault="00697F07" w:rsidP="00697F07">
      <w:pPr>
        <w:spacing w:line="260" w:lineRule="exact"/>
        <w:jc w:val="both"/>
        <w:rPr>
          <w:b/>
        </w:rPr>
      </w:pPr>
    </w:p>
    <w:p w14:paraId="25E3158D" w14:textId="77777777" w:rsidR="006B28DF" w:rsidRDefault="006B28DF" w:rsidP="00697F07">
      <w:pPr>
        <w:spacing w:line="260" w:lineRule="exact"/>
        <w:jc w:val="both"/>
      </w:pPr>
      <w:r>
        <w:t>Če zadevni davčni zavezanec</w:t>
      </w:r>
      <w:r w:rsidR="00D530A4">
        <w:t xml:space="preserve"> posameznik</w:t>
      </w:r>
      <w:r>
        <w:t xml:space="preserve"> ne predloži podatkov o čezmejnem aranžmaju, o katerem se poroča, ali jih ne predloži v roku oziroma jih ne predloži vsako leto, ko aranžma uporablja (prvi in drugi od</w:t>
      </w:r>
      <w:r w:rsidR="00D530A4">
        <w:t>s</w:t>
      </w:r>
      <w:r>
        <w:t>t</w:t>
      </w:r>
      <w:r w:rsidR="00D530A4">
        <w:t>a</w:t>
      </w:r>
      <w:r>
        <w:t>vek 255.š člena ter četrti odstavek 255.t člena</w:t>
      </w:r>
      <w:r w:rsidR="00AD6130">
        <w:t xml:space="preserve"> ZDavP-2</w:t>
      </w:r>
      <w:r>
        <w:t>), se kaznuje z globo 250 do 400 EUR (7. točka 394. člena ZDavP-2).</w:t>
      </w:r>
    </w:p>
    <w:p w14:paraId="13BE9BD7" w14:textId="77777777" w:rsidR="00D530A4" w:rsidRDefault="00D530A4" w:rsidP="00697F07">
      <w:pPr>
        <w:spacing w:line="260" w:lineRule="exact"/>
        <w:jc w:val="both"/>
      </w:pPr>
    </w:p>
    <w:p w14:paraId="126D43E0" w14:textId="77777777" w:rsidR="00D530A4" w:rsidRDefault="00D530A4" w:rsidP="00697F07">
      <w:pPr>
        <w:spacing w:line="260" w:lineRule="exact"/>
        <w:jc w:val="both"/>
      </w:pPr>
      <w:r>
        <w:t>V prim</w:t>
      </w:r>
      <w:r w:rsidR="0025127D">
        <w:t>e</w:t>
      </w:r>
      <w:r>
        <w:t xml:space="preserve">rih, ko se za zadevnega davčnega zavezanca šteje samostojni podjetnik posameznik, posameznik, ki samostojno opravlja dejavnost ali pravna oseba, ne predloži podatkov ali pa jih ne predloži v roku (48. točka 397. člena ZDavP-2), veljajo globe, kot so opisane </w:t>
      </w:r>
      <w:r w:rsidR="0025127D">
        <w:t xml:space="preserve">zgoraj v rubriki za posrednike. </w:t>
      </w:r>
    </w:p>
    <w:p w14:paraId="04D1A7C5" w14:textId="77777777" w:rsidR="001D6B08" w:rsidRDefault="001D6B08" w:rsidP="00697F07">
      <w:pPr>
        <w:spacing w:line="260" w:lineRule="exact"/>
        <w:rPr>
          <w:rFonts w:eastAsiaTheme="minorHAnsi"/>
          <w:b/>
          <w:kern w:val="32"/>
          <w:sz w:val="22"/>
          <w:szCs w:val="22"/>
          <w:lang w:eastAsia="sl-SI"/>
        </w:rPr>
      </w:pPr>
      <w:bookmarkStart w:id="29" w:name="_Toc26529061"/>
      <w:bookmarkEnd w:id="29"/>
      <w:r>
        <w:br w:type="page"/>
      </w:r>
    </w:p>
    <w:p w14:paraId="7A1DD74D" w14:textId="77777777" w:rsidR="00B0537B" w:rsidRPr="002D4764" w:rsidRDefault="00B0537B" w:rsidP="00697F07">
      <w:pPr>
        <w:pStyle w:val="Naslov1"/>
        <w:spacing w:line="260" w:lineRule="exact"/>
        <w:rPr>
          <w:lang w:val="sl-SI"/>
        </w:rPr>
      </w:pPr>
      <w:bookmarkStart w:id="30" w:name="_Toc75160013"/>
      <w:r w:rsidRPr="002D4764">
        <w:rPr>
          <w:lang w:val="sl-SI"/>
        </w:rPr>
        <w:lastRenderedPageBreak/>
        <w:t>DOLŽNA SKRBNOST</w:t>
      </w:r>
      <w:r w:rsidR="00102470" w:rsidRPr="002D4764">
        <w:rPr>
          <w:lang w:val="sl-SI"/>
        </w:rPr>
        <w:t xml:space="preserve"> OZIROMA DOLŽNO RAVNANJE POSREDNIKA</w:t>
      </w:r>
      <w:bookmarkEnd w:id="30"/>
    </w:p>
    <w:p w14:paraId="65D9A1A7" w14:textId="77777777" w:rsidR="005A1E05" w:rsidRPr="00D454C7" w:rsidRDefault="005A1E05" w:rsidP="00697F07">
      <w:pPr>
        <w:pStyle w:val="Naslov2"/>
      </w:pPr>
      <w:bookmarkStart w:id="31" w:name="_Toc75160014"/>
      <w:r w:rsidRPr="00D454C7">
        <w:t>Dolžna skrbnost oziroma dolžno ravnanje posrednika</w:t>
      </w:r>
      <w:bookmarkEnd w:id="31"/>
    </w:p>
    <w:p w14:paraId="691B6718" w14:textId="77777777" w:rsidR="00875F6A" w:rsidRDefault="00875F6A" w:rsidP="00697F07">
      <w:pPr>
        <w:spacing w:line="260" w:lineRule="exact"/>
      </w:pPr>
    </w:p>
    <w:p w14:paraId="5B4F0558" w14:textId="77777777" w:rsidR="005F61BD" w:rsidRDefault="00A04C22" w:rsidP="00697F07">
      <w:pPr>
        <w:spacing w:line="260" w:lineRule="exact"/>
        <w:jc w:val="both"/>
      </w:pPr>
      <w:r>
        <w:t>Posredniki poročajo podatke, ki ji</w:t>
      </w:r>
      <w:r w:rsidR="009C0FC6">
        <w:t>h imajo. Za nam</w:t>
      </w:r>
      <w:r>
        <w:t>e</w:t>
      </w:r>
      <w:r w:rsidR="009C0FC6">
        <w:t>n</w:t>
      </w:r>
      <w:r>
        <w:t>e DAC6 por</w:t>
      </w:r>
      <w:r w:rsidR="005330EC">
        <w:t xml:space="preserve">očanja podatkov iz člena 248.c </w:t>
      </w:r>
      <w:r w:rsidR="00AD6130">
        <w:t xml:space="preserve">ZDavP-  2 </w:t>
      </w:r>
      <w:r w:rsidR="005330EC">
        <w:t xml:space="preserve">(podatki, </w:t>
      </w:r>
      <w:r>
        <w:t>ki se poročajo</w:t>
      </w:r>
      <w:r w:rsidR="005330EC">
        <w:t>)</w:t>
      </w:r>
      <w:r>
        <w:t xml:space="preserve">, niso zavezani, da bi aktivno raziskovali in pridobivali podatke, če le-teh že nimajo v svoji posesti. </w:t>
      </w:r>
      <w:r w:rsidR="00935DB0">
        <w:t>Navedeno velja tako za osebe, ki oblikujejo in tržijo aranžmaje, kot tudi za vse druge osebe, ki se ob upoštevanju ustreznih dejstev in okoliščin ter na podlagi razpoložljivih informacij in ustreznega znanja zavedajo, ali bi bilo zanje upravičeno pričakovati, da se zaveda</w:t>
      </w:r>
      <w:r w:rsidR="007C4EAC">
        <w:t>jo</w:t>
      </w:r>
      <w:r w:rsidR="00935DB0">
        <w:t xml:space="preserve">, da neposredno ali posredno </w:t>
      </w:r>
      <w:r w:rsidR="00D454C7">
        <w:t>sodel</w:t>
      </w:r>
      <w:r w:rsidR="00935DB0">
        <w:t xml:space="preserve">ujejo v aranžmaju, o katerem se poroča (torej isto velja za posrednike iz prvega in iz drugega odstavka 255.o člena ZDavP-2). </w:t>
      </w:r>
    </w:p>
    <w:p w14:paraId="018CE3F4" w14:textId="77777777" w:rsidR="00A04C22" w:rsidRDefault="00A04C22" w:rsidP="00697F07">
      <w:pPr>
        <w:spacing w:line="260" w:lineRule="exact"/>
        <w:jc w:val="both"/>
      </w:pPr>
    </w:p>
    <w:p w14:paraId="1511B919" w14:textId="77777777" w:rsidR="00935DB0" w:rsidRDefault="00A04C22" w:rsidP="00697F07">
      <w:pPr>
        <w:spacing w:line="260" w:lineRule="exact"/>
        <w:jc w:val="both"/>
      </w:pPr>
      <w:r>
        <w:t>V tem kontekstu se torej ne pričakuje, da bodo posredniki izvajali obsežne posebne postopke dolžne skrbnosti za to, da bi ugotovili, ali aranžma izpol</w:t>
      </w:r>
      <w:r w:rsidR="007C4EAC">
        <w:t>n</w:t>
      </w:r>
      <w:r>
        <w:t xml:space="preserve">juje pogoje za poročanje. </w:t>
      </w:r>
      <w:r w:rsidR="00E9717A">
        <w:t>M</w:t>
      </w:r>
      <w:r>
        <w:t>orajo</w:t>
      </w:r>
      <w:r w:rsidR="00E9717A">
        <w:t xml:space="preserve"> pa</w:t>
      </w:r>
      <w:r>
        <w:t xml:space="preserve"> biti opravljeni vsi </w:t>
      </w:r>
      <w:r w:rsidR="00E9717A">
        <w:t xml:space="preserve">običajni </w:t>
      </w:r>
      <w:r w:rsidR="005F61BD">
        <w:t xml:space="preserve">in ustaljeni </w:t>
      </w:r>
      <w:r>
        <w:t>postopki, kot sicer veljajo za zadevni tip transakc</w:t>
      </w:r>
      <w:r w:rsidR="009C0FC6">
        <w:t>ije in zadevne davčne zavezance:</w:t>
      </w:r>
      <w:r w:rsidR="00935DB0">
        <w:t xml:space="preserve"> posrednik se ne more zagovarjati, da </w:t>
      </w:r>
      <w:r w:rsidR="005F61BD">
        <w:t xml:space="preserve">ni razpolagal z vsemi informacijami ali da se ni zavedal, da sodeluje v aranžmaju, če v določeni zadevi namenoma ni zastavil vseh tistih vprašanj, ki bi jih v tovrstnih zadevah sicer postavil.  </w:t>
      </w:r>
      <w:r w:rsidR="009C0FC6">
        <w:t xml:space="preserve"> </w:t>
      </w:r>
      <w:r>
        <w:t xml:space="preserve"> </w:t>
      </w:r>
    </w:p>
    <w:p w14:paraId="63F6A310" w14:textId="77777777" w:rsidR="005F61BD" w:rsidRDefault="005F61BD" w:rsidP="00697F07">
      <w:pPr>
        <w:spacing w:line="260" w:lineRule="exact"/>
      </w:pPr>
    </w:p>
    <w:p w14:paraId="07DA7DE3" w14:textId="77777777" w:rsidR="0079473C" w:rsidRDefault="0079473C" w:rsidP="00697F07">
      <w:pPr>
        <w:spacing w:line="260" w:lineRule="exact"/>
        <w:jc w:val="both"/>
      </w:pPr>
      <w:r>
        <w:t>Iz dometa poročanja ni mogoče vnaprej in/ali kategorično izločiti posameznih vrst gospodarskih subjektov glede na dejavnost, ki jo opravlja</w:t>
      </w:r>
      <w:r w:rsidR="00E9717A">
        <w:t>jo</w:t>
      </w:r>
      <w:r>
        <w:t xml:space="preserve"> (ali glede storitev, ki se zagotovijo v okviru aranžmaja). Tako, na primer, finančne institucije opr</w:t>
      </w:r>
      <w:r w:rsidR="001C568A">
        <w:t>avljajo vrsto rutinskih (</w:t>
      </w:r>
      <w:r w:rsidR="007C4EAC">
        <w:t>bančnih</w:t>
      </w:r>
      <w:r w:rsidR="001C568A">
        <w:t>) transakcij. O</w:t>
      </w:r>
      <w:r>
        <w:t>d posameznega bančnega uslužbenca, ki izvaja tovrs</w:t>
      </w:r>
      <w:r w:rsidR="006F6A8A">
        <w:t>t</w:t>
      </w:r>
      <w:r>
        <w:t>na rutinska opravila, se ne pričakuje, da bi poznal vse releva</w:t>
      </w:r>
      <w:r w:rsidR="007C4EAC">
        <w:t>ntne okoliščine in informacije v</w:t>
      </w:r>
      <w:r>
        <w:t xml:space="preserve"> povezavi z aranžmajem, niti se ne pričakuje, da ima zadostno strokovno znanje, da bi v teh okoliščin</w:t>
      </w:r>
      <w:r w:rsidR="001C568A">
        <w:t>ah prepoznal, da gre za aranžma. Z</w:t>
      </w:r>
      <w:r>
        <w:t>aradi tega po vsebinskem preizkusu ne bi bil zajet v definiciji posrednika</w:t>
      </w:r>
      <w:r w:rsidR="001C568A">
        <w:t>,</w:t>
      </w:r>
      <w:r>
        <w:t xml:space="preserve"> niti ne bi razpolagal z zadostnimi informacijami za prepoznavo aranžmaja. </w:t>
      </w:r>
      <w:r w:rsidR="001C568A">
        <w:t xml:space="preserve">Lahko pa se tveganja, ki predstavljajo prepoznavne značilnosti za DAC6 poročanje, odkrijejo pri </w:t>
      </w:r>
      <w:r>
        <w:t>zahtevnejših storitvah, ki po naravi pred</w:t>
      </w:r>
      <w:r w:rsidR="00D454C7">
        <w:t>p</w:t>
      </w:r>
      <w:r>
        <w:t>ostavljajo individualno obravnavo stranke</w:t>
      </w:r>
      <w:r w:rsidR="001C568A">
        <w:t xml:space="preserve">. </w:t>
      </w:r>
      <w:r>
        <w:t xml:space="preserve"> </w:t>
      </w:r>
    </w:p>
    <w:p w14:paraId="641C19D2" w14:textId="77777777" w:rsidR="00AA2BDE" w:rsidRDefault="00AA2BDE" w:rsidP="00697F07">
      <w:pPr>
        <w:spacing w:line="260" w:lineRule="exact"/>
        <w:jc w:val="both"/>
      </w:pPr>
    </w:p>
    <w:p w14:paraId="25177B83" w14:textId="77777777" w:rsidR="00AA2BDE" w:rsidRDefault="00AA2BDE" w:rsidP="00697F07">
      <w:pPr>
        <w:spacing w:line="260" w:lineRule="exact"/>
        <w:jc w:val="both"/>
      </w:pPr>
      <w:r>
        <w:t xml:space="preserve">Posredniki lahko tveganja, zajeta v prepoznavnih značilnostih, zaznavajo v okviru obstoječih internih kontrolnih postopkov </w:t>
      </w:r>
      <w:r w:rsidR="005330EC">
        <w:t>in postopkov poznavanja strank. O</w:t>
      </w:r>
      <w:r>
        <w:t xml:space="preserve"> takšnih zaznanih davčnih tveganjih bodo morali posredniki poročati. </w:t>
      </w:r>
    </w:p>
    <w:p w14:paraId="10EA0B7D" w14:textId="77777777" w:rsidR="00D454C7" w:rsidRDefault="00853430" w:rsidP="00697F07">
      <w:pPr>
        <w:pStyle w:val="Naslov2"/>
      </w:pPr>
      <w:bookmarkStart w:id="32" w:name="_Toc75160015"/>
      <w:r>
        <w:t xml:space="preserve">Dodelitev </w:t>
      </w:r>
      <w:r w:rsidR="00F27554">
        <w:t xml:space="preserve">identifikacijske </w:t>
      </w:r>
      <w:r>
        <w:t>številke aranžmaja</w:t>
      </w:r>
      <w:r w:rsidR="00C65063">
        <w:t xml:space="preserve"> in razkritja, </w:t>
      </w:r>
      <w:r>
        <w:t xml:space="preserve"> </w:t>
      </w:r>
      <w:r w:rsidR="003E60C9">
        <w:t>o</w:t>
      </w:r>
      <w:r w:rsidR="00D454C7">
        <w:t>bveščanje o dodeljeni številki aranžmaja</w:t>
      </w:r>
      <w:r w:rsidR="00C65063">
        <w:t xml:space="preserve"> in razkritja</w:t>
      </w:r>
      <w:bookmarkEnd w:id="32"/>
    </w:p>
    <w:p w14:paraId="7DC7650A" w14:textId="77777777" w:rsidR="00D454C7" w:rsidRDefault="00D454C7" w:rsidP="00697F07">
      <w:pPr>
        <w:spacing w:line="260" w:lineRule="exact"/>
      </w:pPr>
    </w:p>
    <w:p w14:paraId="657C3E65" w14:textId="77777777" w:rsidR="00996A93" w:rsidRDefault="00996A93" w:rsidP="00697F07">
      <w:pPr>
        <w:spacing w:line="260" w:lineRule="exact"/>
        <w:jc w:val="both"/>
      </w:pPr>
      <w:r>
        <w:t>Poseben vidik dolžnega ravnanja po</w:t>
      </w:r>
      <w:r w:rsidR="00E01194">
        <w:t>ročevalcev</w:t>
      </w:r>
      <w:r>
        <w:t xml:space="preserve"> se nan</w:t>
      </w:r>
      <w:r w:rsidR="007C4EAC">
        <w:t>a</w:t>
      </w:r>
      <w:r>
        <w:t xml:space="preserve">ša tudi na </w:t>
      </w:r>
      <w:r w:rsidR="00305E8F">
        <w:t>obveščanje</w:t>
      </w:r>
      <w:r w:rsidR="00853430">
        <w:t xml:space="preserve"> </w:t>
      </w:r>
      <w:r w:rsidR="005330EC">
        <w:t xml:space="preserve">med </w:t>
      </w:r>
      <w:r w:rsidR="00E01194">
        <w:t>poročevalci oziroma udelež</w:t>
      </w:r>
      <w:r w:rsidR="00791D99">
        <w:t>e</w:t>
      </w:r>
      <w:r w:rsidR="00E01194">
        <w:t>nci aranžmaja</w:t>
      </w:r>
      <w:r w:rsidR="005330EC">
        <w:t>.</w:t>
      </w:r>
    </w:p>
    <w:p w14:paraId="6A729C01" w14:textId="77777777" w:rsidR="00996A93" w:rsidRDefault="00996A93" w:rsidP="00697F07">
      <w:pPr>
        <w:spacing w:line="260" w:lineRule="exact"/>
        <w:jc w:val="both"/>
      </w:pPr>
    </w:p>
    <w:p w14:paraId="49D7C11B" w14:textId="77777777" w:rsidR="00ED5AE4" w:rsidRDefault="00ED5AE4" w:rsidP="00697F07">
      <w:pPr>
        <w:spacing w:line="260" w:lineRule="exact"/>
        <w:jc w:val="both"/>
      </w:pPr>
      <w:r>
        <w:t>Če je v isti aranžma vključenih več posrednikov</w:t>
      </w:r>
      <w:r w:rsidR="005330EC">
        <w:t>, morajo podatke predložiti vsi. P</w:t>
      </w:r>
      <w:r w:rsidR="00996A93">
        <w:t>o</w:t>
      </w:r>
      <w:r>
        <w:t xml:space="preserve">srednik je </w:t>
      </w:r>
      <w:r w:rsidR="005330EC">
        <w:t xml:space="preserve">namreč </w:t>
      </w:r>
      <w:r>
        <w:t xml:space="preserve">oproščen predložitve podatkov le, če lahko dokaže, da je iste podatke predložil drug posrednik (1. odstavek </w:t>
      </w:r>
      <w:r w:rsidR="00577F4D">
        <w:t>255.t</w:t>
      </w:r>
      <w:r>
        <w:t xml:space="preserve"> člena ZDavP-2).</w:t>
      </w:r>
    </w:p>
    <w:p w14:paraId="7518147A" w14:textId="77777777" w:rsidR="00ED5AE4" w:rsidRDefault="00ED5AE4" w:rsidP="00697F07">
      <w:pPr>
        <w:spacing w:line="260" w:lineRule="exact"/>
        <w:jc w:val="both"/>
      </w:pPr>
    </w:p>
    <w:p w14:paraId="37D68D33" w14:textId="77777777" w:rsidR="00996A93" w:rsidRDefault="00853430" w:rsidP="00697F07">
      <w:pPr>
        <w:spacing w:line="260" w:lineRule="exact"/>
        <w:jc w:val="both"/>
      </w:pPr>
      <w:r>
        <w:t xml:space="preserve">Ob prvem poročanju o posameznem čezmejnem aranžmaju se aranžmaju dodeli </w:t>
      </w:r>
      <w:r w:rsidR="00AD6130">
        <w:t>referenčna/</w:t>
      </w:r>
      <w:r>
        <w:t>identifikacijska številka aranžmaja (</w:t>
      </w:r>
      <w:r w:rsidR="000F298B">
        <w:t xml:space="preserve">Arrangement ID </w:t>
      </w:r>
      <w:r>
        <w:t>v nadaljevanju A-ID) in pri vsakem naslednjem poročanju o tem aranžmaju se mora obvezno uporabiti dodeljena A-ID</w:t>
      </w:r>
      <w:r w:rsidR="00E07711">
        <w:t>, ko</w:t>
      </w:r>
      <w:r w:rsidR="00DA02AE">
        <w:t>t je bilo predhodno že opisano v točki</w:t>
      </w:r>
      <w:r w:rsidR="00625E0F">
        <w:t xml:space="preserve"> 3.6</w:t>
      </w:r>
      <w:r w:rsidR="005330EC">
        <w:t xml:space="preserve"> tega dokumenta</w:t>
      </w:r>
      <w:r w:rsidR="00DA02AE">
        <w:t>, ki se nanaša na način pr</w:t>
      </w:r>
      <w:r w:rsidR="00466A7E">
        <w:t>e</w:t>
      </w:r>
      <w:r w:rsidR="00DA02AE">
        <w:t>dložitve podatkov Finančni upravi RS</w:t>
      </w:r>
      <w:r w:rsidR="00625E0F">
        <w:t>.</w:t>
      </w:r>
      <w:r w:rsidR="00E07711" w:rsidDel="00E07711">
        <w:t xml:space="preserve"> </w:t>
      </w:r>
    </w:p>
    <w:p w14:paraId="3CF3A130" w14:textId="77777777" w:rsidR="00C65063" w:rsidRDefault="00C65063" w:rsidP="00C65063">
      <w:pPr>
        <w:spacing w:line="260" w:lineRule="exact"/>
        <w:jc w:val="both"/>
        <w:rPr>
          <w:rFonts w:cs="Arial"/>
          <w:szCs w:val="20"/>
        </w:rPr>
      </w:pPr>
    </w:p>
    <w:p w14:paraId="697B8919" w14:textId="77777777" w:rsidR="00C65063" w:rsidRDefault="00C65063" w:rsidP="00C65063">
      <w:pPr>
        <w:spacing w:line="260" w:lineRule="exact"/>
        <w:jc w:val="both"/>
        <w:rPr>
          <w:rFonts w:cs="Arial"/>
          <w:szCs w:val="20"/>
        </w:rPr>
      </w:pPr>
      <w:r>
        <w:rPr>
          <w:rFonts w:cs="Arial"/>
          <w:szCs w:val="20"/>
        </w:rPr>
        <w:t xml:space="preserve">Ravno tako </w:t>
      </w:r>
      <w:r w:rsidRPr="007200C1">
        <w:rPr>
          <w:rFonts w:cs="Arial"/>
          <w:szCs w:val="20"/>
        </w:rPr>
        <w:t>F</w:t>
      </w:r>
      <w:r>
        <w:rPr>
          <w:rFonts w:cs="Arial"/>
          <w:szCs w:val="20"/>
        </w:rPr>
        <w:t xml:space="preserve">URS </w:t>
      </w:r>
      <w:r w:rsidRPr="007200C1">
        <w:rPr>
          <w:rFonts w:cs="Arial"/>
          <w:szCs w:val="20"/>
        </w:rPr>
        <w:t xml:space="preserve"> ob </w:t>
      </w:r>
      <w:r>
        <w:rPr>
          <w:rFonts w:cs="Arial"/>
          <w:szCs w:val="20"/>
        </w:rPr>
        <w:t>vsakem p</w:t>
      </w:r>
      <w:r w:rsidRPr="007200C1">
        <w:rPr>
          <w:rFonts w:cs="Arial"/>
          <w:szCs w:val="20"/>
        </w:rPr>
        <w:t>oročanju</w:t>
      </w:r>
      <w:r>
        <w:rPr>
          <w:rFonts w:cs="Arial"/>
          <w:szCs w:val="20"/>
        </w:rPr>
        <w:t xml:space="preserve"> razkritja </w:t>
      </w:r>
      <w:r w:rsidRPr="007200C1">
        <w:rPr>
          <w:rFonts w:cs="Arial"/>
          <w:szCs w:val="20"/>
        </w:rPr>
        <w:t>podatkov</w:t>
      </w:r>
      <w:r>
        <w:rPr>
          <w:rFonts w:cs="Arial"/>
          <w:szCs w:val="20"/>
        </w:rPr>
        <w:t xml:space="preserve">, ki so del </w:t>
      </w:r>
      <w:r w:rsidRPr="007200C1">
        <w:rPr>
          <w:rFonts w:cs="Arial"/>
          <w:szCs w:val="20"/>
        </w:rPr>
        <w:t>čezmejn</w:t>
      </w:r>
      <w:r>
        <w:rPr>
          <w:rFonts w:cs="Arial"/>
          <w:szCs w:val="20"/>
        </w:rPr>
        <w:t>ega</w:t>
      </w:r>
      <w:r w:rsidRPr="007200C1">
        <w:rPr>
          <w:rFonts w:cs="Arial"/>
          <w:szCs w:val="20"/>
        </w:rPr>
        <w:t xml:space="preserve"> aranžmaj</w:t>
      </w:r>
      <w:r>
        <w:rPr>
          <w:rFonts w:cs="Arial"/>
          <w:szCs w:val="20"/>
        </w:rPr>
        <w:t>a</w:t>
      </w:r>
      <w:r w:rsidRPr="007200C1">
        <w:rPr>
          <w:rFonts w:cs="Arial"/>
          <w:szCs w:val="20"/>
        </w:rPr>
        <w:t xml:space="preserve">, o katerem se poroča, </w:t>
      </w:r>
      <w:r>
        <w:rPr>
          <w:rFonts w:cs="Arial"/>
          <w:szCs w:val="20"/>
        </w:rPr>
        <w:t xml:space="preserve">razkritju </w:t>
      </w:r>
      <w:r w:rsidRPr="007200C1">
        <w:rPr>
          <w:rFonts w:cs="Arial"/>
          <w:szCs w:val="20"/>
        </w:rPr>
        <w:t xml:space="preserve">dodeli referenčno številko, ki je enolična identifikacijska številka </w:t>
      </w:r>
      <w:r>
        <w:rPr>
          <w:rFonts w:cs="Arial"/>
          <w:szCs w:val="20"/>
        </w:rPr>
        <w:t>razkritja</w:t>
      </w:r>
      <w:r w:rsidRPr="007200C1">
        <w:rPr>
          <w:rFonts w:cs="Arial"/>
          <w:szCs w:val="20"/>
        </w:rPr>
        <w:t xml:space="preserve"> (</w:t>
      </w:r>
      <w:r>
        <w:rPr>
          <w:rFonts w:cs="Arial"/>
          <w:szCs w:val="20"/>
        </w:rPr>
        <w:t>Disclosure</w:t>
      </w:r>
      <w:r w:rsidRPr="007200C1">
        <w:rPr>
          <w:rFonts w:cs="Arial"/>
          <w:szCs w:val="20"/>
        </w:rPr>
        <w:t xml:space="preserve"> ID</w:t>
      </w:r>
      <w:r>
        <w:rPr>
          <w:rFonts w:cs="Arial"/>
          <w:szCs w:val="20"/>
        </w:rPr>
        <w:t>, v nadaljevanju D-ID</w:t>
      </w:r>
      <w:r w:rsidRPr="007200C1">
        <w:rPr>
          <w:rFonts w:cs="Arial"/>
          <w:szCs w:val="20"/>
        </w:rPr>
        <w:t>).</w:t>
      </w:r>
    </w:p>
    <w:p w14:paraId="43477C0B" w14:textId="77777777" w:rsidR="00C65063" w:rsidRDefault="00C65063" w:rsidP="00697F07">
      <w:pPr>
        <w:spacing w:line="260" w:lineRule="exact"/>
        <w:jc w:val="both"/>
      </w:pPr>
    </w:p>
    <w:p w14:paraId="286E846B" w14:textId="77777777" w:rsidR="00C666E9" w:rsidRDefault="00E01194" w:rsidP="00697F07">
      <w:pPr>
        <w:spacing w:line="260" w:lineRule="exact"/>
        <w:jc w:val="both"/>
      </w:pPr>
      <w:r>
        <w:lastRenderedPageBreak/>
        <w:t>Če mora podatke o istem čezmejnem aranžmaju, o katerem se poroča</w:t>
      </w:r>
      <w:r w:rsidR="00A46802">
        <w:t>,</w:t>
      </w:r>
      <w:r>
        <w:t xml:space="preserve"> poročati več kot en posrednik ali zadevni davčni zavezanec, mora dodeljeno A-ID številko ter povzetek vsebine </w:t>
      </w:r>
      <w:r w:rsidR="00A9029E">
        <w:t>poročevalec najpozneje v petih dneh sporočiti drugim posrednikom in zadevnim davčnim zavezancem, ki sodelujejo v aranžmaju.</w:t>
      </w:r>
    </w:p>
    <w:p w14:paraId="32DACF38" w14:textId="77777777" w:rsidR="00E01194" w:rsidRDefault="00E01194" w:rsidP="00697F07">
      <w:pPr>
        <w:spacing w:line="260" w:lineRule="exact"/>
        <w:jc w:val="both"/>
      </w:pPr>
    </w:p>
    <w:p w14:paraId="0F4C62BA" w14:textId="77777777" w:rsidR="00996A93" w:rsidRDefault="00996A93" w:rsidP="00697F07">
      <w:pPr>
        <w:spacing w:line="260" w:lineRule="exact"/>
        <w:jc w:val="both"/>
      </w:pPr>
      <w:r>
        <w:t>Če vsak izmed preostalih posredniko</w:t>
      </w:r>
      <w:r w:rsidR="007C4EAC">
        <w:t xml:space="preserve">v </w:t>
      </w:r>
      <w:r w:rsidR="00A9029E">
        <w:t xml:space="preserve">oziroma zadevnih davčnih zavezancev, ki so dolžni poročati o tem aranžmaju, </w:t>
      </w:r>
      <w:r w:rsidR="007C4EAC">
        <w:t>razpolaga</w:t>
      </w:r>
      <w:r>
        <w:t xml:space="preserve"> z </w:t>
      </w:r>
      <w:r w:rsidR="00C65063">
        <w:t>zgoraj navedenimi elementi</w:t>
      </w:r>
      <w:r w:rsidR="00A9029E">
        <w:t xml:space="preserve"> (in je iz vsebine poročila mogoče nedvoumno zaključiti, da so poročani vsi relevantni podatki)</w:t>
      </w:r>
      <w:r w:rsidR="00C65063">
        <w:t>,</w:t>
      </w:r>
      <w:r>
        <w:t xml:space="preserve"> se to šteje kot dokaz, da je iste podatke že predložil drug posrednik</w:t>
      </w:r>
      <w:r w:rsidR="00A9029E">
        <w:t xml:space="preserve"> oziroma zadevni davčni zavezanec. </w:t>
      </w:r>
      <w:r>
        <w:t xml:space="preserve"> </w:t>
      </w:r>
    </w:p>
    <w:p w14:paraId="007422B6" w14:textId="77777777" w:rsidR="001D6B08" w:rsidRDefault="001D6B08" w:rsidP="00697F07">
      <w:pPr>
        <w:spacing w:line="260" w:lineRule="exact"/>
        <w:jc w:val="both"/>
      </w:pPr>
    </w:p>
    <w:p w14:paraId="026448E2" w14:textId="77777777" w:rsidR="00B477B9" w:rsidRDefault="00B477B9" w:rsidP="00697F07">
      <w:pPr>
        <w:pStyle w:val="Naslov2"/>
      </w:pPr>
      <w:bookmarkStart w:id="33" w:name="_Toc75160016"/>
      <w:r>
        <w:t>Primeri: pridobivanje dodatnih informacij o aranžmaju</w:t>
      </w:r>
      <w:bookmarkEnd w:id="33"/>
    </w:p>
    <w:p w14:paraId="5C4CB262" w14:textId="77777777" w:rsidR="00B477B9" w:rsidRDefault="00B477B9" w:rsidP="00697F07">
      <w:pPr>
        <w:spacing w:line="260" w:lineRule="exact"/>
      </w:pPr>
    </w:p>
    <w:p w14:paraId="05644C5B" w14:textId="77777777" w:rsidR="00B477B9" w:rsidRPr="003254C2" w:rsidRDefault="00B477B9" w:rsidP="00697F07">
      <w:pPr>
        <w:pStyle w:val="Odstavekseznama"/>
        <w:numPr>
          <w:ilvl w:val="0"/>
          <w:numId w:val="35"/>
        </w:numPr>
        <w:spacing w:line="260" w:lineRule="exact"/>
        <w:jc w:val="both"/>
        <w:rPr>
          <w:i/>
        </w:rPr>
      </w:pPr>
      <w:r w:rsidRPr="003254C2">
        <w:rPr>
          <w:i/>
        </w:rPr>
        <w:t xml:space="preserve">Posrednik, rezident RS poda davčni nasvet v zvezi s transakcijo, ki se bo implementirala v </w:t>
      </w:r>
      <w:r w:rsidR="00BC5770" w:rsidRPr="003254C2">
        <w:rPr>
          <w:i/>
        </w:rPr>
        <w:t>S</w:t>
      </w:r>
      <w:r w:rsidRPr="003254C2">
        <w:rPr>
          <w:i/>
        </w:rPr>
        <w:t>loveniji, pri čemer:</w:t>
      </w:r>
    </w:p>
    <w:p w14:paraId="73D1F5C1" w14:textId="77777777" w:rsidR="003254C2" w:rsidRPr="003254C2" w:rsidRDefault="003254C2" w:rsidP="00697F07">
      <w:pPr>
        <w:pStyle w:val="Odstavekseznama"/>
        <w:spacing w:line="260" w:lineRule="exact"/>
        <w:jc w:val="both"/>
        <w:rPr>
          <w:i/>
        </w:rPr>
      </w:pPr>
    </w:p>
    <w:p w14:paraId="58CDDDE1" w14:textId="77777777" w:rsidR="00BC5770" w:rsidRPr="003254C2" w:rsidRDefault="00BC5770" w:rsidP="00697F07">
      <w:pPr>
        <w:pStyle w:val="Odstavekseznama"/>
        <w:numPr>
          <w:ilvl w:val="0"/>
          <w:numId w:val="36"/>
        </w:numPr>
        <w:spacing w:line="260" w:lineRule="exact"/>
        <w:ind w:left="1276" w:hanging="567"/>
        <w:jc w:val="both"/>
        <w:rPr>
          <w:i/>
        </w:rPr>
      </w:pPr>
      <w:r w:rsidRPr="003254C2">
        <w:rPr>
          <w:i/>
        </w:rPr>
        <w:t>aranžma vsebuje več transakcij;</w:t>
      </w:r>
    </w:p>
    <w:p w14:paraId="6CC5E8D0" w14:textId="77777777" w:rsidR="00BC5770" w:rsidRPr="003254C2" w:rsidRDefault="00BC5770" w:rsidP="00697F07">
      <w:pPr>
        <w:pStyle w:val="Odstavekseznama"/>
        <w:numPr>
          <w:ilvl w:val="0"/>
          <w:numId w:val="36"/>
        </w:numPr>
        <w:spacing w:line="260" w:lineRule="exact"/>
        <w:ind w:left="1276" w:hanging="567"/>
        <w:jc w:val="both"/>
        <w:rPr>
          <w:i/>
        </w:rPr>
      </w:pPr>
      <w:r w:rsidRPr="003254C2">
        <w:rPr>
          <w:i/>
        </w:rPr>
        <w:t>pri oblikovanju aranžmaja davčnemu zavezanc</w:t>
      </w:r>
      <w:r w:rsidR="008374EC" w:rsidRPr="003254C2">
        <w:rPr>
          <w:i/>
        </w:rPr>
        <w:t>u svetujejo zunanji svetovalci (</w:t>
      </w:r>
      <w:r w:rsidRPr="003254C2">
        <w:rPr>
          <w:i/>
        </w:rPr>
        <w:t>ali pa je aranžma razvil zavezanec sam);</w:t>
      </w:r>
    </w:p>
    <w:p w14:paraId="7F8158DD" w14:textId="77777777" w:rsidR="00B477B9" w:rsidRPr="003254C2" w:rsidRDefault="00B477B9" w:rsidP="00697F07">
      <w:pPr>
        <w:pStyle w:val="Odstavekseznama"/>
        <w:numPr>
          <w:ilvl w:val="0"/>
          <w:numId w:val="36"/>
        </w:numPr>
        <w:spacing w:line="260" w:lineRule="exact"/>
        <w:ind w:left="1276" w:hanging="567"/>
        <w:jc w:val="both"/>
        <w:rPr>
          <w:i/>
        </w:rPr>
      </w:pPr>
      <w:r w:rsidRPr="003254C2">
        <w:rPr>
          <w:i/>
        </w:rPr>
        <w:t xml:space="preserve">aranžma kot celota </w:t>
      </w:r>
      <w:r w:rsidR="005330EC">
        <w:rPr>
          <w:i/>
        </w:rPr>
        <w:t xml:space="preserve">je </w:t>
      </w:r>
      <w:r w:rsidRPr="003254C2">
        <w:rPr>
          <w:i/>
        </w:rPr>
        <w:t>čezmejni aranžma, o katerem se poroča: to dejstvo ni v celoti potrjeno, obstaja pa sum;</w:t>
      </w:r>
    </w:p>
    <w:p w14:paraId="203B064E" w14:textId="77777777" w:rsidR="00B477B9" w:rsidRPr="003254C2" w:rsidRDefault="00B477B9" w:rsidP="00697F07">
      <w:pPr>
        <w:pStyle w:val="Odstavekseznama"/>
        <w:numPr>
          <w:ilvl w:val="0"/>
          <w:numId w:val="36"/>
        </w:numPr>
        <w:spacing w:line="260" w:lineRule="exact"/>
        <w:ind w:left="1276" w:hanging="567"/>
        <w:jc w:val="both"/>
        <w:rPr>
          <w:i/>
        </w:rPr>
      </w:pPr>
      <w:r w:rsidRPr="003254C2">
        <w:rPr>
          <w:i/>
        </w:rPr>
        <w:t>transakcija (kot del celotnega aranžmaja) nima prepoznavnih značilnosti iz Direktive;</w:t>
      </w:r>
    </w:p>
    <w:p w14:paraId="136DA718" w14:textId="77777777" w:rsidR="00B477B9" w:rsidRPr="003254C2" w:rsidRDefault="00B477B9" w:rsidP="00697F07">
      <w:pPr>
        <w:pStyle w:val="Odstavekseznama"/>
        <w:numPr>
          <w:ilvl w:val="0"/>
          <w:numId w:val="36"/>
        </w:numPr>
        <w:spacing w:line="260" w:lineRule="exact"/>
        <w:ind w:left="1276" w:hanging="567"/>
        <w:jc w:val="both"/>
        <w:rPr>
          <w:i/>
        </w:rPr>
      </w:pPr>
      <w:r w:rsidRPr="003254C2">
        <w:rPr>
          <w:i/>
        </w:rPr>
        <w:t>informacije</w:t>
      </w:r>
      <w:r w:rsidR="00BC5770" w:rsidRPr="003254C2">
        <w:rPr>
          <w:i/>
        </w:rPr>
        <w:t>,</w:t>
      </w:r>
      <w:r w:rsidRPr="003254C2">
        <w:rPr>
          <w:i/>
        </w:rPr>
        <w:t xml:space="preserve"> ki jih davčni za</w:t>
      </w:r>
      <w:r w:rsidR="00BC5770" w:rsidRPr="003254C2">
        <w:rPr>
          <w:i/>
        </w:rPr>
        <w:t>v</w:t>
      </w:r>
      <w:r w:rsidRPr="003254C2">
        <w:rPr>
          <w:i/>
        </w:rPr>
        <w:t>ezane</w:t>
      </w:r>
      <w:r w:rsidR="00BC5770" w:rsidRPr="003254C2">
        <w:rPr>
          <w:i/>
        </w:rPr>
        <w:t>c</w:t>
      </w:r>
      <w:r w:rsidRPr="003254C2">
        <w:rPr>
          <w:i/>
        </w:rPr>
        <w:t xml:space="preserve"> ali zunanji svetoval</w:t>
      </w:r>
      <w:r w:rsidR="00BC5770" w:rsidRPr="003254C2">
        <w:rPr>
          <w:i/>
        </w:rPr>
        <w:t>ec, ki oblikuje celoten aranžma,</w:t>
      </w:r>
      <w:r w:rsidRPr="003254C2">
        <w:rPr>
          <w:i/>
        </w:rPr>
        <w:t xml:space="preserve"> razkrije posredniku, so bodisi omejene izključno na trans</w:t>
      </w:r>
      <w:r w:rsidR="007C4EAC" w:rsidRPr="003254C2">
        <w:rPr>
          <w:i/>
        </w:rPr>
        <w:t>ak</w:t>
      </w:r>
      <w:r w:rsidRPr="003254C2">
        <w:rPr>
          <w:i/>
        </w:rPr>
        <w:t>cijo, ki se poroča</w:t>
      </w:r>
      <w:r w:rsidR="007C4EAC" w:rsidRPr="003254C2">
        <w:rPr>
          <w:i/>
        </w:rPr>
        <w:t>, bodisi posrednik nima dovolj</w:t>
      </w:r>
      <w:r w:rsidRPr="003254C2">
        <w:rPr>
          <w:i/>
        </w:rPr>
        <w:t xml:space="preserve"> </w:t>
      </w:r>
      <w:r w:rsidR="007C4EAC" w:rsidRPr="003254C2">
        <w:rPr>
          <w:i/>
        </w:rPr>
        <w:t>i</w:t>
      </w:r>
      <w:r w:rsidRPr="003254C2">
        <w:rPr>
          <w:i/>
        </w:rPr>
        <w:t>nformacij za presojo, ali je celotni aranžma kot celota del poročanja.</w:t>
      </w:r>
    </w:p>
    <w:p w14:paraId="70B00581" w14:textId="77777777" w:rsidR="00B477B9" w:rsidRPr="003254C2" w:rsidRDefault="00B477B9" w:rsidP="00697F07">
      <w:pPr>
        <w:spacing w:line="260" w:lineRule="exact"/>
        <w:jc w:val="both"/>
        <w:rPr>
          <w:i/>
        </w:rPr>
      </w:pPr>
    </w:p>
    <w:p w14:paraId="2BD01223" w14:textId="77777777" w:rsidR="00B477B9" w:rsidRPr="003254C2" w:rsidRDefault="00B477B9" w:rsidP="00697F07">
      <w:pPr>
        <w:tabs>
          <w:tab w:val="left" w:pos="142"/>
        </w:tabs>
        <w:spacing w:line="260" w:lineRule="exact"/>
        <w:ind w:left="709"/>
        <w:jc w:val="both"/>
        <w:rPr>
          <w:i/>
        </w:rPr>
      </w:pPr>
      <w:r w:rsidRPr="003254C2">
        <w:rPr>
          <w:i/>
        </w:rPr>
        <w:t>Ali mora posrednik v RS, ki je svetoval v zvezi s to transakcijo od davčnega zavezanca oziroma od posrednika, ki razvija aranžma, zahtevati podatke o celotnem čezmejnem aranžmaju, ki bi posredniku omogočile oceno, ali obstaja obveznost poročanja? Ali mora posrednik poročati o transakcijah, glede katerih nimajo dovolj informacij za potrditev ut</w:t>
      </w:r>
      <w:r w:rsidR="00CF5555" w:rsidRPr="003254C2">
        <w:rPr>
          <w:i/>
        </w:rPr>
        <w:t>em</w:t>
      </w:r>
      <w:r w:rsidR="007C4EAC" w:rsidRPr="003254C2">
        <w:rPr>
          <w:i/>
        </w:rPr>
        <w:t>e</w:t>
      </w:r>
      <w:r w:rsidR="00CF5555" w:rsidRPr="003254C2">
        <w:rPr>
          <w:i/>
        </w:rPr>
        <w:t>ljenosti suma?</w:t>
      </w:r>
    </w:p>
    <w:p w14:paraId="68548E52" w14:textId="77777777" w:rsidR="00B477B9" w:rsidRDefault="00B477B9" w:rsidP="00697F07">
      <w:pPr>
        <w:spacing w:line="260" w:lineRule="exact"/>
        <w:jc w:val="both"/>
      </w:pPr>
    </w:p>
    <w:p w14:paraId="0EE4D62E" w14:textId="77777777" w:rsidR="00E07711" w:rsidRDefault="003254C2" w:rsidP="00697F07">
      <w:pPr>
        <w:spacing w:line="260" w:lineRule="exact"/>
        <w:ind w:left="709"/>
        <w:jc w:val="both"/>
      </w:pPr>
      <w:r>
        <w:t>V</w:t>
      </w:r>
      <w:r w:rsidR="00B477B9">
        <w:t xml:space="preserve"> danem primeru so o čezmejnem aranžmaju dolžni poročati vsi posredniki, ki so vključeni v aranžma: </w:t>
      </w:r>
    </w:p>
    <w:p w14:paraId="7BF955E2" w14:textId="77777777" w:rsidR="003254C2" w:rsidRDefault="003254C2" w:rsidP="00697F07">
      <w:pPr>
        <w:spacing w:line="260" w:lineRule="exact"/>
        <w:ind w:left="709"/>
        <w:jc w:val="both"/>
      </w:pPr>
    </w:p>
    <w:p w14:paraId="2760C1A1" w14:textId="77777777" w:rsidR="00E07711" w:rsidRDefault="00B477B9" w:rsidP="00697F07">
      <w:pPr>
        <w:pStyle w:val="Odstavekseznama"/>
        <w:numPr>
          <w:ilvl w:val="0"/>
          <w:numId w:val="37"/>
        </w:numPr>
        <w:spacing w:line="260" w:lineRule="exact"/>
        <w:ind w:left="1276" w:hanging="567"/>
        <w:jc w:val="both"/>
      </w:pPr>
      <w:r>
        <w:t>posrednik, ki je zasnoval aranžma kot celoto (to j</w:t>
      </w:r>
      <w:r w:rsidR="008374EC">
        <w:t xml:space="preserve">e </w:t>
      </w:r>
      <w:r>
        <w:t xml:space="preserve">posrednik iz prvega odstavka </w:t>
      </w:r>
      <w:r w:rsidR="00577F4D">
        <w:t>255.o</w:t>
      </w:r>
      <w:r>
        <w:t xml:space="preserve"> člena</w:t>
      </w:r>
      <w:r w:rsidR="00AD6130">
        <w:t xml:space="preserve"> ZDavP-2</w:t>
      </w:r>
      <w:r>
        <w:t>) in</w:t>
      </w:r>
    </w:p>
    <w:p w14:paraId="45F10126" w14:textId="77777777" w:rsidR="00E07711" w:rsidRDefault="00B477B9" w:rsidP="00697F07">
      <w:pPr>
        <w:pStyle w:val="Odstavekseznama"/>
        <w:numPr>
          <w:ilvl w:val="0"/>
          <w:numId w:val="37"/>
        </w:numPr>
        <w:spacing w:line="260" w:lineRule="exact"/>
        <w:ind w:left="1276" w:hanging="567"/>
        <w:jc w:val="both"/>
      </w:pPr>
      <w:r>
        <w:t>posrednik rezident RS (ki se v tem pr</w:t>
      </w:r>
      <w:r w:rsidR="00CF5555">
        <w:t>imeru šteje kot posrednik iz dru</w:t>
      </w:r>
      <w:r>
        <w:t xml:space="preserve">gega odstavka </w:t>
      </w:r>
      <w:r w:rsidR="00577F4D">
        <w:t>255.o</w:t>
      </w:r>
      <w:r w:rsidR="008374EC">
        <w:t xml:space="preserve"> člena ZDavP-2). </w:t>
      </w:r>
    </w:p>
    <w:p w14:paraId="49C5E978" w14:textId="77777777" w:rsidR="00E07711" w:rsidRDefault="00E07711" w:rsidP="00697F07">
      <w:pPr>
        <w:pStyle w:val="Odstavekseznama"/>
        <w:spacing w:line="260" w:lineRule="exact"/>
        <w:ind w:left="709"/>
        <w:jc w:val="both"/>
      </w:pPr>
    </w:p>
    <w:p w14:paraId="489A7231" w14:textId="77777777" w:rsidR="00BC5770" w:rsidRDefault="008374EC" w:rsidP="00697F07">
      <w:pPr>
        <w:pStyle w:val="Odstavekseznama"/>
        <w:spacing w:line="260" w:lineRule="exact"/>
        <w:ind w:left="709"/>
        <w:jc w:val="both"/>
      </w:pPr>
      <w:r>
        <w:t>Očitno</w:t>
      </w:r>
      <w:r w:rsidR="00B477B9">
        <w:t xml:space="preserve"> posrednik rezident </w:t>
      </w:r>
      <w:r w:rsidR="00BC5770">
        <w:t xml:space="preserve">RS </w:t>
      </w:r>
      <w:r w:rsidR="00B477B9">
        <w:t>v dani situaciji</w:t>
      </w:r>
      <w:r w:rsidR="00BC5770">
        <w:t>, ob ustaljenem načinu priprave davčnih nasvetov,</w:t>
      </w:r>
      <w:r w:rsidR="00B477B9">
        <w:t xml:space="preserve"> razpolaga z zadostnimi informacijami, da se </w:t>
      </w:r>
      <w:r w:rsidR="00BC5770">
        <w:t>zaved</w:t>
      </w:r>
      <w:r w:rsidR="00B477B9">
        <w:t>a sodelovanja oziroma nudenja pomoči pri izvedbi aranžmaja</w:t>
      </w:r>
      <w:r w:rsidR="00853430">
        <w:t xml:space="preserve"> oziroma, da je v aranžmaju zaznal pris</w:t>
      </w:r>
      <w:r w:rsidR="005330EC">
        <w:t>otnost prepoznavne značilnosti. V</w:t>
      </w:r>
      <w:r w:rsidR="00853430">
        <w:t xml:space="preserve"> tem oziru se ne zahteva </w:t>
      </w:r>
      <w:r w:rsidR="00EF2AD1">
        <w:t xml:space="preserve">določena stopnja verjetnosti (npr. </w:t>
      </w:r>
      <w:r w:rsidR="00853430">
        <w:t>utemeljen sum</w:t>
      </w:r>
      <w:r w:rsidR="00EF2AD1">
        <w:t>)</w:t>
      </w:r>
      <w:r w:rsidR="00853430">
        <w:t>, ampak zadostuje zaznava prisotnosti prepoznavne značilnosti</w:t>
      </w:r>
      <w:r w:rsidR="00EF2AD1">
        <w:t>, ki jo je posrednik sposoben dovolj jasno konkretizirati</w:t>
      </w:r>
      <w:r w:rsidR="00853430">
        <w:t xml:space="preserve"> – opredelitev le te je tudi eden izmed elementov poročanja, kar zadostuje za vzpostavitev (in izpolnitev) obveznosti poročanja po DA</w:t>
      </w:r>
      <w:r w:rsidR="00AD6130">
        <w:t>C</w:t>
      </w:r>
      <w:r w:rsidR="00853430">
        <w:t>6.</w:t>
      </w:r>
      <w:r w:rsidR="00BC5770">
        <w:t xml:space="preserve"> Koliko (dodatnih) informacij bo posrednik rezide</w:t>
      </w:r>
      <w:r w:rsidR="00865D24">
        <w:t>n</w:t>
      </w:r>
      <w:r w:rsidR="00BC5770">
        <w:t>t RS pridobil</w:t>
      </w:r>
      <w:r>
        <w:t>,</w:t>
      </w:r>
      <w:r w:rsidR="00BC5770">
        <w:t xml:space="preserve"> je odvisno od njegovega operativnega načina dela </w:t>
      </w:r>
      <w:r w:rsidR="00CF5555">
        <w:t xml:space="preserve">in </w:t>
      </w:r>
      <w:r>
        <w:t>celovitosti opravljeni</w:t>
      </w:r>
      <w:r w:rsidR="00865D24">
        <w:t>h</w:t>
      </w:r>
      <w:r>
        <w:t xml:space="preserve"> </w:t>
      </w:r>
      <w:r w:rsidR="00865D24">
        <w:t xml:space="preserve">storitev. </w:t>
      </w:r>
      <w:r w:rsidR="00BC5770">
        <w:t xml:space="preserve">S tem je izpolnjen pogoj </w:t>
      </w:r>
      <w:r w:rsidR="00EF2AD1">
        <w:t xml:space="preserve">za nastanek </w:t>
      </w:r>
      <w:r w:rsidR="00BC5770">
        <w:t xml:space="preserve">obveznosti poročanja. </w:t>
      </w:r>
      <w:r w:rsidR="00865D24">
        <w:t>Z drugimi besedami: posrednik, ki je eden od členov v verigi, ki tvori aranžma, se ne more izogniti poročanju zgolj zato, ker ne razpolaga z vsemi informacijami.</w:t>
      </w:r>
    </w:p>
    <w:p w14:paraId="681B9438" w14:textId="77777777" w:rsidR="00BC5770" w:rsidRDefault="00BC5770" w:rsidP="00697F07">
      <w:pPr>
        <w:spacing w:line="260" w:lineRule="exact"/>
        <w:jc w:val="both"/>
      </w:pPr>
    </w:p>
    <w:p w14:paraId="0512210F" w14:textId="77777777" w:rsidR="00865D24" w:rsidRDefault="00AA2BDE" w:rsidP="00697F07">
      <w:pPr>
        <w:spacing w:line="260" w:lineRule="exact"/>
        <w:ind w:left="709"/>
        <w:jc w:val="both"/>
      </w:pPr>
      <w:r>
        <w:lastRenderedPageBreak/>
        <w:t>V</w:t>
      </w:r>
      <w:r w:rsidR="00BC5770">
        <w:t xml:space="preserve"> povezavi z obsegom poročanih podatkov pa sta v tem primeru možni dve situaciji: posrednik (ali davčni zavezanec, ki je aranžma razvil), bo moral poročati o celotnem aranžmaju v državi članici rezidents</w:t>
      </w:r>
      <w:r w:rsidR="00865D24">
        <w:t>t</w:t>
      </w:r>
      <w:r w:rsidR="00BC5770">
        <w:t>va (oziroma ti</w:t>
      </w:r>
      <w:r w:rsidR="00865D24">
        <w:t>s</w:t>
      </w:r>
      <w:r w:rsidR="00BC5770">
        <w:t>ti državi, v kateri so navezne okoliščine</w:t>
      </w:r>
      <w:r w:rsidR="00AF23AF">
        <w:t xml:space="preserve"> – </w:t>
      </w:r>
      <w:r w:rsidR="00BC5770">
        <w:t>nexus</w:t>
      </w:r>
      <w:r w:rsidR="00AF23AF">
        <w:t xml:space="preserve"> – </w:t>
      </w:r>
      <w:r w:rsidR="00BC5770">
        <w:t>najmočnejše), posrednik rezident</w:t>
      </w:r>
      <w:r w:rsidR="00EF2AD1">
        <w:t xml:space="preserve"> RS</w:t>
      </w:r>
      <w:r w:rsidR="00BC5770">
        <w:t xml:space="preserve"> pa bo </w:t>
      </w:r>
      <w:r w:rsidR="00865D24">
        <w:t xml:space="preserve">poročal o podatkih, s katerimi razpolaga: to bo lahko celoten opis aranžmaja ali pa zgolj opis zadevne transakcije. V tem primeru bo </w:t>
      </w:r>
      <w:r w:rsidR="00E07711">
        <w:t xml:space="preserve">oseba, ki je prva poročala </w:t>
      </w:r>
      <w:r w:rsidR="00865D24">
        <w:t>svojemu pris</w:t>
      </w:r>
      <w:r w:rsidR="008374EC">
        <w:t>t</w:t>
      </w:r>
      <w:r w:rsidR="00865D24">
        <w:t>ojnemu organu in pridobil</w:t>
      </w:r>
      <w:r w:rsidR="00E07711">
        <w:t>a</w:t>
      </w:r>
      <w:r w:rsidR="00865D24">
        <w:t xml:space="preserve"> A-ID številko</w:t>
      </w:r>
      <w:r w:rsidR="00E07711">
        <w:t xml:space="preserve">, to A-ID posredovala vsem ostalim posrednikom, ki so vključeni v aranžma. </w:t>
      </w:r>
    </w:p>
    <w:p w14:paraId="238AE177" w14:textId="77777777" w:rsidR="00865D24" w:rsidRDefault="00865D24" w:rsidP="00697F07">
      <w:pPr>
        <w:spacing w:line="260" w:lineRule="exact"/>
        <w:ind w:left="709"/>
        <w:jc w:val="both"/>
      </w:pPr>
    </w:p>
    <w:p w14:paraId="21F861BB" w14:textId="30D0E638" w:rsidR="008374EC" w:rsidRDefault="00865D24" w:rsidP="00697F07">
      <w:pPr>
        <w:spacing w:line="260" w:lineRule="exact"/>
        <w:ind w:left="709"/>
        <w:jc w:val="both"/>
      </w:pPr>
      <w:r>
        <w:t>V izogib podvajanju posredovanja istih podatkov se lahko posrednika dogovorita, da bo poročal le posrednik, ki je aranžma oblikoval: v tem primeru mora posrednik navesti tudi vse identifikacijske podatke posrednika rezidenta RS in mu po uspešno oddanem razkritju podatkov posredovati tudi A-ID</w:t>
      </w:r>
      <w:r w:rsidR="000F298B">
        <w:t xml:space="preserve"> in D-ID</w:t>
      </w:r>
      <w:r w:rsidR="006A4AE9">
        <w:t xml:space="preserve"> </w:t>
      </w:r>
      <w:r>
        <w:t>številko</w:t>
      </w:r>
      <w:r w:rsidR="000F298B">
        <w:t xml:space="preserve"> ter povzetek vsebine čezmejnega aranžmaja, kar </w:t>
      </w:r>
      <w:r w:rsidR="00F27554">
        <w:t>predstavlja</w:t>
      </w:r>
      <w:r w:rsidR="006A4AE9">
        <w:t xml:space="preserve"> </w:t>
      </w:r>
      <w:r w:rsidR="000F298B">
        <w:t>kot dokazilo, da so bili podatki o čezmejnem aranžmaju o katerem se poroča, že poročani.</w:t>
      </w:r>
      <w:r w:rsidR="008374EC">
        <w:br w:type="page"/>
      </w:r>
    </w:p>
    <w:p w14:paraId="50CA120F" w14:textId="77777777" w:rsidR="00801D9E" w:rsidRPr="00801D9E" w:rsidRDefault="00102470" w:rsidP="00697F07">
      <w:pPr>
        <w:pStyle w:val="Naslov1"/>
        <w:spacing w:line="260" w:lineRule="exact"/>
      </w:pPr>
      <w:bookmarkStart w:id="34" w:name="_Toc75160017"/>
      <w:r w:rsidRPr="00A57D78">
        <w:lastRenderedPageBreak/>
        <w:t>PREPOZN</w:t>
      </w:r>
      <w:r w:rsidR="00447442" w:rsidRPr="00A57D78">
        <w:t>A</w:t>
      </w:r>
      <w:r w:rsidRPr="00A57D78">
        <w:t>VNE ZNAČILNOSTI (HALLMARKS)</w:t>
      </w:r>
      <w:bookmarkEnd w:id="34"/>
    </w:p>
    <w:p w14:paraId="73239C18" w14:textId="77777777" w:rsidR="002232D0" w:rsidRDefault="002232D0" w:rsidP="00697F07">
      <w:pPr>
        <w:spacing w:line="260" w:lineRule="exact"/>
        <w:rPr>
          <w:lang w:eastAsia="sl-SI"/>
        </w:rPr>
      </w:pPr>
    </w:p>
    <w:p w14:paraId="38282BF9" w14:textId="77777777" w:rsidR="008641E4" w:rsidRDefault="00796275" w:rsidP="00697F07">
      <w:pPr>
        <w:spacing w:line="260" w:lineRule="exact"/>
        <w:jc w:val="both"/>
        <w:rPr>
          <w:lang w:eastAsia="sl-SI"/>
        </w:rPr>
      </w:pPr>
      <w:r>
        <w:rPr>
          <w:lang w:eastAsia="sl-SI"/>
        </w:rPr>
        <w:t>Za namene DAC6 poročanja se aranžmaji, o katerih se poroča, prepoznavajo preko določenih posebnih lastnosti, in sicer t.i. prep</w:t>
      </w:r>
      <w:r w:rsidR="00AA2BDE">
        <w:rPr>
          <w:lang w:eastAsia="sl-SI"/>
        </w:rPr>
        <w:t>oznavnih z</w:t>
      </w:r>
      <w:r>
        <w:rPr>
          <w:lang w:eastAsia="sl-SI"/>
        </w:rPr>
        <w:t>n</w:t>
      </w:r>
      <w:r w:rsidR="00AA2BDE">
        <w:rPr>
          <w:lang w:eastAsia="sl-SI"/>
        </w:rPr>
        <w:t>a</w:t>
      </w:r>
      <w:r>
        <w:rPr>
          <w:lang w:eastAsia="sl-SI"/>
        </w:rPr>
        <w:t xml:space="preserve">čilnosti (Hallmarks). </w:t>
      </w:r>
      <w:r w:rsidR="00B6658F">
        <w:rPr>
          <w:lang w:eastAsia="sl-SI"/>
        </w:rPr>
        <w:t>Prepoznavna značilnost pomeni lastnost ali značilnost čezmejnega aranžmaja, ki nakazuje mo</w:t>
      </w:r>
      <w:r w:rsidR="002D7CA9">
        <w:rPr>
          <w:lang w:eastAsia="sl-SI"/>
        </w:rPr>
        <w:t>r</w:t>
      </w:r>
      <w:r w:rsidR="00B6658F">
        <w:rPr>
          <w:lang w:eastAsia="sl-SI"/>
        </w:rPr>
        <w:t>ebitno tveganje za izog</w:t>
      </w:r>
      <w:r w:rsidR="002D7CA9">
        <w:rPr>
          <w:lang w:eastAsia="sl-SI"/>
        </w:rPr>
        <w:t>i</w:t>
      </w:r>
      <w:r w:rsidR="00B6658F">
        <w:rPr>
          <w:lang w:eastAsia="sl-SI"/>
        </w:rPr>
        <w:t>banje davkom (1</w:t>
      </w:r>
      <w:r w:rsidR="00613E60">
        <w:rPr>
          <w:lang w:eastAsia="sl-SI"/>
        </w:rPr>
        <w:t>2</w:t>
      </w:r>
      <w:r w:rsidR="00B6658F">
        <w:rPr>
          <w:lang w:eastAsia="sl-SI"/>
        </w:rPr>
        <w:t xml:space="preserve">. točka </w:t>
      </w:r>
      <w:r w:rsidR="00577F4D">
        <w:rPr>
          <w:lang w:eastAsia="sl-SI"/>
        </w:rPr>
        <w:t>243.a</w:t>
      </w:r>
      <w:r w:rsidR="00B6658F">
        <w:rPr>
          <w:lang w:eastAsia="sl-SI"/>
        </w:rPr>
        <w:t xml:space="preserve"> člena Z</w:t>
      </w:r>
      <w:r w:rsidR="008374EC">
        <w:rPr>
          <w:lang w:eastAsia="sl-SI"/>
        </w:rPr>
        <w:t>D</w:t>
      </w:r>
      <w:r w:rsidR="00B6658F">
        <w:rPr>
          <w:lang w:eastAsia="sl-SI"/>
        </w:rPr>
        <w:t xml:space="preserve">avP-2). </w:t>
      </w:r>
      <w:r>
        <w:rPr>
          <w:lang w:eastAsia="sl-SI"/>
        </w:rPr>
        <w:t>Gre za vnaprej določene karakteristike korakov, poslov in drugih elementov čezm</w:t>
      </w:r>
      <w:r w:rsidR="00AA2BDE">
        <w:rPr>
          <w:lang w:eastAsia="sl-SI"/>
        </w:rPr>
        <w:t>ejnih aranžmajev, ki so razdeljeni v dve šir</w:t>
      </w:r>
      <w:r w:rsidR="00B6658F">
        <w:rPr>
          <w:lang w:eastAsia="sl-SI"/>
        </w:rPr>
        <w:t>š</w:t>
      </w:r>
      <w:r w:rsidR="00AA2BDE">
        <w:rPr>
          <w:lang w:eastAsia="sl-SI"/>
        </w:rPr>
        <w:t>i skupini,</w:t>
      </w:r>
      <w:r w:rsidR="000F0237">
        <w:rPr>
          <w:lang w:eastAsia="sl-SI"/>
        </w:rPr>
        <w:t xml:space="preserve"> </w:t>
      </w:r>
      <w:r w:rsidR="00AA2BDE">
        <w:rPr>
          <w:lang w:eastAsia="sl-SI"/>
        </w:rPr>
        <w:t>in sicer na splošne in</w:t>
      </w:r>
      <w:r w:rsidR="002D7CA9">
        <w:rPr>
          <w:lang w:eastAsia="sl-SI"/>
        </w:rPr>
        <w:t xml:space="preserve"> na</w:t>
      </w:r>
      <w:r w:rsidR="00AA2BDE">
        <w:rPr>
          <w:lang w:eastAsia="sl-SI"/>
        </w:rPr>
        <w:t xml:space="preserve"> posebne prepoznavne značilnosti.</w:t>
      </w:r>
      <w:r w:rsidR="00853430">
        <w:rPr>
          <w:lang w:eastAsia="sl-SI"/>
        </w:rPr>
        <w:t xml:space="preserve"> Še pomembnejše pa je razlikovanje v tem, ali se prepoznavna značilnost veže na preizkus glavne kori</w:t>
      </w:r>
      <w:r w:rsidR="00A04E37">
        <w:rPr>
          <w:lang w:eastAsia="sl-SI"/>
        </w:rPr>
        <w:t>s</w:t>
      </w:r>
      <w:r w:rsidR="00853430">
        <w:rPr>
          <w:lang w:eastAsia="sl-SI"/>
        </w:rPr>
        <w:t>ti, ali ne.</w:t>
      </w:r>
    </w:p>
    <w:p w14:paraId="782BAE9E" w14:textId="77777777" w:rsidR="00AA2BDE" w:rsidRDefault="00AA2BDE" w:rsidP="00697F07">
      <w:pPr>
        <w:spacing w:line="260" w:lineRule="exact"/>
        <w:jc w:val="both"/>
        <w:rPr>
          <w:lang w:eastAsia="sl-SI"/>
        </w:rPr>
      </w:pPr>
    </w:p>
    <w:p w14:paraId="3ED6E852" w14:textId="77777777" w:rsidR="002232D0" w:rsidRDefault="002232D0" w:rsidP="00697F07">
      <w:pPr>
        <w:spacing w:line="260" w:lineRule="exact"/>
        <w:jc w:val="both"/>
        <w:rPr>
          <w:lang w:eastAsia="sl-SI"/>
        </w:rPr>
      </w:pPr>
      <w:r>
        <w:rPr>
          <w:lang w:eastAsia="sl-SI"/>
        </w:rPr>
        <w:t xml:space="preserve">Prepoznavne značilnosti so določene v Prilogi </w:t>
      </w:r>
      <w:r w:rsidR="00CF5555">
        <w:rPr>
          <w:lang w:eastAsia="sl-SI"/>
        </w:rPr>
        <w:t>IV Direktive</w:t>
      </w:r>
      <w:r w:rsidR="00613E60">
        <w:rPr>
          <w:lang w:eastAsia="sl-SI"/>
        </w:rPr>
        <w:t>. Seznam se lahko po potrebi</w:t>
      </w:r>
      <w:r w:rsidR="00853430">
        <w:rPr>
          <w:lang w:eastAsia="sl-SI"/>
        </w:rPr>
        <w:t xml:space="preserve">, glede na zaznane nove pojavne oblike aranžmajev, tudi </w:t>
      </w:r>
      <w:r w:rsidR="00843909">
        <w:rPr>
          <w:lang w:eastAsia="sl-SI"/>
        </w:rPr>
        <w:t>dopolni (s spremembo D</w:t>
      </w:r>
      <w:r>
        <w:rPr>
          <w:lang w:eastAsia="sl-SI"/>
        </w:rPr>
        <w:t>irektive). Razdeljene so v pet skupin, in sicer na:</w:t>
      </w:r>
    </w:p>
    <w:p w14:paraId="559B749E" w14:textId="77777777" w:rsidR="002232D0" w:rsidRDefault="002232D0" w:rsidP="00697F07">
      <w:pPr>
        <w:spacing w:line="260" w:lineRule="exact"/>
        <w:jc w:val="both"/>
        <w:rPr>
          <w:lang w:eastAsia="sl-SI"/>
        </w:rPr>
      </w:pPr>
    </w:p>
    <w:p w14:paraId="47D5C1A4" w14:textId="77777777" w:rsidR="002232D0" w:rsidRPr="008374EC" w:rsidRDefault="002232D0" w:rsidP="00697F07">
      <w:pPr>
        <w:pStyle w:val="Odstavekseznama"/>
        <w:numPr>
          <w:ilvl w:val="0"/>
          <w:numId w:val="7"/>
        </w:numPr>
        <w:spacing w:line="260" w:lineRule="exact"/>
        <w:jc w:val="both"/>
        <w:rPr>
          <w:color w:val="000000" w:themeColor="text1"/>
          <w:lang w:val="it-IT"/>
        </w:rPr>
      </w:pPr>
      <w:r w:rsidRPr="002736E4">
        <w:rPr>
          <w:color w:val="000000" w:themeColor="text1"/>
        </w:rPr>
        <w:t xml:space="preserve">splošne in posebne prepoznavne značilnosti, povezane s testom glavne koristi (skupina A in B), </w:t>
      </w:r>
    </w:p>
    <w:p w14:paraId="6E728E29" w14:textId="77777777" w:rsidR="002232D0" w:rsidRPr="008374EC" w:rsidRDefault="002232D0" w:rsidP="00697F07">
      <w:pPr>
        <w:pStyle w:val="Odstavekseznama"/>
        <w:numPr>
          <w:ilvl w:val="0"/>
          <w:numId w:val="7"/>
        </w:numPr>
        <w:spacing w:line="260" w:lineRule="exact"/>
        <w:jc w:val="both"/>
        <w:rPr>
          <w:color w:val="000000" w:themeColor="text1"/>
          <w:lang w:val="it-IT"/>
        </w:rPr>
      </w:pPr>
      <w:r w:rsidRPr="002736E4">
        <w:rPr>
          <w:color w:val="000000" w:themeColor="text1"/>
        </w:rPr>
        <w:t xml:space="preserve">specifične prepoznavne značilnosti, povezane s </w:t>
      </w:r>
      <w:r>
        <w:rPr>
          <w:color w:val="000000" w:themeColor="text1"/>
        </w:rPr>
        <w:t>čez</w:t>
      </w:r>
      <w:r w:rsidRPr="002736E4">
        <w:rPr>
          <w:color w:val="000000" w:themeColor="text1"/>
        </w:rPr>
        <w:t xml:space="preserve">mejnimi transakcijami (skupina C), </w:t>
      </w:r>
    </w:p>
    <w:p w14:paraId="3BC4B614" w14:textId="77777777" w:rsidR="002232D0" w:rsidRPr="008374EC" w:rsidRDefault="002232D0" w:rsidP="00697F07">
      <w:pPr>
        <w:pStyle w:val="Odstavekseznama"/>
        <w:numPr>
          <w:ilvl w:val="0"/>
          <w:numId w:val="7"/>
        </w:numPr>
        <w:spacing w:line="260" w:lineRule="exact"/>
        <w:jc w:val="both"/>
        <w:rPr>
          <w:color w:val="000000" w:themeColor="text1"/>
          <w:lang w:val="it-IT"/>
        </w:rPr>
      </w:pPr>
      <w:r w:rsidRPr="002736E4">
        <w:rPr>
          <w:color w:val="000000" w:themeColor="text1"/>
        </w:rPr>
        <w:t xml:space="preserve">specifične prepoznavne značilnosti glede avtomatične izmenjave podatkov in dejanskim lastništvom (skupina D) in </w:t>
      </w:r>
    </w:p>
    <w:p w14:paraId="0489E86C" w14:textId="77777777" w:rsidR="002232D0" w:rsidRPr="008374EC" w:rsidRDefault="002232D0" w:rsidP="00697F07">
      <w:pPr>
        <w:pStyle w:val="Odstavekseznama"/>
        <w:numPr>
          <w:ilvl w:val="0"/>
          <w:numId w:val="7"/>
        </w:numPr>
        <w:spacing w:line="260" w:lineRule="exact"/>
        <w:jc w:val="both"/>
        <w:rPr>
          <w:color w:val="000000" w:themeColor="text1"/>
          <w:lang w:val="it-IT"/>
        </w:rPr>
      </w:pPr>
      <w:r w:rsidRPr="002736E4">
        <w:rPr>
          <w:color w:val="000000" w:themeColor="text1"/>
        </w:rPr>
        <w:t xml:space="preserve">specifične prepoznavne značilnosti, povezane s transfernimi cenami (skupina E). </w:t>
      </w:r>
    </w:p>
    <w:p w14:paraId="39A631D4" w14:textId="77777777" w:rsidR="00AA2BDE" w:rsidRDefault="00AA2BDE" w:rsidP="00697F07">
      <w:pPr>
        <w:spacing w:line="260" w:lineRule="exact"/>
        <w:jc w:val="both"/>
      </w:pPr>
    </w:p>
    <w:p w14:paraId="37D26D81" w14:textId="77777777" w:rsidR="00AA2BDE" w:rsidRDefault="00AA2BDE" w:rsidP="00697F07">
      <w:pPr>
        <w:spacing w:line="260" w:lineRule="exact"/>
        <w:jc w:val="both"/>
        <w:rPr>
          <w:rFonts w:cs="Arial"/>
          <w:color w:val="FF0000"/>
        </w:rPr>
      </w:pPr>
      <w:r>
        <w:t xml:space="preserve">Čezmejni aranžmaji so torej definirani skozi prepoznavne značilnosti: na ta način sta določena vsebina in obseg poročanja. </w:t>
      </w:r>
      <w:r w:rsidR="007C4EAC">
        <w:t>Koncept poročanja in s tem opis</w:t>
      </w:r>
      <w:r>
        <w:t xml:space="preserve"> </w:t>
      </w:r>
      <w:r w:rsidR="007D2BA6">
        <w:t>p</w:t>
      </w:r>
      <w:r>
        <w:t>r</w:t>
      </w:r>
      <w:r w:rsidR="007D2BA6">
        <w:t>epo</w:t>
      </w:r>
      <w:r w:rsidR="007C4EAC">
        <w:t>znavnih značilnosti</w:t>
      </w:r>
      <w:r>
        <w:t xml:space="preserve"> je zastavljen</w:t>
      </w:r>
      <w:r w:rsidR="007C4EAC">
        <w:t xml:space="preserve"> šir</w:t>
      </w:r>
      <w:r>
        <w:t>oko, da se v čim večji meri</w:t>
      </w:r>
      <w:r w:rsidR="000F0237">
        <w:t xml:space="preserve"> </w:t>
      </w:r>
      <w:r w:rsidR="00853430">
        <w:t xml:space="preserve">zajame aranžmaje, </w:t>
      </w:r>
      <w:r w:rsidR="000F0237">
        <w:t xml:space="preserve">ki </w:t>
      </w:r>
      <w:r w:rsidR="00853430">
        <w:t xml:space="preserve">bi te značilnosti vsebovali, in s tem </w:t>
      </w:r>
      <w:r>
        <w:t>prepreči izogibanje</w:t>
      </w:r>
      <w:r w:rsidR="007D2BA6">
        <w:t xml:space="preserve"> obveznosti poročanja. V tem konteks</w:t>
      </w:r>
      <w:r w:rsidR="00FC44F4">
        <w:t>tu prepoznavne značilnosti pred</w:t>
      </w:r>
      <w:r w:rsidR="007D2BA6">
        <w:t>s</w:t>
      </w:r>
      <w:r w:rsidR="00FC44F4">
        <w:t>tav</w:t>
      </w:r>
      <w:r w:rsidR="007D2BA6">
        <w:t xml:space="preserve">ljajo </w:t>
      </w:r>
      <w:r w:rsidR="008374EC">
        <w:t>nedoločni pravni pojem (</w:t>
      </w:r>
      <w:r w:rsidR="007D2BA6">
        <w:t>pravni standard</w:t>
      </w:r>
      <w:r w:rsidR="008374EC" w:rsidRPr="000C2D63">
        <w:t>)</w:t>
      </w:r>
      <w:r w:rsidR="007D2BA6" w:rsidRPr="000C2D63">
        <w:t>,</w:t>
      </w:r>
      <w:r w:rsidR="000C2D63" w:rsidRPr="000C2D63">
        <w:t xml:space="preserve"> </w:t>
      </w:r>
      <w:r w:rsidR="000C2D63" w:rsidRPr="000C2D63">
        <w:rPr>
          <w:rFonts w:cs="Arial"/>
        </w:rPr>
        <w:t>ki mu je treba v vsakem posamičnem primeru dati pravi pomen z ugotovitvijo vseh relevantnih okoliščin</w:t>
      </w:r>
      <w:r w:rsidR="00853430">
        <w:rPr>
          <w:rFonts w:cs="Arial"/>
        </w:rPr>
        <w:t>, ki napolni vsebino abstraktne prepoznavne značilnosti</w:t>
      </w:r>
      <w:r w:rsidR="00C666E9">
        <w:rPr>
          <w:rFonts w:cs="Arial"/>
        </w:rPr>
        <w:t xml:space="preserve">. </w:t>
      </w:r>
      <w:r w:rsidR="000C2D63">
        <w:rPr>
          <w:rFonts w:cs="Arial"/>
          <w:color w:val="FF0000"/>
        </w:rPr>
        <w:t xml:space="preserve"> </w:t>
      </w:r>
    </w:p>
    <w:p w14:paraId="1EBFBF63" w14:textId="77777777" w:rsidR="00613E60" w:rsidRDefault="00613E60" w:rsidP="00697F07">
      <w:pPr>
        <w:spacing w:line="260" w:lineRule="exact"/>
        <w:jc w:val="both"/>
        <w:rPr>
          <w:rFonts w:cs="Arial"/>
          <w:color w:val="FF0000"/>
        </w:rPr>
      </w:pPr>
    </w:p>
    <w:p w14:paraId="3D1E046B" w14:textId="77777777" w:rsidR="002F06F8" w:rsidRPr="005A1E05" w:rsidRDefault="00077DD6" w:rsidP="00697F07">
      <w:pPr>
        <w:pStyle w:val="Naslov2"/>
      </w:pPr>
      <w:bookmarkStart w:id="35" w:name="_Toc75160018"/>
      <w:r>
        <w:t>PRESKUS GLAVNE KORISTI</w:t>
      </w:r>
      <w:bookmarkEnd w:id="35"/>
    </w:p>
    <w:p w14:paraId="439C5357" w14:textId="77777777" w:rsidR="002F06F8" w:rsidRDefault="002F06F8" w:rsidP="00697F07">
      <w:pPr>
        <w:spacing w:line="260" w:lineRule="exact"/>
      </w:pPr>
    </w:p>
    <w:p w14:paraId="5F35FB9B" w14:textId="77777777" w:rsidR="002F06F8" w:rsidRDefault="002F06F8" w:rsidP="00697F07">
      <w:pPr>
        <w:spacing w:line="260" w:lineRule="exact"/>
        <w:jc w:val="both"/>
      </w:pPr>
      <w:r>
        <w:t xml:space="preserve">Nekatere izmed prepoznavnih značilnosti so vezane na izpolnjevanje testa glavne koristi, t.i. Main benefit test. Gre za splošne prepoznavne značilnosti kategorije A ter posebne prepoznavne značilnosti kategorije B. </w:t>
      </w:r>
    </w:p>
    <w:p w14:paraId="350262B2" w14:textId="77777777" w:rsidR="002F06F8" w:rsidRDefault="002F06F8" w:rsidP="00697F07">
      <w:pPr>
        <w:spacing w:line="260" w:lineRule="exact"/>
        <w:jc w:val="both"/>
      </w:pPr>
    </w:p>
    <w:p w14:paraId="37910408" w14:textId="77777777" w:rsidR="002F06F8" w:rsidRDefault="002F06F8" w:rsidP="00697F07">
      <w:pPr>
        <w:spacing w:line="260" w:lineRule="exact"/>
        <w:jc w:val="both"/>
      </w:pPr>
      <w:r>
        <w:t xml:space="preserve">Test glavne koristi se uporabi tudi pri prepoznavnih značilnostih iz točk (b)(i), (c) in (d) odstavka 1 kategorije C. Pri tem je potrebno poudariti, da zgolj obstoj pogojev iz teh točk sam po sebi ne more biti razlog za zaključek, da je rezultat preskusa glavne koristi aranžmaja pozitiven.  </w:t>
      </w:r>
    </w:p>
    <w:p w14:paraId="515477AE" w14:textId="77777777" w:rsidR="002F06F8" w:rsidRDefault="002F06F8" w:rsidP="00697F07">
      <w:pPr>
        <w:spacing w:line="260" w:lineRule="exact"/>
      </w:pPr>
    </w:p>
    <w:p w14:paraId="308020B5" w14:textId="77777777" w:rsidR="002F06F8" w:rsidRDefault="002F06F8" w:rsidP="00697F07">
      <w:pPr>
        <w:spacing w:line="260" w:lineRule="exact"/>
        <w:jc w:val="both"/>
      </w:pPr>
      <w:r>
        <w:t>Preskus glavne koristi deluje kot filter pri določanju, kateri aranžmaji se poročajo in kateri ne. Določene prepoznavne značilnosti (Kateg</w:t>
      </w:r>
      <w:r w:rsidR="00613E60">
        <w:t>orija A, B in C1 (b(i), c in  d</w:t>
      </w:r>
      <w:r>
        <w:t>) namreč dobijo davčno relevantnost zgolj ob po</w:t>
      </w:r>
      <w:r w:rsidR="000F0237">
        <w:t xml:space="preserve">zitivnem testu glavne koristi. </w:t>
      </w:r>
      <w:r>
        <w:t xml:space="preserve">Namen testa ni iskanje oziroma določanje subjektivnih motivov pri izvedbi aranžmaja, temveč zagotavljanje okvira, znotraj katerega se presojajo objektivna dejstva in okoliščine. Rezultat testa bo pozitiven, če je glavna korist ali ena od glavnih koristi, ki jo uporabnik lahko pričakuje od aranžmaja, pridobitev davčne koristi. </w:t>
      </w:r>
    </w:p>
    <w:p w14:paraId="3E739912" w14:textId="77777777" w:rsidR="002F06F8" w:rsidRDefault="002F06F8" w:rsidP="00697F07">
      <w:pPr>
        <w:spacing w:line="260" w:lineRule="exact"/>
      </w:pPr>
    </w:p>
    <w:p w14:paraId="73C40ECB" w14:textId="77777777" w:rsidR="002F06F8" w:rsidRDefault="002F06F8" w:rsidP="00697F07">
      <w:pPr>
        <w:spacing w:line="260" w:lineRule="exact"/>
        <w:jc w:val="both"/>
      </w:pPr>
      <w:r>
        <w:t xml:space="preserve">Povedano drugače: test glavne koristi je pridobitev davčne koristi, ki jo lahko glede na vse okoliščine razumno pričakujemo. Razumno pričakovanje je torej objektivni kriterij, ki pomeni, da lahko povprečna oseba, ki so ji znana vsa dejstva, razumno pričakuje davčno korist kot učinek aranžmaja. </w:t>
      </w:r>
    </w:p>
    <w:p w14:paraId="437877FC" w14:textId="77777777" w:rsidR="002F06F8" w:rsidRDefault="002F06F8" w:rsidP="00697F07">
      <w:pPr>
        <w:spacing w:line="260" w:lineRule="exact"/>
      </w:pPr>
    </w:p>
    <w:p w14:paraId="7F9FCA4C" w14:textId="77777777" w:rsidR="00613E60" w:rsidRDefault="002F06F8" w:rsidP="00697F07">
      <w:pPr>
        <w:spacing w:line="260" w:lineRule="exact"/>
        <w:jc w:val="both"/>
      </w:pPr>
      <w:r>
        <w:t>Za glavno korist ali eno izmed njih gre, kadar uporabnik (torej v tem primeru davčni zavezanec) pričakuje takšne koristi, da brez njih aranžma verjetno ne bi bil implementiran. Davčna korist v tem kontekstu je lahko vsaka sprememba glede davčne obra</w:t>
      </w:r>
      <w:r w:rsidR="00613E60">
        <w:t>vnave dveh različnih subjektov.</w:t>
      </w:r>
    </w:p>
    <w:p w14:paraId="3020B7F4" w14:textId="77777777" w:rsidR="00613E60" w:rsidRDefault="00613E60" w:rsidP="00697F07">
      <w:pPr>
        <w:spacing w:line="260" w:lineRule="exact"/>
        <w:jc w:val="both"/>
      </w:pPr>
    </w:p>
    <w:p w14:paraId="723DC64F" w14:textId="77777777" w:rsidR="002F06F8" w:rsidRDefault="00613E60" w:rsidP="00697F07">
      <w:pPr>
        <w:spacing w:line="260" w:lineRule="exact"/>
        <w:jc w:val="both"/>
      </w:pPr>
      <w:r>
        <w:lastRenderedPageBreak/>
        <w:t>P</w:t>
      </w:r>
      <w:r w:rsidR="002F06F8">
        <w:t>ri tem se zadevna situacija primerja z:</w:t>
      </w:r>
    </w:p>
    <w:p w14:paraId="46EDA728" w14:textId="77777777" w:rsidR="002F06F8" w:rsidRDefault="002F06F8" w:rsidP="00697F07">
      <w:pPr>
        <w:spacing w:line="260" w:lineRule="exact"/>
        <w:jc w:val="both"/>
      </w:pPr>
    </w:p>
    <w:p w14:paraId="26327715" w14:textId="77777777" w:rsidR="002F06F8" w:rsidRDefault="002F06F8" w:rsidP="00697F07">
      <w:pPr>
        <w:pStyle w:val="Odstavekseznama"/>
        <w:numPr>
          <w:ilvl w:val="0"/>
          <w:numId w:val="2"/>
        </w:numPr>
        <w:spacing w:line="260" w:lineRule="exact"/>
        <w:jc w:val="both"/>
      </w:pPr>
      <w:r>
        <w:t>obravnavo, če zadevne transakcije ali aranžmaja ne bi bilo in/ali</w:t>
      </w:r>
    </w:p>
    <w:p w14:paraId="790F3A64" w14:textId="77777777" w:rsidR="002F06F8" w:rsidRDefault="002F06F8" w:rsidP="00697F07">
      <w:pPr>
        <w:pStyle w:val="Odstavekseznama"/>
        <w:numPr>
          <w:ilvl w:val="0"/>
          <w:numId w:val="2"/>
        </w:numPr>
        <w:spacing w:line="260" w:lineRule="exact"/>
        <w:jc w:val="both"/>
      </w:pPr>
      <w:r>
        <w:t>transakcij</w:t>
      </w:r>
      <w:r w:rsidR="00F73D1C">
        <w:t>o</w:t>
      </w:r>
      <w:r>
        <w:t>, ki bi bila glede na vse okoliščine primera najbolj ekonomsko smis</w:t>
      </w:r>
      <w:r w:rsidR="00F73D1C">
        <w:t>elna/logična/upravičena ali s</w:t>
      </w:r>
    </w:p>
    <w:p w14:paraId="583FFF65" w14:textId="77777777" w:rsidR="002F06F8" w:rsidRDefault="002F06F8" w:rsidP="00697F07">
      <w:pPr>
        <w:pStyle w:val="Odstavekseznama"/>
        <w:numPr>
          <w:ilvl w:val="0"/>
          <w:numId w:val="2"/>
        </w:numPr>
        <w:spacing w:line="260" w:lineRule="exact"/>
        <w:jc w:val="both"/>
      </w:pPr>
      <w:r>
        <w:t>transakcij</w:t>
      </w:r>
      <w:r w:rsidR="00613E60">
        <w:t>o</w:t>
      </w:r>
      <w:r>
        <w:t xml:space="preserve">, ki ne upošteva davčnega načrtovanja. </w:t>
      </w:r>
    </w:p>
    <w:p w14:paraId="2A35A347" w14:textId="77777777" w:rsidR="002F06F8" w:rsidRDefault="002F06F8" w:rsidP="00697F07">
      <w:pPr>
        <w:spacing w:line="260" w:lineRule="exact"/>
        <w:jc w:val="both"/>
      </w:pPr>
    </w:p>
    <w:p w14:paraId="66C5AF9C" w14:textId="77777777" w:rsidR="002F06F8" w:rsidRDefault="002F06F8" w:rsidP="00697F07">
      <w:pPr>
        <w:spacing w:line="260" w:lineRule="exact"/>
        <w:jc w:val="both"/>
      </w:pPr>
      <w:r>
        <w:t xml:space="preserve">Pri določanju, ali gre pri davčnih vidikih aranžmaja za eno izmed glavnih koristi, se primerja vrednost pričakovane davčne koristi z drugimi koristmi. Poudariti velja, da mora biti davčna ugodnost znatna ali pa da je pomemben element korist, ne zgolj slučajen, posreden ali nepomemben element pričakovane koristi aranžmaja. Druge koristi, ki se pri tem primerjajo, so lahko med drugim tudi širitev poslovanja, stroškovno optimiranje, hitrejši in cenejši transport, različni časovni pasovi, usposobljenost kadrov, lokacija poslovnih partnerjev, ipd. </w:t>
      </w:r>
    </w:p>
    <w:p w14:paraId="48EEE530" w14:textId="77777777" w:rsidR="002F06F8" w:rsidRDefault="002F06F8" w:rsidP="00697F07">
      <w:pPr>
        <w:spacing w:line="260" w:lineRule="exact"/>
      </w:pPr>
    </w:p>
    <w:p w14:paraId="0FDB4366" w14:textId="77777777" w:rsidR="002F06F8" w:rsidRDefault="002F06F8" w:rsidP="00697F07">
      <w:pPr>
        <w:spacing w:line="260" w:lineRule="exact"/>
        <w:jc w:val="both"/>
      </w:pPr>
      <w:r>
        <w:t xml:space="preserve">Test glavne koristi </w:t>
      </w:r>
      <w:r w:rsidRPr="00313746">
        <w:t xml:space="preserve">prvenstveno opravi posrednik, ki poroča o </w:t>
      </w:r>
      <w:r>
        <w:t>aranžmaju, saj že ob njegovem o</w:t>
      </w:r>
      <w:r w:rsidRPr="00313746">
        <w:t>blikovanju presoja, ali gre za aranžma, o katerem je treba poročati. V končni fazi pa pri ugotavljanju obstoja obveznosti po testu glav</w:t>
      </w:r>
      <w:r>
        <w:t>ne koristi presoja davčni organ.</w:t>
      </w:r>
    </w:p>
    <w:p w14:paraId="69B5552D" w14:textId="77777777" w:rsidR="002F06F8" w:rsidRDefault="002F06F8" w:rsidP="00697F07">
      <w:pPr>
        <w:spacing w:line="260" w:lineRule="exact"/>
        <w:jc w:val="both"/>
      </w:pPr>
    </w:p>
    <w:p w14:paraId="6C91973B" w14:textId="77777777" w:rsidR="002F06F8" w:rsidRDefault="000F0237" w:rsidP="00697F07">
      <w:pPr>
        <w:spacing w:line="260" w:lineRule="exact"/>
        <w:jc w:val="both"/>
      </w:pPr>
      <w:r>
        <w:t xml:space="preserve">V povezavi </w:t>
      </w:r>
      <w:r w:rsidR="00AD6130">
        <w:t xml:space="preserve">s </w:t>
      </w:r>
      <w:r w:rsidR="002F06F8">
        <w:t xml:space="preserve">presojanjem davčnih koristi aranžmaja </w:t>
      </w:r>
      <w:r w:rsidR="004D0B80">
        <w:t>davčni organ sledi</w:t>
      </w:r>
      <w:r w:rsidR="002F06F8">
        <w:t xml:space="preserve"> priporočilom Evropske komisije</w:t>
      </w:r>
      <w:r w:rsidR="002F06F8">
        <w:rPr>
          <w:rStyle w:val="Sprotnaopomba-sklic"/>
        </w:rPr>
        <w:footnoteReference w:id="10"/>
      </w:r>
      <w:r w:rsidR="002F06F8">
        <w:t xml:space="preserve">. Pri ugotavljanju, ali ureditev ali niz ureditev pomeni davčno ugodnost, se znesek davka, ki bi ga ob upoštevanju zadevnih ureditev moral plačati davčni zavezanec, primerja z zneskom, ki bi ga isti davčni zavezanec dolgoval v istih okoliščinah, če teh ureditev ne bi bilo. V tem kontekstu se preuči, ali gre za naslednje primere: (1) znesek ni vključen v davčno osnovo, (2) davčni zavezanec je upravičen do odbitka, (3) nastane izguba za davčne namene, (4) davčnega odtegljaja ni treba plačati ali (5) če je tuji davek izravnan. </w:t>
      </w:r>
    </w:p>
    <w:p w14:paraId="2863A440" w14:textId="77777777" w:rsidR="001B26A9" w:rsidRDefault="001B26A9" w:rsidP="00697F07">
      <w:pPr>
        <w:spacing w:line="260" w:lineRule="exact"/>
        <w:jc w:val="both"/>
      </w:pPr>
    </w:p>
    <w:p w14:paraId="11A101CC" w14:textId="77777777" w:rsidR="00DA02AE" w:rsidRPr="00DA02AE" w:rsidRDefault="002F06F8" w:rsidP="00697F07">
      <w:pPr>
        <w:spacing w:line="260" w:lineRule="exact"/>
      </w:pPr>
      <w:bookmarkStart w:id="36" w:name="_Toc75160019"/>
      <w:r w:rsidRPr="005A44CE">
        <w:rPr>
          <w:rStyle w:val="Naslov3Znak"/>
        </w:rPr>
        <w:t>Primer</w:t>
      </w:r>
      <w:r w:rsidR="00DA02AE" w:rsidRPr="005A44CE">
        <w:rPr>
          <w:rStyle w:val="Naslov3Znak"/>
        </w:rPr>
        <w:t>i</w:t>
      </w:r>
      <w:r w:rsidRPr="005A44CE">
        <w:rPr>
          <w:rStyle w:val="Naslov3Znak"/>
        </w:rPr>
        <w:t>: test glavne koristi</w:t>
      </w:r>
      <w:bookmarkEnd w:id="36"/>
      <w:r>
        <w:t xml:space="preserve"> </w:t>
      </w:r>
      <w:r w:rsidRPr="005A44CE">
        <w:rPr>
          <w:b/>
        </w:rPr>
        <w:t>– davčno optimiranje</w:t>
      </w:r>
    </w:p>
    <w:p w14:paraId="68CE9AB7" w14:textId="77777777" w:rsidR="002F06F8" w:rsidRDefault="002F06F8" w:rsidP="00697F07">
      <w:pPr>
        <w:spacing w:line="260" w:lineRule="exact"/>
        <w:jc w:val="both"/>
      </w:pPr>
    </w:p>
    <w:p w14:paraId="591253BE" w14:textId="77777777" w:rsidR="002F06F8" w:rsidRPr="001B26A9" w:rsidRDefault="00DA02AE" w:rsidP="00697F07">
      <w:pPr>
        <w:pStyle w:val="Odstavekseznama"/>
        <w:spacing w:line="260" w:lineRule="exact"/>
        <w:ind w:hanging="578"/>
        <w:jc w:val="both"/>
        <w:rPr>
          <w:i/>
        </w:rPr>
      </w:pPr>
      <w:r>
        <w:t>a)</w:t>
      </w:r>
      <w:r>
        <w:tab/>
      </w:r>
      <w:r w:rsidR="002F06F8" w:rsidRPr="001B26A9">
        <w:rPr>
          <w:i/>
        </w:rPr>
        <w:t>Banka se s prezadolženim komitentom dogovarja o poplačilu njegovih obveznosti. Primarni namen transakcije je poplačilo dolga. Banka je ob pogoju, da dobi poplačan določen del terjatve, pripravljena odpisati preostali del terjatev. Komitent je pripravljen za pridobitev likvidnih sredstev za poplačilo obvez</w:t>
      </w:r>
      <w:r w:rsidR="00F73D1C">
        <w:rPr>
          <w:i/>
        </w:rPr>
        <w:t>nosti</w:t>
      </w:r>
      <w:r w:rsidR="002F06F8" w:rsidRPr="001B26A9">
        <w:rPr>
          <w:i/>
        </w:rPr>
        <w:t xml:space="preserve"> izvesti določene ukrepe (npr. prodaja premoženja). Komitent je v svoji državi, ki ni DČ, naročil mnenje o davčnih efektih te transakcije, ki ga je posredoval banki. Davčni svetovalci so bili mnenja, da je za komitenta ugodneje, da se transakcija izvede v tekočem letu in ne šele naslednje leto, ker komitentu v tekočem letu poteče rok za prenos davčnih izgub (s katerim bi pokril prihodke zaradi odpisa njegovih obveznosti). Osnovni namen transakcije ni pridobitev davčnih ugodnosti za komitenta, temveč poplačilo kredita (ki pa bi ga komitent želel izpeljati na način, da se v okviru zakonsko predpisanih možnosti, njegova davčna obveznosti optimira). Ali v tem primeru nastane obveznost poročanja?</w:t>
      </w:r>
    </w:p>
    <w:p w14:paraId="2F238421" w14:textId="77777777" w:rsidR="00DA02AE" w:rsidRDefault="00DA02AE" w:rsidP="00697F07">
      <w:pPr>
        <w:spacing w:line="260" w:lineRule="exact"/>
        <w:ind w:hanging="578"/>
        <w:jc w:val="both"/>
      </w:pPr>
    </w:p>
    <w:p w14:paraId="0090B33E" w14:textId="77777777" w:rsidR="002F06F8" w:rsidRDefault="002F06F8" w:rsidP="00697F07">
      <w:pPr>
        <w:spacing w:line="260" w:lineRule="exact"/>
        <w:ind w:left="709"/>
        <w:jc w:val="both"/>
      </w:pPr>
      <w:r>
        <w:t>DAC6 poročanje je usmerjeno v zajezitev škodljivih davčnih praks oziroma agresivnega davčnega</w:t>
      </w:r>
      <w:r w:rsidR="00843909">
        <w:t xml:space="preserve"> planiranja. Upoštevajoč namen D</w:t>
      </w:r>
      <w:r>
        <w:t>irektive torej posli, ki so izpeljani znotraj zakonsko predpisanih možnosti in optimirajo davčne obveznosti zavezancev, niso predmet DAC6 poročanja.</w:t>
      </w:r>
    </w:p>
    <w:p w14:paraId="4A390F6A" w14:textId="77777777" w:rsidR="002F06F8" w:rsidRDefault="002F06F8" w:rsidP="00697F07">
      <w:pPr>
        <w:spacing w:line="260" w:lineRule="exact"/>
        <w:ind w:left="709" w:hanging="578"/>
        <w:jc w:val="both"/>
      </w:pPr>
    </w:p>
    <w:p w14:paraId="0A1130B3" w14:textId="77777777" w:rsidR="002F06F8" w:rsidRDefault="002F06F8" w:rsidP="00697F07">
      <w:pPr>
        <w:spacing w:line="260" w:lineRule="exact"/>
        <w:ind w:left="709"/>
        <w:jc w:val="both"/>
      </w:pPr>
      <w:r>
        <w:t>Kljub temu velja na tem mestu poudariti, da sta (upoštevajoč ustaljeno sodno prakso v RS</w:t>
      </w:r>
      <w:r>
        <w:rPr>
          <w:rStyle w:val="Sprotnaopomba-sklic"/>
        </w:rPr>
        <w:footnoteReference w:id="11"/>
      </w:r>
      <w:r>
        <w:t>) tako davčna optimizacija kot davčno izogibanje nedoločna pravna pojma (pravna standarda), ki ju je potrebno napolniti pri vrednotenju davčno</w:t>
      </w:r>
      <w:r w:rsidR="00A7358E">
        <w:t xml:space="preserve"> </w:t>
      </w:r>
      <w:r>
        <w:t xml:space="preserve">relevantnih dogodkov – enako velja za DAC6 poročanje – zapolniti z vsebino. Kdaj posamezno ravnanje zavezancev pomeni še dovoljeno davčno optimizacijo (ki ni predmet poročanja) in kdaj nedovoljeno davčno izogibanje (ki je </w:t>
      </w:r>
      <w:r w:rsidR="000F0237">
        <w:lastRenderedPageBreak/>
        <w:t xml:space="preserve">predmet poročanja), je </w:t>
      </w:r>
      <w:r>
        <w:t xml:space="preserve">vprašanje, ki ga je treba presojati od primera do primera: zavezanci lahko sklepajo posle </w:t>
      </w:r>
      <w:r w:rsidR="00EF6401">
        <w:t>na način</w:t>
      </w:r>
      <w:r>
        <w:t xml:space="preserve">, da </w:t>
      </w:r>
      <w:r w:rsidR="00EF6401">
        <w:t xml:space="preserve">pri tem </w:t>
      </w:r>
      <w:r>
        <w:t>optimirajo svoje davčne obveznosti; če pa sklepajo navidezne posle ali posle, ki ne sledijo nobenemu samostojnemu gospo</w:t>
      </w:r>
      <w:r w:rsidR="000F0237">
        <w:t>darskemu cilju, razen pridobitvi</w:t>
      </w:r>
      <w:r>
        <w:t xml:space="preserve"> davčne ugodnosti, potem je utemeljeno zaključiti, da gre za nedopustno davčno izogibanje, s čimer pa za predmetne posle nastane obveznost poročanja. </w:t>
      </w:r>
    </w:p>
    <w:p w14:paraId="50860424" w14:textId="77777777" w:rsidR="00C94109" w:rsidRDefault="0068128B" w:rsidP="00697F07">
      <w:pPr>
        <w:pStyle w:val="Naslov2"/>
      </w:pPr>
      <w:bookmarkStart w:id="37" w:name="_Toc75160020"/>
      <w:r>
        <w:t xml:space="preserve">A. </w:t>
      </w:r>
      <w:r w:rsidR="00C743DB" w:rsidRPr="00C94109">
        <w:t>SPLOŠNE PREPOZNAVNE ZNAČI</w:t>
      </w:r>
      <w:r w:rsidR="00C94109" w:rsidRPr="00C94109">
        <w:t>L</w:t>
      </w:r>
      <w:r w:rsidR="00C743DB" w:rsidRPr="00C94109">
        <w:t>NOSTI, POV</w:t>
      </w:r>
      <w:r w:rsidR="008E6C22" w:rsidRPr="00C94109">
        <w:t>E</w:t>
      </w:r>
      <w:r w:rsidR="00C743DB" w:rsidRPr="00C94109">
        <w:t>ZANE S PRESKUSOM GLAVNE KORISTI</w:t>
      </w:r>
      <w:bookmarkEnd w:id="37"/>
    </w:p>
    <w:p w14:paraId="4059AD00" w14:textId="77777777" w:rsidR="0068128B" w:rsidRPr="0068128B" w:rsidRDefault="0068128B" w:rsidP="00697F07">
      <w:pPr>
        <w:spacing w:line="260" w:lineRule="exact"/>
      </w:pPr>
    </w:p>
    <w:p w14:paraId="4B4E9D42" w14:textId="77777777" w:rsidR="007D2BA6" w:rsidRDefault="007D2BA6" w:rsidP="00697F07">
      <w:pPr>
        <w:spacing w:line="260" w:lineRule="exact"/>
        <w:rPr>
          <w:lang w:eastAsia="sl-SI"/>
        </w:rPr>
      </w:pPr>
      <w:r>
        <w:rPr>
          <w:lang w:eastAsia="sl-SI"/>
        </w:rPr>
        <w:t>Prepoznavne značilnosti skupine A se lahko upoštevajo le o</w:t>
      </w:r>
      <w:r w:rsidR="00ED556D">
        <w:rPr>
          <w:lang w:eastAsia="sl-SI"/>
        </w:rPr>
        <w:t>b</w:t>
      </w:r>
      <w:r>
        <w:rPr>
          <w:lang w:eastAsia="sl-SI"/>
        </w:rPr>
        <w:t xml:space="preserve"> pozitivnem rezultatu preskusa glavne koristi.</w:t>
      </w:r>
    </w:p>
    <w:p w14:paraId="21F3D906" w14:textId="77777777" w:rsidR="007D2BA6" w:rsidRDefault="007D2BA6" w:rsidP="00697F07">
      <w:pPr>
        <w:spacing w:line="260" w:lineRule="exact"/>
        <w:rPr>
          <w:lang w:eastAsia="sl-SI"/>
        </w:rPr>
      </w:pPr>
    </w:p>
    <w:p w14:paraId="22D9922C" w14:textId="77777777" w:rsidR="007D2BA6" w:rsidRDefault="007D2BA6" w:rsidP="00697F07">
      <w:pPr>
        <w:spacing w:line="260" w:lineRule="exact"/>
        <w:rPr>
          <w:lang w:eastAsia="sl-SI"/>
        </w:rPr>
      </w:pPr>
      <w:r>
        <w:rPr>
          <w:lang w:eastAsia="sl-SI"/>
        </w:rPr>
        <w:t xml:space="preserve">Gre za značilnosti, skupne številnim </w:t>
      </w:r>
      <w:r w:rsidR="00B40B01">
        <w:rPr>
          <w:lang w:eastAsia="sl-SI"/>
        </w:rPr>
        <w:t>potencialno škodljivim davčnim aranžmajem, zlasti pa se nanašajo na zajemanje novih in inovativnih trans</w:t>
      </w:r>
      <w:r w:rsidR="004361F0">
        <w:rPr>
          <w:lang w:eastAsia="sl-SI"/>
        </w:rPr>
        <w:t>a</w:t>
      </w:r>
      <w:r w:rsidR="00B40B01">
        <w:rPr>
          <w:lang w:eastAsia="sl-SI"/>
        </w:rPr>
        <w:t xml:space="preserve">kcij v tem pogledu. </w:t>
      </w:r>
    </w:p>
    <w:p w14:paraId="0FC97768" w14:textId="77777777" w:rsidR="007D2BA6" w:rsidRDefault="007D2BA6" w:rsidP="00697F07">
      <w:pPr>
        <w:spacing w:line="260" w:lineRule="exact"/>
        <w:rPr>
          <w:lang w:eastAsia="sl-SI"/>
        </w:rPr>
      </w:pPr>
    </w:p>
    <w:p w14:paraId="3EF686F4" w14:textId="77777777" w:rsidR="000C2D63" w:rsidRPr="00F27554" w:rsidRDefault="000C2D63" w:rsidP="008713F9">
      <w:pPr>
        <w:pStyle w:val="Napis"/>
        <w:rPr>
          <w:lang w:val="sl-SI"/>
        </w:rPr>
      </w:pPr>
      <w:r w:rsidRPr="00F27554">
        <w:rPr>
          <w:lang w:val="sl-SI"/>
        </w:rPr>
        <w:t xml:space="preserve">Preglednica </w:t>
      </w:r>
      <w:r w:rsidR="006B665D">
        <w:fldChar w:fldCharType="begin"/>
      </w:r>
      <w:r w:rsidR="006B665D" w:rsidRPr="00F27554">
        <w:rPr>
          <w:lang w:val="sl-SI"/>
        </w:rPr>
        <w:instrText xml:space="preserve"> SEQ Preglednica \* ARABIC </w:instrText>
      </w:r>
      <w:r w:rsidR="006B665D">
        <w:fldChar w:fldCharType="separate"/>
      </w:r>
      <w:r w:rsidR="00F27554">
        <w:rPr>
          <w:noProof/>
          <w:lang w:val="sl-SI"/>
        </w:rPr>
        <w:t>1</w:t>
      </w:r>
      <w:r w:rsidR="006B665D">
        <w:rPr>
          <w:noProof/>
        </w:rPr>
        <w:fldChar w:fldCharType="end"/>
      </w:r>
      <w:r w:rsidRPr="00F27554">
        <w:rPr>
          <w:lang w:val="sl-SI"/>
        </w:rPr>
        <w:t>: Prepoznavne značilnosti skupine A – elementi aranžmaja, značilni za tržne sheme</w:t>
      </w:r>
    </w:p>
    <w:tbl>
      <w:tblPr>
        <w:tblStyle w:val="Tabelamrea"/>
        <w:tblW w:w="9073" w:type="dxa"/>
        <w:jc w:val="center"/>
        <w:tblLook w:val="04A0" w:firstRow="1" w:lastRow="0" w:firstColumn="1" w:lastColumn="0" w:noHBand="0" w:noVBand="1"/>
      </w:tblPr>
      <w:tblGrid>
        <w:gridCol w:w="1337"/>
        <w:gridCol w:w="5043"/>
        <w:gridCol w:w="2693"/>
      </w:tblGrid>
      <w:tr w:rsidR="000C2D63" w:rsidRPr="00F73D1C" w14:paraId="7EAB1FDC" w14:textId="77777777" w:rsidTr="00F73D1C">
        <w:trPr>
          <w:jc w:val="center"/>
        </w:trPr>
        <w:tc>
          <w:tcPr>
            <w:tcW w:w="1337" w:type="dxa"/>
          </w:tcPr>
          <w:p w14:paraId="12A424FF" w14:textId="77777777" w:rsidR="000C2D63" w:rsidRPr="00F73D1C" w:rsidRDefault="000C2D63" w:rsidP="00697F07">
            <w:pPr>
              <w:spacing w:line="260" w:lineRule="exact"/>
              <w:jc w:val="center"/>
              <w:rPr>
                <w:sz w:val="18"/>
                <w:szCs w:val="18"/>
              </w:rPr>
            </w:pPr>
            <w:r w:rsidRPr="00F73D1C">
              <w:rPr>
                <w:sz w:val="18"/>
                <w:szCs w:val="18"/>
              </w:rPr>
              <w:t>Oznaka</w:t>
            </w:r>
          </w:p>
        </w:tc>
        <w:tc>
          <w:tcPr>
            <w:tcW w:w="5043" w:type="dxa"/>
          </w:tcPr>
          <w:p w14:paraId="3E2C02C2" w14:textId="77777777" w:rsidR="000C2D63" w:rsidRPr="00F73D1C" w:rsidRDefault="000C2D63" w:rsidP="00697F07">
            <w:pPr>
              <w:spacing w:line="260" w:lineRule="exact"/>
              <w:jc w:val="center"/>
              <w:rPr>
                <w:sz w:val="18"/>
                <w:szCs w:val="18"/>
              </w:rPr>
            </w:pPr>
            <w:r w:rsidRPr="00F73D1C">
              <w:rPr>
                <w:sz w:val="18"/>
                <w:szCs w:val="18"/>
              </w:rPr>
              <w:t>Prepoznavne značilnosti</w:t>
            </w:r>
          </w:p>
        </w:tc>
        <w:tc>
          <w:tcPr>
            <w:tcW w:w="2693" w:type="dxa"/>
          </w:tcPr>
          <w:p w14:paraId="3972A831" w14:textId="77777777" w:rsidR="000C2D63" w:rsidRPr="00F73D1C" w:rsidRDefault="000C2D63" w:rsidP="00697F07">
            <w:pPr>
              <w:spacing w:line="260" w:lineRule="exact"/>
              <w:jc w:val="center"/>
              <w:rPr>
                <w:sz w:val="18"/>
                <w:szCs w:val="18"/>
              </w:rPr>
            </w:pPr>
            <w:r w:rsidRPr="00F73D1C">
              <w:rPr>
                <w:sz w:val="18"/>
                <w:szCs w:val="18"/>
              </w:rPr>
              <w:t>Vezano na test glavne koristi</w:t>
            </w:r>
          </w:p>
        </w:tc>
      </w:tr>
      <w:tr w:rsidR="000C2D63" w:rsidRPr="00F73D1C" w14:paraId="493AC66F" w14:textId="77777777" w:rsidTr="00F73D1C">
        <w:trPr>
          <w:trHeight w:val="85"/>
          <w:jc w:val="center"/>
        </w:trPr>
        <w:tc>
          <w:tcPr>
            <w:tcW w:w="1337" w:type="dxa"/>
          </w:tcPr>
          <w:p w14:paraId="05F246BE" w14:textId="77777777" w:rsidR="000C2D63" w:rsidRPr="00F73D1C" w:rsidRDefault="000C2D63" w:rsidP="00697F07">
            <w:pPr>
              <w:spacing w:line="260" w:lineRule="exact"/>
              <w:jc w:val="both"/>
              <w:rPr>
                <w:sz w:val="18"/>
                <w:szCs w:val="18"/>
              </w:rPr>
            </w:pPr>
            <w:r w:rsidRPr="00F73D1C">
              <w:rPr>
                <w:sz w:val="18"/>
                <w:szCs w:val="18"/>
              </w:rPr>
              <w:t>A1</w:t>
            </w:r>
          </w:p>
        </w:tc>
        <w:tc>
          <w:tcPr>
            <w:tcW w:w="5043" w:type="dxa"/>
          </w:tcPr>
          <w:p w14:paraId="3A909867" w14:textId="77777777" w:rsidR="000C2D63" w:rsidRPr="00F73D1C" w:rsidRDefault="007C4EAC" w:rsidP="00697F07">
            <w:pPr>
              <w:spacing w:line="260" w:lineRule="exact"/>
              <w:jc w:val="both"/>
              <w:rPr>
                <w:sz w:val="18"/>
                <w:szCs w:val="18"/>
              </w:rPr>
            </w:pPr>
            <w:r w:rsidRPr="00F73D1C">
              <w:rPr>
                <w:sz w:val="18"/>
                <w:szCs w:val="18"/>
              </w:rPr>
              <w:t>U</w:t>
            </w:r>
            <w:r w:rsidR="000C2D63" w:rsidRPr="00F73D1C">
              <w:rPr>
                <w:sz w:val="18"/>
                <w:szCs w:val="18"/>
              </w:rPr>
              <w:t>deleženca aranžmaja veže pogoj zaupnosti glede elementa aranžmaja, ki zagotavlja davčno prednost</w:t>
            </w:r>
          </w:p>
        </w:tc>
        <w:tc>
          <w:tcPr>
            <w:tcW w:w="2693" w:type="dxa"/>
          </w:tcPr>
          <w:p w14:paraId="583375CB" w14:textId="77777777" w:rsidR="000C2D63" w:rsidRPr="00F73D1C" w:rsidRDefault="000C2D63" w:rsidP="00697F07">
            <w:pPr>
              <w:spacing w:line="260" w:lineRule="exact"/>
              <w:jc w:val="center"/>
              <w:rPr>
                <w:sz w:val="18"/>
                <w:szCs w:val="18"/>
              </w:rPr>
            </w:pPr>
            <w:r w:rsidRPr="00F73D1C">
              <w:rPr>
                <w:sz w:val="18"/>
                <w:szCs w:val="18"/>
              </w:rPr>
              <w:t>Da</w:t>
            </w:r>
          </w:p>
        </w:tc>
      </w:tr>
      <w:tr w:rsidR="000C2D63" w:rsidRPr="00F73D1C" w14:paraId="400CB9D2" w14:textId="77777777" w:rsidTr="00F73D1C">
        <w:trPr>
          <w:trHeight w:val="85"/>
          <w:jc w:val="center"/>
        </w:trPr>
        <w:tc>
          <w:tcPr>
            <w:tcW w:w="1337" w:type="dxa"/>
          </w:tcPr>
          <w:p w14:paraId="6EDB7A6C" w14:textId="77777777" w:rsidR="000C2D63" w:rsidRPr="00F73D1C" w:rsidRDefault="000C2D63" w:rsidP="00697F07">
            <w:pPr>
              <w:spacing w:line="260" w:lineRule="exact"/>
              <w:jc w:val="both"/>
              <w:rPr>
                <w:sz w:val="18"/>
                <w:szCs w:val="18"/>
              </w:rPr>
            </w:pPr>
            <w:r w:rsidRPr="00F73D1C">
              <w:rPr>
                <w:sz w:val="18"/>
                <w:szCs w:val="18"/>
              </w:rPr>
              <w:t>A2a</w:t>
            </w:r>
          </w:p>
          <w:p w14:paraId="74F462DD" w14:textId="77777777" w:rsidR="000C2D63" w:rsidRPr="00F73D1C" w:rsidRDefault="000C2D63" w:rsidP="00697F07">
            <w:pPr>
              <w:spacing w:line="260" w:lineRule="exact"/>
              <w:jc w:val="both"/>
              <w:rPr>
                <w:sz w:val="18"/>
                <w:szCs w:val="18"/>
              </w:rPr>
            </w:pPr>
            <w:r w:rsidRPr="00F73D1C">
              <w:rPr>
                <w:sz w:val="18"/>
                <w:szCs w:val="18"/>
              </w:rPr>
              <w:t>A2b</w:t>
            </w:r>
          </w:p>
        </w:tc>
        <w:tc>
          <w:tcPr>
            <w:tcW w:w="5043" w:type="dxa"/>
          </w:tcPr>
          <w:p w14:paraId="5E81AC33" w14:textId="77777777" w:rsidR="000C2D63" w:rsidRPr="00F73D1C" w:rsidRDefault="000C2D63" w:rsidP="00697F07">
            <w:pPr>
              <w:spacing w:line="260" w:lineRule="exact"/>
              <w:jc w:val="both"/>
              <w:rPr>
                <w:sz w:val="18"/>
                <w:szCs w:val="18"/>
              </w:rPr>
            </w:pPr>
            <w:r w:rsidRPr="00F73D1C">
              <w:rPr>
                <w:sz w:val="18"/>
                <w:szCs w:val="18"/>
              </w:rPr>
              <w:t>Posrednikovo plačilo je odvisno od učinkovitosti sheme</w:t>
            </w:r>
          </w:p>
        </w:tc>
        <w:tc>
          <w:tcPr>
            <w:tcW w:w="2693" w:type="dxa"/>
          </w:tcPr>
          <w:p w14:paraId="2FB7FA5E" w14:textId="77777777" w:rsidR="000C2D63" w:rsidRPr="00F73D1C" w:rsidRDefault="000C2D63" w:rsidP="00697F07">
            <w:pPr>
              <w:spacing w:line="260" w:lineRule="exact"/>
              <w:jc w:val="center"/>
              <w:rPr>
                <w:sz w:val="18"/>
                <w:szCs w:val="18"/>
              </w:rPr>
            </w:pPr>
            <w:r w:rsidRPr="00F73D1C">
              <w:rPr>
                <w:sz w:val="18"/>
                <w:szCs w:val="18"/>
              </w:rPr>
              <w:t>Da</w:t>
            </w:r>
          </w:p>
        </w:tc>
      </w:tr>
      <w:tr w:rsidR="000C2D63" w:rsidRPr="00F73D1C" w14:paraId="306FC608" w14:textId="77777777" w:rsidTr="00F73D1C">
        <w:trPr>
          <w:trHeight w:val="85"/>
          <w:jc w:val="center"/>
        </w:trPr>
        <w:tc>
          <w:tcPr>
            <w:tcW w:w="1337" w:type="dxa"/>
          </w:tcPr>
          <w:p w14:paraId="434186AE" w14:textId="77777777" w:rsidR="000C2D63" w:rsidRPr="00F73D1C" w:rsidRDefault="000C2D63" w:rsidP="00697F07">
            <w:pPr>
              <w:spacing w:line="260" w:lineRule="exact"/>
              <w:jc w:val="both"/>
              <w:rPr>
                <w:sz w:val="18"/>
                <w:szCs w:val="18"/>
              </w:rPr>
            </w:pPr>
            <w:r w:rsidRPr="00F73D1C">
              <w:rPr>
                <w:sz w:val="18"/>
                <w:szCs w:val="18"/>
              </w:rPr>
              <w:t>A3</w:t>
            </w:r>
          </w:p>
        </w:tc>
        <w:tc>
          <w:tcPr>
            <w:tcW w:w="5043" w:type="dxa"/>
          </w:tcPr>
          <w:p w14:paraId="43D88F70" w14:textId="77777777" w:rsidR="000C2D63" w:rsidRPr="00F73D1C" w:rsidRDefault="000C2D63" w:rsidP="00697F07">
            <w:pPr>
              <w:spacing w:line="260" w:lineRule="exact"/>
              <w:jc w:val="both"/>
              <w:rPr>
                <w:sz w:val="18"/>
                <w:szCs w:val="18"/>
              </w:rPr>
            </w:pPr>
            <w:r w:rsidRPr="00F73D1C">
              <w:rPr>
                <w:sz w:val="18"/>
                <w:szCs w:val="18"/>
              </w:rPr>
              <w:t>Standardna dokumentacija ali struktura aranžmaja</w:t>
            </w:r>
          </w:p>
        </w:tc>
        <w:tc>
          <w:tcPr>
            <w:tcW w:w="2693" w:type="dxa"/>
          </w:tcPr>
          <w:p w14:paraId="66038770" w14:textId="77777777" w:rsidR="000C2D63" w:rsidRPr="00F73D1C" w:rsidRDefault="000C2D63" w:rsidP="00697F07">
            <w:pPr>
              <w:spacing w:line="260" w:lineRule="exact"/>
              <w:jc w:val="center"/>
              <w:rPr>
                <w:sz w:val="18"/>
                <w:szCs w:val="18"/>
              </w:rPr>
            </w:pPr>
            <w:r w:rsidRPr="00F73D1C">
              <w:rPr>
                <w:sz w:val="18"/>
                <w:szCs w:val="18"/>
              </w:rPr>
              <w:t>Da</w:t>
            </w:r>
          </w:p>
        </w:tc>
      </w:tr>
    </w:tbl>
    <w:p w14:paraId="4B0CDB6D" w14:textId="77777777" w:rsidR="00C743DB" w:rsidRDefault="00C743DB" w:rsidP="00697F07">
      <w:pPr>
        <w:spacing w:line="260" w:lineRule="exact"/>
        <w:rPr>
          <w:lang w:eastAsia="sl-SI"/>
        </w:rPr>
      </w:pPr>
    </w:p>
    <w:p w14:paraId="474AB91E" w14:textId="77777777" w:rsidR="00B40B01" w:rsidRPr="008674A5" w:rsidRDefault="00B40B01" w:rsidP="00697F07">
      <w:pPr>
        <w:spacing w:line="260" w:lineRule="exact"/>
        <w:rPr>
          <w:b/>
          <w:lang w:eastAsia="sl-SI"/>
        </w:rPr>
      </w:pPr>
      <w:bookmarkStart w:id="38" w:name="_Toc75160021"/>
      <w:r w:rsidRPr="0068128B">
        <w:rPr>
          <w:rStyle w:val="Naslov3Znak"/>
        </w:rPr>
        <w:t xml:space="preserve">A1. </w:t>
      </w:r>
      <w:r w:rsidR="00ED556D" w:rsidRPr="0068128B">
        <w:rPr>
          <w:rStyle w:val="Naslov3Znak"/>
        </w:rPr>
        <w:t>Aranžma, pri katerem se zadevni davčni zavezanec ali udeleženec v aranžmaju zaveže, da bo upošteval pogoj zaupnosti,</w:t>
      </w:r>
      <w:bookmarkEnd w:id="38"/>
      <w:r w:rsidR="00ED556D" w:rsidRPr="008674A5">
        <w:rPr>
          <w:b/>
        </w:rPr>
        <w:t xml:space="preserve"> s katerim se lahko od njega zahteva, da drugim posrednikom ali davčnim organom ne razkrije, kako bi aranžma lahko zagotovil davčno ugodnost.</w:t>
      </w:r>
    </w:p>
    <w:p w14:paraId="18AC898B" w14:textId="77777777" w:rsidR="00B40B01" w:rsidRDefault="00B40B01" w:rsidP="00697F07">
      <w:pPr>
        <w:spacing w:line="260" w:lineRule="exact"/>
        <w:rPr>
          <w:lang w:eastAsia="sl-SI"/>
        </w:rPr>
      </w:pPr>
    </w:p>
    <w:p w14:paraId="2E256493" w14:textId="77777777" w:rsidR="00ED556D" w:rsidRDefault="007C4EAC" w:rsidP="00697F07">
      <w:pPr>
        <w:spacing w:line="260" w:lineRule="exact"/>
        <w:jc w:val="both"/>
      </w:pPr>
      <w:r>
        <w:rPr>
          <w:lang w:eastAsia="sl-SI"/>
        </w:rPr>
        <w:t>Ob predhodnem po</w:t>
      </w:r>
      <w:r w:rsidR="00296F82">
        <w:rPr>
          <w:lang w:eastAsia="sl-SI"/>
        </w:rPr>
        <w:t>zitivnem testu glavne koristi je, u</w:t>
      </w:r>
      <w:r w:rsidR="00ED556D">
        <w:rPr>
          <w:lang w:eastAsia="sl-SI"/>
        </w:rPr>
        <w:t xml:space="preserve">poštevajoč razlago </w:t>
      </w:r>
      <w:r w:rsidR="009314A4">
        <w:rPr>
          <w:lang w:eastAsia="sl-SI"/>
        </w:rPr>
        <w:t>BEPS 12 ukrepa</w:t>
      </w:r>
      <w:r w:rsidR="00296F82">
        <w:rPr>
          <w:lang w:eastAsia="sl-SI"/>
        </w:rPr>
        <w:t xml:space="preserve">, </w:t>
      </w:r>
      <w:r w:rsidR="00ED556D">
        <w:rPr>
          <w:lang w:eastAsia="sl-SI"/>
        </w:rPr>
        <w:t>bistvo koncepta zaupnosti vezano na poslovne skrivnosti in poslovno znanje in ni poveza</w:t>
      </w:r>
      <w:r w:rsidR="00461D4D">
        <w:rPr>
          <w:lang w:eastAsia="sl-SI"/>
        </w:rPr>
        <w:t xml:space="preserve">no </w:t>
      </w:r>
      <w:r w:rsidR="00ED556D">
        <w:rPr>
          <w:lang w:eastAsia="sl-SI"/>
        </w:rPr>
        <w:t xml:space="preserve">s poklicno skrivnostjo. Obveznost spoštovanja </w:t>
      </w:r>
      <w:r w:rsidR="00ED556D">
        <w:t>zaupnosti je na strani stranke oziroma zadevnega davčnega zavezanca in ne na strani posrednika</w:t>
      </w:r>
      <w:r w:rsidR="00296F82">
        <w:rPr>
          <w:lang w:eastAsia="sl-SI"/>
        </w:rPr>
        <w:t>. Shema je uporabniku ponujen</w:t>
      </w:r>
      <w:r w:rsidR="00ED556D">
        <w:rPr>
          <w:lang w:eastAsia="sl-SI"/>
        </w:rPr>
        <w:t xml:space="preserve">a pod pogojem zaupnosti, s čimer je </w:t>
      </w:r>
      <w:r w:rsidR="00ED556D">
        <w:t xml:space="preserve">omejeno poročanje davčnega zavezanca oziroma udeleženca v aranžmaju o davčnem svetovanju, davčni strukturi transakcij oziroma sheme in pridobljeni davčni ugodnosti. </w:t>
      </w:r>
    </w:p>
    <w:p w14:paraId="6B903564" w14:textId="77777777" w:rsidR="00ED556D" w:rsidRDefault="00ED556D" w:rsidP="00697F07">
      <w:pPr>
        <w:spacing w:line="260" w:lineRule="exact"/>
        <w:jc w:val="both"/>
      </w:pPr>
    </w:p>
    <w:p w14:paraId="165D1CF1" w14:textId="77777777" w:rsidR="00ED556D" w:rsidRDefault="00ED556D" w:rsidP="00697F07">
      <w:pPr>
        <w:spacing w:line="260" w:lineRule="exact"/>
        <w:jc w:val="both"/>
      </w:pPr>
      <w:r>
        <w:t xml:space="preserve">Smisel pogoja zaupnosti je v tem, da želi posrednik (promotor) </w:t>
      </w:r>
      <w:r w:rsidR="006A5E35">
        <w:t xml:space="preserve">preprečiti razkritje </w:t>
      </w:r>
      <w:r>
        <w:t xml:space="preserve">značilnosti aranžmaja </w:t>
      </w:r>
      <w:r w:rsidR="006A5E35">
        <w:t xml:space="preserve">drugim posrednikom ali davčnim organom. To pomeni, da lahko gre bodisi za inovativne bodisi za agresivne aranžmaje. Oboje lahko za posameznega promotorja predstavlja konkurenčno prednost, obenem pa mu omogoči prodajo aranžmaja večjemu številu različnih davčnih zavezancev. </w:t>
      </w:r>
      <w:r w:rsidR="002051A1">
        <w:t xml:space="preserve"> </w:t>
      </w:r>
    </w:p>
    <w:p w14:paraId="0D2BF457" w14:textId="77777777" w:rsidR="006A5E35" w:rsidRDefault="006A5E35" w:rsidP="00697F07">
      <w:pPr>
        <w:spacing w:line="260" w:lineRule="exact"/>
        <w:jc w:val="both"/>
      </w:pPr>
    </w:p>
    <w:p w14:paraId="6A495637" w14:textId="77777777" w:rsidR="00FD78EB" w:rsidRDefault="006A5E35" w:rsidP="00697F07">
      <w:pPr>
        <w:spacing w:line="260" w:lineRule="exact"/>
        <w:jc w:val="both"/>
      </w:pPr>
      <w:r>
        <w:t>Pojavna oblika je zlasti sklenitev posebne pogodbe</w:t>
      </w:r>
      <w:r w:rsidR="00FD78EB">
        <w:t>/sporazuma</w:t>
      </w:r>
      <w:r>
        <w:t>, izjave ali drugega ločenega dokumen</w:t>
      </w:r>
      <w:r w:rsidR="00FD78EB">
        <w:t>ta in se torej izraža neposredno. Lahko pa se pogoj zaupnosti uporabi posredno, na primer:</w:t>
      </w:r>
    </w:p>
    <w:p w14:paraId="1A7D670E" w14:textId="77777777" w:rsidR="00630000" w:rsidRDefault="00630000" w:rsidP="00697F07">
      <w:pPr>
        <w:spacing w:line="260" w:lineRule="exact"/>
        <w:jc w:val="both"/>
      </w:pPr>
    </w:p>
    <w:p w14:paraId="57E74D37" w14:textId="77777777" w:rsidR="00FD78EB" w:rsidRDefault="00FD78EB" w:rsidP="00697F07">
      <w:pPr>
        <w:pStyle w:val="Odstavekseznama"/>
        <w:numPr>
          <w:ilvl w:val="0"/>
          <w:numId w:val="7"/>
        </w:numPr>
        <w:spacing w:line="260" w:lineRule="exact"/>
        <w:ind w:left="567"/>
        <w:jc w:val="both"/>
      </w:pPr>
      <w:r>
        <w:t>pozivanje uporabnikov naj pos</w:t>
      </w:r>
      <w:r w:rsidR="007C4EAC">
        <w:t>redovanih gradiv ne shranjujejo;</w:t>
      </w:r>
    </w:p>
    <w:p w14:paraId="5F8A1B9C" w14:textId="77777777" w:rsidR="00FD78EB" w:rsidRDefault="00FD78EB" w:rsidP="00697F07">
      <w:pPr>
        <w:pStyle w:val="Odstavekseznama"/>
        <w:numPr>
          <w:ilvl w:val="0"/>
          <w:numId w:val="7"/>
        </w:numPr>
        <w:spacing w:line="260" w:lineRule="exact"/>
        <w:ind w:left="567"/>
        <w:jc w:val="both"/>
      </w:pPr>
      <w:r>
        <w:t>določitev enotne kontaktne osebe pri posredniku, preko katere poteka celotna komunikacija, tudi komunikacij</w:t>
      </w:r>
      <w:r w:rsidR="007C4EAC">
        <w:t>a s pristojnimi davčnimi organi;</w:t>
      </w:r>
    </w:p>
    <w:p w14:paraId="50520756" w14:textId="77777777" w:rsidR="00FD78EB" w:rsidRDefault="00FD78EB" w:rsidP="00697F07">
      <w:pPr>
        <w:pStyle w:val="Odstavekseznama"/>
        <w:numPr>
          <w:ilvl w:val="0"/>
          <w:numId w:val="7"/>
        </w:numPr>
        <w:spacing w:line="260" w:lineRule="exact"/>
        <w:ind w:left="567"/>
        <w:jc w:val="both"/>
      </w:pPr>
      <w:r>
        <w:t>odvračanje potencialnih uporabnikov od pridobivanja strokovnih nasvetov o tej transakciji pri drugih svetovalcih;</w:t>
      </w:r>
    </w:p>
    <w:p w14:paraId="75F05C02" w14:textId="77777777" w:rsidR="00FD78EB" w:rsidRDefault="00FD78EB" w:rsidP="00697F07">
      <w:pPr>
        <w:pStyle w:val="Odstavekseznama"/>
        <w:numPr>
          <w:ilvl w:val="0"/>
          <w:numId w:val="7"/>
        </w:numPr>
        <w:spacing w:line="260" w:lineRule="exact"/>
        <w:ind w:left="567"/>
        <w:jc w:val="both"/>
      </w:pPr>
      <w:r>
        <w:t>prepoved odgova</w:t>
      </w:r>
      <w:r w:rsidR="008B4D62">
        <w:t>r</w:t>
      </w:r>
      <w:r>
        <w:t xml:space="preserve">janja na </w:t>
      </w:r>
      <w:r w:rsidR="008B4D62">
        <w:t>zahteve pristojnih davčnih orga</w:t>
      </w:r>
      <w:r>
        <w:t>nov brez predhodne privolitve</w:t>
      </w:r>
      <w:r w:rsidR="007C4EAC">
        <w:t xml:space="preserve"> posrednika, ki trži aranžma;</w:t>
      </w:r>
    </w:p>
    <w:p w14:paraId="2106BCE7" w14:textId="77777777" w:rsidR="0055107A" w:rsidRDefault="00FD78EB" w:rsidP="00697F07">
      <w:pPr>
        <w:pStyle w:val="Odstavekseznama"/>
        <w:numPr>
          <w:ilvl w:val="0"/>
          <w:numId w:val="7"/>
        </w:numPr>
        <w:spacing w:line="260" w:lineRule="exact"/>
        <w:ind w:left="567"/>
        <w:jc w:val="both"/>
      </w:pPr>
      <w:r>
        <w:t>izdaja raznega promocij</w:t>
      </w:r>
      <w:r w:rsidR="0055107A">
        <w:t>sk</w:t>
      </w:r>
      <w:r>
        <w:t>ega gradiva, ki spodbuja nerazkrivanje podatkov</w:t>
      </w:r>
      <w:r w:rsidR="008B4D62">
        <w:t>;</w:t>
      </w:r>
    </w:p>
    <w:p w14:paraId="1A89AD48" w14:textId="77777777" w:rsidR="008B4D62" w:rsidRDefault="008B4D62" w:rsidP="00697F07">
      <w:pPr>
        <w:pStyle w:val="Odstavekseznama"/>
        <w:numPr>
          <w:ilvl w:val="0"/>
          <w:numId w:val="7"/>
        </w:numPr>
        <w:spacing w:line="260" w:lineRule="exact"/>
        <w:ind w:left="567"/>
        <w:jc w:val="both"/>
      </w:pPr>
      <w:r>
        <w:t>razni drugi (lahko tudi zgolj ustno sklenjeni)</w:t>
      </w:r>
      <w:r w:rsidR="009314A4">
        <w:t xml:space="preserve"> dogovori</w:t>
      </w:r>
      <w:r>
        <w:t xml:space="preserve">, ki zagotavljajo zaupnost podatkov. </w:t>
      </w:r>
    </w:p>
    <w:p w14:paraId="2EC961F3" w14:textId="77777777" w:rsidR="0055107A" w:rsidRDefault="0055107A" w:rsidP="00697F07">
      <w:pPr>
        <w:spacing w:line="260" w:lineRule="exact"/>
        <w:jc w:val="both"/>
      </w:pPr>
    </w:p>
    <w:p w14:paraId="7EBF62FE" w14:textId="77777777" w:rsidR="0055107A" w:rsidRDefault="0055107A" w:rsidP="00697F07">
      <w:pPr>
        <w:spacing w:line="260" w:lineRule="exact"/>
        <w:jc w:val="both"/>
      </w:pPr>
      <w:r>
        <w:t>Presoja izpol</w:t>
      </w:r>
      <w:r w:rsidR="007C4EAC">
        <w:t>n</w:t>
      </w:r>
      <w:r>
        <w:t>jevanja kriterija</w:t>
      </w:r>
      <w:r w:rsidR="00296F82">
        <w:t xml:space="preserve"> je od</w:t>
      </w:r>
      <w:r>
        <w:t>visna od konkretne zadeve, zato ni mogoče podati enoznačneg</w:t>
      </w:r>
      <w:r w:rsidR="007C4EAC">
        <w:t>a odgovora o vseh situacijah, kdaj</w:t>
      </w:r>
      <w:r>
        <w:t xml:space="preserve"> bo ta kriterij izpolnjen. </w:t>
      </w:r>
    </w:p>
    <w:p w14:paraId="0F45A190" w14:textId="77777777" w:rsidR="0055107A" w:rsidRDefault="0055107A" w:rsidP="00697F07">
      <w:pPr>
        <w:spacing w:line="260" w:lineRule="exact"/>
        <w:jc w:val="both"/>
      </w:pPr>
    </w:p>
    <w:p w14:paraId="7D53CB61" w14:textId="77777777" w:rsidR="006A5E35" w:rsidRDefault="0055107A" w:rsidP="00697F07">
      <w:pPr>
        <w:spacing w:line="260" w:lineRule="exact"/>
        <w:jc w:val="both"/>
      </w:pPr>
      <w:r>
        <w:t>Velja omeniti še, da n</w:t>
      </w:r>
      <w:r w:rsidR="006A5E35">
        <w:t>ačeloma splošni pogoji poslovanja, ki</w:t>
      </w:r>
      <w:r w:rsidR="00296F82">
        <w:t xml:space="preserve"> med d</w:t>
      </w:r>
      <w:r w:rsidR="007A567C">
        <w:t>r</w:t>
      </w:r>
      <w:r w:rsidR="00296F82">
        <w:t>ugim vsebujejo tudi standardne klavzule o nerazkri</w:t>
      </w:r>
      <w:r w:rsidR="006A5E35">
        <w:t>v</w:t>
      </w:r>
      <w:r w:rsidR="00296F82">
        <w:t>anju podatkov</w:t>
      </w:r>
      <w:r w:rsidR="009314A4">
        <w:t>,</w:t>
      </w:r>
      <w:r w:rsidR="007A567C">
        <w:t xml:space="preserve"> ne izpol</w:t>
      </w:r>
      <w:r w:rsidR="002051A1">
        <w:t>n</w:t>
      </w:r>
      <w:r w:rsidR="007A567C">
        <w:t xml:space="preserve">jujejo </w:t>
      </w:r>
      <w:r>
        <w:t xml:space="preserve">tega kriterija: </w:t>
      </w:r>
      <w:r w:rsidR="007A567C">
        <w:t>praviloma</w:t>
      </w:r>
      <w:r>
        <w:t xml:space="preserve"> namreč</w:t>
      </w:r>
      <w:r w:rsidR="007A567C">
        <w:t xml:space="preserve"> </w:t>
      </w:r>
      <w:r>
        <w:t>predstavljajo splošno varovalko in</w:t>
      </w:r>
      <w:r w:rsidR="007A567C">
        <w:t xml:space="preserve"> </w:t>
      </w:r>
      <w:r w:rsidR="00FD78EB">
        <w:t>sestavni del (utečenega) opravljanja dejavnosti zave</w:t>
      </w:r>
      <w:r>
        <w:t>zanca. V primeru, ko bi iz vseh okoliščin predmetne zadeve izhajalo, da je namen te klavzule v skrivanju davčnih učinkov transakcije</w:t>
      </w:r>
      <w:r w:rsidR="00630000">
        <w:t>,</w:t>
      </w:r>
      <w:r>
        <w:t xml:space="preserve"> pa je pogoj za poročanje izpolnjen. Enako velja v situacijah, ko bi se posrednik, na primer, ukvarjal izključno s trženjem agresivnih</w:t>
      </w:r>
      <w:r w:rsidR="004A6F89">
        <w:t xml:space="preserve"> čezmejnih</w:t>
      </w:r>
      <w:r>
        <w:t xml:space="preserve"> davčnih aranžmajev</w:t>
      </w:r>
      <w:r w:rsidR="004A6F89">
        <w:t xml:space="preserve"> in bi že splošni pogoji sami po sebi imeli enak namen kot ločen sporazum o zaupnosti.</w:t>
      </w:r>
      <w:r>
        <w:t xml:space="preserve"> </w:t>
      </w:r>
    </w:p>
    <w:p w14:paraId="12AE3FAD" w14:textId="77777777" w:rsidR="008674A5" w:rsidRDefault="008674A5" w:rsidP="00697F07">
      <w:pPr>
        <w:spacing w:line="260" w:lineRule="exact"/>
        <w:jc w:val="both"/>
      </w:pPr>
    </w:p>
    <w:p w14:paraId="41CD9801" w14:textId="77777777" w:rsidR="008674A5" w:rsidRDefault="008674A5" w:rsidP="00697F07">
      <w:pPr>
        <w:spacing w:line="260" w:lineRule="exact"/>
        <w:jc w:val="both"/>
      </w:pPr>
      <w:r>
        <w:t>Z zaupnostjo posrednik zavaruje svoje pro</w:t>
      </w:r>
      <w:r w:rsidR="005456BC">
        <w:t>dukte, torej na nek način z</w:t>
      </w:r>
      <w:r w:rsidR="009314A4">
        <w:t>avaruje svoje inovativno znanje. P</w:t>
      </w:r>
      <w:r w:rsidR="005456BC">
        <w:t xml:space="preserve">osledično tudi ni mogoče </w:t>
      </w:r>
      <w:r w:rsidR="002042A6">
        <w:t>iz te prepoznavne značilnosti i</w:t>
      </w:r>
      <w:r w:rsidR="00E6336E">
        <w:t xml:space="preserve">zvzeti znanih davčnih struktur. </w:t>
      </w:r>
      <w:r w:rsidR="002042A6">
        <w:t>Tudi te se namreč skozi časovno obdobje</w:t>
      </w:r>
      <w:r w:rsidR="00ED0E27">
        <w:t xml:space="preserve"> </w:t>
      </w:r>
      <w:r w:rsidR="002042A6">
        <w:t xml:space="preserve">in s strani različnih posrednikov </w:t>
      </w:r>
      <w:r w:rsidR="00ED0E27">
        <w:t xml:space="preserve">lahko </w:t>
      </w:r>
      <w:r w:rsidR="002042A6">
        <w:t>spreminjajo in dopol</w:t>
      </w:r>
      <w:r w:rsidR="00ED0E27">
        <w:t>n</w:t>
      </w:r>
      <w:r w:rsidR="002042A6">
        <w:t>jujejo, s čimer</w:t>
      </w:r>
      <w:r w:rsidR="00ED0E27">
        <w:t xml:space="preserve"> je ravno tako povezana določena stopnja inovativnosti aranžmaja.</w:t>
      </w:r>
      <w:r w:rsidR="002042A6">
        <w:t xml:space="preserve">  </w:t>
      </w:r>
    </w:p>
    <w:p w14:paraId="074D3522" w14:textId="77777777" w:rsidR="002051A1" w:rsidRDefault="002051A1" w:rsidP="00697F07">
      <w:pPr>
        <w:spacing w:line="260" w:lineRule="exact"/>
        <w:jc w:val="both"/>
      </w:pPr>
    </w:p>
    <w:p w14:paraId="37FC19DE" w14:textId="77777777" w:rsidR="002051A1" w:rsidRDefault="002051A1" w:rsidP="00697F07">
      <w:pPr>
        <w:spacing w:line="260" w:lineRule="exact"/>
        <w:jc w:val="both"/>
        <w:rPr>
          <w:b/>
        </w:rPr>
      </w:pPr>
      <w:bookmarkStart w:id="39" w:name="_Toc75160022"/>
      <w:r w:rsidRPr="0068128B">
        <w:rPr>
          <w:rStyle w:val="Naslov3Znak"/>
        </w:rPr>
        <w:t>A2. Aranžma, pri katerem je posrednik upravičen do plačila (ali obresti ter nadomestila za stroške financiranja in druge stroške) za aranžma</w:t>
      </w:r>
      <w:bookmarkEnd w:id="39"/>
      <w:r w:rsidRPr="00A118B1">
        <w:rPr>
          <w:b/>
        </w:rPr>
        <w:t xml:space="preserve">, to plačilo pa je določeno glede na: </w:t>
      </w:r>
    </w:p>
    <w:p w14:paraId="5D791C2F" w14:textId="77777777" w:rsidR="003679DE" w:rsidRPr="00A118B1" w:rsidRDefault="003679DE" w:rsidP="00697F07">
      <w:pPr>
        <w:spacing w:line="260" w:lineRule="exact"/>
        <w:jc w:val="both"/>
        <w:rPr>
          <w:b/>
        </w:rPr>
      </w:pPr>
    </w:p>
    <w:p w14:paraId="0A3B1C4E" w14:textId="77777777" w:rsidR="002051A1" w:rsidRPr="00A118B1" w:rsidRDefault="002051A1" w:rsidP="00697F07">
      <w:pPr>
        <w:spacing w:line="260" w:lineRule="exact"/>
        <w:jc w:val="both"/>
        <w:rPr>
          <w:b/>
        </w:rPr>
      </w:pPr>
      <w:r w:rsidRPr="00A118B1">
        <w:rPr>
          <w:b/>
        </w:rPr>
        <w:t xml:space="preserve">(a) znesek davčne ugodnosti, ki se pridobi iz aranžmaja, ali </w:t>
      </w:r>
    </w:p>
    <w:p w14:paraId="18B99F06" w14:textId="77777777" w:rsidR="002051A1" w:rsidRDefault="002051A1" w:rsidP="00697F07">
      <w:pPr>
        <w:spacing w:line="260" w:lineRule="exact"/>
        <w:jc w:val="both"/>
        <w:rPr>
          <w:b/>
        </w:rPr>
      </w:pPr>
      <w:r w:rsidRPr="00A118B1">
        <w:rPr>
          <w:b/>
        </w:rPr>
        <w:t xml:space="preserve">(b) to, ali se iz aranžmaja dejansko pridobi davčna ugodnost ali ne. Pri tem bi imel posrednik obveznost, da delno ali v celoti vrne plačilo, če namen pridobitve davčne ugodnosti iz aranžmaja ni dosežen v delu ali v celoti. </w:t>
      </w:r>
    </w:p>
    <w:p w14:paraId="241675FC" w14:textId="77777777" w:rsidR="002051A1" w:rsidRDefault="002051A1" w:rsidP="00697F07">
      <w:pPr>
        <w:spacing w:line="260" w:lineRule="exact"/>
        <w:jc w:val="both"/>
      </w:pPr>
    </w:p>
    <w:p w14:paraId="0CB8FEFF" w14:textId="77777777" w:rsidR="001502E5" w:rsidRDefault="001502E5" w:rsidP="00697F07">
      <w:pPr>
        <w:spacing w:line="260" w:lineRule="exact"/>
        <w:jc w:val="both"/>
      </w:pPr>
      <w:r>
        <w:t xml:space="preserve">Ta značilnost se lahko uporablja le v primerih, ko je </w:t>
      </w:r>
      <w:r w:rsidRPr="00A118B1">
        <w:t>je v shemo vključen posrednik. Posrednik je lahko promotor ali service provider.</w:t>
      </w:r>
    </w:p>
    <w:p w14:paraId="301B23D3" w14:textId="77777777" w:rsidR="001502E5" w:rsidRDefault="001502E5" w:rsidP="00697F07">
      <w:pPr>
        <w:spacing w:line="260" w:lineRule="exact"/>
        <w:jc w:val="both"/>
      </w:pPr>
    </w:p>
    <w:p w14:paraId="1C3A2F6B" w14:textId="77777777" w:rsidR="001502E5" w:rsidRDefault="005874FB" w:rsidP="00697F07">
      <w:pPr>
        <w:spacing w:line="260" w:lineRule="exact"/>
        <w:jc w:val="both"/>
      </w:pPr>
      <w:r>
        <w:t>Aranžmajem</w:t>
      </w:r>
      <w:r w:rsidR="001502E5">
        <w:t xml:space="preserve"> iz te skupine prepoznavnih značilnosti je skupno, da:</w:t>
      </w:r>
    </w:p>
    <w:p w14:paraId="7F39E692" w14:textId="77777777" w:rsidR="001502E5" w:rsidRDefault="001502E5" w:rsidP="00697F07">
      <w:pPr>
        <w:pStyle w:val="Odstavekseznama"/>
        <w:numPr>
          <w:ilvl w:val="0"/>
          <w:numId w:val="7"/>
        </w:numPr>
        <w:spacing w:line="260" w:lineRule="exact"/>
        <w:jc w:val="both"/>
      </w:pPr>
      <w:r>
        <w:t xml:space="preserve"> je plačilo posredniku odvisno ali pa je neposredno povezano z zneskom pridobljene davčne ugodnosti in/ali</w:t>
      </w:r>
    </w:p>
    <w:p w14:paraId="6B4F72E9" w14:textId="77777777" w:rsidR="001502E5" w:rsidRDefault="001502E5" w:rsidP="00697F07">
      <w:pPr>
        <w:pStyle w:val="Odstavekseznama"/>
        <w:numPr>
          <w:ilvl w:val="0"/>
          <w:numId w:val="7"/>
        </w:numPr>
        <w:spacing w:line="260" w:lineRule="exact"/>
        <w:jc w:val="both"/>
      </w:pPr>
      <w:r>
        <w:t>v primeru, ko pričakovan davčni učinek ni realiziran, to lahko vpliva na višino plačila posredniku.</w:t>
      </w:r>
    </w:p>
    <w:p w14:paraId="61F848DB" w14:textId="77777777" w:rsidR="001502E5" w:rsidRDefault="001502E5" w:rsidP="00697F07">
      <w:pPr>
        <w:spacing w:line="260" w:lineRule="exact"/>
        <w:jc w:val="both"/>
      </w:pPr>
    </w:p>
    <w:p w14:paraId="0D0FEF46" w14:textId="77777777" w:rsidR="005F3F8B" w:rsidRDefault="005874FB" w:rsidP="00697F07">
      <w:pPr>
        <w:spacing w:line="260" w:lineRule="exact"/>
        <w:jc w:val="both"/>
      </w:pPr>
      <w:r>
        <w:t>Praviloma so začetni oziroma vstopni stroški uporabnika tovrstnega aranžmaja razmeroma nizki in plačilo posredniku ni potrebno vse do takrat, če/ko je dosežen davčni učinek. Ker je višina plačila  (</w:t>
      </w:r>
      <w:r w:rsidR="005F7B3E">
        <w:t xml:space="preserve">t.i. </w:t>
      </w:r>
      <w:r>
        <w:t>premium fee</w:t>
      </w:r>
      <w:r w:rsidR="005F7B3E">
        <w:t xml:space="preserve">, </w:t>
      </w:r>
      <w:r>
        <w:t>contingency fee</w:t>
      </w:r>
      <w:r w:rsidR="005F7B3E">
        <w:t xml:space="preserve">, </w:t>
      </w:r>
      <w:r w:rsidR="005F3F8B">
        <w:t>tax result oriented fee</w:t>
      </w:r>
      <w:r w:rsidR="005F7B3E">
        <w:t>, ipd.</w:t>
      </w:r>
      <w:r>
        <w:t>) vezana na viši</w:t>
      </w:r>
      <w:r w:rsidR="00630000">
        <w:t>no davčnega učinka, se premija zvišuje</w:t>
      </w:r>
      <w:r w:rsidR="009314A4">
        <w:t xml:space="preserve"> s povečevanjem agresivnosti aranžmaja</w:t>
      </w:r>
      <w:r w:rsidR="00630000">
        <w:t xml:space="preserve"> (bolj agresivni aranžmaji dosegajo višje premije)</w:t>
      </w:r>
      <w:r w:rsidR="005F3F8B">
        <w:t xml:space="preserve">. </w:t>
      </w:r>
    </w:p>
    <w:p w14:paraId="375B119E" w14:textId="77777777" w:rsidR="005874FB" w:rsidRDefault="005874FB" w:rsidP="00697F07">
      <w:pPr>
        <w:spacing w:line="260" w:lineRule="exact"/>
        <w:jc w:val="both"/>
      </w:pPr>
    </w:p>
    <w:p w14:paraId="3BBFB549" w14:textId="77777777" w:rsidR="001502E5" w:rsidRDefault="001502E5" w:rsidP="00697F07">
      <w:pPr>
        <w:spacing w:line="260" w:lineRule="exact"/>
        <w:jc w:val="both"/>
      </w:pPr>
      <w:r>
        <w:t xml:space="preserve">Termin </w:t>
      </w:r>
      <w:r w:rsidRPr="00DF6AFD">
        <w:rPr>
          <w:i/>
        </w:rPr>
        <w:t>»plačila«</w:t>
      </w:r>
      <w:r>
        <w:t xml:space="preserve"> je interpretiran široko, da vključuje plačila v katerikoli obliki, ne glede na to, ali je plačilo direktno ali indirektno.</w:t>
      </w:r>
      <w:r w:rsidR="005874FB">
        <w:t xml:space="preserve"> Pomembno je, da je višina plačila povezana z davčnim učinkom.</w:t>
      </w:r>
      <w:r>
        <w:t xml:space="preserve"> Zajete so vse vrste plačil, kot so obresti, nadomestila </w:t>
      </w:r>
      <w:r w:rsidR="007C4EAC">
        <w:t>za stroške financiranja in drugi</w:t>
      </w:r>
      <w:r>
        <w:t xml:space="preserve"> stroški, tudi nagrade, do katerih je posrednik upravičen za opravljene storitve na podlagi sklenjenega aranžmaja</w:t>
      </w:r>
      <w:r w:rsidR="005874FB">
        <w:t xml:space="preserve">. </w:t>
      </w:r>
      <w:r w:rsidR="005F3F8B">
        <w:t>Lahko gre tudi za delna plačila v obliki vnaprej dogovorjenih plačil, ki pa so odvisna od uspešnega davčnega učink</w:t>
      </w:r>
      <w:r w:rsidR="007C4EAC">
        <w:t>a v predhodnih fazah aranžmaja.</w:t>
      </w:r>
      <w:r w:rsidR="005F3F8B">
        <w:t xml:space="preserve"> Ni nujno, da je premija dogovorjena v obliki dodatnega stroška, temveč je lahko sestavni del cene samega aranžmaja. </w:t>
      </w:r>
    </w:p>
    <w:p w14:paraId="449A9805" w14:textId="77777777" w:rsidR="005874FB" w:rsidRDefault="005874FB" w:rsidP="00697F07">
      <w:pPr>
        <w:spacing w:line="260" w:lineRule="exact"/>
        <w:jc w:val="both"/>
      </w:pPr>
    </w:p>
    <w:p w14:paraId="79C6E43C" w14:textId="77777777" w:rsidR="005874FB" w:rsidRDefault="005F3F8B" w:rsidP="00697F07">
      <w:pPr>
        <w:spacing w:line="260" w:lineRule="exact"/>
        <w:jc w:val="both"/>
      </w:pPr>
      <w:r>
        <w:t>Tovrstna plačila oziroma premije so lahko bistveno višje od normalnih premij, ki jih sicer zaračunava posrednik in torej predst</w:t>
      </w:r>
      <w:r w:rsidR="007C4EAC">
        <w:t>av</w:t>
      </w:r>
      <w:r>
        <w:t xml:space="preserve">ljajo odklon od normalnega poslovanja. Pri tem je pomembno, da je višina </w:t>
      </w:r>
      <w:r w:rsidR="00D61692">
        <w:t xml:space="preserve">plačila </w:t>
      </w:r>
      <w:r>
        <w:t>odvisna od prednosti tega aran</w:t>
      </w:r>
      <w:r w:rsidR="005F7B3E">
        <w:t xml:space="preserve">žmaja in ne od </w:t>
      </w:r>
      <w:r>
        <w:t>drugih deja</w:t>
      </w:r>
      <w:r w:rsidR="005F7B3E">
        <w:t>v</w:t>
      </w:r>
      <w:r>
        <w:t xml:space="preserve">nikov, kot je na primer sloves posrednika. </w:t>
      </w:r>
    </w:p>
    <w:p w14:paraId="5E2ECBA1" w14:textId="77777777" w:rsidR="008B4D62" w:rsidRDefault="008B4D62" w:rsidP="00697F07">
      <w:pPr>
        <w:spacing w:line="260" w:lineRule="exact"/>
        <w:jc w:val="both"/>
      </w:pPr>
    </w:p>
    <w:p w14:paraId="4446C6D1" w14:textId="77777777" w:rsidR="003A5E83" w:rsidRPr="00C525BD" w:rsidRDefault="00740DA2" w:rsidP="00697F07">
      <w:pPr>
        <w:spacing w:line="260" w:lineRule="exact"/>
        <w:jc w:val="both"/>
        <w:rPr>
          <w:i/>
          <w:szCs w:val="20"/>
        </w:rPr>
      </w:pPr>
      <w:r w:rsidRPr="00C525BD">
        <w:rPr>
          <w:i/>
        </w:rPr>
        <w:lastRenderedPageBreak/>
        <w:t>V</w:t>
      </w:r>
      <w:r w:rsidR="003A5E83" w:rsidRPr="00C525BD">
        <w:rPr>
          <w:i/>
        </w:rPr>
        <w:t xml:space="preserve">prašanje: </w:t>
      </w:r>
      <w:r w:rsidR="00AF23AF">
        <w:rPr>
          <w:i/>
          <w:szCs w:val="20"/>
        </w:rPr>
        <w:t xml:space="preserve">Ali </w:t>
      </w:r>
      <w:r w:rsidR="00C525BD" w:rsidRPr="00C525BD">
        <w:rPr>
          <w:i/>
          <w:szCs w:val="20"/>
        </w:rPr>
        <w:t xml:space="preserve">drži, </w:t>
      </w:r>
      <w:r w:rsidR="003A5E83" w:rsidRPr="00C525BD">
        <w:rPr>
          <w:i/>
          <w:szCs w:val="20"/>
        </w:rPr>
        <w:t xml:space="preserve">da prepoznavna značilnost A2 velja samo za prihodnje storitve in na primer cene storitev, ki temeljijo na izpolnitvi pogoja (npr. storitve v sporu ali nadzoru davkov v letu 2019 glede čezmejne transakcije, ki je bila izvedena leta 2010) ne spadajo v A2? </w:t>
      </w:r>
      <w:r w:rsidR="00AF23AF">
        <w:rPr>
          <w:i/>
          <w:szCs w:val="20"/>
        </w:rPr>
        <w:t xml:space="preserve">Ali drži, da </w:t>
      </w:r>
      <w:r w:rsidR="003A5E83" w:rsidRPr="00C525BD">
        <w:rPr>
          <w:i/>
          <w:szCs w:val="20"/>
        </w:rPr>
        <w:t>pregled davčnega odtegljaja po posameznih transakcijah, ki je bil plačan v obdobju 2013-2017, na podlagi cene, ki temelji na uspehu, ne spada v A2?</w:t>
      </w:r>
    </w:p>
    <w:p w14:paraId="6A4605E8" w14:textId="77777777" w:rsidR="003A5E83" w:rsidRDefault="003A5E83" w:rsidP="00697F07">
      <w:pPr>
        <w:spacing w:line="260" w:lineRule="exact"/>
        <w:jc w:val="both"/>
        <w:rPr>
          <w:szCs w:val="20"/>
        </w:rPr>
      </w:pPr>
    </w:p>
    <w:p w14:paraId="1B5D8826" w14:textId="77777777" w:rsidR="00740DA2" w:rsidRDefault="00740DA2" w:rsidP="00697F07">
      <w:pPr>
        <w:spacing w:line="260" w:lineRule="exact"/>
        <w:jc w:val="both"/>
        <w:rPr>
          <w:szCs w:val="20"/>
        </w:rPr>
      </w:pPr>
      <w:r>
        <w:rPr>
          <w:szCs w:val="20"/>
        </w:rPr>
        <w:t xml:space="preserve">Najprej je potrebno poudariti, da </w:t>
      </w:r>
      <w:r w:rsidR="003A5E83">
        <w:rPr>
          <w:szCs w:val="20"/>
        </w:rPr>
        <w:t xml:space="preserve">sodelovanje </w:t>
      </w:r>
      <w:r w:rsidR="00C525BD">
        <w:rPr>
          <w:szCs w:val="20"/>
        </w:rPr>
        <w:t>da</w:t>
      </w:r>
      <w:r w:rsidR="00E23D31">
        <w:rPr>
          <w:szCs w:val="20"/>
        </w:rPr>
        <w:t>v</w:t>
      </w:r>
      <w:r w:rsidR="00C525BD">
        <w:rPr>
          <w:szCs w:val="20"/>
        </w:rPr>
        <w:t xml:space="preserve">čnega svetovalca (kot posrednika) </w:t>
      </w:r>
      <w:r w:rsidR="003A5E83">
        <w:rPr>
          <w:szCs w:val="20"/>
        </w:rPr>
        <w:t xml:space="preserve">v </w:t>
      </w:r>
      <w:r w:rsidR="001B0109">
        <w:rPr>
          <w:szCs w:val="20"/>
        </w:rPr>
        <w:t>davčnem inšpekcijskem nadzoru (v nadaljevanju DIN)</w:t>
      </w:r>
      <w:r w:rsidR="003A5E83">
        <w:rPr>
          <w:szCs w:val="20"/>
        </w:rPr>
        <w:t xml:space="preserve"> samo po sebi ne predstavlja aranžmaja, o katerem se poroča v okviru DAC6 poročanja. </w:t>
      </w:r>
      <w:r w:rsidR="00853430">
        <w:rPr>
          <w:szCs w:val="20"/>
        </w:rPr>
        <w:t xml:space="preserve"> V tem kontekstu tudi plačilo glede na uspeh v postopku sam po se</w:t>
      </w:r>
      <w:r w:rsidR="00461D4D">
        <w:rPr>
          <w:szCs w:val="20"/>
        </w:rPr>
        <w:t>bi ne pomeni premium fee plačila</w:t>
      </w:r>
      <w:r w:rsidR="00C525BD">
        <w:rPr>
          <w:szCs w:val="20"/>
        </w:rPr>
        <w:t>:</w:t>
      </w:r>
      <w:r w:rsidR="00E23D31">
        <w:rPr>
          <w:szCs w:val="20"/>
        </w:rPr>
        <w:t xml:space="preserve"> </w:t>
      </w:r>
      <w:r w:rsidR="00853430">
        <w:rPr>
          <w:szCs w:val="20"/>
        </w:rPr>
        <w:t xml:space="preserve">pravično in zakonito obdavčenje, kar izdana odločba predpostavlja, ne more predstavljati davčne koristi, </w:t>
      </w:r>
      <w:r w:rsidR="00E23D31">
        <w:rPr>
          <w:szCs w:val="20"/>
        </w:rPr>
        <w:t>temveč</w:t>
      </w:r>
      <w:r w:rsidR="00853430">
        <w:rPr>
          <w:szCs w:val="20"/>
        </w:rPr>
        <w:t xml:space="preserve"> obdavčitev v skladu z zakonom.</w:t>
      </w:r>
    </w:p>
    <w:p w14:paraId="6E3CDEBC" w14:textId="77777777" w:rsidR="00740DA2" w:rsidRDefault="00740DA2" w:rsidP="00697F07">
      <w:pPr>
        <w:spacing w:line="260" w:lineRule="exact"/>
        <w:jc w:val="both"/>
        <w:rPr>
          <w:szCs w:val="20"/>
        </w:rPr>
      </w:pPr>
    </w:p>
    <w:p w14:paraId="3039D6B2" w14:textId="77777777" w:rsidR="00740DA2" w:rsidRDefault="003A5E83" w:rsidP="00697F07">
      <w:pPr>
        <w:spacing w:line="260" w:lineRule="exact"/>
        <w:jc w:val="both"/>
        <w:rPr>
          <w:szCs w:val="20"/>
        </w:rPr>
      </w:pPr>
      <w:r>
        <w:rPr>
          <w:szCs w:val="20"/>
        </w:rPr>
        <w:t>Drugič: ob predpostavki, da je bil aranžma, torej čezmejna transakcija</w:t>
      </w:r>
      <w:r w:rsidR="009314A4">
        <w:rPr>
          <w:szCs w:val="20"/>
        </w:rPr>
        <w:t>,</w:t>
      </w:r>
      <w:r>
        <w:rPr>
          <w:szCs w:val="20"/>
        </w:rPr>
        <w:t xml:space="preserve"> izvedena v letu 2010, zasnovan s strani tega posrednika in je bil takrat dogovorjen premium fee, tudi ne zapade pod poročanje, ker gre za aranžma, implementi</w:t>
      </w:r>
      <w:r w:rsidR="001B0109">
        <w:rPr>
          <w:szCs w:val="20"/>
        </w:rPr>
        <w:t xml:space="preserve">ran pred sprejetjem </w:t>
      </w:r>
      <w:r w:rsidR="00CF5555">
        <w:rPr>
          <w:szCs w:val="20"/>
        </w:rPr>
        <w:t>D</w:t>
      </w:r>
      <w:r w:rsidR="001B0109">
        <w:rPr>
          <w:szCs w:val="20"/>
        </w:rPr>
        <w:t>ire</w:t>
      </w:r>
      <w:r w:rsidR="00740DA2">
        <w:rPr>
          <w:szCs w:val="20"/>
        </w:rPr>
        <w:t>ktive.</w:t>
      </w:r>
    </w:p>
    <w:p w14:paraId="35EE4301" w14:textId="77777777" w:rsidR="00740DA2" w:rsidRDefault="00740DA2" w:rsidP="00697F07">
      <w:pPr>
        <w:spacing w:line="260" w:lineRule="exact"/>
        <w:jc w:val="both"/>
        <w:rPr>
          <w:szCs w:val="20"/>
        </w:rPr>
      </w:pPr>
    </w:p>
    <w:p w14:paraId="108D5D20" w14:textId="77777777" w:rsidR="003A5E83" w:rsidRDefault="003A5E83" w:rsidP="00697F07">
      <w:pPr>
        <w:spacing w:line="260" w:lineRule="exact"/>
        <w:jc w:val="both"/>
        <w:rPr>
          <w:szCs w:val="20"/>
        </w:rPr>
      </w:pPr>
      <w:r>
        <w:rPr>
          <w:szCs w:val="20"/>
        </w:rPr>
        <w:t>Tretjič: če pa je</w:t>
      </w:r>
      <w:r w:rsidR="009314A4">
        <w:rPr>
          <w:szCs w:val="20"/>
        </w:rPr>
        <w:t xml:space="preserve"> </w:t>
      </w:r>
      <w:r w:rsidR="00853430">
        <w:rPr>
          <w:szCs w:val="20"/>
        </w:rPr>
        <w:t xml:space="preserve">sodelovanje </w:t>
      </w:r>
      <w:r w:rsidR="00C525BD">
        <w:rPr>
          <w:szCs w:val="20"/>
        </w:rPr>
        <w:t xml:space="preserve">posrednika </w:t>
      </w:r>
      <w:r w:rsidR="00853430">
        <w:rPr>
          <w:szCs w:val="20"/>
        </w:rPr>
        <w:t xml:space="preserve">v DIN </w:t>
      </w:r>
      <w:r>
        <w:rPr>
          <w:szCs w:val="20"/>
        </w:rPr>
        <w:t>eden izmed inovativnih načinov/meha</w:t>
      </w:r>
      <w:r w:rsidR="00740DA2">
        <w:rPr>
          <w:szCs w:val="20"/>
        </w:rPr>
        <w:t>nizmov za doseganje davčne koristi in je zaradi tega cena storitve bistveno višja (od, na primer, cene, ki jo posrednik sicer zaračunava za sode</w:t>
      </w:r>
      <w:r w:rsidR="00617F0D">
        <w:rPr>
          <w:szCs w:val="20"/>
        </w:rPr>
        <w:t>l</w:t>
      </w:r>
      <w:r w:rsidR="00740DA2">
        <w:rPr>
          <w:szCs w:val="20"/>
        </w:rPr>
        <w:t>ovanje v DIN), po</w:t>
      </w:r>
      <w:r w:rsidR="001B0109">
        <w:rPr>
          <w:szCs w:val="20"/>
        </w:rPr>
        <w:t>tem pa aranžma izpolnjuje to pr</w:t>
      </w:r>
      <w:r w:rsidR="00740DA2">
        <w:rPr>
          <w:szCs w:val="20"/>
        </w:rPr>
        <w:t>e</w:t>
      </w:r>
      <w:r w:rsidR="001B0109">
        <w:rPr>
          <w:szCs w:val="20"/>
        </w:rPr>
        <w:t>p</w:t>
      </w:r>
      <w:r w:rsidR="00740DA2">
        <w:rPr>
          <w:szCs w:val="20"/>
        </w:rPr>
        <w:t>oznavno značilnost in je potrebno o njem poročati.</w:t>
      </w:r>
    </w:p>
    <w:p w14:paraId="1A3A4D59" w14:textId="77777777" w:rsidR="00740DA2" w:rsidRDefault="00740DA2" w:rsidP="00697F07">
      <w:pPr>
        <w:spacing w:line="260" w:lineRule="exact"/>
        <w:jc w:val="both"/>
        <w:rPr>
          <w:szCs w:val="20"/>
        </w:rPr>
      </w:pPr>
    </w:p>
    <w:p w14:paraId="49B61610" w14:textId="77777777" w:rsidR="003A5E83" w:rsidRDefault="00740DA2" w:rsidP="00697F07">
      <w:pPr>
        <w:spacing w:line="260" w:lineRule="exact"/>
        <w:jc w:val="both"/>
        <w:rPr>
          <w:szCs w:val="20"/>
        </w:rPr>
      </w:pPr>
      <w:r>
        <w:rPr>
          <w:szCs w:val="20"/>
        </w:rPr>
        <w:t>Četrtič</w:t>
      </w:r>
      <w:r w:rsidR="007C4EAC">
        <w:rPr>
          <w:szCs w:val="20"/>
        </w:rPr>
        <w:t>:</w:t>
      </w:r>
      <w:r w:rsidR="003A5E83">
        <w:rPr>
          <w:szCs w:val="20"/>
        </w:rPr>
        <w:t xml:space="preserve"> </w:t>
      </w:r>
      <w:r w:rsidR="001B0109">
        <w:rPr>
          <w:szCs w:val="20"/>
        </w:rPr>
        <w:t>če je namen pregleda davčn</w:t>
      </w:r>
      <w:r w:rsidR="003A5E83">
        <w:rPr>
          <w:szCs w:val="20"/>
        </w:rPr>
        <w:t>ega odtegljaja v tem, da se prevetri shema in najde nov način, s katerim se lahko zniža ta davek (torej pre</w:t>
      </w:r>
      <w:r w:rsidR="00777812">
        <w:rPr>
          <w:szCs w:val="20"/>
        </w:rPr>
        <w:t>d</w:t>
      </w:r>
      <w:r w:rsidR="003A5E83">
        <w:rPr>
          <w:szCs w:val="20"/>
        </w:rPr>
        <w:t>vidoma</w:t>
      </w:r>
      <w:r w:rsidR="009314A4">
        <w:rPr>
          <w:szCs w:val="20"/>
        </w:rPr>
        <w:t>,</w:t>
      </w:r>
      <w:r w:rsidR="003A5E83">
        <w:rPr>
          <w:szCs w:val="20"/>
        </w:rPr>
        <w:t xml:space="preserve"> da se lahko zahteva vračilo davka) in je višina plačila odvisna od zahtevanega vračila davka, potem je potrebno o aranžmaju poročati. </w:t>
      </w:r>
    </w:p>
    <w:p w14:paraId="69794FA2" w14:textId="77777777" w:rsidR="003A5E83" w:rsidRDefault="003A5E83" w:rsidP="00697F07">
      <w:pPr>
        <w:spacing w:line="260" w:lineRule="exact"/>
        <w:jc w:val="both"/>
        <w:rPr>
          <w:color w:val="000000" w:themeColor="text1"/>
          <w:lang w:eastAsia="sl-SI"/>
        </w:rPr>
      </w:pPr>
    </w:p>
    <w:p w14:paraId="6DF0E24D" w14:textId="77777777" w:rsidR="005F7B3E" w:rsidRPr="005F7B3E" w:rsidRDefault="005F7B3E" w:rsidP="00697F07">
      <w:pPr>
        <w:spacing w:line="260" w:lineRule="exact"/>
        <w:rPr>
          <w:b/>
        </w:rPr>
      </w:pPr>
      <w:bookmarkStart w:id="40" w:name="_Toc75160023"/>
      <w:r w:rsidRPr="0068128B">
        <w:rPr>
          <w:rStyle w:val="Naslov3Znak"/>
        </w:rPr>
        <w:t>A3. Aranžma, ki je bistveno standardiziral dokumentacijo in/ali strukturo</w:t>
      </w:r>
      <w:bookmarkEnd w:id="40"/>
      <w:r w:rsidRPr="00A118B1">
        <w:t xml:space="preserve"> </w:t>
      </w:r>
      <w:r w:rsidRPr="005F7B3E">
        <w:rPr>
          <w:b/>
        </w:rPr>
        <w:t>in je na voljo več kot enemu zadevnemu davčnemu zavezancu, ne da bi ga bilo treba bistveno prilagoditi za izvajanje.</w:t>
      </w:r>
    </w:p>
    <w:p w14:paraId="4D2685C1" w14:textId="77777777" w:rsidR="008B4D62" w:rsidRDefault="008B4D62" w:rsidP="00697F07">
      <w:pPr>
        <w:spacing w:line="260" w:lineRule="exact"/>
        <w:jc w:val="both"/>
      </w:pPr>
    </w:p>
    <w:p w14:paraId="59E61899" w14:textId="77777777" w:rsidR="003C2075" w:rsidRDefault="004D2B8D" w:rsidP="00697F07">
      <w:pPr>
        <w:spacing w:line="260" w:lineRule="exact"/>
        <w:jc w:val="both"/>
      </w:pPr>
      <w:r>
        <w:t xml:space="preserve">Tudi ta prepoznavna značilnost se uporablja ob pozitivnem testu glavne koristi. Upoštevajoč OECD </w:t>
      </w:r>
      <w:r w:rsidR="00461D4D">
        <w:t xml:space="preserve">razlago </w:t>
      </w:r>
      <w:r>
        <w:t>BEPS12 ukrep</w:t>
      </w:r>
      <w:r w:rsidR="00461D4D">
        <w:t>a</w:t>
      </w:r>
      <w:r>
        <w:t xml:space="preserve"> je ta značilnost namenjena zaje</w:t>
      </w:r>
      <w:r w:rsidR="00FC44F4">
        <w:t>mu aranžmajev, ki so dani na ra</w:t>
      </w:r>
      <w:r>
        <w:t>zpolago večjemu številu u</w:t>
      </w:r>
      <w:r w:rsidR="003C2075">
        <w:t>porabnikov in uporabljajo stand</w:t>
      </w:r>
      <w:r>
        <w:t>a</w:t>
      </w:r>
      <w:r w:rsidR="003C2075">
        <w:t>r</w:t>
      </w:r>
      <w:r>
        <w:t xml:space="preserve">dno dokumentacijo, ki ni posebej prilagojena potrebam uporabnika. </w:t>
      </w:r>
    </w:p>
    <w:p w14:paraId="6B4A9D77" w14:textId="77777777" w:rsidR="003C2075" w:rsidRDefault="003C2075" w:rsidP="00697F07">
      <w:pPr>
        <w:spacing w:line="260" w:lineRule="exact"/>
        <w:jc w:val="both"/>
      </w:pPr>
    </w:p>
    <w:p w14:paraId="2887D00C" w14:textId="77777777" w:rsidR="00D83FAC" w:rsidRDefault="003C2075" w:rsidP="00697F07">
      <w:pPr>
        <w:spacing w:line="260" w:lineRule="exact"/>
        <w:jc w:val="both"/>
      </w:pPr>
      <w:r>
        <w:t xml:space="preserve">V tovrstnih primerih davčni zavezanec pridobi standardiziran </w:t>
      </w:r>
      <w:r w:rsidR="007C4EAC">
        <w:t>davčni produkt in za njegovo im</w:t>
      </w:r>
      <w:r>
        <w:t xml:space="preserve">plementacijo praviloma niso potrebne niti nikakršne dodatne prilagoditve </w:t>
      </w:r>
      <w:r w:rsidR="007C4EAC">
        <w:t>niti dodatno davčno svetovanje.</w:t>
      </w:r>
      <w:r w:rsidR="004D2B8D">
        <w:t xml:space="preserve"> </w:t>
      </w:r>
      <w:r w:rsidR="00B93972">
        <w:t>Način promoviranja aranžmaja in sklenitve dogovora (pisno ali ustno) pri tem ni relevanten, bistveno je, v kol</w:t>
      </w:r>
      <w:r w:rsidR="007C4EAC">
        <w:t>ikšni meri in kolikšnemu številu</w:t>
      </w:r>
      <w:r w:rsidR="00B93972">
        <w:t xml:space="preserve"> uporabnikov je aranžma ponujen, torej kolikšna je enostavnost replikacije aranžmaja. </w:t>
      </w:r>
      <w:r w:rsidR="00777812">
        <w:t>Ravno enostavnost repli</w:t>
      </w:r>
      <w:r w:rsidR="002E3469">
        <w:t>ci</w:t>
      </w:r>
      <w:r w:rsidR="00777812">
        <w:t xml:space="preserve">ranja je tipična značilnost masovnih tržnih aranžmajev, ki </w:t>
      </w:r>
      <w:r w:rsidR="007C4EAC">
        <w:t xml:space="preserve">so </w:t>
      </w:r>
      <w:r w:rsidR="002E3469">
        <w:t>v anglosa</w:t>
      </w:r>
      <w:r w:rsidR="00777812">
        <w:t xml:space="preserve">ksonskem pravu znani </w:t>
      </w:r>
      <w:r w:rsidR="002E3469">
        <w:t>t</w:t>
      </w:r>
      <w:r w:rsidR="00777812">
        <w:t>udi kot »shrink-wrapped« ali »plug and play«</w:t>
      </w:r>
      <w:r w:rsidR="002E3469">
        <w:t xml:space="preserve"> sheme, v kontinentalnem pravu pa so manj pogosti.</w:t>
      </w:r>
    </w:p>
    <w:p w14:paraId="7D4532E6" w14:textId="77777777" w:rsidR="00D83FAC" w:rsidRDefault="00D83FAC" w:rsidP="00697F07">
      <w:pPr>
        <w:spacing w:line="260" w:lineRule="exact"/>
        <w:jc w:val="both"/>
      </w:pPr>
    </w:p>
    <w:p w14:paraId="62BE99E3" w14:textId="77777777" w:rsidR="002E3469" w:rsidRDefault="003C2075" w:rsidP="00697F07">
      <w:pPr>
        <w:spacing w:line="260" w:lineRule="exact"/>
        <w:jc w:val="both"/>
      </w:pPr>
      <w:r>
        <w:t>Gre torej za prepoznavno značilnost, prek katere se v por</w:t>
      </w:r>
      <w:r w:rsidR="00B93972">
        <w:t xml:space="preserve">očanje zajemajo tržni aranžmaji, kot so določeni v </w:t>
      </w:r>
      <w:r w:rsidR="00FC44F4">
        <w:t>14. odstavku 243</w:t>
      </w:r>
      <w:r w:rsidR="00461D4D">
        <w:t>.</w:t>
      </w:r>
      <w:r w:rsidR="00FC44F4">
        <w:t>a člena ZD</w:t>
      </w:r>
      <w:r w:rsidR="00777812">
        <w:t>a</w:t>
      </w:r>
      <w:r w:rsidR="00FC44F4">
        <w:t>vP-2</w:t>
      </w:r>
      <w:r w:rsidR="002E3469">
        <w:t>, čeprav definicija tržnega ara</w:t>
      </w:r>
      <w:r w:rsidR="001B0109">
        <w:t>nžmaja</w:t>
      </w:r>
      <w:r w:rsidR="002E3469">
        <w:t xml:space="preserve"> sicer eksplicitno ne </w:t>
      </w:r>
      <w:r w:rsidR="007C4EAC">
        <w:t>vključuje standardizirane dokum</w:t>
      </w:r>
      <w:r w:rsidR="002E3469">
        <w:t>e</w:t>
      </w:r>
      <w:r w:rsidR="007C4EAC">
        <w:t>n</w:t>
      </w:r>
      <w:r w:rsidR="002E3469">
        <w:t>tacije. Kljub temu je vendarle standardizirana doku</w:t>
      </w:r>
      <w:r w:rsidR="009314A4">
        <w:t xml:space="preserve">mentacije ključna za to, da se </w:t>
      </w:r>
      <w:r w:rsidR="002E3469">
        <w:t>določen davčni produkt lahko ponudi na razpolago večjemu številu uporabnikov brez posebne prilagoditve, kar po vsebini ustreza definiciji tržnega aranžmaja.</w:t>
      </w:r>
    </w:p>
    <w:p w14:paraId="45228EE1" w14:textId="77777777" w:rsidR="002E3469" w:rsidRDefault="002E3469" w:rsidP="00697F07">
      <w:pPr>
        <w:spacing w:line="260" w:lineRule="exact"/>
        <w:jc w:val="both"/>
      </w:pPr>
    </w:p>
    <w:p w14:paraId="59D0196A" w14:textId="77777777" w:rsidR="00777812" w:rsidRDefault="00777812" w:rsidP="00697F07">
      <w:pPr>
        <w:spacing w:line="260" w:lineRule="exact"/>
        <w:jc w:val="both"/>
      </w:pPr>
      <w:r>
        <w:t xml:space="preserve">Standardno dokumentacijo </w:t>
      </w:r>
      <w:r w:rsidR="002E3469">
        <w:t xml:space="preserve">v tem pogledu </w:t>
      </w:r>
      <w:r>
        <w:t>lahko predstavljajo tipske pogodbe ali predi</w:t>
      </w:r>
      <w:r w:rsidR="002E3469">
        <w:t>zpolnjeni obrazci (</w:t>
      </w:r>
      <w:r>
        <w:t>vključno z navodili za izpolnjevanje</w:t>
      </w:r>
      <w:r w:rsidR="002E3469">
        <w:t xml:space="preserve">), pa tudi, na primer sklenitev ustnih dogovorov. Tržni aranžmaji se lahko ponujajo preko različnih komunikacijskih in trženjskih kanalov. </w:t>
      </w:r>
    </w:p>
    <w:p w14:paraId="1F6BE2E2" w14:textId="77777777" w:rsidR="002E3469" w:rsidRDefault="002E3469" w:rsidP="00697F07">
      <w:pPr>
        <w:spacing w:line="260" w:lineRule="exact"/>
        <w:jc w:val="both"/>
      </w:pPr>
    </w:p>
    <w:p w14:paraId="08EBB6BF" w14:textId="77777777" w:rsidR="00A15FA6" w:rsidRDefault="002E3469" w:rsidP="00697F07">
      <w:pPr>
        <w:spacing w:line="260" w:lineRule="exact"/>
        <w:jc w:val="both"/>
      </w:pPr>
      <w:r>
        <w:lastRenderedPageBreak/>
        <w:t>V to prepoznavno značilnost sodijo tudi aranžmaji, ki vključujejo implementacijo aranžmajev z ustanavljanjem družb ali kupovanjem družb na zalogo pri registracijskih agentih, vključno z vsemi spre</w:t>
      </w:r>
      <w:r w:rsidR="00B37A05">
        <w:t>m</w:t>
      </w:r>
      <w:r>
        <w:t>ljajočimi stori</w:t>
      </w:r>
      <w:r w:rsidR="007C4EAC">
        <w:t>t</w:t>
      </w:r>
      <w:r>
        <w:t>vami (spreme</w:t>
      </w:r>
      <w:r w:rsidR="00DB0CD5">
        <w:t>m</w:t>
      </w:r>
      <w:r>
        <w:t>be pod</w:t>
      </w:r>
      <w:r w:rsidR="007C4EAC">
        <w:t>atkov v uradnih registrih, prid</w:t>
      </w:r>
      <w:r>
        <w:t>obivanje ustreznih potrdil, odpiranje finančnih in drugih računov, ipd.). Po izkušnjah davčnih administr</w:t>
      </w:r>
      <w:r w:rsidR="00A15FA6">
        <w:t>acij</w:t>
      </w:r>
      <w:r>
        <w:t xml:space="preserve"> </w:t>
      </w:r>
      <w:r w:rsidR="00A15FA6">
        <w:t xml:space="preserve">so </w:t>
      </w:r>
      <w:r>
        <w:t xml:space="preserve">namreč </w:t>
      </w:r>
      <w:r w:rsidR="00A15FA6">
        <w:t>dokumentacija, struktura in poslovni model aranžmaja standardizirani do te mere, da so za imple</w:t>
      </w:r>
      <w:r w:rsidR="00DB0CD5">
        <w:t>me</w:t>
      </w:r>
      <w:r w:rsidR="00A15FA6">
        <w:t>ntacijo aranžmaja potrebne minimalne prilagoditve.</w:t>
      </w:r>
    </w:p>
    <w:p w14:paraId="55CE6B2B" w14:textId="77777777" w:rsidR="00A15FA6" w:rsidRDefault="00A15FA6" w:rsidP="00697F07">
      <w:pPr>
        <w:spacing w:line="260" w:lineRule="exact"/>
        <w:jc w:val="both"/>
      </w:pPr>
    </w:p>
    <w:p w14:paraId="6AF229C9" w14:textId="48B89BE2" w:rsidR="00DB0CD5" w:rsidRDefault="00A15FA6" w:rsidP="00697F07">
      <w:pPr>
        <w:spacing w:line="260" w:lineRule="exact"/>
        <w:jc w:val="both"/>
      </w:pPr>
      <w:r>
        <w:t xml:space="preserve">Na drugi strani pa finančne institucije pri svojem delu uporabljajo standardizirano dokumentacijo in so široko dostopne različnim strankam. </w:t>
      </w:r>
      <w:r w:rsidR="00B31F4B">
        <w:t>Pri presoji, ali se določena standardna dokumentacija šteje v prepozna</w:t>
      </w:r>
      <w:r w:rsidR="00B37A05">
        <w:t>vno značilnost A3 ali ne, ni mo</w:t>
      </w:r>
      <w:r w:rsidR="00B31F4B">
        <w:t xml:space="preserve">goče kategorično vnaprej </w:t>
      </w:r>
      <w:r w:rsidR="009314A4">
        <w:t>izločiti določenih tipov pogodb.</w:t>
      </w:r>
      <w:r w:rsidR="00B31F4B">
        <w:t xml:space="preserve"> </w:t>
      </w:r>
      <w:r w:rsidRPr="00CA11DD">
        <w:t>Standardne pogod</w:t>
      </w:r>
      <w:r w:rsidR="00461D4D">
        <w:t>be v bančništvu, kot so hipote</w:t>
      </w:r>
      <w:r w:rsidR="00064B7F">
        <w:t>karni krediti</w:t>
      </w:r>
      <w:r>
        <w:t xml:space="preserve"> in drug</w:t>
      </w:r>
      <w:r w:rsidR="00546BD6">
        <w:t xml:space="preserve">i podobni bančni produkti ali storitve (npr. </w:t>
      </w:r>
      <w:r w:rsidR="0008731A">
        <w:t xml:space="preserve">predložitev </w:t>
      </w:r>
      <w:r w:rsidR="00546BD6">
        <w:t>t.</w:t>
      </w:r>
      <w:r w:rsidR="008E6EDD">
        <w:t xml:space="preserve"> </w:t>
      </w:r>
      <w:r w:rsidR="00546BD6">
        <w:t>i. KIDO obrazc</w:t>
      </w:r>
      <w:r w:rsidR="0008731A">
        <w:t>ev</w:t>
      </w:r>
      <w:r w:rsidR="00546BD6">
        <w:t xml:space="preserve"> pri izplačilu obresti)</w:t>
      </w:r>
      <w:r>
        <w:t>,</w:t>
      </w:r>
      <w:r w:rsidRPr="00CA11DD">
        <w:t xml:space="preserve"> ne bodo podvržene poročanju, ker je davčna ugodnost nepomembna koris</w:t>
      </w:r>
      <w:r w:rsidR="00B31F4B">
        <w:t>t v primerjavi z drugimi učinki in ne gre za trženje davčnega produkta.</w:t>
      </w:r>
    </w:p>
    <w:p w14:paraId="6739E3B3" w14:textId="77777777" w:rsidR="00DB0CD5" w:rsidRDefault="00DB0CD5" w:rsidP="00697F07">
      <w:pPr>
        <w:spacing w:line="260" w:lineRule="exact"/>
        <w:jc w:val="both"/>
      </w:pPr>
    </w:p>
    <w:p w14:paraId="32E14895" w14:textId="77777777" w:rsidR="00A15FA6" w:rsidRDefault="00DB0CD5" w:rsidP="00697F07">
      <w:pPr>
        <w:spacing w:line="260" w:lineRule="exact"/>
        <w:jc w:val="both"/>
      </w:pPr>
      <w:r>
        <w:t>Podobno davčni svetovalci in zavezanci pogo</w:t>
      </w:r>
      <w:r w:rsidR="007C4EAC">
        <w:t>sto uporabljajo standardno dokum</w:t>
      </w:r>
      <w:r>
        <w:t>entacijo kot so posojilne</w:t>
      </w:r>
      <w:r w:rsidR="00B37A05">
        <w:t xml:space="preserve"> pogodbe v okviru zakladništva </w:t>
      </w:r>
      <w:r>
        <w:t>in akte o ustanovitvi ali prestrukturiranjih gospodarskih subjektov. Tudi pri presoji tovrstnih dokumentov je potrebno</w:t>
      </w:r>
      <w:r w:rsidR="00B31F4B">
        <w:t xml:space="preserve"> upoštevati namen in okvir aranžmaja, v okviru katerega se uporablja ta standardizirana dokume</w:t>
      </w:r>
      <w:r w:rsidR="00B37A05">
        <w:t>n</w:t>
      </w:r>
      <w:r w:rsidR="00B31F4B">
        <w:t xml:space="preserve">tacija. </w:t>
      </w:r>
      <w:r w:rsidR="00753421">
        <w:t>Posojilna pogodba</w:t>
      </w:r>
      <w:r w:rsidR="00121508">
        <w:t xml:space="preserve"> torej sama po sebi kot odraz o</w:t>
      </w:r>
      <w:r w:rsidR="00753421">
        <w:t xml:space="preserve">bligacijsko pravnega razmerja, četudi je standardizirana do te mere, da </w:t>
      </w:r>
      <w:r w:rsidR="00121508">
        <w:t>omogoča razmer</w:t>
      </w:r>
      <w:r w:rsidR="00B37A05">
        <w:t>oma enostavno replikacijo, ne zapade</w:t>
      </w:r>
      <w:r w:rsidR="00121508">
        <w:t xml:space="preserve"> v pre</w:t>
      </w:r>
      <w:r w:rsidR="00B37A05">
        <w:t>p</w:t>
      </w:r>
      <w:r w:rsidR="00121508">
        <w:t>oznavno značilnost A3, ker njen glavni namen ni davčna korist. Če pa je s</w:t>
      </w:r>
      <w:r w:rsidR="007C4EAC">
        <w:t>klenitev takšne standardizirane</w:t>
      </w:r>
      <w:r w:rsidR="00121508">
        <w:t xml:space="preserve"> pogodbe bistven element za pridobivanje davčnih koristi, potem je pogoj prepoznavne značilnosti i</w:t>
      </w:r>
      <w:r w:rsidR="00B37A05">
        <w:t>zpolnjen. S</w:t>
      </w:r>
      <w:r w:rsidR="00121508">
        <w:t xml:space="preserve">miselno enako velja za pogodbe o prestrukturiranju. </w:t>
      </w:r>
    </w:p>
    <w:p w14:paraId="07AA4DF4" w14:textId="77777777" w:rsidR="00F371BE" w:rsidRDefault="00F371BE" w:rsidP="00697F07">
      <w:pPr>
        <w:spacing w:line="260" w:lineRule="exact"/>
        <w:jc w:val="both"/>
      </w:pPr>
    </w:p>
    <w:p w14:paraId="2B7D4A9B" w14:textId="77777777" w:rsidR="00C743DB" w:rsidRPr="0068128B" w:rsidRDefault="0068128B" w:rsidP="00697F07">
      <w:pPr>
        <w:pStyle w:val="Naslov2"/>
      </w:pPr>
      <w:bookmarkStart w:id="41" w:name="_Toc75160024"/>
      <w:r w:rsidRPr="0068128B">
        <w:t xml:space="preserve">B. </w:t>
      </w:r>
      <w:r w:rsidR="00C743DB" w:rsidRPr="0068128B">
        <w:t>POSEBNE PREPOZNAVNE ZNAČILNOSTI, POVEZANE S PRESKUSOM GLAVNE KORISTI</w:t>
      </w:r>
      <w:bookmarkEnd w:id="41"/>
    </w:p>
    <w:p w14:paraId="00A3E24C" w14:textId="77777777" w:rsidR="002D7CA9" w:rsidRDefault="002D7CA9" w:rsidP="00697F07">
      <w:pPr>
        <w:spacing w:line="260" w:lineRule="exact"/>
        <w:rPr>
          <w:lang w:eastAsia="sl-SI"/>
        </w:rPr>
      </w:pPr>
    </w:p>
    <w:p w14:paraId="2A2D23C0" w14:textId="77777777" w:rsidR="002D7CA9" w:rsidRDefault="002D7CA9" w:rsidP="00697F07">
      <w:pPr>
        <w:spacing w:line="260" w:lineRule="exact"/>
        <w:jc w:val="both"/>
        <w:rPr>
          <w:lang w:eastAsia="sl-SI"/>
        </w:rPr>
      </w:pPr>
      <w:r>
        <w:rPr>
          <w:lang w:eastAsia="sl-SI"/>
        </w:rPr>
        <w:t>Posebne prepoznavne značilnosti iz te skupine so ciljno usmerjene na specifična bolj tvegana področja, pri katerih obstaja večja možnost davčnega izogibanja.</w:t>
      </w:r>
      <w:r w:rsidR="005C5C1C">
        <w:rPr>
          <w:lang w:eastAsia="sl-SI"/>
        </w:rPr>
        <w:t xml:space="preserve"> Ker se uporabijo zgolj ob pozitivnem rezultatu testa glavne koristi, </w:t>
      </w:r>
      <w:r w:rsidR="00B37A05">
        <w:rPr>
          <w:lang w:eastAsia="sl-SI"/>
        </w:rPr>
        <w:t xml:space="preserve">so </w:t>
      </w:r>
      <w:r w:rsidR="005C5C1C">
        <w:rPr>
          <w:lang w:eastAsia="sl-SI"/>
        </w:rPr>
        <w:t>v poročanje zajeti vs</w:t>
      </w:r>
      <w:r w:rsidR="00B37A05">
        <w:rPr>
          <w:lang w:eastAsia="sl-SI"/>
        </w:rPr>
        <w:t>i</w:t>
      </w:r>
      <w:r w:rsidR="005C5C1C">
        <w:rPr>
          <w:lang w:eastAsia="sl-SI"/>
        </w:rPr>
        <w:t xml:space="preserve"> tisti aranžmaji, katerih namen je pridobitev davčne koristi in niso izvedeni v skladu z namenom materialnega zakona.</w:t>
      </w:r>
    </w:p>
    <w:p w14:paraId="20C141B0" w14:textId="77777777" w:rsidR="002D7CA9" w:rsidRDefault="002D7CA9" w:rsidP="00697F07">
      <w:pPr>
        <w:spacing w:line="260" w:lineRule="exact"/>
        <w:rPr>
          <w:lang w:eastAsia="sl-SI"/>
        </w:rPr>
      </w:pPr>
    </w:p>
    <w:p w14:paraId="3101C01D" w14:textId="77777777" w:rsidR="00B37A05" w:rsidRPr="00F27554" w:rsidRDefault="00B37A05" w:rsidP="008713F9">
      <w:pPr>
        <w:pStyle w:val="Napis"/>
        <w:rPr>
          <w:lang w:val="sl-SI"/>
        </w:rPr>
      </w:pPr>
      <w:r w:rsidRPr="00F27554">
        <w:rPr>
          <w:lang w:val="sl-SI"/>
        </w:rPr>
        <w:t xml:space="preserve">Preglednica </w:t>
      </w:r>
      <w:r w:rsidR="006B665D">
        <w:fldChar w:fldCharType="begin"/>
      </w:r>
      <w:r w:rsidR="006B665D" w:rsidRPr="00F27554">
        <w:rPr>
          <w:lang w:val="sl-SI"/>
        </w:rPr>
        <w:instrText xml:space="preserve"> SEQ Preglednica \* ARABIC </w:instrText>
      </w:r>
      <w:r w:rsidR="006B665D">
        <w:fldChar w:fldCharType="separate"/>
      </w:r>
      <w:r w:rsidR="000262B5">
        <w:rPr>
          <w:noProof/>
          <w:lang w:val="sl-SI"/>
        </w:rPr>
        <w:t>2</w:t>
      </w:r>
      <w:r w:rsidR="006B665D">
        <w:rPr>
          <w:noProof/>
        </w:rPr>
        <w:fldChar w:fldCharType="end"/>
      </w:r>
      <w:r w:rsidRPr="00F27554">
        <w:rPr>
          <w:lang w:val="sl-SI"/>
        </w:rPr>
        <w:t>: Skupina B – strukturirani aranžmaji, značilni za davčno izogibanje</w:t>
      </w:r>
    </w:p>
    <w:tbl>
      <w:tblPr>
        <w:tblStyle w:val="Tabelamrea"/>
        <w:tblW w:w="8931" w:type="dxa"/>
        <w:jc w:val="center"/>
        <w:tblLook w:val="04A0" w:firstRow="1" w:lastRow="0" w:firstColumn="1" w:lastColumn="0" w:noHBand="0" w:noVBand="1"/>
      </w:tblPr>
      <w:tblGrid>
        <w:gridCol w:w="1053"/>
        <w:gridCol w:w="5468"/>
        <w:gridCol w:w="2410"/>
      </w:tblGrid>
      <w:tr w:rsidR="00B37A05" w:rsidRPr="00C43D24" w14:paraId="6F903B14" w14:textId="77777777" w:rsidTr="00C43D24">
        <w:trPr>
          <w:trHeight w:val="255"/>
          <w:jc w:val="center"/>
        </w:trPr>
        <w:tc>
          <w:tcPr>
            <w:tcW w:w="1053" w:type="dxa"/>
          </w:tcPr>
          <w:p w14:paraId="2B33D916" w14:textId="77777777" w:rsidR="00B37A05" w:rsidRPr="00C43D24" w:rsidRDefault="00B37A05" w:rsidP="00697F07">
            <w:pPr>
              <w:spacing w:line="260" w:lineRule="exact"/>
              <w:jc w:val="center"/>
              <w:rPr>
                <w:sz w:val="18"/>
                <w:szCs w:val="18"/>
              </w:rPr>
            </w:pPr>
            <w:r w:rsidRPr="00C43D24">
              <w:rPr>
                <w:sz w:val="18"/>
                <w:szCs w:val="18"/>
              </w:rPr>
              <w:t>Oznaka</w:t>
            </w:r>
          </w:p>
        </w:tc>
        <w:tc>
          <w:tcPr>
            <w:tcW w:w="5468" w:type="dxa"/>
          </w:tcPr>
          <w:p w14:paraId="7F1BFA31" w14:textId="77777777" w:rsidR="00B37A05" w:rsidRPr="00C43D24" w:rsidRDefault="00B37A05" w:rsidP="00697F07">
            <w:pPr>
              <w:spacing w:line="260" w:lineRule="exact"/>
              <w:jc w:val="center"/>
              <w:rPr>
                <w:sz w:val="18"/>
                <w:szCs w:val="18"/>
              </w:rPr>
            </w:pPr>
            <w:r w:rsidRPr="00C43D24">
              <w:rPr>
                <w:sz w:val="18"/>
                <w:szCs w:val="18"/>
              </w:rPr>
              <w:t>Prepoznavne značilnosti</w:t>
            </w:r>
          </w:p>
        </w:tc>
        <w:tc>
          <w:tcPr>
            <w:tcW w:w="2410" w:type="dxa"/>
          </w:tcPr>
          <w:p w14:paraId="6F5A2026" w14:textId="77777777" w:rsidR="00B37A05" w:rsidRPr="00C43D24" w:rsidRDefault="00B37A05" w:rsidP="00697F07">
            <w:pPr>
              <w:spacing w:line="260" w:lineRule="exact"/>
              <w:jc w:val="center"/>
              <w:rPr>
                <w:sz w:val="18"/>
                <w:szCs w:val="18"/>
              </w:rPr>
            </w:pPr>
            <w:r w:rsidRPr="00C43D24">
              <w:rPr>
                <w:sz w:val="18"/>
                <w:szCs w:val="18"/>
              </w:rPr>
              <w:t>Vezano na test glavne koristi</w:t>
            </w:r>
          </w:p>
        </w:tc>
      </w:tr>
      <w:tr w:rsidR="00B37A05" w:rsidRPr="00C43D24" w14:paraId="3CB75B83" w14:textId="77777777" w:rsidTr="00C43D24">
        <w:trPr>
          <w:trHeight w:val="255"/>
          <w:jc w:val="center"/>
        </w:trPr>
        <w:tc>
          <w:tcPr>
            <w:tcW w:w="1053" w:type="dxa"/>
          </w:tcPr>
          <w:p w14:paraId="0B37500D" w14:textId="77777777" w:rsidR="00B37A05" w:rsidRPr="00C43D24" w:rsidRDefault="00B37A05" w:rsidP="00697F07">
            <w:pPr>
              <w:spacing w:line="260" w:lineRule="exact"/>
              <w:jc w:val="both"/>
              <w:rPr>
                <w:sz w:val="18"/>
                <w:szCs w:val="18"/>
              </w:rPr>
            </w:pPr>
            <w:r w:rsidRPr="00C43D24">
              <w:rPr>
                <w:sz w:val="18"/>
                <w:szCs w:val="18"/>
              </w:rPr>
              <w:t>B1</w:t>
            </w:r>
          </w:p>
        </w:tc>
        <w:tc>
          <w:tcPr>
            <w:tcW w:w="5468" w:type="dxa"/>
          </w:tcPr>
          <w:p w14:paraId="6406B7D8" w14:textId="77777777" w:rsidR="00B37A05" w:rsidRPr="00C43D24" w:rsidRDefault="00B37A05" w:rsidP="00697F07">
            <w:pPr>
              <w:spacing w:line="260" w:lineRule="exact"/>
              <w:jc w:val="both"/>
              <w:rPr>
                <w:sz w:val="18"/>
                <w:szCs w:val="18"/>
              </w:rPr>
            </w:pPr>
            <w:r w:rsidRPr="00C43D24">
              <w:rPr>
                <w:sz w:val="18"/>
                <w:szCs w:val="18"/>
              </w:rPr>
              <w:t>Uporaba izgub</w:t>
            </w:r>
          </w:p>
        </w:tc>
        <w:tc>
          <w:tcPr>
            <w:tcW w:w="2410" w:type="dxa"/>
          </w:tcPr>
          <w:p w14:paraId="70C7D15A" w14:textId="77777777" w:rsidR="00B37A05" w:rsidRPr="00C43D24" w:rsidRDefault="00B37A05" w:rsidP="00697F07">
            <w:pPr>
              <w:spacing w:line="260" w:lineRule="exact"/>
              <w:jc w:val="center"/>
              <w:rPr>
                <w:sz w:val="18"/>
                <w:szCs w:val="18"/>
              </w:rPr>
            </w:pPr>
            <w:r w:rsidRPr="00C43D24">
              <w:rPr>
                <w:sz w:val="18"/>
                <w:szCs w:val="18"/>
              </w:rPr>
              <w:t>Da</w:t>
            </w:r>
          </w:p>
        </w:tc>
      </w:tr>
      <w:tr w:rsidR="00B37A05" w:rsidRPr="00C43D24" w14:paraId="481816D4" w14:textId="77777777" w:rsidTr="00C43D24">
        <w:trPr>
          <w:trHeight w:val="255"/>
          <w:jc w:val="center"/>
        </w:trPr>
        <w:tc>
          <w:tcPr>
            <w:tcW w:w="1053" w:type="dxa"/>
          </w:tcPr>
          <w:p w14:paraId="613E8721" w14:textId="77777777" w:rsidR="00B37A05" w:rsidRPr="00C43D24" w:rsidRDefault="00B37A05" w:rsidP="00697F07">
            <w:pPr>
              <w:spacing w:line="260" w:lineRule="exact"/>
              <w:jc w:val="both"/>
              <w:rPr>
                <w:sz w:val="18"/>
                <w:szCs w:val="18"/>
              </w:rPr>
            </w:pPr>
            <w:r w:rsidRPr="00C43D24">
              <w:rPr>
                <w:sz w:val="18"/>
                <w:szCs w:val="18"/>
              </w:rPr>
              <w:t>B2</w:t>
            </w:r>
          </w:p>
        </w:tc>
        <w:tc>
          <w:tcPr>
            <w:tcW w:w="5468" w:type="dxa"/>
          </w:tcPr>
          <w:p w14:paraId="36D2F553" w14:textId="77777777" w:rsidR="00B37A05" w:rsidRPr="00C43D24" w:rsidRDefault="00B37A05" w:rsidP="00697F07">
            <w:pPr>
              <w:spacing w:line="260" w:lineRule="exact"/>
              <w:jc w:val="both"/>
              <w:rPr>
                <w:sz w:val="18"/>
                <w:szCs w:val="18"/>
              </w:rPr>
            </w:pPr>
            <w:r w:rsidRPr="00C43D24">
              <w:rPr>
                <w:sz w:val="18"/>
                <w:szCs w:val="18"/>
              </w:rPr>
              <w:t>Preoblikovanja dohodkov v kapital</w:t>
            </w:r>
          </w:p>
        </w:tc>
        <w:tc>
          <w:tcPr>
            <w:tcW w:w="2410" w:type="dxa"/>
          </w:tcPr>
          <w:p w14:paraId="561A400D" w14:textId="77777777" w:rsidR="00B37A05" w:rsidRPr="00C43D24" w:rsidRDefault="00B37A05" w:rsidP="00697F07">
            <w:pPr>
              <w:spacing w:line="260" w:lineRule="exact"/>
              <w:jc w:val="center"/>
              <w:rPr>
                <w:sz w:val="18"/>
                <w:szCs w:val="18"/>
              </w:rPr>
            </w:pPr>
            <w:r w:rsidRPr="00C43D24">
              <w:rPr>
                <w:sz w:val="18"/>
                <w:szCs w:val="18"/>
              </w:rPr>
              <w:t>Da</w:t>
            </w:r>
          </w:p>
        </w:tc>
      </w:tr>
      <w:tr w:rsidR="00B37A05" w:rsidRPr="00C43D24" w14:paraId="0F17C1D1" w14:textId="77777777" w:rsidTr="00C43D24">
        <w:trPr>
          <w:trHeight w:val="255"/>
          <w:jc w:val="center"/>
        </w:trPr>
        <w:tc>
          <w:tcPr>
            <w:tcW w:w="1053" w:type="dxa"/>
          </w:tcPr>
          <w:p w14:paraId="5F309044" w14:textId="77777777" w:rsidR="00B37A05" w:rsidRPr="00C43D24" w:rsidRDefault="00B37A05" w:rsidP="00697F07">
            <w:pPr>
              <w:spacing w:line="260" w:lineRule="exact"/>
              <w:jc w:val="both"/>
              <w:rPr>
                <w:sz w:val="18"/>
                <w:szCs w:val="18"/>
              </w:rPr>
            </w:pPr>
            <w:r w:rsidRPr="00C43D24">
              <w:rPr>
                <w:sz w:val="18"/>
                <w:szCs w:val="18"/>
              </w:rPr>
              <w:t>B3</w:t>
            </w:r>
          </w:p>
        </w:tc>
        <w:tc>
          <w:tcPr>
            <w:tcW w:w="5468" w:type="dxa"/>
          </w:tcPr>
          <w:p w14:paraId="651B64F5" w14:textId="77777777" w:rsidR="00B37A05" w:rsidRPr="00C43D24" w:rsidRDefault="00B37A05" w:rsidP="00697F07">
            <w:pPr>
              <w:spacing w:line="260" w:lineRule="exact"/>
              <w:jc w:val="both"/>
              <w:rPr>
                <w:sz w:val="18"/>
                <w:szCs w:val="18"/>
              </w:rPr>
            </w:pPr>
            <w:r w:rsidRPr="00C43D24">
              <w:rPr>
                <w:sz w:val="18"/>
                <w:szCs w:val="18"/>
              </w:rPr>
              <w:t xml:space="preserve">Krožne transakcije, ki rezultirajo v </w:t>
            </w:r>
            <w:r w:rsidRPr="00C43D24">
              <w:rPr>
                <w:i/>
                <w:sz w:val="18"/>
                <w:szCs w:val="18"/>
              </w:rPr>
              <w:t>round-triping</w:t>
            </w:r>
            <w:r w:rsidRPr="00C43D24">
              <w:rPr>
                <w:sz w:val="18"/>
                <w:szCs w:val="18"/>
              </w:rPr>
              <w:t xml:space="preserve"> sredstev, brez druge komercialne funkcije</w:t>
            </w:r>
          </w:p>
        </w:tc>
        <w:tc>
          <w:tcPr>
            <w:tcW w:w="2410" w:type="dxa"/>
          </w:tcPr>
          <w:p w14:paraId="66FCE631" w14:textId="77777777" w:rsidR="00B37A05" w:rsidRPr="00C43D24" w:rsidRDefault="00B37A05" w:rsidP="00697F07">
            <w:pPr>
              <w:spacing w:line="260" w:lineRule="exact"/>
              <w:jc w:val="center"/>
              <w:rPr>
                <w:sz w:val="18"/>
                <w:szCs w:val="18"/>
              </w:rPr>
            </w:pPr>
            <w:r w:rsidRPr="00C43D24">
              <w:rPr>
                <w:sz w:val="18"/>
                <w:szCs w:val="18"/>
              </w:rPr>
              <w:t>Da</w:t>
            </w:r>
          </w:p>
        </w:tc>
      </w:tr>
    </w:tbl>
    <w:p w14:paraId="1D732480" w14:textId="77777777" w:rsidR="00452766" w:rsidRDefault="00452766" w:rsidP="00697F07">
      <w:pPr>
        <w:spacing w:line="260" w:lineRule="exact"/>
        <w:rPr>
          <w:lang w:eastAsia="sl-SI"/>
        </w:rPr>
      </w:pPr>
    </w:p>
    <w:p w14:paraId="654C1777" w14:textId="77777777" w:rsidR="005C5C1C" w:rsidRPr="005C5C1C" w:rsidRDefault="005C5C1C" w:rsidP="00697F07">
      <w:pPr>
        <w:spacing w:line="260" w:lineRule="exact"/>
        <w:jc w:val="both"/>
        <w:rPr>
          <w:rFonts w:cs="Arial"/>
          <w:b/>
        </w:rPr>
      </w:pPr>
      <w:bookmarkStart w:id="42" w:name="_Toc75160025"/>
      <w:r w:rsidRPr="0068128B">
        <w:rPr>
          <w:rStyle w:val="Naslov3Znak"/>
        </w:rPr>
        <w:t>B1. Aranžma, pri katerem udeleženec sprejme navidezne korake</w:t>
      </w:r>
      <w:bookmarkEnd w:id="42"/>
      <w:r w:rsidRPr="005C5C1C">
        <w:rPr>
          <w:rFonts w:cs="Arial"/>
          <w:b/>
        </w:rPr>
        <w:t xml:space="preserve">, ki zajemajo pridobitev družbe, ki posluje z izgubo, ustavitev glavne dejavnosti take družbe in uporabo njenih izgub za zmanjšanje svoje davčne obveznosti, med drugim s prenosom navedenih izgub v drugo jurisdikcijo ali s hitrejšo uporabo navedenih izgub. </w:t>
      </w:r>
    </w:p>
    <w:p w14:paraId="332D2FAF" w14:textId="77777777" w:rsidR="000C4ECD" w:rsidRDefault="000C4ECD" w:rsidP="00697F07">
      <w:pPr>
        <w:spacing w:line="260" w:lineRule="exact"/>
        <w:rPr>
          <w:rFonts w:cs="Arial"/>
          <w:lang w:eastAsia="sl-SI"/>
        </w:rPr>
      </w:pPr>
    </w:p>
    <w:p w14:paraId="678B254A" w14:textId="77777777" w:rsidR="00A761AF" w:rsidRDefault="00A761AF" w:rsidP="00697F07">
      <w:pPr>
        <w:spacing w:line="260" w:lineRule="exact"/>
        <w:jc w:val="both"/>
        <w:rPr>
          <w:rFonts w:cs="Arial"/>
          <w:lang w:eastAsia="sl-SI"/>
        </w:rPr>
      </w:pPr>
      <w:r>
        <w:rPr>
          <w:rFonts w:cs="Arial"/>
          <w:lang w:eastAsia="sl-SI"/>
        </w:rPr>
        <w:t xml:space="preserve">Besedna zveza »navidezni koraki« </w:t>
      </w:r>
      <w:r w:rsidR="0067452F">
        <w:rPr>
          <w:rFonts w:cs="Arial"/>
          <w:lang w:eastAsia="sl-SI"/>
        </w:rPr>
        <w:t>se za namene</w:t>
      </w:r>
      <w:r>
        <w:rPr>
          <w:rFonts w:cs="Arial"/>
          <w:lang w:eastAsia="sl-SI"/>
        </w:rPr>
        <w:t xml:space="preserve"> DAC6 poročanja razlaga v skladu z definicijami </w:t>
      </w:r>
      <w:r w:rsidR="00FB1B1C">
        <w:rPr>
          <w:rFonts w:cs="Arial"/>
          <w:lang w:eastAsia="sl-SI"/>
        </w:rPr>
        <w:t>o ugotavljanju dejstev o pravnih poslih</w:t>
      </w:r>
      <w:r>
        <w:rPr>
          <w:rFonts w:cs="Arial"/>
          <w:lang w:eastAsia="sl-SI"/>
        </w:rPr>
        <w:t xml:space="preserve"> iz 74. člena ZDavP-2</w:t>
      </w:r>
      <w:r w:rsidR="00853430">
        <w:rPr>
          <w:rStyle w:val="Sprotnaopomba-sklic"/>
          <w:rFonts w:cs="Arial"/>
          <w:lang w:eastAsia="sl-SI"/>
        </w:rPr>
        <w:footnoteReference w:id="12"/>
      </w:r>
      <w:r w:rsidR="00853430">
        <w:rPr>
          <w:rFonts w:cs="Arial"/>
          <w:lang w:eastAsia="sl-SI"/>
        </w:rPr>
        <w:t>,</w:t>
      </w:r>
      <w:r>
        <w:rPr>
          <w:rFonts w:cs="Arial"/>
          <w:lang w:eastAsia="sl-SI"/>
        </w:rPr>
        <w:t xml:space="preserve"> upoštevajoč ustaljeno </w:t>
      </w:r>
      <w:r w:rsidR="0067452F">
        <w:rPr>
          <w:rFonts w:cs="Arial"/>
          <w:lang w:eastAsia="sl-SI"/>
        </w:rPr>
        <w:t xml:space="preserve">davčnopravno </w:t>
      </w:r>
      <w:r>
        <w:rPr>
          <w:rFonts w:cs="Arial"/>
          <w:lang w:eastAsia="sl-SI"/>
        </w:rPr>
        <w:t xml:space="preserve">sodno </w:t>
      </w:r>
      <w:r>
        <w:rPr>
          <w:rFonts w:cs="Arial"/>
          <w:lang w:eastAsia="sl-SI"/>
        </w:rPr>
        <w:lastRenderedPageBreak/>
        <w:t>prakso</w:t>
      </w:r>
      <w:r w:rsidR="00FB1B1C">
        <w:rPr>
          <w:rFonts w:cs="Arial"/>
          <w:lang w:eastAsia="sl-SI"/>
        </w:rPr>
        <w:t xml:space="preserve"> v RS</w:t>
      </w:r>
      <w:r w:rsidR="00B37A05">
        <w:rPr>
          <w:rFonts w:cs="Arial"/>
          <w:lang w:eastAsia="sl-SI"/>
        </w:rPr>
        <w:t xml:space="preserve"> in pravila obligaci</w:t>
      </w:r>
      <w:r w:rsidR="0067452F">
        <w:rPr>
          <w:rFonts w:cs="Arial"/>
          <w:lang w:eastAsia="sl-SI"/>
        </w:rPr>
        <w:t>j</w:t>
      </w:r>
      <w:r w:rsidR="00B37A05">
        <w:rPr>
          <w:rFonts w:cs="Arial"/>
          <w:lang w:eastAsia="sl-SI"/>
        </w:rPr>
        <w:t>s</w:t>
      </w:r>
      <w:r w:rsidR="0067452F">
        <w:rPr>
          <w:rFonts w:cs="Arial"/>
          <w:lang w:eastAsia="sl-SI"/>
        </w:rPr>
        <w:t>kega prava. V tem kontekstu se kot navidezni posel obravnava pogodba, ki jo skleneta pogodbeni stranki, ne da bi imeli resen namen prevzeti obveznosti in</w:t>
      </w:r>
      <w:r w:rsidR="00B37A05">
        <w:rPr>
          <w:rFonts w:cs="Arial"/>
          <w:lang w:eastAsia="sl-SI"/>
        </w:rPr>
        <w:t xml:space="preserve"> </w:t>
      </w:r>
      <w:r w:rsidR="00617F0D">
        <w:rPr>
          <w:rFonts w:cs="Arial"/>
          <w:lang w:eastAsia="sl-SI"/>
        </w:rPr>
        <w:t>pri</w:t>
      </w:r>
      <w:r w:rsidR="0067452F">
        <w:rPr>
          <w:rFonts w:cs="Arial"/>
          <w:lang w:eastAsia="sl-SI"/>
        </w:rPr>
        <w:t xml:space="preserve">dobiti pravice, ki so vsebina tega posla, temveč le z namenom tretjim strankam </w:t>
      </w:r>
      <w:r w:rsidR="00617F0D">
        <w:rPr>
          <w:rFonts w:cs="Arial"/>
          <w:lang w:eastAsia="sl-SI"/>
        </w:rPr>
        <w:t>p</w:t>
      </w:r>
      <w:r w:rsidR="0067452F">
        <w:rPr>
          <w:rFonts w:cs="Arial"/>
          <w:lang w:eastAsia="sl-SI"/>
        </w:rPr>
        <w:t>rikazat</w:t>
      </w:r>
      <w:r w:rsidR="00617F0D">
        <w:rPr>
          <w:rFonts w:cs="Arial"/>
          <w:lang w:eastAsia="sl-SI"/>
        </w:rPr>
        <w:t>i</w:t>
      </w:r>
      <w:r w:rsidR="0067452F">
        <w:rPr>
          <w:rFonts w:cs="Arial"/>
          <w:lang w:eastAsia="sl-SI"/>
        </w:rPr>
        <w:t xml:space="preserve">, da med njima učinkuje pogodba s tako vsebino. </w:t>
      </w:r>
      <w:r w:rsidR="004408A1">
        <w:rPr>
          <w:rFonts w:cs="Arial"/>
          <w:lang w:eastAsia="sl-SI"/>
        </w:rPr>
        <w:t xml:space="preserve">Navidezni </w:t>
      </w:r>
      <w:r w:rsidR="00B37A05">
        <w:rPr>
          <w:rFonts w:cs="Arial"/>
          <w:lang w:eastAsia="sl-SI"/>
        </w:rPr>
        <w:t>koraki v aranžmaju so v tem pog</w:t>
      </w:r>
      <w:r w:rsidR="004408A1">
        <w:rPr>
          <w:rFonts w:cs="Arial"/>
          <w:lang w:eastAsia="sl-SI"/>
        </w:rPr>
        <w:t>l</w:t>
      </w:r>
      <w:r w:rsidR="00B37A05">
        <w:rPr>
          <w:rFonts w:cs="Arial"/>
          <w:lang w:eastAsia="sl-SI"/>
        </w:rPr>
        <w:t>e</w:t>
      </w:r>
      <w:r w:rsidR="004408A1">
        <w:rPr>
          <w:rFonts w:cs="Arial"/>
          <w:lang w:eastAsia="sl-SI"/>
        </w:rPr>
        <w:t>du lahko absolutno navidezni</w:t>
      </w:r>
      <w:r w:rsidR="00B37A05">
        <w:rPr>
          <w:rFonts w:cs="Arial"/>
          <w:lang w:eastAsia="sl-SI"/>
        </w:rPr>
        <w:t xml:space="preserve"> </w:t>
      </w:r>
      <w:r w:rsidR="004408A1">
        <w:rPr>
          <w:rFonts w:cs="Arial"/>
          <w:lang w:eastAsia="sl-SI"/>
        </w:rPr>
        <w:t>(torej popolnoma fiktivni posli) ali relativno navidezni, kjer navidezno sklen</w:t>
      </w:r>
      <w:r w:rsidR="00B37A05">
        <w:rPr>
          <w:rFonts w:cs="Arial"/>
          <w:lang w:eastAsia="sl-SI"/>
        </w:rPr>
        <w:t>jena pogodba prikriva drugo pog</w:t>
      </w:r>
      <w:r w:rsidR="004408A1">
        <w:rPr>
          <w:rFonts w:cs="Arial"/>
          <w:lang w:eastAsia="sl-SI"/>
        </w:rPr>
        <w:t>o</w:t>
      </w:r>
      <w:r w:rsidR="00B37A05">
        <w:rPr>
          <w:rFonts w:cs="Arial"/>
          <w:lang w:eastAsia="sl-SI"/>
        </w:rPr>
        <w:t>d</w:t>
      </w:r>
      <w:r w:rsidR="004408A1">
        <w:rPr>
          <w:rFonts w:cs="Arial"/>
          <w:lang w:eastAsia="sl-SI"/>
        </w:rPr>
        <w:t>bo.</w:t>
      </w:r>
    </w:p>
    <w:p w14:paraId="6022641E" w14:textId="77777777" w:rsidR="004408A1" w:rsidRDefault="004408A1" w:rsidP="00697F07">
      <w:pPr>
        <w:spacing w:line="260" w:lineRule="exact"/>
        <w:jc w:val="both"/>
        <w:rPr>
          <w:rFonts w:cs="Arial"/>
          <w:lang w:eastAsia="sl-SI"/>
        </w:rPr>
      </w:pPr>
    </w:p>
    <w:p w14:paraId="2267C3BE" w14:textId="77777777" w:rsidR="004408A1" w:rsidRDefault="004408A1" w:rsidP="00697F07">
      <w:pPr>
        <w:spacing w:line="260" w:lineRule="exact"/>
        <w:jc w:val="both"/>
        <w:rPr>
          <w:rFonts w:cs="Arial"/>
          <w:lang w:eastAsia="sl-SI"/>
        </w:rPr>
      </w:pPr>
      <w:r>
        <w:rPr>
          <w:rFonts w:cs="Arial"/>
          <w:lang w:eastAsia="sl-SI"/>
        </w:rPr>
        <w:t xml:space="preserve">Med navidezne korake v okviru prepoznavne značilnosti pa sodijo tudi pravni posli, ki sicer niso navidezni, </w:t>
      </w:r>
      <w:r w:rsidR="00D76755">
        <w:rPr>
          <w:rFonts w:cs="Arial"/>
          <w:lang w:eastAsia="sl-SI"/>
        </w:rPr>
        <w:t>saj sta s</w:t>
      </w:r>
      <w:r>
        <w:rPr>
          <w:rFonts w:cs="Arial"/>
          <w:lang w:eastAsia="sl-SI"/>
        </w:rPr>
        <w:t>tranki posledice pravnega posla želeli, v</w:t>
      </w:r>
      <w:r w:rsidR="00D76755">
        <w:rPr>
          <w:rFonts w:cs="Arial"/>
          <w:lang w:eastAsia="sl-SI"/>
        </w:rPr>
        <w:t>endar pa sta ga izpeljali po ner</w:t>
      </w:r>
      <w:r>
        <w:rPr>
          <w:rFonts w:cs="Arial"/>
          <w:lang w:eastAsia="sl-SI"/>
        </w:rPr>
        <w:t>azumljivo zapleteni in kompleksni poti, ki vključuje več na prvi pog</w:t>
      </w:r>
      <w:r w:rsidR="00063634">
        <w:rPr>
          <w:rFonts w:cs="Arial"/>
          <w:lang w:eastAsia="sl-SI"/>
        </w:rPr>
        <w:t>l</w:t>
      </w:r>
      <w:r>
        <w:rPr>
          <w:rFonts w:cs="Arial"/>
          <w:lang w:eastAsia="sl-SI"/>
        </w:rPr>
        <w:t xml:space="preserve">ed umetnih in z namenom davčnega izogibanja skonstruiranih korakov (gre za </w:t>
      </w:r>
      <w:r w:rsidR="00EC0C1B">
        <w:rPr>
          <w:rFonts w:cs="Arial"/>
          <w:lang w:eastAsia="sl-SI"/>
        </w:rPr>
        <w:t>posle iz 4. odstavka</w:t>
      </w:r>
      <w:r>
        <w:rPr>
          <w:rFonts w:cs="Arial"/>
          <w:lang w:eastAsia="sl-SI"/>
        </w:rPr>
        <w:t xml:space="preserve"> 74. člena ZDavP-2).</w:t>
      </w:r>
    </w:p>
    <w:p w14:paraId="01CD18A2" w14:textId="77777777" w:rsidR="009B2BB0" w:rsidRDefault="009B2BB0" w:rsidP="00697F07">
      <w:pPr>
        <w:spacing w:line="260" w:lineRule="exact"/>
        <w:jc w:val="both"/>
        <w:rPr>
          <w:rFonts w:cs="Arial"/>
          <w:lang w:eastAsia="sl-SI"/>
        </w:rPr>
      </w:pPr>
    </w:p>
    <w:p w14:paraId="3436B2B4" w14:textId="77777777" w:rsidR="001B26A9" w:rsidRDefault="009B2BB0" w:rsidP="00697F07">
      <w:pPr>
        <w:spacing w:line="260" w:lineRule="exact"/>
        <w:rPr>
          <w:b/>
        </w:rPr>
      </w:pPr>
      <w:bookmarkStart w:id="43" w:name="_Toc75160026"/>
      <w:r w:rsidRPr="00E01D89">
        <w:rPr>
          <w:rStyle w:val="Naslov3Znak"/>
        </w:rPr>
        <w:t>Primeri</w:t>
      </w:r>
      <w:r w:rsidR="00E01D89">
        <w:rPr>
          <w:rStyle w:val="Naslov3Znak"/>
        </w:rPr>
        <w:t xml:space="preserve">: </w:t>
      </w:r>
      <w:r w:rsidR="00604BB6" w:rsidRPr="00E01D89">
        <w:rPr>
          <w:rStyle w:val="Naslov3Znak"/>
        </w:rPr>
        <w:t>B1</w:t>
      </w:r>
      <w:bookmarkEnd w:id="43"/>
      <w:r w:rsidR="00E01D89">
        <w:t xml:space="preserve"> </w:t>
      </w:r>
      <w:r w:rsidR="00E01D89" w:rsidRPr="00E01D89">
        <w:rPr>
          <w:b/>
        </w:rPr>
        <w:t xml:space="preserve">– </w:t>
      </w:r>
      <w:r w:rsidR="004B729E">
        <w:rPr>
          <w:b/>
        </w:rPr>
        <w:t xml:space="preserve">davčne izgube in </w:t>
      </w:r>
      <w:r w:rsidR="00E01D89" w:rsidRPr="00E01D89">
        <w:rPr>
          <w:b/>
        </w:rPr>
        <w:t>slabitev dobrega imena</w:t>
      </w:r>
    </w:p>
    <w:p w14:paraId="3172718B" w14:textId="77777777" w:rsidR="001D6B08" w:rsidRDefault="001D6B08" w:rsidP="00697F07">
      <w:pPr>
        <w:spacing w:line="260" w:lineRule="exact"/>
        <w:rPr>
          <w:szCs w:val="20"/>
        </w:rPr>
      </w:pPr>
    </w:p>
    <w:p w14:paraId="0E7ABD49" w14:textId="77777777" w:rsidR="001D6B08" w:rsidRDefault="001D6B08" w:rsidP="00697F07">
      <w:pPr>
        <w:spacing w:line="260" w:lineRule="exact"/>
        <w:jc w:val="both"/>
        <w:rPr>
          <w:color w:val="000000" w:themeColor="text1"/>
        </w:rPr>
      </w:pPr>
      <w:r w:rsidRPr="001D7715">
        <w:rPr>
          <w:color w:val="000000" w:themeColor="text1"/>
        </w:rPr>
        <w:t xml:space="preserve">Nekaj primerov davčnih aranžmajev, ki </w:t>
      </w:r>
      <w:r>
        <w:rPr>
          <w:color w:val="000000" w:themeColor="text1"/>
        </w:rPr>
        <w:t xml:space="preserve">bi se lahko nanašali na prepoznavno značilnost B1, je mogoče najti tudi v veljavni sodni praksi RS, pri čemer velja izrecno poudariti, da je navedena prepoznavna značilnost podana tudi v drugih primerih. </w:t>
      </w:r>
    </w:p>
    <w:p w14:paraId="15BC608E" w14:textId="77777777" w:rsidR="001D6B08" w:rsidRDefault="001D6B08" w:rsidP="00697F07">
      <w:pPr>
        <w:spacing w:line="260" w:lineRule="exact"/>
      </w:pPr>
    </w:p>
    <w:p w14:paraId="76D0E28D" w14:textId="77777777" w:rsidR="004B729E" w:rsidRPr="00AF23AF" w:rsidRDefault="004B729E" w:rsidP="00697F07">
      <w:pPr>
        <w:pStyle w:val="Navadensplet"/>
        <w:numPr>
          <w:ilvl w:val="0"/>
          <w:numId w:val="47"/>
        </w:numPr>
        <w:shd w:val="clear" w:color="auto" w:fill="FFFFFF"/>
        <w:spacing w:before="0" w:beforeAutospacing="0" w:after="0" w:afterAutospacing="0" w:line="260" w:lineRule="exact"/>
        <w:ind w:left="709" w:hanging="357"/>
        <w:jc w:val="both"/>
        <w:textAlignment w:val="baseline"/>
        <w:rPr>
          <w:rFonts w:ascii="Arial" w:hAnsi="Arial" w:cs="Arial"/>
          <w:sz w:val="20"/>
          <w:szCs w:val="20"/>
        </w:rPr>
      </w:pPr>
      <w:r w:rsidRPr="00AF23AF">
        <w:rPr>
          <w:rFonts w:ascii="Arial" w:hAnsi="Arial" w:cs="Arial"/>
          <w:sz w:val="20"/>
          <w:szCs w:val="20"/>
        </w:rPr>
        <w:t xml:space="preserve">Družba A ima stalno poslovno enoto B v drugi državi članici EU. Družba A pridobi tretjo družbo C, ki ne izkazuje premoženja, temveč zgolj davčne izgube. V naslednjem koraku se novo pridobljena družba C pripoji k obstoječi poslovni enoti B, pri čemer </w:t>
      </w:r>
      <w:r w:rsidR="002A0032" w:rsidRPr="00AF23AF">
        <w:rPr>
          <w:rFonts w:ascii="Arial" w:hAnsi="Arial" w:cs="Arial"/>
          <w:sz w:val="20"/>
          <w:szCs w:val="20"/>
        </w:rPr>
        <w:t>v naslednjih davčnih obdobjih davčne izgube zmanjšujejo obdavč</w:t>
      </w:r>
      <w:r w:rsidR="00AF23AF">
        <w:rPr>
          <w:rFonts w:ascii="Arial" w:hAnsi="Arial" w:cs="Arial"/>
          <w:sz w:val="20"/>
          <w:szCs w:val="20"/>
        </w:rPr>
        <w:t>ljive</w:t>
      </w:r>
      <w:r w:rsidR="002A0032" w:rsidRPr="00AF23AF">
        <w:rPr>
          <w:rFonts w:ascii="Arial" w:hAnsi="Arial" w:cs="Arial"/>
          <w:sz w:val="20"/>
          <w:szCs w:val="20"/>
        </w:rPr>
        <w:t xml:space="preserve"> dobičke. Če </w:t>
      </w:r>
      <w:r w:rsidR="00AA339D" w:rsidRPr="00AF23AF">
        <w:rPr>
          <w:rFonts w:ascii="Arial" w:hAnsi="Arial" w:cs="Arial"/>
          <w:sz w:val="20"/>
          <w:szCs w:val="20"/>
        </w:rPr>
        <w:t>sta</w:t>
      </w:r>
      <w:r w:rsidR="002A0032" w:rsidRPr="00AF23AF">
        <w:rPr>
          <w:rFonts w:ascii="Arial" w:hAnsi="Arial" w:cs="Arial"/>
          <w:sz w:val="20"/>
          <w:szCs w:val="20"/>
        </w:rPr>
        <w:t xml:space="preserve"> obstoj davčnih izgub</w:t>
      </w:r>
      <w:r w:rsidR="00AA339D" w:rsidRPr="00AF23AF">
        <w:rPr>
          <w:rFonts w:ascii="Arial" w:hAnsi="Arial" w:cs="Arial"/>
          <w:sz w:val="20"/>
          <w:szCs w:val="20"/>
        </w:rPr>
        <w:t xml:space="preserve"> in črpanje teh upravičen</w:t>
      </w:r>
      <w:r w:rsidR="00C43D24">
        <w:rPr>
          <w:rFonts w:ascii="Arial" w:hAnsi="Arial" w:cs="Arial"/>
          <w:sz w:val="20"/>
          <w:szCs w:val="20"/>
        </w:rPr>
        <w:t>j</w:t>
      </w:r>
      <w:r w:rsidR="00AA339D" w:rsidRPr="00AF23AF">
        <w:rPr>
          <w:rFonts w:ascii="Arial" w:hAnsi="Arial" w:cs="Arial"/>
          <w:sz w:val="20"/>
          <w:szCs w:val="20"/>
        </w:rPr>
        <w:t xml:space="preserve"> v prihodnosti</w:t>
      </w:r>
      <w:r w:rsidR="002A0032" w:rsidRPr="00AF23AF">
        <w:rPr>
          <w:rFonts w:ascii="Arial" w:hAnsi="Arial" w:cs="Arial"/>
          <w:sz w:val="20"/>
          <w:szCs w:val="20"/>
        </w:rPr>
        <w:t xml:space="preserve"> bistven</w:t>
      </w:r>
      <w:r w:rsidR="00AA339D" w:rsidRPr="00AF23AF">
        <w:rPr>
          <w:rFonts w:ascii="Arial" w:hAnsi="Arial" w:cs="Arial"/>
          <w:sz w:val="20"/>
          <w:szCs w:val="20"/>
        </w:rPr>
        <w:t>a</w:t>
      </w:r>
      <w:r w:rsidR="002A0032" w:rsidRPr="00AF23AF">
        <w:rPr>
          <w:rFonts w:ascii="Arial" w:hAnsi="Arial" w:cs="Arial"/>
          <w:sz w:val="20"/>
          <w:szCs w:val="20"/>
        </w:rPr>
        <w:t xml:space="preserve"> za izvedbo posla in pri izvedbi transakcije ni zaslediti nobenih ekonomskih ciljev (razumne podlage) za takšno odločitev, potem se šteje, da je pridobitev davčne ugodnosti edini cilj in </w:t>
      </w:r>
      <w:r w:rsidR="00AF23AF">
        <w:rPr>
          <w:rFonts w:ascii="Arial" w:hAnsi="Arial" w:cs="Arial"/>
          <w:sz w:val="20"/>
          <w:szCs w:val="20"/>
        </w:rPr>
        <w:t xml:space="preserve">da je </w:t>
      </w:r>
      <w:r w:rsidR="002A0032" w:rsidRPr="00AF23AF">
        <w:rPr>
          <w:rFonts w:ascii="Arial" w:hAnsi="Arial" w:cs="Arial"/>
          <w:sz w:val="20"/>
          <w:szCs w:val="20"/>
        </w:rPr>
        <w:t xml:space="preserve">rezultat preskusa glavne koristi pozitiven.  </w:t>
      </w:r>
      <w:r w:rsidRPr="00AF23AF">
        <w:rPr>
          <w:rFonts w:ascii="Arial" w:hAnsi="Arial" w:cs="Arial"/>
          <w:sz w:val="20"/>
          <w:szCs w:val="20"/>
        </w:rPr>
        <w:t xml:space="preserve"> </w:t>
      </w:r>
    </w:p>
    <w:p w14:paraId="4690398D" w14:textId="77777777" w:rsidR="001B26A9" w:rsidRPr="00AF23AF" w:rsidRDefault="001B26A9" w:rsidP="00697F07">
      <w:pPr>
        <w:pStyle w:val="Navadensplet"/>
        <w:shd w:val="clear" w:color="auto" w:fill="FFFFFF"/>
        <w:spacing w:before="0" w:beforeAutospacing="0" w:after="0" w:afterAutospacing="0" w:line="260" w:lineRule="exact"/>
        <w:ind w:left="709"/>
        <w:jc w:val="both"/>
        <w:textAlignment w:val="baseline"/>
        <w:rPr>
          <w:rFonts w:ascii="Arial" w:hAnsi="Arial" w:cs="Arial"/>
          <w:sz w:val="20"/>
          <w:szCs w:val="20"/>
        </w:rPr>
      </w:pPr>
    </w:p>
    <w:p w14:paraId="25FCB9A8" w14:textId="77777777" w:rsidR="00604BB6" w:rsidRPr="00AF23AF" w:rsidRDefault="00604BB6" w:rsidP="00697F07">
      <w:pPr>
        <w:pStyle w:val="Navadensplet"/>
        <w:numPr>
          <w:ilvl w:val="0"/>
          <w:numId w:val="47"/>
        </w:numPr>
        <w:shd w:val="clear" w:color="auto" w:fill="FFFFFF"/>
        <w:spacing w:before="0" w:beforeAutospacing="0" w:after="0" w:afterAutospacing="0" w:line="260" w:lineRule="exact"/>
        <w:ind w:left="709" w:hanging="357"/>
        <w:jc w:val="both"/>
        <w:textAlignment w:val="baseline"/>
        <w:rPr>
          <w:rFonts w:ascii="Arial" w:hAnsi="Arial" w:cs="Arial"/>
          <w:sz w:val="20"/>
          <w:szCs w:val="20"/>
        </w:rPr>
      </w:pPr>
      <w:r w:rsidRPr="00AF23AF">
        <w:rPr>
          <w:rFonts w:ascii="Arial" w:hAnsi="Arial" w:cs="Arial"/>
          <w:sz w:val="20"/>
          <w:szCs w:val="20"/>
        </w:rPr>
        <w:t>Fizična oseba je s pogodbo o odsvojitvi poslovnega deleža z dne 26. 3. 2019 prodala svoj 81,5% poslovni delež v družbi  A družbi Z za kupnino 26.869.000,00 EUR. Družba Z je bila vpisana v sodni register 7. 3. 2019, njen ustanovitelj pa je družba J. Holding, katere lastništvo je istega dne, ko je bil opravljen prenos poslovnega deleža, prevzel sin prodajalca in direktor vseh udeleženih družb, ki je s tem postal dejanski lastnik 81,5 % družbe A d.o.o. Plačilo kupnine po pogodbi ni bilo opravljeno. Štiri dni kasneje je bila izvedena naslednja transakcija, t. j. pripojitev družbe Z k družbi A. Izvedbo pripojitve je prevzemna družba v poslovnih knjigah evidentirala tako, da je preknjižila postavke kontov pripojene družbe, s tem pa je bilo v poslovnih knjigah med neopredmetenimi osnovnimi sredstvi pripoznano dobro ime v višini 26.869.000 EUR. Če se tako upošteva datum vpisa v sodni register in datum prenehanja po Pogodbi o pripoj</w:t>
      </w:r>
      <w:r w:rsidR="004255B2">
        <w:rPr>
          <w:rFonts w:ascii="Arial" w:hAnsi="Arial" w:cs="Arial"/>
          <w:sz w:val="20"/>
          <w:szCs w:val="20"/>
        </w:rPr>
        <w:t>itvi (31. 3. 2019), je družba Z</w:t>
      </w:r>
      <w:r w:rsidRPr="00AF23AF">
        <w:rPr>
          <w:rFonts w:ascii="Arial" w:hAnsi="Arial" w:cs="Arial"/>
          <w:sz w:val="20"/>
          <w:szCs w:val="20"/>
        </w:rPr>
        <w:t xml:space="preserve"> obstajala le 24 dni. Po prenehanju so na prevzemno družbo prešla vsa njena sredstva in obveznosti, ki so nastale iz enega samega posla, t. j. odsvojitve oziroma nakupa poslovnega deleža. Družba A je tako s pripojitvijo nase prevzela finančne obveznosti do nekdanjega družbenika, te pa je nato konvertirala z izdajo obveznic v nominalni vrednosti 21.789.500,00 EUR z dospelostjo na dan 26. 4. 2023 in obrestno mero 7,3 %. V preostalem delu (5.000.000 EUR) je bila terjatev preoblikovana v posojilo družbi, od katerega je bil znesek 2.000.000 EUR vrnjen 1. 4. 2019. Z izročilno pogodbo, sklenjeno 16. 9. 2018, je nato fizična oseba sinu in hčeri neodplačno prepustil</w:t>
      </w:r>
      <w:r w:rsidR="00AF23AF">
        <w:rPr>
          <w:rFonts w:ascii="Arial" w:hAnsi="Arial" w:cs="Arial"/>
          <w:sz w:val="20"/>
          <w:szCs w:val="20"/>
        </w:rPr>
        <w:t>a</w:t>
      </w:r>
      <w:r w:rsidRPr="00AF23AF">
        <w:rPr>
          <w:rFonts w:ascii="Arial" w:hAnsi="Arial" w:cs="Arial"/>
          <w:sz w:val="20"/>
          <w:szCs w:val="20"/>
        </w:rPr>
        <w:t xml:space="preserve"> obveznice in terjatev do dru</w:t>
      </w:r>
      <w:r w:rsidR="00AF23AF">
        <w:rPr>
          <w:rFonts w:ascii="Arial" w:hAnsi="Arial" w:cs="Arial"/>
          <w:sz w:val="20"/>
          <w:szCs w:val="20"/>
        </w:rPr>
        <w:t xml:space="preserve">žbe A </w:t>
      </w:r>
      <w:r w:rsidRPr="00AF23AF">
        <w:rPr>
          <w:rFonts w:ascii="Arial" w:hAnsi="Arial" w:cs="Arial"/>
          <w:sz w:val="20"/>
          <w:szCs w:val="20"/>
        </w:rPr>
        <w:t>iz naslova prodaje poslovnega deleža.</w:t>
      </w:r>
    </w:p>
    <w:p w14:paraId="6B6B16EE" w14:textId="77777777" w:rsidR="00604BB6" w:rsidRPr="00AF23AF" w:rsidRDefault="00604BB6" w:rsidP="00697F07">
      <w:pPr>
        <w:pStyle w:val="Navadensplet"/>
        <w:shd w:val="clear" w:color="auto" w:fill="FFFFFF"/>
        <w:spacing w:before="0" w:beforeAutospacing="0" w:after="0" w:afterAutospacing="0" w:line="260" w:lineRule="exact"/>
        <w:ind w:left="709"/>
        <w:jc w:val="both"/>
        <w:textAlignment w:val="baseline"/>
        <w:rPr>
          <w:rFonts w:ascii="Arial" w:hAnsi="Arial" w:cs="Arial"/>
          <w:sz w:val="20"/>
          <w:szCs w:val="20"/>
        </w:rPr>
      </w:pPr>
    </w:p>
    <w:p w14:paraId="065B8B72" w14:textId="77777777" w:rsidR="00604BB6" w:rsidRPr="00AF23AF" w:rsidRDefault="00604BB6" w:rsidP="00697F07">
      <w:pPr>
        <w:pStyle w:val="Navadensplet"/>
        <w:shd w:val="clear" w:color="auto" w:fill="FFFFFF"/>
        <w:spacing w:before="0" w:beforeAutospacing="0" w:after="0" w:afterAutospacing="0" w:line="260" w:lineRule="exact"/>
        <w:ind w:left="709"/>
        <w:jc w:val="both"/>
        <w:textAlignment w:val="baseline"/>
        <w:rPr>
          <w:rFonts w:ascii="Arial" w:hAnsi="Arial" w:cs="Arial"/>
          <w:sz w:val="20"/>
          <w:szCs w:val="20"/>
        </w:rPr>
      </w:pPr>
      <w:r w:rsidRPr="00AF23AF">
        <w:rPr>
          <w:rFonts w:ascii="Arial" w:hAnsi="Arial" w:cs="Arial"/>
          <w:sz w:val="20"/>
          <w:szCs w:val="20"/>
        </w:rPr>
        <w:t xml:space="preserve">Družba A je na zgoraj opisan način ustvarila t. i. davčni ščit, kar je bil tudi edini namen pripojitve, saj so bili zasledovani osebni interesi vodstva podjetja. Želeni učinek je bil dosežen z visoko </w:t>
      </w:r>
      <w:r w:rsidRPr="00AF23AF">
        <w:rPr>
          <w:rFonts w:ascii="Arial" w:hAnsi="Arial" w:cs="Arial"/>
          <w:sz w:val="20"/>
          <w:szCs w:val="20"/>
        </w:rPr>
        <w:lastRenderedPageBreak/>
        <w:t xml:space="preserve">nakupno ceno poslovnega </w:t>
      </w:r>
      <w:r w:rsidR="00AF23AF">
        <w:rPr>
          <w:rFonts w:ascii="Arial" w:hAnsi="Arial" w:cs="Arial"/>
          <w:sz w:val="20"/>
          <w:szCs w:val="20"/>
        </w:rPr>
        <w:t>deleža, s pripojitvijo družbe Z</w:t>
      </w:r>
      <w:r w:rsidRPr="00AF23AF">
        <w:rPr>
          <w:rFonts w:ascii="Arial" w:hAnsi="Arial" w:cs="Arial"/>
          <w:sz w:val="20"/>
          <w:szCs w:val="20"/>
        </w:rPr>
        <w:t xml:space="preserve">, ki ni bila ekonomsko utemeljena in pri kateri določbe Zakona o gospodarskih družbah (v nadaljevanju ZGD-1) niso bile v celoti spoštovane, z evidentiranjem dobrega imena v nasprotju z določili SRS in MSRP ter načinom financiranja nakupa preko izdaje obveznic s strani matične družbe, ki je na tak način financirala odkup poslovnega deleža nekdanjega lastnika. Hkrati je nastala možnost slabitve dobrega imena in s tem možnost neposrednega vplivanja na poslovni rezultat. </w:t>
      </w:r>
      <w:r w:rsidR="00AF23AF">
        <w:rPr>
          <w:rFonts w:ascii="Arial" w:hAnsi="Arial" w:cs="Arial"/>
          <w:sz w:val="20"/>
          <w:szCs w:val="20"/>
        </w:rPr>
        <w:t xml:space="preserve">Družba A </w:t>
      </w:r>
      <w:r w:rsidRPr="00AF23AF">
        <w:rPr>
          <w:rFonts w:ascii="Arial" w:hAnsi="Arial" w:cs="Arial"/>
          <w:sz w:val="20"/>
          <w:szCs w:val="20"/>
        </w:rPr>
        <w:t>je tako v naslednjih letih v davčnih obračunih izkazoval</w:t>
      </w:r>
      <w:r w:rsidR="00AF23AF">
        <w:rPr>
          <w:rFonts w:ascii="Arial" w:hAnsi="Arial" w:cs="Arial"/>
          <w:sz w:val="20"/>
          <w:szCs w:val="20"/>
        </w:rPr>
        <w:t>a</w:t>
      </w:r>
      <w:r w:rsidRPr="00AF23AF">
        <w:rPr>
          <w:rFonts w:ascii="Arial" w:hAnsi="Arial" w:cs="Arial"/>
          <w:sz w:val="20"/>
          <w:szCs w:val="20"/>
        </w:rPr>
        <w:t xml:space="preserve"> izgubo, saj se prihodki niso povečevali, bistveno pa so se povečali ravno odhodki, ki izvirajo iz zgoraj opisanih poslovnih dogodkov</w:t>
      </w:r>
      <w:r w:rsidRPr="00AF23AF">
        <w:rPr>
          <w:rStyle w:val="Sprotnaopomba-sklic"/>
          <w:rFonts w:ascii="Arial" w:hAnsi="Arial" w:cs="Arial"/>
          <w:sz w:val="20"/>
          <w:szCs w:val="20"/>
        </w:rPr>
        <w:footnoteReference w:id="13"/>
      </w:r>
      <w:r w:rsidRPr="00AF23AF">
        <w:rPr>
          <w:rFonts w:ascii="Arial" w:hAnsi="Arial" w:cs="Arial"/>
          <w:sz w:val="20"/>
          <w:szCs w:val="20"/>
        </w:rPr>
        <w:t>.</w:t>
      </w:r>
    </w:p>
    <w:p w14:paraId="010145F2" w14:textId="77777777" w:rsidR="00604BB6" w:rsidRPr="00AF23AF" w:rsidRDefault="00604BB6" w:rsidP="00697F07">
      <w:pPr>
        <w:pStyle w:val="Navadensplet"/>
        <w:shd w:val="clear" w:color="auto" w:fill="FFFFFF"/>
        <w:spacing w:before="0" w:beforeAutospacing="0" w:after="0" w:afterAutospacing="0" w:line="260" w:lineRule="exact"/>
        <w:ind w:left="709"/>
        <w:jc w:val="both"/>
        <w:textAlignment w:val="baseline"/>
        <w:rPr>
          <w:rFonts w:ascii="Arial" w:hAnsi="Arial" w:cs="Arial"/>
          <w:sz w:val="20"/>
          <w:szCs w:val="20"/>
        </w:rPr>
      </w:pPr>
    </w:p>
    <w:p w14:paraId="28E50ADD" w14:textId="77777777" w:rsidR="00604BB6" w:rsidRPr="004B7052" w:rsidRDefault="00604BB6" w:rsidP="00697F07">
      <w:pPr>
        <w:pStyle w:val="Odstavekseznama"/>
        <w:numPr>
          <w:ilvl w:val="0"/>
          <w:numId w:val="47"/>
        </w:numPr>
        <w:spacing w:line="260" w:lineRule="exact"/>
        <w:ind w:left="709" w:hanging="510"/>
        <w:jc w:val="both"/>
        <w:textAlignment w:val="baseline"/>
      </w:pPr>
      <w:r w:rsidRPr="004B7052">
        <w:t xml:space="preserve">Družba A </w:t>
      </w:r>
      <w:r w:rsidR="00CF1833" w:rsidRPr="004B7052">
        <w:t xml:space="preserve">d.d. </w:t>
      </w:r>
      <w:r w:rsidRPr="004B7052">
        <w:t>je imela 100% lastninski delež v odvisni družbi D</w:t>
      </w:r>
      <w:r w:rsidR="004255B2">
        <w:t xml:space="preserve"> d.o.o. kakor tudi v družbi B </w:t>
      </w:r>
      <w:r w:rsidRPr="004B7052">
        <w:t xml:space="preserve">d.o.o. Slednja pa je 100 % lastnica družbe E d.o.o. Dne 22. 11. 2019 je </w:t>
      </w:r>
      <w:r w:rsidR="00CF1833" w:rsidRPr="004B7052">
        <w:t>družba A</w:t>
      </w:r>
      <w:r w:rsidRPr="004B7052">
        <w:t xml:space="preserve"> </w:t>
      </w:r>
      <w:r w:rsidR="00CF1833" w:rsidRPr="004B7052">
        <w:t xml:space="preserve">d.d. </w:t>
      </w:r>
      <w:r w:rsidRPr="00D24E27">
        <w:t xml:space="preserve">sklenila pogodbo o </w:t>
      </w:r>
      <w:r w:rsidRPr="004B7052">
        <w:t xml:space="preserve">pripojitvi odvisne družbe B d.o.o. k matični družbi (A d.d.). Obračun je bil narejen na dan 30. 9. 2019, v register pa je bila pripojitev vpisana 3. 1. 2020. Posledica pripojitve družbe B d.o.o. k matični družbi A d.d. je bilo oblikovanje dolgoročne finančne naložbe v družbo E d.o.o. v vrednosti 3.106.574,44 EUR, ki se je na dan 31. 12. 2019 oslabila na vrednost 0,00 EUR. Ista dolgoročna finančna naložba je bila nato 10. 7. 2020 prodana odvisni družbi D d.o.o. za 9.300,00 EUR na podlagi cenitve z dne 23. 12. 2019, ki jo je financiral bodoči kupec te dolgoročne finančne naložbe, to je družba D d.o.o. </w:t>
      </w:r>
    </w:p>
    <w:p w14:paraId="75DE91BB" w14:textId="77777777" w:rsidR="00604BB6" w:rsidRPr="004B7052" w:rsidRDefault="00604BB6" w:rsidP="00697F07">
      <w:pPr>
        <w:pStyle w:val="Odstavekseznama"/>
        <w:spacing w:line="260" w:lineRule="exact"/>
        <w:ind w:left="1077" w:hanging="510"/>
        <w:jc w:val="both"/>
        <w:textAlignment w:val="baseline"/>
      </w:pPr>
    </w:p>
    <w:p w14:paraId="7689A948" w14:textId="77777777" w:rsidR="00604BB6" w:rsidRPr="004B7052" w:rsidRDefault="00604BB6" w:rsidP="00697F07">
      <w:pPr>
        <w:pStyle w:val="Odstavekseznama"/>
        <w:spacing w:line="260" w:lineRule="exact"/>
        <w:ind w:left="709"/>
        <w:jc w:val="both"/>
        <w:textAlignment w:val="baseline"/>
      </w:pPr>
      <w:r w:rsidRPr="004B7052">
        <w:t xml:space="preserve">Posledica pripojitve družbe B d.o.o. k družbi A. d.d. je bila tudi oblikovanje dobrega imena v poslovnih knjigah družbe A d.d. v višini 2.839.839,55 EUR kot razlike med izkazano vrednostjo dolgoročne finančne naložbe v družbo B d.o.o. (izkazano v poslovnih knjigah družbe A d.d.) v višini 3.582.517,00 EUR in kapitalom družbe B d.o.o. v višini 742.678,00 EUR. Dobro ime se je na dan 31. 12. 2019 oslabilo na vrednost 0,00 EUR. V skladu </w:t>
      </w:r>
      <w:r w:rsidR="009B383A" w:rsidRPr="004B7052">
        <w:t>s</w:t>
      </w:r>
      <w:r w:rsidRPr="004B7052">
        <w:t xml:space="preserve"> 23. členom Zakona o davku od dohodkov pravnih oseb (v nadaljevanju ZDDPO-2) je družba A d.d. evidentirala 20 % slabitev dobrega imena. V času, ko je potekal postopek pripojitve družbe B. d.o.o. k matični družbi A d.d. je prišlo tudi do prenosa dela podjetja B d.o.o. na povezano družbo D d.o.o. S tem prenosom se je glavna dejavnost družbe B d.o.o. (trgovina z motornimi vozili znamke Fiat, Lancia, Alfa Romeo in Jeep) prenesla na povezano družbo D d.o.o., ki je v Sloveniji opravljala avtomobilsko dejavnost za motorna vozila znamke Fiat, Lancia, Alfa Romeo in Jeep, kot je to bila tudi dejavnost družbe B d.o.o. pred pripojitvijo preko hčerinske družbe E d.o.o. za hrvaški trg. Prenos avtomobilske dejavnosti iz družbe B d.o.o. oz. iz družbe A d.d. je bil izveden 20. 12. 2019 na podlagi pogodbe o prenosu dela podjetja z dne 17. 12. 2019. Gre za posel med povezanimi osebami, kot jih opredeljujeta 16. člen in 17. člen ZDDPO-2. Posel je potekal v treh fazah: pripojitev, nato oddelitev edine dejavnosti in odprodaja dolgoročne finančne naložbe.</w:t>
      </w:r>
    </w:p>
    <w:p w14:paraId="1A30186F" w14:textId="77777777" w:rsidR="00604BB6" w:rsidRPr="004B7052" w:rsidRDefault="00604BB6" w:rsidP="00697F07">
      <w:pPr>
        <w:pStyle w:val="Odstavekseznama"/>
        <w:spacing w:line="260" w:lineRule="exact"/>
        <w:ind w:left="709" w:hanging="510"/>
        <w:jc w:val="both"/>
        <w:textAlignment w:val="baseline"/>
      </w:pPr>
    </w:p>
    <w:p w14:paraId="422615BE" w14:textId="77777777" w:rsidR="00604BB6" w:rsidRPr="004B7052" w:rsidRDefault="003C353D" w:rsidP="00697F07">
      <w:pPr>
        <w:pStyle w:val="Odstavekseznama"/>
        <w:spacing w:line="260" w:lineRule="exact"/>
        <w:ind w:left="709"/>
        <w:jc w:val="both"/>
        <w:textAlignment w:val="baseline"/>
      </w:pPr>
      <w:r w:rsidRPr="004B7052">
        <w:t xml:space="preserve">V  družbi A d.d. </w:t>
      </w:r>
      <w:r w:rsidR="00604BB6" w:rsidRPr="004B7052">
        <w:t>so po izvedeni pripojitvi družbe B d.o.o. in nato po takojšnji oddelitvi glavne dejavnosti družbe B d.o.o. in prenosom dela dejavnosti na družbo D d.o.o. ostala samo sredstva in obveznosti, s katerimi pa družba B d.o.o. ne more opravljati dejavnosti in posledično tudi</w:t>
      </w:r>
      <w:r w:rsidR="009B383A" w:rsidRPr="004B7052">
        <w:t xml:space="preserve"> ne more ustvarjati dobička. </w:t>
      </w:r>
      <w:r w:rsidR="00604BB6" w:rsidRPr="004B7052">
        <w:t>Ob pripojitvi družbe B d.o.o. k družbi A d.d. se je oblikovalo dobro ime v višini 2.839.839,00 EUR.</w:t>
      </w:r>
    </w:p>
    <w:p w14:paraId="4A1CF570" w14:textId="77777777" w:rsidR="009B383A" w:rsidRDefault="009B383A" w:rsidP="00697F07">
      <w:pPr>
        <w:pStyle w:val="Odstavekseznama"/>
        <w:spacing w:line="260" w:lineRule="exact"/>
        <w:ind w:left="709"/>
        <w:jc w:val="both"/>
        <w:textAlignment w:val="baseline"/>
        <w:rPr>
          <w:color w:val="303030"/>
        </w:rPr>
      </w:pPr>
    </w:p>
    <w:p w14:paraId="5400943E" w14:textId="167F7724" w:rsidR="00604BB6" w:rsidRPr="004B7052" w:rsidRDefault="009B383A" w:rsidP="00697F07">
      <w:pPr>
        <w:pStyle w:val="Odstavekseznama"/>
        <w:spacing w:line="260" w:lineRule="exact"/>
        <w:ind w:left="709"/>
        <w:jc w:val="both"/>
        <w:textAlignment w:val="baseline"/>
        <w:rPr>
          <w:shd w:val="clear" w:color="auto" w:fill="F6F6F6"/>
        </w:rPr>
      </w:pPr>
      <w:r w:rsidRPr="004B7052">
        <w:t>Rezultat obravnavanih transakcij je bil, da se je na družbo A d.d. prenesla izguba iz naslova podcenjene finančne naložbe (E d.o.o.), pri družbi A d.d., kot prevzemni družbi, se je oblikovalo dobro ime, ki se je takoj oslabilo zaradi slabitve finančne naložbe v druž</w:t>
      </w:r>
      <w:r w:rsidR="004B7052" w:rsidRPr="004B7052">
        <w:t>b</w:t>
      </w:r>
      <w:r w:rsidRPr="004B7052">
        <w:t>o E d.o.o. (slabitev dobrega imena), na družbo A d.d. pa so se tudi prenesle kreditne obveznosti iz nas</w:t>
      </w:r>
      <w:r w:rsidR="00727AE6" w:rsidRPr="004B7052">
        <w:t>l</w:t>
      </w:r>
      <w:r w:rsidRPr="004B7052">
        <w:t>ova izvajanja dejavnosti družbe B d.o.o. (nabave in dobave vozil), ki pa je bila prenesena na povezano družbo D d.o.o.</w:t>
      </w:r>
      <w:r w:rsidRPr="004B7052">
        <w:rPr>
          <w:rStyle w:val="Sprotnaopomba-sklic"/>
        </w:rPr>
        <w:footnoteReference w:id="14"/>
      </w:r>
      <w:r w:rsidR="008947DC" w:rsidRPr="004B7052">
        <w:t xml:space="preserve">. </w:t>
      </w:r>
    </w:p>
    <w:p w14:paraId="3543DE19" w14:textId="77777777" w:rsidR="003C353D" w:rsidRDefault="003C353D" w:rsidP="00697F07">
      <w:pPr>
        <w:pStyle w:val="Odstavekseznama"/>
        <w:spacing w:line="260" w:lineRule="exact"/>
        <w:ind w:left="709"/>
        <w:jc w:val="both"/>
        <w:textAlignment w:val="baseline"/>
        <w:rPr>
          <w:color w:val="303030"/>
          <w:shd w:val="clear" w:color="auto" w:fill="F6F6F6"/>
        </w:rPr>
      </w:pPr>
    </w:p>
    <w:p w14:paraId="07AC3B2E" w14:textId="77777777" w:rsidR="003C353D" w:rsidRPr="00483837" w:rsidRDefault="003C353D" w:rsidP="00697F07">
      <w:pPr>
        <w:pStyle w:val="Odstavekseznama"/>
        <w:numPr>
          <w:ilvl w:val="0"/>
          <w:numId w:val="47"/>
        </w:numPr>
        <w:spacing w:line="260" w:lineRule="exact"/>
        <w:ind w:left="709" w:hanging="425"/>
        <w:jc w:val="both"/>
        <w:rPr>
          <w:rFonts w:asciiTheme="minorHAnsi" w:hAnsiTheme="minorHAnsi"/>
          <w:szCs w:val="22"/>
          <w:lang w:eastAsia="en-US"/>
        </w:rPr>
      </w:pPr>
      <w:r>
        <w:t>Fizična oseba je 20. 3. 2019 prodala poslovni delež v družbi A d.o.o., za kupnino 15.814.244,38 EUR ter napovedala dobiček v višini 8.738.368,49 EUR.  V obdobju od 9. 6. 2019 do 8. 10. 2019 je ista fizična oseba kupila tudi skupno 411.236 delnic družbe B d.d. v vrednosti 11.292.725,04 EUR in jih 20. 12. 2019 prodala družbi C d.o.o.,</w:t>
      </w:r>
      <w:r w:rsidR="00C43D24">
        <w:t xml:space="preserve"> </w:t>
      </w:r>
      <w:r w:rsidR="008947DC">
        <w:t>s katero je bila fizična oseb</w:t>
      </w:r>
      <w:r>
        <w:t xml:space="preserve">a poslovno povezana. Delnice so bile prodane za (več kot) polovico nižji znesek, in sicer za 4.478.596 EUR, zato je </w:t>
      </w:r>
      <w:r w:rsidR="00C43D24">
        <w:t xml:space="preserve">prodajalec </w:t>
      </w:r>
      <w:r>
        <w:t xml:space="preserve">davčnemu organu napovedal izgubo v višini 7.425.181,54 EUR. </w:t>
      </w:r>
    </w:p>
    <w:p w14:paraId="7566FBDF" w14:textId="77777777" w:rsidR="00483837" w:rsidRPr="003C353D" w:rsidRDefault="00483837" w:rsidP="00697F07">
      <w:pPr>
        <w:pStyle w:val="Odstavekseznama"/>
        <w:spacing w:line="260" w:lineRule="exact"/>
        <w:ind w:left="709"/>
        <w:jc w:val="both"/>
        <w:rPr>
          <w:rFonts w:asciiTheme="minorHAnsi" w:hAnsiTheme="minorHAnsi"/>
          <w:szCs w:val="22"/>
          <w:lang w:eastAsia="en-US"/>
        </w:rPr>
      </w:pPr>
    </w:p>
    <w:p w14:paraId="0AD981A4" w14:textId="77777777" w:rsidR="003C353D" w:rsidRPr="00F42F11" w:rsidRDefault="003C353D" w:rsidP="00697F07">
      <w:pPr>
        <w:pStyle w:val="Odstavekseznama"/>
        <w:spacing w:line="260" w:lineRule="exact"/>
        <w:ind w:left="709"/>
        <w:jc w:val="both"/>
        <w:rPr>
          <w:rFonts w:asciiTheme="minorHAnsi" w:hAnsiTheme="minorHAnsi"/>
          <w:szCs w:val="22"/>
          <w:lang w:eastAsia="en-US"/>
        </w:rPr>
      </w:pPr>
      <w:r>
        <w:t>Kupnine fizična oseba do konca leta 2019 ni prejela. Okoliščine, ki bi utemeljevale prodajo delnic po tako nizki ceni v tako kratkem času, niso razvidne. Delnice so bile takoj preknjižene na kupca, čeprav kupnina še ni bila plačana, niti ni bila plačana v pogodbenih rokih, fizična oseba pa kljub temu tudi ni poskusila izterjati dolga. V januarju 2020 je bila terjatev spremenjena v brezobrestno posojilo, kupec je nekaj kupnine v naslednjem letu naka</w:t>
      </w:r>
      <w:r w:rsidR="00483837">
        <w:t xml:space="preserve">zal na TRR prodajalca. Družba C </w:t>
      </w:r>
      <w:r>
        <w:t>d.o.o</w:t>
      </w:r>
      <w:r w:rsidR="00483837">
        <w:t>.</w:t>
      </w:r>
      <w:r>
        <w:t xml:space="preserve"> pri razpolaganju z delnicami ni bila aktivna, čez manj kot eno leto pa so se vrednostni papirji znova znašli na trgovalnem računu prodajalca – fizične osebe, ki je tudi sama poravnala stroške preknjižbe</w:t>
      </w:r>
      <w:r>
        <w:rPr>
          <w:rStyle w:val="Sprotnaopomba-sklic"/>
        </w:rPr>
        <w:footnoteReference w:id="15"/>
      </w:r>
      <w:r>
        <w:t xml:space="preserve">. </w:t>
      </w:r>
    </w:p>
    <w:p w14:paraId="554F2C25" w14:textId="77777777" w:rsidR="003C353D" w:rsidRPr="00604BB6" w:rsidRDefault="003C353D" w:rsidP="00697F07">
      <w:pPr>
        <w:pStyle w:val="Odstavekseznama"/>
        <w:spacing w:line="260" w:lineRule="exact"/>
        <w:ind w:left="709"/>
        <w:jc w:val="both"/>
        <w:textAlignment w:val="baseline"/>
        <w:rPr>
          <w:color w:val="303030"/>
          <w:shd w:val="clear" w:color="auto" w:fill="F6F6F6"/>
        </w:rPr>
      </w:pPr>
    </w:p>
    <w:p w14:paraId="595D70CA" w14:textId="77777777" w:rsidR="00D76755" w:rsidRDefault="00D76755" w:rsidP="00697F07">
      <w:pPr>
        <w:spacing w:line="260" w:lineRule="exact"/>
        <w:jc w:val="both"/>
        <w:rPr>
          <w:b/>
        </w:rPr>
      </w:pPr>
      <w:bookmarkStart w:id="44" w:name="_Toc75160027"/>
      <w:r w:rsidRPr="0068128B">
        <w:rPr>
          <w:rStyle w:val="Naslov3Znak"/>
        </w:rPr>
        <w:t>B2. Aranžma, ki ima za posledico preoblikovanje dohodkov v kapital, darila ali druge kategorije</w:t>
      </w:r>
      <w:bookmarkEnd w:id="44"/>
      <w:r w:rsidRPr="0050053F">
        <w:rPr>
          <w:b/>
        </w:rPr>
        <w:t xml:space="preserve"> prihodkov, ki so obdavčene po nižji stopnji ali oproščene davka. </w:t>
      </w:r>
    </w:p>
    <w:p w14:paraId="70BCDE0E" w14:textId="77777777" w:rsidR="000C4ECD" w:rsidRDefault="000C4ECD" w:rsidP="00697F07">
      <w:pPr>
        <w:spacing w:line="260" w:lineRule="exact"/>
        <w:rPr>
          <w:lang w:eastAsia="sl-SI"/>
        </w:rPr>
      </w:pPr>
    </w:p>
    <w:p w14:paraId="189FB5C6" w14:textId="77777777" w:rsidR="009E1CF6" w:rsidRDefault="00063634" w:rsidP="00697F07">
      <w:pPr>
        <w:spacing w:line="260" w:lineRule="exact"/>
        <w:jc w:val="both"/>
        <w:rPr>
          <w:lang w:eastAsia="sl-SI"/>
        </w:rPr>
      </w:pPr>
      <w:r>
        <w:rPr>
          <w:lang w:eastAsia="sl-SI"/>
        </w:rPr>
        <w:t>Prepoznavna značilnost se</w:t>
      </w:r>
      <w:r w:rsidR="006702BD">
        <w:rPr>
          <w:lang w:eastAsia="sl-SI"/>
        </w:rPr>
        <w:t xml:space="preserve"> nanaša na vse tiste aranžmaje, pri katerih se z namen</w:t>
      </w:r>
      <w:r w:rsidR="00EC6841">
        <w:rPr>
          <w:lang w:eastAsia="sl-SI"/>
        </w:rPr>
        <w:t>om nižjih davčnih obveznosti pl</w:t>
      </w:r>
      <w:r w:rsidR="006702BD">
        <w:rPr>
          <w:lang w:eastAsia="sl-SI"/>
        </w:rPr>
        <w:t>a</w:t>
      </w:r>
      <w:r w:rsidR="00EC6841">
        <w:rPr>
          <w:lang w:eastAsia="sl-SI"/>
        </w:rPr>
        <w:t>č</w:t>
      </w:r>
      <w:r w:rsidR="006702BD">
        <w:rPr>
          <w:lang w:eastAsia="sl-SI"/>
        </w:rPr>
        <w:t xml:space="preserve">ila ali </w:t>
      </w:r>
      <w:r w:rsidR="00EC6841">
        <w:rPr>
          <w:lang w:eastAsia="sl-SI"/>
        </w:rPr>
        <w:t>izplačila, ki so po svoji ekono</w:t>
      </w:r>
      <w:r w:rsidR="006702BD">
        <w:rPr>
          <w:lang w:eastAsia="sl-SI"/>
        </w:rPr>
        <w:t>m</w:t>
      </w:r>
      <w:r w:rsidR="00EC6841">
        <w:rPr>
          <w:lang w:eastAsia="sl-SI"/>
        </w:rPr>
        <w:t>s</w:t>
      </w:r>
      <w:r w:rsidR="006702BD">
        <w:rPr>
          <w:lang w:eastAsia="sl-SI"/>
        </w:rPr>
        <w:t xml:space="preserve">ki vsebini dohodki </w:t>
      </w:r>
      <w:r w:rsidR="00981BFF">
        <w:rPr>
          <w:lang w:eastAsia="sl-SI"/>
        </w:rPr>
        <w:t>prikažejo,</w:t>
      </w:r>
      <w:r w:rsidR="00EC6841">
        <w:rPr>
          <w:lang w:eastAsia="sl-SI"/>
        </w:rPr>
        <w:t xml:space="preserve"> ali preo</w:t>
      </w:r>
      <w:r w:rsidR="009E1CF6">
        <w:rPr>
          <w:lang w:eastAsia="sl-SI"/>
        </w:rPr>
        <w:t>blikujejo v druge oblike, pri katerih je stopnja obdavčitve nižja (ali pa so iz obdavčitve izvzeti). Termin dohodek se v tem ko</w:t>
      </w:r>
      <w:r w:rsidR="009E5F6C">
        <w:rPr>
          <w:lang w:eastAsia="sl-SI"/>
        </w:rPr>
        <w:t>ntekstu interp</w:t>
      </w:r>
      <w:r w:rsidR="00981BFF">
        <w:rPr>
          <w:lang w:eastAsia="sl-SI"/>
        </w:rPr>
        <w:t>re</w:t>
      </w:r>
      <w:r w:rsidR="009E5F6C">
        <w:rPr>
          <w:lang w:eastAsia="sl-SI"/>
        </w:rPr>
        <w:t>tira široko, termin davek pa se nana</w:t>
      </w:r>
      <w:r w:rsidR="00981BFF">
        <w:rPr>
          <w:lang w:eastAsia="sl-SI"/>
        </w:rPr>
        <w:t>ša tako na tekoče davčne obvezn</w:t>
      </w:r>
      <w:r w:rsidR="009E5F6C">
        <w:rPr>
          <w:lang w:eastAsia="sl-SI"/>
        </w:rPr>
        <w:t>o</w:t>
      </w:r>
      <w:r w:rsidR="00981BFF">
        <w:rPr>
          <w:lang w:eastAsia="sl-SI"/>
        </w:rPr>
        <w:t>s</w:t>
      </w:r>
      <w:r w:rsidR="009E5F6C">
        <w:rPr>
          <w:lang w:eastAsia="sl-SI"/>
        </w:rPr>
        <w:t xml:space="preserve">ti kot tudi na odložene davke </w:t>
      </w:r>
      <w:r w:rsidR="009E1CF6">
        <w:rPr>
          <w:lang w:eastAsia="sl-SI"/>
        </w:rPr>
        <w:t xml:space="preserve"> </w:t>
      </w:r>
    </w:p>
    <w:p w14:paraId="420D3BFB" w14:textId="77777777" w:rsidR="009E1CF6" w:rsidRDefault="009E1CF6" w:rsidP="00697F07">
      <w:pPr>
        <w:spacing w:line="260" w:lineRule="exact"/>
        <w:jc w:val="both"/>
        <w:rPr>
          <w:lang w:eastAsia="sl-SI"/>
        </w:rPr>
      </w:pPr>
    </w:p>
    <w:p w14:paraId="10C2D7DD" w14:textId="77777777" w:rsidR="009E1CF6" w:rsidRDefault="008E3BA5" w:rsidP="00697F07">
      <w:pPr>
        <w:spacing w:line="260" w:lineRule="exact"/>
        <w:jc w:val="both"/>
        <w:rPr>
          <w:lang w:eastAsia="sl-SI"/>
        </w:rPr>
      </w:pPr>
      <w:r>
        <w:rPr>
          <w:lang w:eastAsia="sl-SI"/>
        </w:rPr>
        <w:t xml:space="preserve">Pri tem se pojavi vprašanje, ali se kot preoblikovanje šteje zgolj </w:t>
      </w:r>
      <w:r w:rsidR="00237404">
        <w:rPr>
          <w:lang w:eastAsia="sl-SI"/>
        </w:rPr>
        <w:t xml:space="preserve">preoblikovanje obstoječih </w:t>
      </w:r>
      <w:r>
        <w:rPr>
          <w:lang w:eastAsia="sl-SI"/>
        </w:rPr>
        <w:t>dohod</w:t>
      </w:r>
      <w:r w:rsidR="00237404">
        <w:rPr>
          <w:lang w:eastAsia="sl-SI"/>
        </w:rPr>
        <w:t xml:space="preserve">kov. </w:t>
      </w:r>
      <w:r>
        <w:rPr>
          <w:lang w:eastAsia="sl-SI"/>
        </w:rPr>
        <w:t xml:space="preserve">Ne, za namene DAC6 poročanja se v značilnost B2 štejejo </w:t>
      </w:r>
      <w:r w:rsidR="00237404">
        <w:rPr>
          <w:lang w:eastAsia="sl-SI"/>
        </w:rPr>
        <w:t>kat</w:t>
      </w:r>
      <w:r w:rsidR="00981BFF">
        <w:rPr>
          <w:lang w:eastAsia="sl-SI"/>
        </w:rPr>
        <w:t>e</w:t>
      </w:r>
      <w:r w:rsidR="00237404">
        <w:rPr>
          <w:lang w:eastAsia="sl-SI"/>
        </w:rPr>
        <w:t xml:space="preserve">rakoli </w:t>
      </w:r>
      <w:r>
        <w:rPr>
          <w:lang w:eastAsia="sl-SI"/>
        </w:rPr>
        <w:t>izplačila oziroma plačila, ne glede na to, ali so ob nastanku opredeljena kot dohodek, ali kot kakršn</w:t>
      </w:r>
      <w:r w:rsidR="00981BFF">
        <w:rPr>
          <w:lang w:eastAsia="sl-SI"/>
        </w:rPr>
        <w:t>a koli vrsta pl</w:t>
      </w:r>
      <w:r w:rsidR="009F1946">
        <w:rPr>
          <w:lang w:eastAsia="sl-SI"/>
        </w:rPr>
        <w:t>a</w:t>
      </w:r>
      <w:r w:rsidR="00981BFF">
        <w:rPr>
          <w:lang w:eastAsia="sl-SI"/>
        </w:rPr>
        <w:t>č</w:t>
      </w:r>
      <w:r w:rsidR="009F1946">
        <w:rPr>
          <w:lang w:eastAsia="sl-SI"/>
        </w:rPr>
        <w:t>ila, vključno s plačili brez ekonomske/pravne/pogodbene podlage.</w:t>
      </w:r>
    </w:p>
    <w:p w14:paraId="1DDFFE4C" w14:textId="77777777" w:rsidR="009F1946" w:rsidRDefault="009F1946" w:rsidP="00697F07">
      <w:pPr>
        <w:spacing w:line="260" w:lineRule="exact"/>
        <w:jc w:val="both"/>
        <w:rPr>
          <w:lang w:eastAsia="sl-SI"/>
        </w:rPr>
      </w:pPr>
    </w:p>
    <w:p w14:paraId="352B6840" w14:textId="77777777" w:rsidR="000C4ECD" w:rsidRDefault="009F1946" w:rsidP="00697F07">
      <w:pPr>
        <w:spacing w:line="260" w:lineRule="exact"/>
        <w:jc w:val="both"/>
        <w:rPr>
          <w:lang w:eastAsia="sl-SI"/>
        </w:rPr>
      </w:pPr>
      <w:r>
        <w:rPr>
          <w:lang w:eastAsia="sl-SI"/>
        </w:rPr>
        <w:t>V to prepoznavno značilnost sodijo tudi alter</w:t>
      </w:r>
      <w:r w:rsidR="00C51945">
        <w:rPr>
          <w:lang w:eastAsia="sl-SI"/>
        </w:rPr>
        <w:t xml:space="preserve">nativne oblike dohodka in </w:t>
      </w:r>
      <w:r w:rsidR="00237404">
        <w:rPr>
          <w:lang w:eastAsia="sl-SI"/>
        </w:rPr>
        <w:t xml:space="preserve">ravno tako </w:t>
      </w:r>
      <w:r w:rsidR="00C51945">
        <w:rPr>
          <w:lang w:eastAsia="sl-SI"/>
        </w:rPr>
        <w:t>statusna preoblikovanja gosp</w:t>
      </w:r>
      <w:r w:rsidR="00237404">
        <w:rPr>
          <w:lang w:eastAsia="sl-SI"/>
        </w:rPr>
        <w:t>o</w:t>
      </w:r>
      <w:r w:rsidR="00C51945">
        <w:rPr>
          <w:lang w:eastAsia="sl-SI"/>
        </w:rPr>
        <w:t xml:space="preserve">darskih subjektov, kadar je namen preoblikovanja </w:t>
      </w:r>
      <w:r w:rsidR="00237404">
        <w:rPr>
          <w:lang w:eastAsia="sl-SI"/>
        </w:rPr>
        <w:t xml:space="preserve">v </w:t>
      </w:r>
      <w:r w:rsidR="00981BFF">
        <w:rPr>
          <w:lang w:eastAsia="sl-SI"/>
        </w:rPr>
        <w:t>do</w:t>
      </w:r>
      <w:r w:rsidR="009E5F6C">
        <w:rPr>
          <w:lang w:eastAsia="sl-SI"/>
        </w:rPr>
        <w:t>seganj</w:t>
      </w:r>
      <w:r w:rsidR="00237404">
        <w:rPr>
          <w:lang w:eastAsia="sl-SI"/>
        </w:rPr>
        <w:t>u</w:t>
      </w:r>
      <w:r w:rsidR="009E5F6C">
        <w:rPr>
          <w:lang w:eastAsia="sl-SI"/>
        </w:rPr>
        <w:t xml:space="preserve"> davčno manj obrem</w:t>
      </w:r>
      <w:r w:rsidR="00C51945">
        <w:rPr>
          <w:lang w:eastAsia="sl-SI"/>
        </w:rPr>
        <w:t xml:space="preserve">enjene vrste dohodka </w:t>
      </w:r>
      <w:r w:rsidR="00237404">
        <w:rPr>
          <w:lang w:eastAsia="sl-SI"/>
        </w:rPr>
        <w:t xml:space="preserve">oziroma </w:t>
      </w:r>
      <w:r w:rsidR="00C51945">
        <w:rPr>
          <w:lang w:eastAsia="sl-SI"/>
        </w:rPr>
        <w:t xml:space="preserve">davčni prihranek. </w:t>
      </w:r>
    </w:p>
    <w:p w14:paraId="5D4B3365" w14:textId="77777777" w:rsidR="000C4ECD" w:rsidRDefault="000C4ECD" w:rsidP="00697F07">
      <w:pPr>
        <w:spacing w:line="260" w:lineRule="exact"/>
        <w:rPr>
          <w:lang w:eastAsia="sl-SI"/>
        </w:rPr>
      </w:pPr>
    </w:p>
    <w:p w14:paraId="28FF82DC" w14:textId="77777777" w:rsidR="00C51945" w:rsidRDefault="00EB45B9" w:rsidP="00697F07">
      <w:pPr>
        <w:spacing w:line="260" w:lineRule="exact"/>
        <w:jc w:val="both"/>
        <w:rPr>
          <w:lang w:eastAsia="sl-SI"/>
        </w:rPr>
      </w:pPr>
      <w:r>
        <w:rPr>
          <w:lang w:eastAsia="sl-SI"/>
        </w:rPr>
        <w:t xml:space="preserve">Med </w:t>
      </w:r>
      <w:r w:rsidR="00C51945">
        <w:rPr>
          <w:lang w:eastAsia="sl-SI"/>
        </w:rPr>
        <w:t xml:space="preserve">pojavne oblike po značilnosti B2 </w:t>
      </w:r>
      <w:r w:rsidR="000B5E80">
        <w:rPr>
          <w:lang w:eastAsia="sl-SI"/>
        </w:rPr>
        <w:t>se prav tako štejejo zlorabe rezidentskih statusov oziroma neupravičeno pridobivanje nerezidentskega statusa, ki v končni fazi lahko pripelje do situacije, ko dohodki fizičnih in pravnih ose</w:t>
      </w:r>
      <w:r>
        <w:rPr>
          <w:lang w:eastAsia="sl-SI"/>
        </w:rPr>
        <w:t>b (kot končni učinek aranžmaja)</w:t>
      </w:r>
      <w:r w:rsidR="000B5E80">
        <w:rPr>
          <w:lang w:eastAsia="sl-SI"/>
        </w:rPr>
        <w:t xml:space="preserve"> niso obdavčeni </w:t>
      </w:r>
      <w:r w:rsidR="00030F3F">
        <w:rPr>
          <w:lang w:eastAsia="sl-SI"/>
        </w:rPr>
        <w:t xml:space="preserve">v </w:t>
      </w:r>
      <w:r w:rsidR="000B5E80">
        <w:rPr>
          <w:lang w:eastAsia="sl-SI"/>
        </w:rPr>
        <w:t xml:space="preserve">pravilni višini ali pa sploh niso obdavčeni nikjer. </w:t>
      </w:r>
    </w:p>
    <w:p w14:paraId="6D4BEB3D" w14:textId="77777777" w:rsidR="009F1946" w:rsidRDefault="009F1946" w:rsidP="00697F07">
      <w:pPr>
        <w:spacing w:line="260" w:lineRule="exact"/>
        <w:jc w:val="both"/>
        <w:rPr>
          <w:lang w:eastAsia="sl-SI"/>
        </w:rPr>
      </w:pPr>
    </w:p>
    <w:p w14:paraId="148C81A4" w14:textId="77777777" w:rsidR="007D7559" w:rsidRDefault="00063634" w:rsidP="00697F07">
      <w:pPr>
        <w:spacing w:line="260" w:lineRule="exact"/>
        <w:jc w:val="both"/>
        <w:rPr>
          <w:lang w:eastAsia="sl-SI"/>
        </w:rPr>
      </w:pPr>
      <w:r>
        <w:rPr>
          <w:lang w:eastAsia="sl-SI"/>
        </w:rPr>
        <w:t>Tipična pojavna oblika</w:t>
      </w:r>
      <w:r w:rsidR="007D7559">
        <w:rPr>
          <w:lang w:eastAsia="sl-SI"/>
        </w:rPr>
        <w:t xml:space="preserve"> za to značilnost je na primer</w:t>
      </w:r>
      <w:r w:rsidR="00481763">
        <w:rPr>
          <w:lang w:eastAsia="sl-SI"/>
        </w:rPr>
        <w:t xml:space="preserve"> izplačilo dividende, </w:t>
      </w:r>
      <w:r w:rsidR="007D7559">
        <w:rPr>
          <w:lang w:eastAsia="sl-SI"/>
        </w:rPr>
        <w:t>čeprav je dejansko izplačana plača</w:t>
      </w:r>
      <w:r w:rsidR="00481763">
        <w:rPr>
          <w:lang w:eastAsia="sl-SI"/>
        </w:rPr>
        <w:t xml:space="preserve">. Lahko pa gre za </w:t>
      </w:r>
      <w:r w:rsidR="007D7559">
        <w:rPr>
          <w:lang w:eastAsia="sl-SI"/>
        </w:rPr>
        <w:t>prod</w:t>
      </w:r>
      <w:r w:rsidR="00481763">
        <w:rPr>
          <w:lang w:eastAsia="sl-SI"/>
        </w:rPr>
        <w:t>aj</w:t>
      </w:r>
      <w:r w:rsidR="00617F0D">
        <w:rPr>
          <w:lang w:eastAsia="sl-SI"/>
        </w:rPr>
        <w:t>o</w:t>
      </w:r>
      <w:r w:rsidR="007D7559">
        <w:rPr>
          <w:lang w:eastAsia="sl-SI"/>
        </w:rPr>
        <w:t xml:space="preserve"> poslovnega deleža, ki se obdavčuje s kapitalskimi dobički, čeprav gre po vsebini za izplačilo dividende. </w:t>
      </w:r>
    </w:p>
    <w:p w14:paraId="6D563B6E" w14:textId="77777777" w:rsidR="009E5F6C" w:rsidRDefault="009E5F6C" w:rsidP="00697F07">
      <w:pPr>
        <w:spacing w:line="260" w:lineRule="exact"/>
        <w:jc w:val="both"/>
        <w:rPr>
          <w:lang w:eastAsia="sl-SI"/>
        </w:rPr>
      </w:pPr>
    </w:p>
    <w:p w14:paraId="2032D669" w14:textId="77777777" w:rsidR="009E5F6C" w:rsidRDefault="009E5F6C" w:rsidP="00697F07">
      <w:pPr>
        <w:spacing w:line="260" w:lineRule="exact"/>
        <w:jc w:val="both"/>
        <w:rPr>
          <w:lang w:eastAsia="sl-SI"/>
        </w:rPr>
      </w:pPr>
      <w:r>
        <w:rPr>
          <w:lang w:eastAsia="sl-SI"/>
        </w:rPr>
        <w:t>Standardni b</w:t>
      </w:r>
      <w:r w:rsidR="00981BFF">
        <w:rPr>
          <w:lang w:eastAsia="sl-SI"/>
        </w:rPr>
        <w:t>ančni produkti in finančni inst</w:t>
      </w:r>
      <w:r>
        <w:rPr>
          <w:lang w:eastAsia="sl-SI"/>
        </w:rPr>
        <w:t>r</w:t>
      </w:r>
      <w:r w:rsidR="00981BFF">
        <w:rPr>
          <w:lang w:eastAsia="sl-SI"/>
        </w:rPr>
        <w:t>u</w:t>
      </w:r>
      <w:r>
        <w:rPr>
          <w:lang w:eastAsia="sl-SI"/>
        </w:rPr>
        <w:t xml:space="preserve">menti, katerih namen ni konverzija dohodkov v kapital zaradi davčno ugodnejše obravnave, se ne štejejo v značilnost B2. </w:t>
      </w:r>
    </w:p>
    <w:p w14:paraId="59583FE7" w14:textId="77777777" w:rsidR="00E702B7" w:rsidRDefault="00E702B7" w:rsidP="00697F07">
      <w:pPr>
        <w:spacing w:line="260" w:lineRule="exact"/>
        <w:jc w:val="both"/>
        <w:rPr>
          <w:lang w:eastAsia="sl-SI"/>
        </w:rPr>
      </w:pPr>
    </w:p>
    <w:p w14:paraId="29985EE1" w14:textId="77777777" w:rsidR="00E702B7" w:rsidRDefault="00E702B7" w:rsidP="00697F07">
      <w:pPr>
        <w:spacing w:line="260" w:lineRule="exact"/>
        <w:jc w:val="both"/>
        <w:rPr>
          <w:lang w:eastAsia="sl-SI"/>
        </w:rPr>
      </w:pPr>
    </w:p>
    <w:p w14:paraId="557CAF09" w14:textId="77777777" w:rsidR="00E702B7" w:rsidRDefault="00E702B7" w:rsidP="00697F07">
      <w:pPr>
        <w:spacing w:line="260" w:lineRule="exact"/>
        <w:jc w:val="both"/>
        <w:rPr>
          <w:lang w:eastAsia="sl-SI"/>
        </w:rPr>
      </w:pPr>
    </w:p>
    <w:p w14:paraId="2B53C92F" w14:textId="77777777" w:rsidR="00617F0D" w:rsidRPr="00320BB9" w:rsidRDefault="00617F0D" w:rsidP="00697F07">
      <w:pPr>
        <w:spacing w:line="260" w:lineRule="exact"/>
      </w:pPr>
    </w:p>
    <w:p w14:paraId="4859CC8B" w14:textId="77777777" w:rsidR="00252C66" w:rsidRPr="001B26A9" w:rsidRDefault="00320BB9" w:rsidP="00697F07">
      <w:pPr>
        <w:spacing w:line="260" w:lineRule="exact"/>
        <w:rPr>
          <w:b/>
        </w:rPr>
      </w:pPr>
      <w:bookmarkStart w:id="45" w:name="_Toc75160028"/>
      <w:r w:rsidRPr="00252C66">
        <w:rPr>
          <w:rStyle w:val="Naslov3Znak"/>
        </w:rPr>
        <w:t>Primeri</w:t>
      </w:r>
      <w:r w:rsidR="00E01D89" w:rsidRPr="00252C66">
        <w:rPr>
          <w:rStyle w:val="Naslov3Znak"/>
        </w:rPr>
        <w:t>: B2</w:t>
      </w:r>
      <w:bookmarkEnd w:id="45"/>
      <w:r w:rsidR="00E01D89">
        <w:t xml:space="preserve"> </w:t>
      </w:r>
      <w:r w:rsidRPr="001B26A9">
        <w:rPr>
          <w:b/>
        </w:rPr>
        <w:t>– preoblikovanje dohodkov v kapital</w:t>
      </w:r>
    </w:p>
    <w:p w14:paraId="3808BA60" w14:textId="77777777" w:rsidR="00320BB9" w:rsidRDefault="00320BB9" w:rsidP="00697F07">
      <w:pPr>
        <w:spacing w:line="260" w:lineRule="exact"/>
        <w:rPr>
          <w:szCs w:val="20"/>
        </w:rPr>
      </w:pPr>
    </w:p>
    <w:p w14:paraId="41E2D276" w14:textId="77777777" w:rsidR="009821F2" w:rsidRDefault="009821F2" w:rsidP="00697F07">
      <w:pPr>
        <w:spacing w:line="260" w:lineRule="exact"/>
        <w:jc w:val="both"/>
        <w:rPr>
          <w:color w:val="000000" w:themeColor="text1"/>
        </w:rPr>
      </w:pPr>
      <w:r w:rsidRPr="001D7715">
        <w:rPr>
          <w:color w:val="000000" w:themeColor="text1"/>
        </w:rPr>
        <w:t xml:space="preserve">Nekaj primerov davčnih aranžmajev, ki </w:t>
      </w:r>
      <w:r>
        <w:rPr>
          <w:color w:val="000000" w:themeColor="text1"/>
        </w:rPr>
        <w:t xml:space="preserve">bi se lahko nanašali na prepoznavno značilnost B2, je mogoče najti tudi v veljavni sodni praksi RS, pri čemer velja izrecno poudariti, da je navedena prepoznavna značilnost podana tudi v drugih primerih. </w:t>
      </w:r>
    </w:p>
    <w:p w14:paraId="35B0CDB0" w14:textId="77777777" w:rsidR="009821F2" w:rsidRDefault="009821F2" w:rsidP="00697F07">
      <w:pPr>
        <w:spacing w:line="260" w:lineRule="exact"/>
        <w:rPr>
          <w:szCs w:val="20"/>
        </w:rPr>
      </w:pPr>
    </w:p>
    <w:p w14:paraId="5ACFA417" w14:textId="77777777" w:rsidR="005E66AF" w:rsidRDefault="005E66AF" w:rsidP="00697F07">
      <w:pPr>
        <w:pStyle w:val="Default"/>
        <w:numPr>
          <w:ilvl w:val="0"/>
          <w:numId w:val="53"/>
        </w:numPr>
        <w:spacing w:line="260" w:lineRule="exact"/>
        <w:ind w:left="709" w:hanging="283"/>
        <w:jc w:val="both"/>
        <w:rPr>
          <w:sz w:val="20"/>
          <w:szCs w:val="20"/>
          <w:lang w:val="sl-SI"/>
        </w:rPr>
      </w:pPr>
      <w:r>
        <w:rPr>
          <w:sz w:val="20"/>
          <w:szCs w:val="20"/>
          <w:lang w:val="sl-SI"/>
        </w:rPr>
        <w:t xml:space="preserve">Fizična oseba ima v lasti 100% poslovni delež v družbi A d.o.o. Fizična oseba dne 2. 7. 2019 proda 80%, nato pa 30. 11. 2019 še 20% poslovni delež v družbi A d.o.o. ciprski družbi B Ltd. </w:t>
      </w:r>
    </w:p>
    <w:p w14:paraId="6AD6E74F" w14:textId="77777777" w:rsidR="00B01A48" w:rsidRDefault="00B01A48" w:rsidP="00697F07">
      <w:pPr>
        <w:pStyle w:val="Default"/>
        <w:spacing w:line="260" w:lineRule="exact"/>
        <w:ind w:left="709" w:hanging="283"/>
        <w:jc w:val="both"/>
        <w:rPr>
          <w:sz w:val="20"/>
          <w:szCs w:val="20"/>
          <w:lang w:val="sl-SI"/>
        </w:rPr>
      </w:pPr>
    </w:p>
    <w:p w14:paraId="5174C38D" w14:textId="77777777" w:rsidR="005E66AF" w:rsidRDefault="005E66AF" w:rsidP="00697F07">
      <w:pPr>
        <w:pStyle w:val="Default"/>
        <w:spacing w:line="260" w:lineRule="exact"/>
        <w:ind w:left="709"/>
        <w:jc w:val="both"/>
        <w:rPr>
          <w:sz w:val="20"/>
          <w:szCs w:val="20"/>
          <w:lang w:val="sl-SI"/>
        </w:rPr>
      </w:pPr>
      <w:r>
        <w:rPr>
          <w:sz w:val="20"/>
          <w:szCs w:val="20"/>
          <w:lang w:val="sl-SI"/>
        </w:rPr>
        <w:t>Ciprska družba B Ltd je bila ustanovljena tik pred nakupom poslovnega deleža in ni razpolagala s finančnimi sredstvi, da bi lahko poravnala kupnino, zato je do poplačila kupnine s strani kupca ob prodaji prišlo šele, ko je ciprska družba B Ltd od slove</w:t>
      </w:r>
      <w:r w:rsidR="008947DC">
        <w:rPr>
          <w:sz w:val="20"/>
          <w:szCs w:val="20"/>
          <w:lang w:val="sl-SI"/>
        </w:rPr>
        <w:t>n</w:t>
      </w:r>
      <w:r>
        <w:rPr>
          <w:sz w:val="20"/>
          <w:szCs w:val="20"/>
          <w:lang w:val="sl-SI"/>
        </w:rPr>
        <w:t>ske družbe A d.o.o</w:t>
      </w:r>
      <w:r w:rsidR="00C43D24">
        <w:rPr>
          <w:sz w:val="20"/>
          <w:szCs w:val="20"/>
          <w:lang w:val="sl-SI"/>
        </w:rPr>
        <w:t>.</w:t>
      </w:r>
      <w:r>
        <w:rPr>
          <w:sz w:val="20"/>
          <w:szCs w:val="20"/>
          <w:lang w:val="sl-SI"/>
        </w:rPr>
        <w:t xml:space="preserve"> prejela prve dividende.</w:t>
      </w:r>
    </w:p>
    <w:p w14:paraId="077EC9D3" w14:textId="77777777" w:rsidR="005E66AF" w:rsidRDefault="005E66AF" w:rsidP="00697F07">
      <w:pPr>
        <w:pStyle w:val="Default"/>
        <w:spacing w:line="260" w:lineRule="exact"/>
        <w:ind w:left="709" w:hanging="283"/>
        <w:jc w:val="both"/>
        <w:rPr>
          <w:sz w:val="20"/>
          <w:szCs w:val="20"/>
          <w:lang w:val="sl-SI"/>
        </w:rPr>
      </w:pPr>
    </w:p>
    <w:p w14:paraId="26114FB6" w14:textId="77777777" w:rsidR="00295A33" w:rsidRDefault="005E66AF" w:rsidP="00697F07">
      <w:pPr>
        <w:pStyle w:val="Default"/>
        <w:spacing w:line="260" w:lineRule="exact"/>
        <w:ind w:left="709"/>
        <w:jc w:val="both"/>
        <w:rPr>
          <w:sz w:val="20"/>
          <w:szCs w:val="20"/>
          <w:lang w:val="sl-SI"/>
        </w:rPr>
      </w:pPr>
      <w:r>
        <w:rPr>
          <w:sz w:val="20"/>
          <w:szCs w:val="20"/>
          <w:lang w:val="sl-SI"/>
        </w:rPr>
        <w:t>Celotna kupnina je znašala 260.000,00 EUR in je bila fizični osebi izplačan</w:t>
      </w:r>
      <w:r w:rsidR="00D063C8">
        <w:rPr>
          <w:sz w:val="20"/>
          <w:szCs w:val="20"/>
          <w:lang w:val="sl-SI"/>
        </w:rPr>
        <w:t>a</w:t>
      </w:r>
      <w:r>
        <w:rPr>
          <w:sz w:val="20"/>
          <w:szCs w:val="20"/>
          <w:lang w:val="sl-SI"/>
        </w:rPr>
        <w:t xml:space="preserve"> obročno v štirih obrokih. Ciprsko družbo B Ltd je ustanovila odvetniška družba E Ltd, Ciper</w:t>
      </w:r>
      <w:r w:rsidR="00C43D24">
        <w:rPr>
          <w:sz w:val="20"/>
          <w:szCs w:val="20"/>
          <w:lang w:val="sl-SI"/>
        </w:rPr>
        <w:t xml:space="preserve"> dne</w:t>
      </w:r>
      <w:r w:rsidR="00295A33">
        <w:rPr>
          <w:sz w:val="20"/>
          <w:szCs w:val="20"/>
          <w:lang w:val="sl-SI"/>
        </w:rPr>
        <w:t xml:space="preserve"> </w:t>
      </w:r>
      <w:r>
        <w:rPr>
          <w:sz w:val="20"/>
          <w:szCs w:val="20"/>
          <w:lang w:val="sl-SI"/>
        </w:rPr>
        <w:t>2. 5. 2019 in je bila njena 100% lastnica do 15. 9. 2019, ko jo je prevzela družba D L</w:t>
      </w:r>
      <w:r w:rsidR="00295A33">
        <w:rPr>
          <w:sz w:val="20"/>
          <w:szCs w:val="20"/>
          <w:lang w:val="sl-SI"/>
        </w:rPr>
        <w:t>td iz Britanskih d</w:t>
      </w:r>
      <w:r>
        <w:rPr>
          <w:sz w:val="20"/>
          <w:szCs w:val="20"/>
          <w:lang w:val="sl-SI"/>
        </w:rPr>
        <w:t>e</w:t>
      </w:r>
      <w:r w:rsidR="00295A33">
        <w:rPr>
          <w:sz w:val="20"/>
          <w:szCs w:val="20"/>
          <w:lang w:val="sl-SI"/>
        </w:rPr>
        <w:t>v</w:t>
      </w:r>
      <w:r>
        <w:rPr>
          <w:sz w:val="20"/>
          <w:szCs w:val="20"/>
          <w:lang w:val="sl-SI"/>
        </w:rPr>
        <w:t xml:space="preserve">iških otokov. </w:t>
      </w:r>
      <w:r w:rsidR="00295A33">
        <w:rPr>
          <w:sz w:val="20"/>
          <w:szCs w:val="20"/>
          <w:lang w:val="sl-SI"/>
        </w:rPr>
        <w:t>Družbo D Ltd  je 18. 9. 2019 za kupnino v višini 1.000,00 EUR kupila ista fizična oseba, ki je prodala poslo</w:t>
      </w:r>
      <w:r w:rsidR="00B01A48">
        <w:rPr>
          <w:sz w:val="20"/>
          <w:szCs w:val="20"/>
          <w:lang w:val="sl-SI"/>
        </w:rPr>
        <w:t>v</w:t>
      </w:r>
      <w:r w:rsidR="00295A33">
        <w:rPr>
          <w:sz w:val="20"/>
          <w:szCs w:val="20"/>
          <w:lang w:val="sl-SI"/>
        </w:rPr>
        <w:t>ni delež v družbi A d.o.o. S tem je fizična oseba ponovno o</w:t>
      </w:r>
      <w:r w:rsidR="001C7B6C">
        <w:rPr>
          <w:sz w:val="20"/>
          <w:szCs w:val="20"/>
          <w:lang w:val="sl-SI"/>
        </w:rPr>
        <w:t>bvladovala vse navedene družbe</w:t>
      </w:r>
      <w:r w:rsidR="006C0B42">
        <w:rPr>
          <w:sz w:val="20"/>
          <w:szCs w:val="20"/>
          <w:lang w:val="sl-SI"/>
        </w:rPr>
        <w:t>, bistveno dejstvo v zadevi pa je, da je bila kupnina pla</w:t>
      </w:r>
      <w:r w:rsidR="00B01A48">
        <w:rPr>
          <w:sz w:val="20"/>
          <w:szCs w:val="20"/>
          <w:lang w:val="sl-SI"/>
        </w:rPr>
        <w:t>čana šele po izplačilu dividend, ki ga je opr</w:t>
      </w:r>
      <w:r w:rsidR="008947DC">
        <w:rPr>
          <w:sz w:val="20"/>
          <w:szCs w:val="20"/>
          <w:lang w:val="sl-SI"/>
        </w:rPr>
        <w:t>avila družba A d.o.o. novemu cipr</w:t>
      </w:r>
      <w:r w:rsidR="00B01A48">
        <w:rPr>
          <w:sz w:val="20"/>
          <w:szCs w:val="20"/>
          <w:lang w:val="sl-SI"/>
        </w:rPr>
        <w:t>skemu lastniku</w:t>
      </w:r>
      <w:r w:rsidR="001C7B6C">
        <w:rPr>
          <w:sz w:val="20"/>
          <w:szCs w:val="20"/>
          <w:lang w:val="sl-SI"/>
        </w:rPr>
        <w:t xml:space="preserve">. Z opisanimi medsebojno povezanimi posli je prišlo do situacije, ko je fizična oseba formalnopravno prejela </w:t>
      </w:r>
      <w:r w:rsidR="006C0B42">
        <w:rPr>
          <w:sz w:val="20"/>
          <w:szCs w:val="20"/>
          <w:lang w:val="sl-SI"/>
        </w:rPr>
        <w:t>kupnino za prodajo po</w:t>
      </w:r>
      <w:r w:rsidR="001C7B6C">
        <w:rPr>
          <w:sz w:val="20"/>
          <w:szCs w:val="20"/>
          <w:lang w:val="sl-SI"/>
        </w:rPr>
        <w:t>s</w:t>
      </w:r>
      <w:r w:rsidR="006C0B42">
        <w:rPr>
          <w:sz w:val="20"/>
          <w:szCs w:val="20"/>
          <w:lang w:val="sl-SI"/>
        </w:rPr>
        <w:t>l</w:t>
      </w:r>
      <w:r w:rsidR="001C7B6C">
        <w:rPr>
          <w:sz w:val="20"/>
          <w:szCs w:val="20"/>
          <w:lang w:val="sl-SI"/>
        </w:rPr>
        <w:t>ovnega deleža</w:t>
      </w:r>
      <w:r w:rsidR="00B01A48">
        <w:rPr>
          <w:sz w:val="20"/>
          <w:szCs w:val="20"/>
          <w:lang w:val="sl-SI"/>
        </w:rPr>
        <w:t xml:space="preserve"> (obdavčeno kot kapital, z nižjo stopnjo davčne obremenitve)</w:t>
      </w:r>
      <w:r w:rsidR="001C7B6C">
        <w:rPr>
          <w:sz w:val="20"/>
          <w:szCs w:val="20"/>
          <w:lang w:val="sl-SI"/>
        </w:rPr>
        <w:t xml:space="preserve">, dejansko pa </w:t>
      </w:r>
      <w:r w:rsidR="001B26A9">
        <w:rPr>
          <w:sz w:val="20"/>
          <w:szCs w:val="20"/>
          <w:lang w:val="sl-SI"/>
        </w:rPr>
        <w:t>so bile izplačane divid</w:t>
      </w:r>
      <w:r w:rsidR="006C0B42">
        <w:rPr>
          <w:sz w:val="20"/>
          <w:szCs w:val="20"/>
          <w:lang w:val="sl-SI"/>
        </w:rPr>
        <w:t>e</w:t>
      </w:r>
      <w:r w:rsidR="001B26A9">
        <w:rPr>
          <w:sz w:val="20"/>
          <w:szCs w:val="20"/>
          <w:lang w:val="sl-SI"/>
        </w:rPr>
        <w:t>n</w:t>
      </w:r>
      <w:r w:rsidR="006C0B42">
        <w:rPr>
          <w:sz w:val="20"/>
          <w:szCs w:val="20"/>
          <w:lang w:val="sl-SI"/>
        </w:rPr>
        <w:t>de, ki so po vsebini dohodek fizične osebe</w:t>
      </w:r>
      <w:r w:rsidR="00B01A48">
        <w:rPr>
          <w:rStyle w:val="Sprotnaopomba-sklic"/>
          <w:sz w:val="20"/>
          <w:szCs w:val="20"/>
          <w:lang w:val="sl-SI"/>
        </w:rPr>
        <w:footnoteReference w:id="16"/>
      </w:r>
      <w:r w:rsidR="008649C5">
        <w:rPr>
          <w:sz w:val="20"/>
          <w:szCs w:val="20"/>
          <w:lang w:val="sl-SI"/>
        </w:rPr>
        <w:t>.</w:t>
      </w:r>
    </w:p>
    <w:p w14:paraId="012BCB78" w14:textId="77777777" w:rsidR="008649C5" w:rsidRDefault="008649C5" w:rsidP="00697F07">
      <w:pPr>
        <w:pStyle w:val="Default"/>
        <w:spacing w:line="260" w:lineRule="exact"/>
        <w:ind w:left="709" w:hanging="567"/>
        <w:jc w:val="both"/>
        <w:rPr>
          <w:sz w:val="20"/>
          <w:szCs w:val="20"/>
          <w:lang w:val="sl-SI"/>
        </w:rPr>
      </w:pPr>
    </w:p>
    <w:p w14:paraId="08295F9D" w14:textId="77777777" w:rsidR="008649C5" w:rsidRPr="008649C5" w:rsidRDefault="008649C5" w:rsidP="00697F07">
      <w:pPr>
        <w:pStyle w:val="Default"/>
        <w:numPr>
          <w:ilvl w:val="0"/>
          <w:numId w:val="53"/>
        </w:numPr>
        <w:spacing w:line="260" w:lineRule="exact"/>
        <w:ind w:left="709"/>
        <w:jc w:val="both"/>
        <w:rPr>
          <w:sz w:val="20"/>
          <w:szCs w:val="20"/>
          <w:lang w:val="sl-SI"/>
        </w:rPr>
      </w:pPr>
      <w:r w:rsidRPr="008649C5">
        <w:rPr>
          <w:sz w:val="20"/>
          <w:szCs w:val="20"/>
          <w:lang w:val="sl-SI"/>
        </w:rPr>
        <w:t>Pravna oseba A d.d. je sprejela opcijski načrt, na podlagi katerega je s poimensko določenimi zapo</w:t>
      </w:r>
      <w:r w:rsidR="008D6539">
        <w:rPr>
          <w:sz w:val="20"/>
          <w:szCs w:val="20"/>
          <w:lang w:val="sl-SI"/>
        </w:rPr>
        <w:t>s</w:t>
      </w:r>
      <w:r w:rsidRPr="008649C5">
        <w:rPr>
          <w:sz w:val="20"/>
          <w:szCs w:val="20"/>
          <w:lang w:val="sl-SI"/>
        </w:rPr>
        <w:t>lenimi ter člani uprave in nadzornega sveta, podpisala pogodbe o opciji za možnost nakupa določenega šte</w:t>
      </w:r>
      <w:r w:rsidR="008947DC">
        <w:rPr>
          <w:sz w:val="20"/>
          <w:szCs w:val="20"/>
          <w:lang w:val="sl-SI"/>
        </w:rPr>
        <w:t>vila delnic pravne osebe A</w:t>
      </w:r>
      <w:r w:rsidR="00C43D24">
        <w:rPr>
          <w:sz w:val="20"/>
          <w:szCs w:val="20"/>
          <w:lang w:val="sl-SI"/>
        </w:rPr>
        <w:t xml:space="preserve"> </w:t>
      </w:r>
      <w:r w:rsidR="008947DC">
        <w:rPr>
          <w:sz w:val="20"/>
          <w:szCs w:val="20"/>
          <w:lang w:val="sl-SI"/>
        </w:rPr>
        <w:t>d.d</w:t>
      </w:r>
      <w:r w:rsidRPr="008649C5">
        <w:rPr>
          <w:sz w:val="20"/>
          <w:szCs w:val="20"/>
          <w:lang w:val="sl-SI"/>
        </w:rPr>
        <w:t>.</w:t>
      </w:r>
      <w:r w:rsidR="000023E0">
        <w:rPr>
          <w:sz w:val="20"/>
          <w:szCs w:val="20"/>
          <w:lang w:val="sl-SI"/>
        </w:rPr>
        <w:t xml:space="preserve"> Opci</w:t>
      </w:r>
      <w:r w:rsidR="008D6539">
        <w:rPr>
          <w:sz w:val="20"/>
          <w:szCs w:val="20"/>
          <w:lang w:val="sl-SI"/>
        </w:rPr>
        <w:t>j</w:t>
      </w:r>
      <w:r w:rsidR="000023E0">
        <w:rPr>
          <w:sz w:val="20"/>
          <w:szCs w:val="20"/>
          <w:lang w:val="sl-SI"/>
        </w:rPr>
        <w:t>s</w:t>
      </w:r>
      <w:r w:rsidR="008D6539">
        <w:rPr>
          <w:sz w:val="20"/>
          <w:szCs w:val="20"/>
          <w:lang w:val="sl-SI"/>
        </w:rPr>
        <w:t>ka upravičenja so bila upravičencem pode</w:t>
      </w:r>
      <w:r w:rsidR="008947DC">
        <w:rPr>
          <w:sz w:val="20"/>
          <w:szCs w:val="20"/>
          <w:lang w:val="sl-SI"/>
        </w:rPr>
        <w:t>l</w:t>
      </w:r>
      <w:r w:rsidR="008D6539">
        <w:rPr>
          <w:sz w:val="20"/>
          <w:szCs w:val="20"/>
          <w:lang w:val="sl-SI"/>
        </w:rPr>
        <w:t>jena v zvezi z njihovim d</w:t>
      </w:r>
      <w:r w:rsidR="008947DC">
        <w:rPr>
          <w:sz w:val="20"/>
          <w:szCs w:val="20"/>
          <w:lang w:val="sl-SI"/>
        </w:rPr>
        <w:t>elom na podlagi zaposlitve oziro</w:t>
      </w:r>
      <w:r w:rsidR="008D6539">
        <w:rPr>
          <w:sz w:val="20"/>
          <w:szCs w:val="20"/>
          <w:lang w:val="sl-SI"/>
        </w:rPr>
        <w:t xml:space="preserve">ma drugega pogodbenega razmerja, kot način nagrajevanja. </w:t>
      </w:r>
      <w:r w:rsidRPr="008649C5">
        <w:rPr>
          <w:sz w:val="20"/>
          <w:szCs w:val="20"/>
          <w:lang w:val="sl-SI"/>
        </w:rPr>
        <w:t xml:space="preserve">Opcijski upravičenci so čez nekaj časa </w:t>
      </w:r>
      <w:r w:rsidRPr="008D6539">
        <w:rPr>
          <w:sz w:val="20"/>
          <w:szCs w:val="20"/>
          <w:lang w:val="sl-SI"/>
        </w:rPr>
        <w:t>na Nizozemskem ustanovili družbo B, B.V. in nanjo prene</w:t>
      </w:r>
      <w:r w:rsidR="00EB45B9">
        <w:rPr>
          <w:sz w:val="20"/>
          <w:szCs w:val="20"/>
          <w:lang w:val="sl-SI"/>
        </w:rPr>
        <w:t>s</w:t>
      </w:r>
      <w:r w:rsidRPr="008D6539">
        <w:rPr>
          <w:sz w:val="20"/>
          <w:szCs w:val="20"/>
          <w:lang w:val="sl-SI"/>
        </w:rPr>
        <w:t>li vsa opcijska upravičenja. Novoustanovljena nizozemska družba n</w:t>
      </w:r>
      <w:r w:rsidRPr="002D4764">
        <w:rPr>
          <w:sz w:val="20"/>
          <w:szCs w:val="20"/>
          <w:lang w:val="sl-SI"/>
        </w:rPr>
        <w:t xml:space="preserve">i razpolagala s prostimi finančnimi sredstvi, </w:t>
      </w:r>
      <w:r w:rsidR="008947DC" w:rsidRPr="002D4764">
        <w:rPr>
          <w:sz w:val="20"/>
          <w:szCs w:val="20"/>
          <w:lang w:val="sl-SI"/>
        </w:rPr>
        <w:t xml:space="preserve">zato </w:t>
      </w:r>
      <w:r w:rsidRPr="002D4764">
        <w:rPr>
          <w:sz w:val="20"/>
          <w:szCs w:val="20"/>
          <w:lang w:val="sl-SI"/>
        </w:rPr>
        <w:t>so terjatve za plačilo kupnine za odsvojene opcijske pravice konvertirali v dolgoročno posojilo tej družbi.</w:t>
      </w:r>
    </w:p>
    <w:p w14:paraId="3645B32C" w14:textId="77777777" w:rsidR="008649C5" w:rsidRPr="002D4764" w:rsidRDefault="008649C5" w:rsidP="00697F07">
      <w:pPr>
        <w:pStyle w:val="Default"/>
        <w:spacing w:line="260" w:lineRule="exact"/>
        <w:ind w:left="709" w:hanging="567"/>
        <w:jc w:val="both"/>
        <w:rPr>
          <w:lang w:val="sl-SI"/>
        </w:rPr>
      </w:pPr>
    </w:p>
    <w:p w14:paraId="2AF7799D" w14:textId="77777777" w:rsidR="00D93205" w:rsidRDefault="008649C5" w:rsidP="00697F07">
      <w:pPr>
        <w:pStyle w:val="Default"/>
        <w:spacing w:line="260" w:lineRule="exact"/>
        <w:ind w:left="709"/>
        <w:jc w:val="both"/>
        <w:rPr>
          <w:sz w:val="20"/>
          <w:szCs w:val="20"/>
          <w:lang w:val="sl-SI"/>
        </w:rPr>
      </w:pPr>
      <w:r w:rsidRPr="002D4764">
        <w:rPr>
          <w:sz w:val="20"/>
          <w:szCs w:val="20"/>
          <w:lang w:val="sl-SI"/>
        </w:rPr>
        <w:t>Nizozemska družba je izkoristila opcijsko pravico in kupila delnice slovenske družbe A d.d. V nadaljevanju je del te</w:t>
      </w:r>
      <w:r w:rsidR="008947DC" w:rsidRPr="002D4764">
        <w:rPr>
          <w:sz w:val="20"/>
          <w:szCs w:val="20"/>
          <w:lang w:val="sl-SI"/>
        </w:rPr>
        <w:t>h</w:t>
      </w:r>
      <w:r w:rsidR="00C43D24">
        <w:rPr>
          <w:sz w:val="20"/>
          <w:szCs w:val="20"/>
          <w:lang w:val="sl-SI"/>
        </w:rPr>
        <w:t xml:space="preserve"> delnic prodala družbi C</w:t>
      </w:r>
      <w:r w:rsidRPr="002D4764">
        <w:rPr>
          <w:sz w:val="20"/>
          <w:szCs w:val="20"/>
          <w:lang w:val="sl-SI"/>
        </w:rPr>
        <w:t xml:space="preserve">, d. d., in s kupnino poplačala posojila nekaterim opcijskim upravičencem, ki so hkrati odprodali svoj delež v </w:t>
      </w:r>
      <w:r w:rsidR="00EB45B9">
        <w:rPr>
          <w:sz w:val="20"/>
          <w:szCs w:val="20"/>
          <w:lang w:val="sl-SI"/>
        </w:rPr>
        <w:t>nizozemski</w:t>
      </w:r>
      <w:r w:rsidR="008947DC" w:rsidRPr="002D4764">
        <w:rPr>
          <w:sz w:val="20"/>
          <w:szCs w:val="20"/>
          <w:lang w:val="sl-SI"/>
        </w:rPr>
        <w:t xml:space="preserve"> </w:t>
      </w:r>
      <w:r w:rsidRPr="002D4764">
        <w:rPr>
          <w:sz w:val="20"/>
          <w:szCs w:val="20"/>
          <w:lang w:val="sl-SI"/>
        </w:rPr>
        <w:t>družbi. Štirje družbeniki so ostali v družbi B, B. V., tudi po tem poslu in so družbi zagotovili še dodatna finančna sredstva za nakup delnic</w:t>
      </w:r>
      <w:r w:rsidR="008D6539" w:rsidRPr="002D4764">
        <w:rPr>
          <w:sz w:val="20"/>
          <w:szCs w:val="20"/>
          <w:lang w:val="sl-SI"/>
        </w:rPr>
        <w:t xml:space="preserve"> družbe. Cena delnic ni bila določena v skladu z neodvisnim tržnim načelom</w:t>
      </w:r>
      <w:r w:rsidR="008947DC" w:rsidRPr="002D4764">
        <w:rPr>
          <w:sz w:val="20"/>
          <w:szCs w:val="20"/>
          <w:lang w:val="sl-SI"/>
        </w:rPr>
        <w:t>.</w:t>
      </w:r>
      <w:r w:rsidRPr="008649C5">
        <w:rPr>
          <w:sz w:val="20"/>
          <w:szCs w:val="20"/>
          <w:lang w:val="sl-SI"/>
        </w:rPr>
        <w:t xml:space="preserve"> </w:t>
      </w:r>
      <w:r w:rsidR="00D93205">
        <w:rPr>
          <w:sz w:val="20"/>
          <w:szCs w:val="20"/>
          <w:lang w:val="sl-SI"/>
        </w:rPr>
        <w:t xml:space="preserve">Prenos (odsvojitev) opcij je bil le »sredstvo« za izognitev plačilu davka v </w:t>
      </w:r>
      <w:r w:rsidR="008D6539">
        <w:rPr>
          <w:sz w:val="20"/>
          <w:szCs w:val="20"/>
          <w:lang w:val="sl-SI"/>
        </w:rPr>
        <w:t>Sl</w:t>
      </w:r>
      <w:r w:rsidR="00D93205">
        <w:rPr>
          <w:sz w:val="20"/>
          <w:szCs w:val="20"/>
          <w:lang w:val="sl-SI"/>
        </w:rPr>
        <w:t xml:space="preserve">oveniji </w:t>
      </w:r>
      <w:r w:rsidR="008D6539">
        <w:rPr>
          <w:sz w:val="20"/>
          <w:szCs w:val="20"/>
          <w:lang w:val="sl-SI"/>
        </w:rPr>
        <w:t>ob izvršitvi delniških opcij, saj je bila obdavčitev opravljena na Nizozemskem namesto v Sloveniji. Upoštevajoč ceno delnic bi bilo potrebno, če posli ne bi bili izpeljani na opisan način, obračunani davke in prispev</w:t>
      </w:r>
      <w:r w:rsidR="00252C66">
        <w:rPr>
          <w:sz w:val="20"/>
          <w:szCs w:val="20"/>
          <w:lang w:val="sl-SI"/>
        </w:rPr>
        <w:t>ke iz delovnega ali drugega pogo</w:t>
      </w:r>
      <w:r w:rsidR="008D6539">
        <w:rPr>
          <w:sz w:val="20"/>
          <w:szCs w:val="20"/>
          <w:lang w:val="sl-SI"/>
        </w:rPr>
        <w:t>dbenega razmerja (bonitete)</w:t>
      </w:r>
      <w:r w:rsidR="008D6539">
        <w:rPr>
          <w:rStyle w:val="Sprotnaopomba-sklic"/>
          <w:sz w:val="20"/>
          <w:szCs w:val="20"/>
          <w:lang w:val="sl-SI"/>
        </w:rPr>
        <w:footnoteReference w:id="17"/>
      </w:r>
      <w:r w:rsidR="008D6539">
        <w:rPr>
          <w:sz w:val="20"/>
          <w:szCs w:val="20"/>
          <w:lang w:val="sl-SI"/>
        </w:rPr>
        <w:t xml:space="preserve">.  </w:t>
      </w:r>
      <w:r w:rsidR="00D93205">
        <w:rPr>
          <w:sz w:val="20"/>
          <w:szCs w:val="20"/>
          <w:lang w:val="sl-SI"/>
        </w:rPr>
        <w:t xml:space="preserve"> </w:t>
      </w:r>
    </w:p>
    <w:p w14:paraId="730136ED" w14:textId="77777777" w:rsidR="00252C66" w:rsidRDefault="00252C66" w:rsidP="00697F07">
      <w:pPr>
        <w:pStyle w:val="Default"/>
        <w:spacing w:line="260" w:lineRule="exact"/>
        <w:ind w:left="709" w:hanging="567"/>
        <w:jc w:val="both"/>
        <w:rPr>
          <w:sz w:val="20"/>
          <w:szCs w:val="20"/>
          <w:lang w:val="sl-SI"/>
        </w:rPr>
      </w:pPr>
    </w:p>
    <w:p w14:paraId="10A51976" w14:textId="77777777" w:rsidR="003C353D" w:rsidRPr="003C353D" w:rsidRDefault="003C353D" w:rsidP="00697F07">
      <w:pPr>
        <w:pStyle w:val="Odstavekseznama"/>
        <w:numPr>
          <w:ilvl w:val="0"/>
          <w:numId w:val="53"/>
        </w:numPr>
        <w:spacing w:line="260" w:lineRule="exact"/>
        <w:ind w:left="709" w:hanging="567"/>
        <w:jc w:val="both"/>
        <w:rPr>
          <w:rFonts w:asciiTheme="minorHAnsi" w:eastAsiaTheme="minorEastAsia" w:hAnsiTheme="minorHAnsi"/>
          <w:noProof/>
          <w:szCs w:val="22"/>
        </w:rPr>
      </w:pPr>
      <w:r w:rsidRPr="003C353D">
        <w:rPr>
          <w:rFonts w:eastAsiaTheme="minorEastAsia"/>
          <w:noProof/>
        </w:rPr>
        <w:t>Družba A d.o.o. in njen direktor sta sklenila pogodbo o prodaji nepremičnine (pogodbo je na obeh straneh podpisal direktor), pri čemer se</w:t>
      </w:r>
      <w:r w:rsidR="008947DC">
        <w:rPr>
          <w:rFonts w:eastAsiaTheme="minorEastAsia"/>
          <w:noProof/>
        </w:rPr>
        <w:t xml:space="preserve"> je kupec zavezal, da bo ku</w:t>
      </w:r>
      <w:r w:rsidR="00C43D24">
        <w:rPr>
          <w:rFonts w:eastAsiaTheme="minorEastAsia"/>
          <w:noProof/>
        </w:rPr>
        <w:t>p</w:t>
      </w:r>
      <w:r w:rsidR="008947DC">
        <w:rPr>
          <w:rFonts w:eastAsiaTheme="minorEastAsia"/>
          <w:noProof/>
        </w:rPr>
        <w:t>nino pora</w:t>
      </w:r>
      <w:r w:rsidRPr="003C353D">
        <w:rPr>
          <w:rFonts w:eastAsiaTheme="minorEastAsia"/>
          <w:noProof/>
        </w:rPr>
        <w:t xml:space="preserve">vnal v 90 </w:t>
      </w:r>
      <w:r w:rsidRPr="003C353D">
        <w:rPr>
          <w:rFonts w:eastAsiaTheme="minorEastAsia"/>
          <w:noProof/>
        </w:rPr>
        <w:lastRenderedPageBreak/>
        <w:t>dneh. K</w:t>
      </w:r>
      <w:r w:rsidR="00D063C8">
        <w:rPr>
          <w:rFonts w:eastAsiaTheme="minorEastAsia"/>
          <w:noProof/>
        </w:rPr>
        <w:t>a</w:t>
      </w:r>
      <w:r w:rsidRPr="003C353D">
        <w:rPr>
          <w:rFonts w:eastAsiaTheme="minorEastAsia"/>
          <w:noProof/>
        </w:rPr>
        <w:t>sneje sta pogodbeni stranki z dodatkom k pogod</w:t>
      </w:r>
      <w:r w:rsidR="00EB45B9">
        <w:rPr>
          <w:rFonts w:eastAsiaTheme="minorEastAsia"/>
          <w:noProof/>
        </w:rPr>
        <w:t>b</w:t>
      </w:r>
      <w:r w:rsidRPr="003C353D">
        <w:rPr>
          <w:rFonts w:eastAsiaTheme="minorEastAsia"/>
          <w:noProof/>
        </w:rPr>
        <w:t>i določili daljši rok plačila (40 mesecev), pred iztekom roka za plačilo pa je družba A d.o.o. svojo terjatev do direktorja prodala družbi B S.A. iz Luksemburga. Istočasno je družba B S.A. prevzela posojilo od družbe C d.o.o., ki ga je ta dala družbi A d.o.o. Terjatve in obveznosti med družbama A d.o.o</w:t>
      </w:r>
      <w:r w:rsidR="008947DC">
        <w:rPr>
          <w:rFonts w:eastAsiaTheme="minorEastAsia"/>
          <w:noProof/>
        </w:rPr>
        <w:t>.</w:t>
      </w:r>
      <w:r w:rsidRPr="003C353D">
        <w:rPr>
          <w:rFonts w:eastAsiaTheme="minorEastAsia"/>
          <w:noProof/>
        </w:rPr>
        <w:t xml:space="preserve"> in B S.A. so bile s medsebojno pobotan</w:t>
      </w:r>
      <w:r w:rsidR="008947DC">
        <w:rPr>
          <w:rFonts w:eastAsiaTheme="minorEastAsia"/>
          <w:noProof/>
        </w:rPr>
        <w:t>e. Denarnega toka iz naslova pl</w:t>
      </w:r>
      <w:r w:rsidRPr="003C353D">
        <w:rPr>
          <w:rFonts w:eastAsiaTheme="minorEastAsia"/>
          <w:noProof/>
        </w:rPr>
        <w:t>a</w:t>
      </w:r>
      <w:r w:rsidR="008947DC">
        <w:rPr>
          <w:rFonts w:eastAsiaTheme="minorEastAsia"/>
          <w:noProof/>
        </w:rPr>
        <w:t>č</w:t>
      </w:r>
      <w:r w:rsidRPr="003C353D">
        <w:rPr>
          <w:rFonts w:eastAsiaTheme="minorEastAsia"/>
          <w:noProof/>
        </w:rPr>
        <w:t>ila kupinine ni bilo. Na tak način je družba A d.o.o. svojemu direktorju z na</w:t>
      </w:r>
      <w:r w:rsidR="00D063C8">
        <w:rPr>
          <w:rFonts w:eastAsiaTheme="minorEastAsia"/>
          <w:noProof/>
        </w:rPr>
        <w:t>videznim poslom (sklenitev prod</w:t>
      </w:r>
      <w:r w:rsidRPr="003C353D">
        <w:rPr>
          <w:rFonts w:eastAsiaTheme="minorEastAsia"/>
          <w:noProof/>
        </w:rPr>
        <w:t>a</w:t>
      </w:r>
      <w:r w:rsidR="00D063C8">
        <w:rPr>
          <w:rFonts w:eastAsiaTheme="minorEastAsia"/>
          <w:noProof/>
        </w:rPr>
        <w:t>j</w:t>
      </w:r>
      <w:r w:rsidRPr="003C353D">
        <w:rPr>
          <w:rFonts w:eastAsiaTheme="minorEastAsia"/>
          <w:noProof/>
        </w:rPr>
        <w:t>ne pogodbe) in tremi pogodbami v zv</w:t>
      </w:r>
      <w:r w:rsidR="00D063C8">
        <w:rPr>
          <w:rFonts w:eastAsiaTheme="minorEastAsia"/>
          <w:noProof/>
        </w:rPr>
        <w:t>e</w:t>
      </w:r>
      <w:r w:rsidRPr="003C353D">
        <w:rPr>
          <w:rFonts w:eastAsiaTheme="minorEastAsia"/>
          <w:noProof/>
        </w:rPr>
        <w:t xml:space="preserve">zi </w:t>
      </w:r>
      <w:r w:rsidR="00C43D24">
        <w:rPr>
          <w:rFonts w:eastAsiaTheme="minorEastAsia"/>
          <w:noProof/>
        </w:rPr>
        <w:t>s</w:t>
      </w:r>
      <w:r w:rsidRPr="003C353D">
        <w:rPr>
          <w:rFonts w:eastAsiaTheme="minorEastAsia"/>
          <w:noProof/>
        </w:rPr>
        <w:t xml:space="preserve"> terjatvijo, </w:t>
      </w:r>
      <w:r w:rsidR="008947DC">
        <w:rPr>
          <w:rFonts w:eastAsiaTheme="minorEastAsia"/>
          <w:noProof/>
        </w:rPr>
        <w:t>fizični osebi (la</w:t>
      </w:r>
      <w:r w:rsidR="00D063C8">
        <w:rPr>
          <w:rFonts w:eastAsiaTheme="minorEastAsia"/>
          <w:noProof/>
        </w:rPr>
        <w:t xml:space="preserve">stniku) </w:t>
      </w:r>
      <w:r w:rsidRPr="003C353D">
        <w:rPr>
          <w:rFonts w:eastAsiaTheme="minorEastAsia"/>
          <w:noProof/>
        </w:rPr>
        <w:t xml:space="preserve">prikrito izplačala dobiček, ki se za davčne namene obravnava (obdavči) kot </w:t>
      </w:r>
      <w:r w:rsidR="0028696C">
        <w:rPr>
          <w:rFonts w:eastAsiaTheme="minorEastAsia"/>
          <w:noProof/>
        </w:rPr>
        <w:t>iz</w:t>
      </w:r>
      <w:r w:rsidRPr="003C353D">
        <w:rPr>
          <w:rFonts w:eastAsiaTheme="minorEastAsia"/>
          <w:noProof/>
        </w:rPr>
        <w:t>plačilo</w:t>
      </w:r>
      <w:r w:rsidR="00D063C8">
        <w:rPr>
          <w:rFonts w:eastAsiaTheme="minorEastAsia"/>
          <w:noProof/>
        </w:rPr>
        <w:t xml:space="preserve"> </w:t>
      </w:r>
      <w:r w:rsidRPr="003C353D">
        <w:rPr>
          <w:rFonts w:eastAsiaTheme="minorEastAsia"/>
          <w:noProof/>
        </w:rPr>
        <w:t>dividende</w:t>
      </w:r>
      <w:r w:rsidR="00D063C8">
        <w:rPr>
          <w:rStyle w:val="Sprotnaopomba-sklic"/>
          <w:rFonts w:eastAsiaTheme="minorEastAsia"/>
          <w:noProof/>
        </w:rPr>
        <w:footnoteReference w:id="18"/>
      </w:r>
      <w:r w:rsidRPr="003C353D">
        <w:rPr>
          <w:rFonts w:eastAsiaTheme="minorEastAsia"/>
          <w:noProof/>
        </w:rPr>
        <w:t xml:space="preserve">. </w:t>
      </w:r>
    </w:p>
    <w:p w14:paraId="28CE84FB" w14:textId="77777777" w:rsidR="003C353D" w:rsidRPr="00252C66" w:rsidRDefault="003C353D" w:rsidP="00697F07">
      <w:pPr>
        <w:pStyle w:val="Odstavekseznama"/>
        <w:spacing w:line="260" w:lineRule="exact"/>
        <w:ind w:left="709"/>
        <w:jc w:val="both"/>
        <w:rPr>
          <w:rFonts w:asciiTheme="minorHAnsi" w:hAnsiTheme="minorHAnsi"/>
          <w:szCs w:val="22"/>
          <w:lang w:eastAsia="en-US"/>
        </w:rPr>
      </w:pPr>
    </w:p>
    <w:p w14:paraId="15D0651B" w14:textId="77777777" w:rsidR="00853430" w:rsidRPr="00887683" w:rsidRDefault="00887683" w:rsidP="00697F07">
      <w:pPr>
        <w:pStyle w:val="Default"/>
        <w:spacing w:line="260" w:lineRule="exact"/>
        <w:jc w:val="both"/>
        <w:rPr>
          <w:i/>
          <w:sz w:val="20"/>
          <w:szCs w:val="20"/>
          <w:lang w:val="sl-SI"/>
        </w:rPr>
      </w:pPr>
      <w:r w:rsidRPr="00887683">
        <w:rPr>
          <w:i/>
          <w:sz w:val="20"/>
          <w:szCs w:val="20"/>
          <w:lang w:val="sl-SI"/>
        </w:rPr>
        <w:t xml:space="preserve">Vprašanje: </w:t>
      </w:r>
      <w:r>
        <w:rPr>
          <w:i/>
          <w:sz w:val="20"/>
          <w:szCs w:val="20"/>
          <w:lang w:val="sl-SI"/>
        </w:rPr>
        <w:t xml:space="preserve">Ali pod prepoznavno značilnost </w:t>
      </w:r>
      <w:r w:rsidR="00E23D31">
        <w:rPr>
          <w:i/>
          <w:sz w:val="20"/>
          <w:szCs w:val="20"/>
          <w:lang w:val="sl-SI"/>
        </w:rPr>
        <w:t xml:space="preserve">B2 </w:t>
      </w:r>
      <w:r>
        <w:rPr>
          <w:i/>
          <w:sz w:val="20"/>
          <w:szCs w:val="20"/>
          <w:lang w:val="sl-SI"/>
        </w:rPr>
        <w:t>spadajo tudi hibridne strukture?</w:t>
      </w:r>
    </w:p>
    <w:p w14:paraId="76C38111" w14:textId="77777777" w:rsidR="006B1C55" w:rsidRDefault="006B1C55" w:rsidP="00697F07">
      <w:pPr>
        <w:pStyle w:val="Default"/>
        <w:spacing w:line="260" w:lineRule="exact"/>
        <w:jc w:val="both"/>
        <w:rPr>
          <w:sz w:val="20"/>
          <w:szCs w:val="20"/>
          <w:lang w:val="sl-SI"/>
        </w:rPr>
      </w:pPr>
    </w:p>
    <w:p w14:paraId="453B5539" w14:textId="52093305" w:rsidR="00916358" w:rsidRDefault="00916358" w:rsidP="00697F07">
      <w:pPr>
        <w:pStyle w:val="Default"/>
        <w:spacing w:line="260" w:lineRule="exact"/>
        <w:jc w:val="both"/>
        <w:rPr>
          <w:sz w:val="20"/>
          <w:szCs w:val="20"/>
          <w:lang w:val="sl-SI"/>
        </w:rPr>
      </w:pPr>
      <w:r>
        <w:rPr>
          <w:sz w:val="20"/>
          <w:szCs w:val="20"/>
          <w:lang w:val="sl-SI"/>
        </w:rPr>
        <w:t>V Direktivi Sveta (EU) 2016/1164 z dne 12. julija 2016 o določitvi pravil proti praksam izogibanja davkom (t.</w:t>
      </w:r>
      <w:r w:rsidR="008E6EDD">
        <w:rPr>
          <w:sz w:val="20"/>
          <w:szCs w:val="20"/>
          <w:lang w:val="sl-SI"/>
        </w:rPr>
        <w:t xml:space="preserve"> </w:t>
      </w:r>
      <w:r>
        <w:rPr>
          <w:sz w:val="20"/>
          <w:szCs w:val="20"/>
          <w:lang w:val="sl-SI"/>
        </w:rPr>
        <w:t xml:space="preserve">i. ATAD direktiva) </w:t>
      </w:r>
      <w:r w:rsidR="00D24E27">
        <w:rPr>
          <w:sz w:val="20"/>
          <w:szCs w:val="20"/>
          <w:lang w:val="sl-SI"/>
        </w:rPr>
        <w:t>in Direktivi Sveta (EU) 2017/952 z dne 29. maja 2017 (t.</w:t>
      </w:r>
      <w:r w:rsidR="008E6EDD">
        <w:rPr>
          <w:sz w:val="20"/>
          <w:szCs w:val="20"/>
          <w:lang w:val="sl-SI"/>
        </w:rPr>
        <w:t xml:space="preserve"> </w:t>
      </w:r>
      <w:r w:rsidR="00D24E27">
        <w:rPr>
          <w:sz w:val="20"/>
          <w:szCs w:val="20"/>
          <w:lang w:val="sl-SI"/>
        </w:rPr>
        <w:t xml:space="preserve">i. ATAD2 direktiva) </w:t>
      </w:r>
      <w:r>
        <w:rPr>
          <w:sz w:val="20"/>
          <w:szCs w:val="20"/>
          <w:lang w:val="sl-SI"/>
        </w:rPr>
        <w:t>so določeni ukrepi za odpravo hibridnih nesklad</w:t>
      </w:r>
      <w:r w:rsidR="00D24E27">
        <w:rPr>
          <w:sz w:val="20"/>
          <w:szCs w:val="20"/>
          <w:lang w:val="sl-SI"/>
        </w:rPr>
        <w:t>ij</w:t>
      </w:r>
      <w:r>
        <w:rPr>
          <w:sz w:val="20"/>
          <w:szCs w:val="20"/>
          <w:lang w:val="sl-SI"/>
        </w:rPr>
        <w:t>, ki so bili prevzeti v nacionalno materialno zakonodajo, t.j. Zakon o davku od dohodkov pravnih oseb – ZDDPO</w:t>
      </w:r>
      <w:r w:rsidR="002D5409">
        <w:rPr>
          <w:sz w:val="20"/>
          <w:szCs w:val="20"/>
          <w:lang w:val="sl-SI"/>
        </w:rPr>
        <w:t xml:space="preserve">-2. </w:t>
      </w:r>
    </w:p>
    <w:p w14:paraId="104142DA" w14:textId="77777777" w:rsidR="00916358" w:rsidRDefault="00916358" w:rsidP="00697F07">
      <w:pPr>
        <w:pStyle w:val="Default"/>
        <w:spacing w:line="260" w:lineRule="exact"/>
        <w:jc w:val="both"/>
        <w:rPr>
          <w:sz w:val="20"/>
          <w:szCs w:val="20"/>
          <w:lang w:val="sl-SI"/>
        </w:rPr>
      </w:pPr>
    </w:p>
    <w:p w14:paraId="32AE6230" w14:textId="77777777" w:rsidR="00606BA9" w:rsidRDefault="00916358" w:rsidP="00697F07">
      <w:pPr>
        <w:pStyle w:val="Default"/>
        <w:spacing w:line="260" w:lineRule="exact"/>
        <w:jc w:val="both"/>
        <w:rPr>
          <w:sz w:val="20"/>
          <w:szCs w:val="20"/>
          <w:lang w:val="sl-SI"/>
        </w:rPr>
      </w:pPr>
      <w:r>
        <w:rPr>
          <w:sz w:val="20"/>
          <w:szCs w:val="20"/>
          <w:lang w:val="sl-SI"/>
        </w:rPr>
        <w:t>V skladu s tem p</w:t>
      </w:r>
      <w:r w:rsidR="00D537F5">
        <w:rPr>
          <w:sz w:val="20"/>
          <w:szCs w:val="20"/>
          <w:lang w:val="sl-SI"/>
        </w:rPr>
        <w:t>od prepoznavno značilnost B2</w:t>
      </w:r>
      <w:r>
        <w:rPr>
          <w:sz w:val="20"/>
          <w:szCs w:val="20"/>
          <w:lang w:val="sl-SI"/>
        </w:rPr>
        <w:t xml:space="preserve"> </w:t>
      </w:r>
      <w:r w:rsidR="00D537F5">
        <w:rPr>
          <w:sz w:val="20"/>
          <w:szCs w:val="20"/>
          <w:lang w:val="sl-SI"/>
        </w:rPr>
        <w:t>spadajo hibridne strukture</w:t>
      </w:r>
      <w:r>
        <w:rPr>
          <w:sz w:val="20"/>
          <w:szCs w:val="20"/>
          <w:lang w:val="sl-SI"/>
        </w:rPr>
        <w:t xml:space="preserve"> z naravo preoblikovanja dohodka v kapital, </w:t>
      </w:r>
      <w:r w:rsidR="004B7052">
        <w:rPr>
          <w:sz w:val="20"/>
          <w:szCs w:val="20"/>
          <w:lang w:val="sl-SI"/>
        </w:rPr>
        <w:t xml:space="preserve">ki </w:t>
      </w:r>
      <w:r w:rsidR="00D24E27">
        <w:rPr>
          <w:sz w:val="20"/>
          <w:szCs w:val="20"/>
          <w:lang w:val="sl-SI"/>
        </w:rPr>
        <w:t>še niso nevtralizirane</w:t>
      </w:r>
      <w:r w:rsidR="004B7052">
        <w:rPr>
          <w:sz w:val="20"/>
          <w:szCs w:val="20"/>
          <w:lang w:val="sl-SI"/>
        </w:rPr>
        <w:t xml:space="preserve"> z določbami ZZDPO-2</w:t>
      </w:r>
      <w:r w:rsidR="00E23D31">
        <w:rPr>
          <w:sz w:val="20"/>
          <w:szCs w:val="20"/>
          <w:lang w:val="sl-SI"/>
        </w:rPr>
        <w:t>,</w:t>
      </w:r>
      <w:r w:rsidR="0028696C">
        <w:rPr>
          <w:sz w:val="20"/>
          <w:szCs w:val="20"/>
          <w:lang w:val="sl-SI"/>
        </w:rPr>
        <w:t xml:space="preserve"> ali ki so </w:t>
      </w:r>
      <w:r w:rsidR="00D24E27">
        <w:rPr>
          <w:sz w:val="20"/>
          <w:szCs w:val="20"/>
          <w:lang w:val="sl-SI"/>
        </w:rPr>
        <w:t>sestavljene</w:t>
      </w:r>
      <w:r w:rsidR="004B7052">
        <w:rPr>
          <w:sz w:val="20"/>
          <w:szCs w:val="20"/>
          <w:lang w:val="sl-SI"/>
        </w:rPr>
        <w:t xml:space="preserve"> z namenom izogibanja antihibridni zakonodaji. </w:t>
      </w:r>
    </w:p>
    <w:p w14:paraId="66F99FBB" w14:textId="77777777" w:rsidR="00606BA9" w:rsidRDefault="00606BA9" w:rsidP="00697F07">
      <w:pPr>
        <w:pStyle w:val="Default"/>
        <w:spacing w:line="260" w:lineRule="exact"/>
        <w:jc w:val="both"/>
        <w:rPr>
          <w:sz w:val="20"/>
          <w:szCs w:val="20"/>
          <w:lang w:val="sl-SI"/>
        </w:rPr>
      </w:pPr>
    </w:p>
    <w:p w14:paraId="1171B00A" w14:textId="77777777" w:rsidR="00887683" w:rsidRDefault="00606BA9" w:rsidP="00697F07">
      <w:pPr>
        <w:pStyle w:val="Default"/>
        <w:spacing w:line="260" w:lineRule="exact"/>
        <w:jc w:val="both"/>
        <w:rPr>
          <w:sz w:val="20"/>
          <w:szCs w:val="20"/>
          <w:lang w:val="sl-SI"/>
        </w:rPr>
      </w:pPr>
      <w:r>
        <w:rPr>
          <w:sz w:val="20"/>
          <w:szCs w:val="20"/>
          <w:lang w:val="sl-SI"/>
        </w:rPr>
        <w:t xml:space="preserve">Enako velja tudi za vse ostale hibridne strukture: </w:t>
      </w:r>
      <w:r w:rsidR="00960FF9">
        <w:rPr>
          <w:sz w:val="20"/>
          <w:szCs w:val="20"/>
          <w:lang w:val="sl-SI"/>
        </w:rPr>
        <w:t xml:space="preserve">aranžmaji, </w:t>
      </w:r>
      <w:r w:rsidR="00D24E27">
        <w:rPr>
          <w:sz w:val="20"/>
          <w:szCs w:val="20"/>
          <w:lang w:val="sl-SI"/>
        </w:rPr>
        <w:t xml:space="preserve">ki </w:t>
      </w:r>
      <w:r>
        <w:rPr>
          <w:sz w:val="20"/>
          <w:szCs w:val="20"/>
          <w:lang w:val="sl-SI"/>
        </w:rPr>
        <w:t>še niso nevtralizirani</w:t>
      </w:r>
      <w:r w:rsidR="00D24E27">
        <w:rPr>
          <w:sz w:val="20"/>
          <w:szCs w:val="20"/>
          <w:lang w:val="sl-SI"/>
        </w:rPr>
        <w:t xml:space="preserve"> </w:t>
      </w:r>
      <w:r>
        <w:rPr>
          <w:sz w:val="20"/>
          <w:szCs w:val="20"/>
          <w:lang w:val="sl-SI"/>
        </w:rPr>
        <w:t>z</w:t>
      </w:r>
      <w:r w:rsidR="00D24E27">
        <w:rPr>
          <w:sz w:val="20"/>
          <w:szCs w:val="20"/>
          <w:lang w:val="sl-SI"/>
        </w:rPr>
        <w:t xml:space="preserve"> ZDDPO-2</w:t>
      </w:r>
      <w:r w:rsidR="00E23D31">
        <w:rPr>
          <w:sz w:val="20"/>
          <w:szCs w:val="20"/>
          <w:lang w:val="sl-SI"/>
        </w:rPr>
        <w:t>,</w:t>
      </w:r>
      <w:r w:rsidR="00D24E27">
        <w:rPr>
          <w:sz w:val="20"/>
          <w:szCs w:val="20"/>
          <w:lang w:val="sl-SI"/>
        </w:rPr>
        <w:t xml:space="preserve"> ali </w:t>
      </w:r>
      <w:r w:rsidR="00960FF9">
        <w:rPr>
          <w:sz w:val="20"/>
          <w:szCs w:val="20"/>
          <w:lang w:val="sl-SI"/>
        </w:rPr>
        <w:t>katerih namen je zaobiti določbe ZDDPO-2 o odpravi hibridnih neskladij</w:t>
      </w:r>
      <w:r>
        <w:rPr>
          <w:sz w:val="20"/>
          <w:szCs w:val="20"/>
          <w:lang w:val="sl-SI"/>
        </w:rPr>
        <w:t xml:space="preserve">, pa jih je mogoče vsebinsko umestiti v katero od prepoznavnih značilnosti, se poročajo. </w:t>
      </w:r>
    </w:p>
    <w:p w14:paraId="517B20B6" w14:textId="77777777" w:rsidR="00606BA9" w:rsidRDefault="00606BA9" w:rsidP="00697F07">
      <w:pPr>
        <w:spacing w:line="260" w:lineRule="exact"/>
        <w:rPr>
          <w:rFonts w:ascii="Calibri" w:hAnsi="Calibri" w:cs="Arial"/>
          <w:color w:val="31849B" w:themeColor="accent5" w:themeShade="BF"/>
          <w:sz w:val="22"/>
          <w:szCs w:val="22"/>
          <w:lang w:eastAsia="sl-SI"/>
        </w:rPr>
      </w:pPr>
    </w:p>
    <w:p w14:paraId="7BA2BEFB" w14:textId="77777777" w:rsidR="00D24E27" w:rsidRDefault="00D24E27" w:rsidP="00697F07">
      <w:pPr>
        <w:pStyle w:val="Default"/>
        <w:spacing w:line="260" w:lineRule="exact"/>
        <w:jc w:val="both"/>
        <w:rPr>
          <w:sz w:val="20"/>
          <w:szCs w:val="20"/>
          <w:lang w:val="sl-SI"/>
        </w:rPr>
      </w:pPr>
    </w:p>
    <w:p w14:paraId="2D858D5C" w14:textId="77777777" w:rsidR="007D7559" w:rsidRDefault="007D7559" w:rsidP="00697F07">
      <w:pPr>
        <w:spacing w:line="260" w:lineRule="exact"/>
        <w:jc w:val="both"/>
        <w:rPr>
          <w:b/>
        </w:rPr>
      </w:pPr>
      <w:bookmarkStart w:id="46" w:name="_Toc75160029"/>
      <w:r w:rsidRPr="0068128B">
        <w:rPr>
          <w:rStyle w:val="Naslov3Znak"/>
        </w:rPr>
        <w:t>B3. Aranžma, ki vključuje krožne transakcije, katerih rezultat je fiktivno trgovanje s sredstvi</w:t>
      </w:r>
      <w:bookmarkEnd w:id="46"/>
      <w:r w:rsidRPr="0050053F">
        <w:rPr>
          <w:b/>
        </w:rPr>
        <w:t xml:space="preserve"> (round-tripping), in sicer z vključitvijo vmesnih subjektov brez druge primarne komercialne funkcije ali transakcij, ki se medsebojno izravnavajo ali izničujejo oziroma imajo druge podobne značilnosti.</w:t>
      </w:r>
    </w:p>
    <w:p w14:paraId="6E64309E" w14:textId="77777777" w:rsidR="00937EE7" w:rsidRDefault="00937EE7" w:rsidP="00697F07">
      <w:pPr>
        <w:spacing w:line="260" w:lineRule="exact"/>
        <w:jc w:val="both"/>
      </w:pPr>
    </w:p>
    <w:p w14:paraId="14AA12D0" w14:textId="77777777" w:rsidR="009933BE" w:rsidRDefault="009933BE" w:rsidP="009933BE">
      <w:pPr>
        <w:spacing w:line="260" w:lineRule="exact"/>
        <w:jc w:val="both"/>
      </w:pPr>
      <w:r>
        <w:t xml:space="preserve">Tudi pri tej prepoznavni značilnosti se smiselno uporabi razlaga o ugotavljanju dejstev po 74. členu ZDavP-2. </w:t>
      </w:r>
    </w:p>
    <w:p w14:paraId="5BA08150" w14:textId="77777777" w:rsidR="009933BE" w:rsidRDefault="009933BE" w:rsidP="00697F07">
      <w:pPr>
        <w:spacing w:line="260" w:lineRule="exact"/>
        <w:jc w:val="both"/>
      </w:pPr>
    </w:p>
    <w:p w14:paraId="378DCC67" w14:textId="77777777" w:rsidR="00874281" w:rsidRDefault="00937EE7" w:rsidP="00697F07">
      <w:pPr>
        <w:spacing w:line="260" w:lineRule="exact"/>
        <w:jc w:val="both"/>
      </w:pPr>
      <w:r>
        <w:t>Praviloma gre za transakcije, sklenjene znotraj kroga dobro obveščenih in povezanih oseb, ki se pod takšnimi pogoji med nepovezanimi osebami ne bi zgodile. Trgovanje s sredstvi je lahko opravljeno z na</w:t>
      </w:r>
      <w:r w:rsidR="0040088F">
        <w:t>v</w:t>
      </w:r>
      <w:r>
        <w:t>ideznimi posli ali pa s posli, ki pomenijo zlorabo predpisov, zato v tem pogledu ni pomembna pojavna oblika,</w:t>
      </w:r>
      <w:r w:rsidR="00DE0BA5">
        <w:t xml:space="preserve"> temveč končni namen aranžmaja. </w:t>
      </w:r>
      <w:r w:rsidR="0040088F">
        <w:t>Učinek se lahko presoja na ravni posameznega gospodarskega subjekta (ali posameznika), kakor tudi na ravni celotne skupine. Če se sredstva preprodajajo znotraj skupine, pri čemer lastniška in razpolagalna upravičenja preidejo od prodajalca h kupcu in je dosežen davčni prihranek, vendar sredstva v končni fazi ostanejo znotraj skupine povezanih oseb, potem se o aranžmaju poroča.</w:t>
      </w:r>
    </w:p>
    <w:p w14:paraId="55E76C4D" w14:textId="77777777" w:rsidR="0040088F" w:rsidRDefault="0040088F" w:rsidP="00697F07">
      <w:pPr>
        <w:spacing w:line="260" w:lineRule="exact"/>
        <w:jc w:val="both"/>
      </w:pPr>
    </w:p>
    <w:p w14:paraId="2A329A7E" w14:textId="77777777" w:rsidR="0040088F" w:rsidRDefault="00F155DA" w:rsidP="00697F07">
      <w:pPr>
        <w:spacing w:line="260" w:lineRule="exact"/>
        <w:jc w:val="both"/>
      </w:pPr>
      <w:r>
        <w:t>Pojavne oblike tovr</w:t>
      </w:r>
      <w:r w:rsidR="0040088F">
        <w:t>s</w:t>
      </w:r>
      <w:r w:rsidR="00030F3F">
        <w:t>t</w:t>
      </w:r>
      <w:r w:rsidR="0040088F">
        <w:t>nih poslov so raz</w:t>
      </w:r>
      <w:r>
        <w:t>l</w:t>
      </w:r>
      <w:r w:rsidR="0040088F">
        <w:t>ične</w:t>
      </w:r>
      <w:r>
        <w:t xml:space="preserve"> in jih ni mogoče taksativno našteti</w:t>
      </w:r>
      <w:r w:rsidR="0040088F">
        <w:t xml:space="preserve">: tudi v primerih, ko trgovanje </w:t>
      </w:r>
      <w:r w:rsidR="00030F3F">
        <w:t xml:space="preserve">s </w:t>
      </w:r>
      <w:r w:rsidR="0040088F">
        <w:t xml:space="preserve">sredstvi prikrije dejansko izplačilo dobička, je lahko test za izpolnjevanje pogojev B3 pozitiven. Poleg tega bo pogoj izpolnjen, </w:t>
      </w:r>
      <w:r>
        <w:t xml:space="preserve">kadar se sredstva preusmerijo v </w:t>
      </w:r>
      <w:r w:rsidR="00853430">
        <w:t>offshore jurisdikcijo</w:t>
      </w:r>
      <w:r>
        <w:t xml:space="preserve">, nato pa se ta ista sredstva v obliki neposrednih tujih investicij vrnejo nazaj v izvorno državo.   </w:t>
      </w:r>
    </w:p>
    <w:p w14:paraId="725DA96A" w14:textId="77777777" w:rsidR="00A838A6" w:rsidRDefault="00A838A6" w:rsidP="00697F07">
      <w:pPr>
        <w:spacing w:line="260" w:lineRule="exact"/>
        <w:jc w:val="both"/>
      </w:pPr>
    </w:p>
    <w:p w14:paraId="37215064" w14:textId="77777777" w:rsidR="00447597" w:rsidRDefault="00447597" w:rsidP="00697F07">
      <w:pPr>
        <w:spacing w:line="260" w:lineRule="exact"/>
        <w:jc w:val="both"/>
      </w:pPr>
    </w:p>
    <w:p w14:paraId="1415E678" w14:textId="77777777" w:rsidR="00447597" w:rsidRDefault="00447597" w:rsidP="00697F07">
      <w:pPr>
        <w:spacing w:line="260" w:lineRule="exact"/>
        <w:jc w:val="both"/>
      </w:pPr>
    </w:p>
    <w:p w14:paraId="0E3938F4" w14:textId="77777777" w:rsidR="000572DD" w:rsidRDefault="000572DD" w:rsidP="00697F07">
      <w:pPr>
        <w:spacing w:line="260" w:lineRule="exact"/>
        <w:jc w:val="both"/>
      </w:pPr>
    </w:p>
    <w:p w14:paraId="444A9C6B" w14:textId="77777777" w:rsidR="00DE0BA5" w:rsidRDefault="00DE0BA5" w:rsidP="00697F07">
      <w:pPr>
        <w:spacing w:line="260" w:lineRule="exact"/>
        <w:jc w:val="both"/>
      </w:pPr>
    </w:p>
    <w:p w14:paraId="7D5F7C0D" w14:textId="77777777" w:rsidR="00D57CF1" w:rsidRDefault="00E01D89" w:rsidP="00697F07">
      <w:pPr>
        <w:spacing w:line="260" w:lineRule="exact"/>
        <w:jc w:val="both"/>
      </w:pPr>
      <w:bookmarkStart w:id="47" w:name="_Toc75160030"/>
      <w:r>
        <w:rPr>
          <w:rStyle w:val="Naslov3Znak"/>
        </w:rPr>
        <w:lastRenderedPageBreak/>
        <w:t xml:space="preserve">Primeri: </w:t>
      </w:r>
      <w:r w:rsidR="00D57CF1" w:rsidRPr="00E01D89">
        <w:rPr>
          <w:rStyle w:val="Naslov3Znak"/>
        </w:rPr>
        <w:t>B3</w:t>
      </w:r>
      <w:bookmarkEnd w:id="47"/>
      <w:r>
        <w:t xml:space="preserve"> </w:t>
      </w:r>
      <w:r w:rsidRPr="00E01D89">
        <w:rPr>
          <w:b/>
        </w:rPr>
        <w:t>– kroženje denarnih sredstev</w:t>
      </w:r>
    </w:p>
    <w:p w14:paraId="5326EDFE" w14:textId="77777777" w:rsidR="00D57CF1" w:rsidRDefault="00D57CF1" w:rsidP="00697F07">
      <w:pPr>
        <w:spacing w:line="260" w:lineRule="exact"/>
        <w:jc w:val="both"/>
      </w:pPr>
    </w:p>
    <w:p w14:paraId="1784F913" w14:textId="77777777" w:rsidR="00030F3F" w:rsidRDefault="00D57CF1" w:rsidP="00697F07">
      <w:pPr>
        <w:pStyle w:val="Odstavekseznama"/>
        <w:numPr>
          <w:ilvl w:val="0"/>
          <w:numId w:val="40"/>
        </w:numPr>
        <w:spacing w:line="260" w:lineRule="exact"/>
        <w:jc w:val="both"/>
      </w:pPr>
      <w:r>
        <w:t>F</w:t>
      </w:r>
      <w:r w:rsidR="00A838A6" w:rsidRPr="00A838A6">
        <w:t>izična oseba nakaže sredstva ali opravi gotovinski polog na bančni račun pravne osebe v offshore jurisdikciji, katere dejanski last</w:t>
      </w:r>
      <w:r w:rsidR="00030F3F">
        <w:t>n</w:t>
      </w:r>
      <w:r w:rsidR="00A838A6" w:rsidRPr="00A838A6">
        <w:t>ik je ta fiz</w:t>
      </w:r>
      <w:r w:rsidR="00981BFF">
        <w:t>i</w:t>
      </w:r>
      <w:r w:rsidR="00A838A6" w:rsidRPr="00A838A6">
        <w:t>čna oseba. Z računom tudi dejansko upravlja fizična oseba</w:t>
      </w:r>
      <w:r w:rsidR="00030F3F">
        <w:t xml:space="preserve"> in prosto razpolaga z denarnim</w:t>
      </w:r>
      <w:r w:rsidR="00A838A6" w:rsidRPr="00A838A6">
        <w:t>i</w:t>
      </w:r>
      <w:r w:rsidR="00030F3F">
        <w:t xml:space="preserve"> </w:t>
      </w:r>
      <w:r w:rsidR="00A838A6" w:rsidRPr="00A838A6">
        <w:t xml:space="preserve">sredstvi. S tem </w:t>
      </w:r>
      <w:r w:rsidR="00981BFF">
        <w:t>denarjem družba iz offshore jur</w:t>
      </w:r>
      <w:r w:rsidR="00A838A6" w:rsidRPr="00A838A6">
        <w:t>i</w:t>
      </w:r>
      <w:r w:rsidR="00981BFF">
        <w:t>s</w:t>
      </w:r>
      <w:r w:rsidR="00A838A6" w:rsidRPr="00A838A6">
        <w:t>dikcije kupi vrednostne papirje, finančne instrumente a</w:t>
      </w:r>
      <w:r w:rsidR="00981BFF">
        <w:t>li poslov</w:t>
      </w:r>
      <w:r w:rsidR="00A838A6" w:rsidRPr="00A838A6">
        <w:t xml:space="preserve">ne deleže gospodarskih družb v izvorni državi. Formalnopravno se ta transakcija v izvorni državi obravnava kot investicije tujih vlagateljev: če so dohodki iz kapitala in finančnih instrumentov, ki jih dosežejo tuji vlagatelji (nerezidenti), v izvorni državi izvzeti iz obdavčitve, potem si lahko fizična oseba obeta davčno </w:t>
      </w:r>
      <w:r w:rsidR="00030F3F">
        <w:t xml:space="preserve">korist. </w:t>
      </w:r>
    </w:p>
    <w:p w14:paraId="63541289" w14:textId="77777777" w:rsidR="00030F3F" w:rsidRDefault="00030F3F" w:rsidP="00697F07">
      <w:pPr>
        <w:spacing w:line="260" w:lineRule="exact"/>
        <w:jc w:val="both"/>
      </w:pPr>
    </w:p>
    <w:p w14:paraId="2B57FA4C" w14:textId="77777777" w:rsidR="00A838A6" w:rsidRPr="00A838A6" w:rsidRDefault="00A838A6" w:rsidP="00697F07">
      <w:pPr>
        <w:pStyle w:val="Odstavekseznama"/>
        <w:numPr>
          <w:ilvl w:val="0"/>
          <w:numId w:val="40"/>
        </w:numPr>
        <w:spacing w:line="260" w:lineRule="exact"/>
        <w:jc w:val="both"/>
      </w:pPr>
      <w:r w:rsidRPr="00A838A6">
        <w:t>Na podoben način delujejo tudi aranžmaji s posojili: izhajajoč iz zgornjega primera je lahko osnovni vir denarnih sredstev povezana prav</w:t>
      </w:r>
      <w:r w:rsidR="00030F3F">
        <w:t>na oseba v izvorni državi. V na</w:t>
      </w:r>
      <w:r w:rsidRPr="00A838A6">
        <w:t>s</w:t>
      </w:r>
      <w:r w:rsidR="00030F3F">
        <w:t>l</w:t>
      </w:r>
      <w:r w:rsidRPr="00A838A6">
        <w:t>ednjem koraku ta pravna oseba prejme posojilo od druž</w:t>
      </w:r>
      <w:r w:rsidR="00030F3F">
        <w:t>b</w:t>
      </w:r>
      <w:r w:rsidRPr="00A838A6">
        <w:t>e v offshore</w:t>
      </w:r>
      <w:r w:rsidR="0028696C">
        <w:t xml:space="preserve"> jurisdikciji</w:t>
      </w:r>
      <w:r w:rsidRPr="00A838A6">
        <w:t>, ki je v dejanski lasti istih fizičnih</w:t>
      </w:r>
      <w:r w:rsidR="00030F3F">
        <w:t xml:space="preserve"> </w:t>
      </w:r>
      <w:r w:rsidRPr="00A838A6">
        <w:t>o</w:t>
      </w:r>
      <w:r w:rsidR="00030F3F">
        <w:t>s</w:t>
      </w:r>
      <w:r w:rsidRPr="00A838A6">
        <w:t>eb. Obračunane obresti pravna oseba upošteva kot davčno priznane odhodke pri davku od dohodkov pravnih oseb, s čimer je ni</w:t>
      </w:r>
      <w:r w:rsidR="00030F3F">
        <w:t>žja davčna osnova za obračun da</w:t>
      </w:r>
      <w:r w:rsidRPr="00A838A6">
        <w:t>vka. Davčna korist se v tem primeru pokaže kot neupravičeni davčno priznani odhodki, saj prejeta sredstva ne predstavljajo posojila, temveč umetno generirano postavko, ki prikriva lastna sredstva pravne osebe.</w:t>
      </w:r>
    </w:p>
    <w:p w14:paraId="6929F7FE" w14:textId="77777777" w:rsidR="00C743DB" w:rsidRPr="00A57D78" w:rsidRDefault="0068128B" w:rsidP="00697F07">
      <w:pPr>
        <w:pStyle w:val="Naslov2"/>
      </w:pPr>
      <w:bookmarkStart w:id="48" w:name="_Toc75160031"/>
      <w:r>
        <w:t xml:space="preserve">C. </w:t>
      </w:r>
      <w:r w:rsidR="00C743DB" w:rsidRPr="00A57D78">
        <w:t>POSEBNE PREPOZNAVNE ZNAČILNOSTI, POVEZANE S ČEZMEJNIMI TRANSAKCIJAMI</w:t>
      </w:r>
      <w:bookmarkEnd w:id="48"/>
    </w:p>
    <w:p w14:paraId="0A1BC8EF" w14:textId="77777777" w:rsidR="00A838A6" w:rsidRDefault="00A838A6" w:rsidP="00697F07">
      <w:pPr>
        <w:spacing w:line="260" w:lineRule="exact"/>
        <w:rPr>
          <w:lang w:eastAsia="sl-SI"/>
        </w:rPr>
      </w:pPr>
    </w:p>
    <w:p w14:paraId="66F81D63" w14:textId="77777777" w:rsidR="00A838A6" w:rsidRPr="00A838A6" w:rsidRDefault="00A838A6" w:rsidP="00697F07">
      <w:pPr>
        <w:spacing w:line="260" w:lineRule="exact"/>
        <w:jc w:val="both"/>
        <w:rPr>
          <w:lang w:eastAsia="sl-SI"/>
        </w:rPr>
      </w:pPr>
      <w:r w:rsidRPr="00A838A6">
        <w:rPr>
          <w:lang w:eastAsia="sl-SI"/>
        </w:rPr>
        <w:t>Test glavne koristi se uporabi le pr</w:t>
      </w:r>
      <w:r w:rsidR="00706DAF">
        <w:rPr>
          <w:lang w:eastAsia="sl-SI"/>
        </w:rPr>
        <w:t>i določenih tipih čezmejnih tra</w:t>
      </w:r>
      <w:r w:rsidRPr="00A838A6">
        <w:rPr>
          <w:lang w:eastAsia="sl-SI"/>
        </w:rPr>
        <w:t>n</w:t>
      </w:r>
      <w:r w:rsidR="00706DAF">
        <w:rPr>
          <w:lang w:eastAsia="sl-SI"/>
        </w:rPr>
        <w:t>s</w:t>
      </w:r>
      <w:r w:rsidRPr="00A838A6">
        <w:rPr>
          <w:lang w:eastAsia="sl-SI"/>
        </w:rPr>
        <w:t>akcij, in sicer pri C1bi, C1c, in C1d. Pri ostalih značilnostih v tej skupini ni pomembno, ali je n</w:t>
      </w:r>
      <w:r w:rsidR="00706DAF">
        <w:rPr>
          <w:lang w:eastAsia="sl-SI"/>
        </w:rPr>
        <w:t>amen aranžmaja generirati davčn</w:t>
      </w:r>
      <w:r w:rsidRPr="00A838A6">
        <w:rPr>
          <w:lang w:eastAsia="sl-SI"/>
        </w:rPr>
        <w:t>o</w:t>
      </w:r>
      <w:r w:rsidR="00617F0D">
        <w:rPr>
          <w:lang w:eastAsia="sl-SI"/>
        </w:rPr>
        <w:t xml:space="preserve"> </w:t>
      </w:r>
      <w:r w:rsidRPr="00A838A6">
        <w:rPr>
          <w:lang w:eastAsia="sl-SI"/>
        </w:rPr>
        <w:t>korist in ali takšna davčna korist preds</w:t>
      </w:r>
      <w:r w:rsidR="00706DAF">
        <w:rPr>
          <w:lang w:eastAsia="sl-SI"/>
        </w:rPr>
        <w:t>t</w:t>
      </w:r>
      <w:r w:rsidRPr="00A838A6">
        <w:rPr>
          <w:lang w:eastAsia="sl-SI"/>
        </w:rPr>
        <w:t>avlja glavni namen aranžmaja.</w:t>
      </w:r>
    </w:p>
    <w:p w14:paraId="578C5161" w14:textId="77777777" w:rsidR="00A838A6" w:rsidRPr="00A838A6" w:rsidRDefault="00A838A6" w:rsidP="00697F07">
      <w:pPr>
        <w:spacing w:line="260" w:lineRule="exact"/>
        <w:jc w:val="both"/>
        <w:rPr>
          <w:lang w:eastAsia="sl-SI"/>
        </w:rPr>
      </w:pPr>
    </w:p>
    <w:p w14:paraId="3D1ADE17" w14:textId="77777777" w:rsidR="00A838A6" w:rsidRDefault="00A838A6" w:rsidP="00697F07">
      <w:pPr>
        <w:spacing w:line="260" w:lineRule="exact"/>
        <w:jc w:val="both"/>
        <w:rPr>
          <w:lang w:eastAsia="sl-SI"/>
        </w:rPr>
      </w:pPr>
      <w:r w:rsidRPr="00A838A6">
        <w:rPr>
          <w:lang w:eastAsia="sl-SI"/>
        </w:rPr>
        <w:t xml:space="preserve">Direktiva jasno napotuje, da zgolj </w:t>
      </w:r>
      <w:r w:rsidR="00706DAF">
        <w:rPr>
          <w:lang w:eastAsia="sl-SI"/>
        </w:rPr>
        <w:t>obstoj pogojev iz točk C1bi, C1c, in C1d sam</w:t>
      </w:r>
      <w:r w:rsidR="00063634">
        <w:rPr>
          <w:lang w:eastAsia="sl-SI"/>
        </w:rPr>
        <w:t>o</w:t>
      </w:r>
      <w:r w:rsidR="00706DAF">
        <w:rPr>
          <w:lang w:eastAsia="sl-SI"/>
        </w:rPr>
        <w:t xml:space="preserve"> po sebi ne more biti razlog za zaključek, da je rezultat preskusa glavne koristi aranžmaja pozitiven.</w:t>
      </w:r>
      <w:r w:rsidRPr="00A838A6">
        <w:rPr>
          <w:lang w:eastAsia="sl-SI"/>
        </w:rPr>
        <w:t xml:space="preserve"> Z drugimi besedami: obstajati morajo drugi relevantni dokazi in okoliščine kot zgolj prisotnost ene</w:t>
      </w:r>
      <w:r w:rsidR="00063634">
        <w:rPr>
          <w:lang w:eastAsia="sl-SI"/>
        </w:rPr>
        <w:t xml:space="preserve"> izmed teh treh značilnosti, za</w:t>
      </w:r>
      <w:r w:rsidRPr="00A838A6">
        <w:rPr>
          <w:lang w:eastAsia="sl-SI"/>
        </w:rPr>
        <w:t xml:space="preserve">to, da se aranžma opredeli kot aranžma, o katerem se poroča. </w:t>
      </w:r>
    </w:p>
    <w:p w14:paraId="4AC6E8C1" w14:textId="77777777" w:rsidR="00706DAF" w:rsidRDefault="00706DAF" w:rsidP="00697F07">
      <w:pPr>
        <w:spacing w:line="260" w:lineRule="exact"/>
        <w:jc w:val="both"/>
        <w:rPr>
          <w:lang w:eastAsia="sl-SI"/>
        </w:rPr>
      </w:pPr>
    </w:p>
    <w:p w14:paraId="4BDC0A21" w14:textId="77777777" w:rsidR="00A838A6" w:rsidRPr="00F27554" w:rsidRDefault="00706DAF" w:rsidP="008713F9">
      <w:pPr>
        <w:pStyle w:val="Napis"/>
        <w:rPr>
          <w:lang w:val="sl-SI"/>
        </w:rPr>
      </w:pPr>
      <w:r w:rsidRPr="00F27554">
        <w:rPr>
          <w:lang w:val="sl-SI"/>
        </w:rPr>
        <w:t xml:space="preserve">Preglednica </w:t>
      </w:r>
      <w:r w:rsidR="006B665D" w:rsidRPr="00F27554">
        <w:rPr>
          <w:lang w:val="sl-SI"/>
        </w:rPr>
        <w:fldChar w:fldCharType="begin"/>
      </w:r>
      <w:r w:rsidR="006B665D" w:rsidRPr="00F27554">
        <w:rPr>
          <w:lang w:val="sl-SI"/>
        </w:rPr>
        <w:instrText xml:space="preserve"> SEQ Preglednica \* ARABIC </w:instrText>
      </w:r>
      <w:r w:rsidR="006B665D" w:rsidRPr="00F27554">
        <w:rPr>
          <w:lang w:val="sl-SI"/>
        </w:rPr>
        <w:fldChar w:fldCharType="separate"/>
      </w:r>
      <w:r w:rsidR="000262B5">
        <w:rPr>
          <w:noProof/>
          <w:lang w:val="sl-SI"/>
        </w:rPr>
        <w:t>3</w:t>
      </w:r>
      <w:r w:rsidR="006B665D" w:rsidRPr="00F27554">
        <w:rPr>
          <w:noProof/>
          <w:lang w:val="sl-SI"/>
        </w:rPr>
        <w:fldChar w:fldCharType="end"/>
      </w:r>
      <w:r w:rsidRPr="00F27554">
        <w:rPr>
          <w:lang w:val="sl-SI"/>
        </w:rPr>
        <w:t>: Skupina C – čezmejna plačila in transakcije</w:t>
      </w:r>
    </w:p>
    <w:tbl>
      <w:tblPr>
        <w:tblStyle w:val="Tabelamrea"/>
        <w:tblW w:w="9067" w:type="dxa"/>
        <w:jc w:val="center"/>
        <w:tblLook w:val="04A0" w:firstRow="1" w:lastRow="0" w:firstColumn="1" w:lastColumn="0" w:noHBand="0" w:noVBand="1"/>
      </w:tblPr>
      <w:tblGrid>
        <w:gridCol w:w="1195"/>
        <w:gridCol w:w="2775"/>
        <w:gridCol w:w="3118"/>
        <w:gridCol w:w="1979"/>
      </w:tblGrid>
      <w:tr w:rsidR="00706DAF" w:rsidRPr="00140665" w14:paraId="35CCBBAB" w14:textId="77777777" w:rsidTr="00140665">
        <w:trPr>
          <w:trHeight w:val="473"/>
          <w:jc w:val="center"/>
        </w:trPr>
        <w:tc>
          <w:tcPr>
            <w:tcW w:w="1195" w:type="dxa"/>
          </w:tcPr>
          <w:p w14:paraId="537D81E8" w14:textId="77777777" w:rsidR="00706DAF" w:rsidRPr="00140665" w:rsidRDefault="00706DAF" w:rsidP="00697F07">
            <w:pPr>
              <w:spacing w:line="260" w:lineRule="exact"/>
              <w:jc w:val="both"/>
              <w:rPr>
                <w:sz w:val="18"/>
                <w:szCs w:val="18"/>
              </w:rPr>
            </w:pPr>
            <w:r w:rsidRPr="00140665">
              <w:rPr>
                <w:sz w:val="18"/>
                <w:szCs w:val="18"/>
              </w:rPr>
              <w:t>Oznaka</w:t>
            </w:r>
          </w:p>
        </w:tc>
        <w:tc>
          <w:tcPr>
            <w:tcW w:w="2775" w:type="dxa"/>
          </w:tcPr>
          <w:p w14:paraId="10ED8D08" w14:textId="77777777" w:rsidR="00706DAF" w:rsidRPr="00140665" w:rsidRDefault="00706DAF" w:rsidP="00697F07">
            <w:pPr>
              <w:spacing w:line="260" w:lineRule="exact"/>
              <w:jc w:val="both"/>
              <w:rPr>
                <w:sz w:val="18"/>
                <w:szCs w:val="18"/>
              </w:rPr>
            </w:pPr>
            <w:r w:rsidRPr="00140665">
              <w:rPr>
                <w:sz w:val="18"/>
                <w:szCs w:val="18"/>
              </w:rPr>
              <w:t>Prepoznavne značilnosti</w:t>
            </w:r>
          </w:p>
        </w:tc>
        <w:tc>
          <w:tcPr>
            <w:tcW w:w="3118" w:type="dxa"/>
          </w:tcPr>
          <w:p w14:paraId="04482707" w14:textId="77777777" w:rsidR="00706DAF" w:rsidRPr="00140665" w:rsidRDefault="00706DAF" w:rsidP="00697F07">
            <w:pPr>
              <w:spacing w:line="260" w:lineRule="exact"/>
              <w:jc w:val="both"/>
              <w:rPr>
                <w:sz w:val="18"/>
                <w:szCs w:val="18"/>
              </w:rPr>
            </w:pPr>
          </w:p>
        </w:tc>
        <w:tc>
          <w:tcPr>
            <w:tcW w:w="1979" w:type="dxa"/>
          </w:tcPr>
          <w:p w14:paraId="5F0DF715" w14:textId="77777777" w:rsidR="00706DAF" w:rsidRPr="00140665" w:rsidRDefault="00706DAF" w:rsidP="00697F07">
            <w:pPr>
              <w:spacing w:line="260" w:lineRule="exact"/>
              <w:jc w:val="both"/>
              <w:rPr>
                <w:sz w:val="18"/>
                <w:szCs w:val="18"/>
              </w:rPr>
            </w:pPr>
            <w:r w:rsidRPr="00140665">
              <w:rPr>
                <w:sz w:val="18"/>
                <w:szCs w:val="18"/>
              </w:rPr>
              <w:t>Vezano na test glavne koristi</w:t>
            </w:r>
          </w:p>
        </w:tc>
      </w:tr>
      <w:tr w:rsidR="00706DAF" w:rsidRPr="00140665" w14:paraId="40C8E49A" w14:textId="77777777" w:rsidTr="00140665">
        <w:trPr>
          <w:trHeight w:val="836"/>
          <w:jc w:val="center"/>
        </w:trPr>
        <w:tc>
          <w:tcPr>
            <w:tcW w:w="1195" w:type="dxa"/>
          </w:tcPr>
          <w:p w14:paraId="0A485D33" w14:textId="77777777" w:rsidR="00706DAF" w:rsidRPr="00140665" w:rsidRDefault="00706DAF" w:rsidP="00697F07">
            <w:pPr>
              <w:spacing w:line="260" w:lineRule="exact"/>
              <w:jc w:val="both"/>
              <w:rPr>
                <w:sz w:val="18"/>
                <w:szCs w:val="18"/>
              </w:rPr>
            </w:pPr>
            <w:r w:rsidRPr="00140665">
              <w:rPr>
                <w:sz w:val="18"/>
                <w:szCs w:val="18"/>
              </w:rPr>
              <w:t>C1a</w:t>
            </w:r>
          </w:p>
        </w:tc>
        <w:tc>
          <w:tcPr>
            <w:tcW w:w="2775" w:type="dxa"/>
            <w:vMerge w:val="restart"/>
          </w:tcPr>
          <w:p w14:paraId="152C2B59" w14:textId="77777777" w:rsidR="00706DAF" w:rsidRPr="00140665" w:rsidRDefault="00706DAF" w:rsidP="00697F07">
            <w:pPr>
              <w:spacing w:line="260" w:lineRule="exact"/>
              <w:jc w:val="both"/>
              <w:rPr>
                <w:sz w:val="18"/>
                <w:szCs w:val="18"/>
              </w:rPr>
            </w:pPr>
            <w:r w:rsidRPr="00140665">
              <w:rPr>
                <w:sz w:val="18"/>
                <w:szCs w:val="18"/>
              </w:rPr>
              <w:t>Odbitna čezmejna plačila</w:t>
            </w:r>
            <w:r w:rsidR="0044551A" w:rsidRPr="00140665">
              <w:rPr>
                <w:sz w:val="18"/>
                <w:szCs w:val="18"/>
              </w:rPr>
              <w:t xml:space="preserve"> med d</w:t>
            </w:r>
            <w:r w:rsidRPr="00140665">
              <w:rPr>
                <w:sz w:val="18"/>
                <w:szCs w:val="18"/>
              </w:rPr>
              <w:t>vema al</w:t>
            </w:r>
            <w:r w:rsidR="00063634" w:rsidRPr="00140665">
              <w:rPr>
                <w:sz w:val="18"/>
                <w:szCs w:val="18"/>
              </w:rPr>
              <w:t>i</w:t>
            </w:r>
            <w:r w:rsidRPr="00140665">
              <w:rPr>
                <w:sz w:val="18"/>
                <w:szCs w:val="18"/>
              </w:rPr>
              <w:t xml:space="preserve"> več povezanimi podjetji </w:t>
            </w:r>
          </w:p>
        </w:tc>
        <w:tc>
          <w:tcPr>
            <w:tcW w:w="3118" w:type="dxa"/>
          </w:tcPr>
          <w:p w14:paraId="5A87A330" w14:textId="77777777" w:rsidR="00706DAF" w:rsidRPr="00140665" w:rsidRDefault="00706DAF" w:rsidP="00697F07">
            <w:pPr>
              <w:spacing w:line="260" w:lineRule="exact"/>
              <w:jc w:val="both"/>
              <w:rPr>
                <w:sz w:val="18"/>
                <w:szCs w:val="18"/>
              </w:rPr>
            </w:pPr>
            <w:r w:rsidRPr="00140665">
              <w:rPr>
                <w:sz w:val="18"/>
                <w:szCs w:val="18"/>
              </w:rPr>
              <w:t>prejemniku, ki ni rezident v nobeni jurisdikciji</w:t>
            </w:r>
          </w:p>
        </w:tc>
        <w:tc>
          <w:tcPr>
            <w:tcW w:w="1979" w:type="dxa"/>
          </w:tcPr>
          <w:p w14:paraId="208C4893" w14:textId="77777777" w:rsidR="00706DAF" w:rsidRPr="00140665" w:rsidRDefault="00706DAF" w:rsidP="00697F07">
            <w:pPr>
              <w:spacing w:line="260" w:lineRule="exact"/>
              <w:jc w:val="center"/>
              <w:rPr>
                <w:sz w:val="18"/>
                <w:szCs w:val="18"/>
              </w:rPr>
            </w:pPr>
            <w:r w:rsidRPr="00140665">
              <w:rPr>
                <w:sz w:val="18"/>
                <w:szCs w:val="18"/>
              </w:rPr>
              <w:t>Ne</w:t>
            </w:r>
          </w:p>
        </w:tc>
      </w:tr>
      <w:tr w:rsidR="00706DAF" w:rsidRPr="00140665" w14:paraId="35113E28" w14:textId="77777777" w:rsidTr="00140665">
        <w:trPr>
          <w:trHeight w:val="835"/>
          <w:jc w:val="center"/>
        </w:trPr>
        <w:tc>
          <w:tcPr>
            <w:tcW w:w="1195" w:type="dxa"/>
          </w:tcPr>
          <w:p w14:paraId="75F6C06F" w14:textId="77777777" w:rsidR="00706DAF" w:rsidRPr="00140665" w:rsidRDefault="00706DAF" w:rsidP="00697F07">
            <w:pPr>
              <w:spacing w:line="260" w:lineRule="exact"/>
              <w:jc w:val="both"/>
              <w:rPr>
                <w:sz w:val="18"/>
                <w:szCs w:val="18"/>
              </w:rPr>
            </w:pPr>
            <w:r w:rsidRPr="00140665">
              <w:rPr>
                <w:sz w:val="18"/>
                <w:szCs w:val="18"/>
              </w:rPr>
              <w:t>C1bi</w:t>
            </w:r>
          </w:p>
        </w:tc>
        <w:tc>
          <w:tcPr>
            <w:tcW w:w="2775" w:type="dxa"/>
            <w:vMerge/>
          </w:tcPr>
          <w:p w14:paraId="16415006" w14:textId="77777777" w:rsidR="00706DAF" w:rsidRPr="00140665" w:rsidRDefault="00706DAF" w:rsidP="00697F07">
            <w:pPr>
              <w:spacing w:line="260" w:lineRule="exact"/>
              <w:jc w:val="both"/>
              <w:rPr>
                <w:sz w:val="18"/>
                <w:szCs w:val="18"/>
              </w:rPr>
            </w:pPr>
          </w:p>
        </w:tc>
        <w:tc>
          <w:tcPr>
            <w:tcW w:w="3118" w:type="dxa"/>
          </w:tcPr>
          <w:p w14:paraId="62A7A6A8" w14:textId="77777777" w:rsidR="00706DAF" w:rsidRPr="00140665" w:rsidRDefault="00706DAF" w:rsidP="00697F07">
            <w:pPr>
              <w:spacing w:line="260" w:lineRule="exact"/>
              <w:jc w:val="both"/>
              <w:rPr>
                <w:sz w:val="18"/>
                <w:szCs w:val="18"/>
              </w:rPr>
            </w:pPr>
            <w:r w:rsidRPr="00140665">
              <w:rPr>
                <w:sz w:val="18"/>
                <w:szCs w:val="18"/>
              </w:rPr>
              <w:t>prejemnik je rezident v jurisdikcij z nič ali manj kot 1% DDPO</w:t>
            </w:r>
          </w:p>
        </w:tc>
        <w:tc>
          <w:tcPr>
            <w:tcW w:w="1979" w:type="dxa"/>
          </w:tcPr>
          <w:p w14:paraId="54B168E0" w14:textId="77777777" w:rsidR="00706DAF" w:rsidRPr="00140665" w:rsidRDefault="00706DAF" w:rsidP="00697F07">
            <w:pPr>
              <w:spacing w:line="260" w:lineRule="exact"/>
              <w:jc w:val="center"/>
              <w:rPr>
                <w:sz w:val="18"/>
                <w:szCs w:val="18"/>
              </w:rPr>
            </w:pPr>
            <w:r w:rsidRPr="00140665">
              <w:rPr>
                <w:sz w:val="18"/>
                <w:szCs w:val="18"/>
              </w:rPr>
              <w:t>Da</w:t>
            </w:r>
          </w:p>
        </w:tc>
      </w:tr>
      <w:tr w:rsidR="00706DAF" w:rsidRPr="00140665" w14:paraId="1EDF554E" w14:textId="77777777" w:rsidTr="00140665">
        <w:trPr>
          <w:trHeight w:val="191"/>
          <w:jc w:val="center"/>
        </w:trPr>
        <w:tc>
          <w:tcPr>
            <w:tcW w:w="1195" w:type="dxa"/>
          </w:tcPr>
          <w:p w14:paraId="718A43C5" w14:textId="77777777" w:rsidR="00706DAF" w:rsidRPr="00140665" w:rsidRDefault="00706DAF" w:rsidP="00697F07">
            <w:pPr>
              <w:spacing w:line="260" w:lineRule="exact"/>
              <w:jc w:val="both"/>
              <w:rPr>
                <w:sz w:val="18"/>
                <w:szCs w:val="18"/>
              </w:rPr>
            </w:pPr>
            <w:r w:rsidRPr="00140665">
              <w:rPr>
                <w:sz w:val="18"/>
                <w:szCs w:val="18"/>
              </w:rPr>
              <w:t>C1bii</w:t>
            </w:r>
          </w:p>
        </w:tc>
        <w:tc>
          <w:tcPr>
            <w:tcW w:w="2775" w:type="dxa"/>
            <w:vMerge/>
          </w:tcPr>
          <w:p w14:paraId="6056C218" w14:textId="77777777" w:rsidR="00706DAF" w:rsidRPr="00140665" w:rsidRDefault="00706DAF" w:rsidP="00697F07">
            <w:pPr>
              <w:spacing w:line="260" w:lineRule="exact"/>
              <w:jc w:val="both"/>
              <w:rPr>
                <w:sz w:val="18"/>
                <w:szCs w:val="18"/>
              </w:rPr>
            </w:pPr>
          </w:p>
        </w:tc>
        <w:tc>
          <w:tcPr>
            <w:tcW w:w="3118" w:type="dxa"/>
          </w:tcPr>
          <w:p w14:paraId="7B60F15A" w14:textId="77777777" w:rsidR="00706DAF" w:rsidRPr="00140665" w:rsidRDefault="00706DAF" w:rsidP="00697F07">
            <w:pPr>
              <w:spacing w:line="260" w:lineRule="exact"/>
              <w:jc w:val="both"/>
              <w:rPr>
                <w:sz w:val="18"/>
                <w:szCs w:val="18"/>
              </w:rPr>
            </w:pPr>
            <w:r w:rsidRPr="00140665">
              <w:rPr>
                <w:sz w:val="18"/>
                <w:szCs w:val="18"/>
              </w:rPr>
              <w:t>Prejemniku v jurisdikcijo z EU seznama</w:t>
            </w:r>
          </w:p>
        </w:tc>
        <w:tc>
          <w:tcPr>
            <w:tcW w:w="1979" w:type="dxa"/>
          </w:tcPr>
          <w:p w14:paraId="5117F358" w14:textId="77777777" w:rsidR="00706DAF" w:rsidRPr="00140665" w:rsidRDefault="00706DAF" w:rsidP="00697F07">
            <w:pPr>
              <w:spacing w:line="260" w:lineRule="exact"/>
              <w:jc w:val="center"/>
              <w:rPr>
                <w:sz w:val="18"/>
                <w:szCs w:val="18"/>
              </w:rPr>
            </w:pPr>
            <w:r w:rsidRPr="00140665">
              <w:rPr>
                <w:sz w:val="18"/>
                <w:szCs w:val="18"/>
              </w:rPr>
              <w:t>Ne</w:t>
            </w:r>
          </w:p>
        </w:tc>
      </w:tr>
      <w:tr w:rsidR="00706DAF" w:rsidRPr="00140665" w14:paraId="6CFE75EE" w14:textId="77777777" w:rsidTr="00140665">
        <w:trPr>
          <w:trHeight w:val="980"/>
          <w:jc w:val="center"/>
        </w:trPr>
        <w:tc>
          <w:tcPr>
            <w:tcW w:w="1195" w:type="dxa"/>
          </w:tcPr>
          <w:p w14:paraId="78D85F1C" w14:textId="77777777" w:rsidR="00706DAF" w:rsidRPr="00140665" w:rsidRDefault="00706DAF" w:rsidP="00697F07">
            <w:pPr>
              <w:spacing w:line="260" w:lineRule="exact"/>
              <w:jc w:val="both"/>
              <w:rPr>
                <w:sz w:val="18"/>
                <w:szCs w:val="18"/>
              </w:rPr>
            </w:pPr>
            <w:r w:rsidRPr="00140665">
              <w:rPr>
                <w:sz w:val="18"/>
                <w:szCs w:val="18"/>
              </w:rPr>
              <w:t xml:space="preserve">C1c </w:t>
            </w:r>
          </w:p>
          <w:p w14:paraId="1FC5A3D8" w14:textId="77777777" w:rsidR="00706DAF" w:rsidRPr="00140665" w:rsidRDefault="00706DAF" w:rsidP="00697F07">
            <w:pPr>
              <w:spacing w:line="260" w:lineRule="exact"/>
              <w:jc w:val="both"/>
              <w:rPr>
                <w:sz w:val="18"/>
                <w:szCs w:val="18"/>
              </w:rPr>
            </w:pPr>
            <w:r w:rsidRPr="00140665">
              <w:rPr>
                <w:sz w:val="18"/>
                <w:szCs w:val="18"/>
              </w:rPr>
              <w:t>C1d</w:t>
            </w:r>
          </w:p>
        </w:tc>
        <w:tc>
          <w:tcPr>
            <w:tcW w:w="2775" w:type="dxa"/>
            <w:vMerge/>
          </w:tcPr>
          <w:p w14:paraId="7C2B53E1" w14:textId="77777777" w:rsidR="00706DAF" w:rsidRPr="00140665" w:rsidRDefault="00706DAF" w:rsidP="00697F07">
            <w:pPr>
              <w:spacing w:line="260" w:lineRule="exact"/>
              <w:jc w:val="both"/>
              <w:rPr>
                <w:sz w:val="18"/>
                <w:szCs w:val="18"/>
              </w:rPr>
            </w:pPr>
          </w:p>
        </w:tc>
        <w:tc>
          <w:tcPr>
            <w:tcW w:w="3118" w:type="dxa"/>
          </w:tcPr>
          <w:p w14:paraId="253DEAB5" w14:textId="77777777" w:rsidR="00706DAF" w:rsidRPr="00140665" w:rsidRDefault="00706DAF" w:rsidP="00697F07">
            <w:pPr>
              <w:spacing w:line="260" w:lineRule="exact"/>
              <w:jc w:val="both"/>
              <w:rPr>
                <w:sz w:val="18"/>
                <w:szCs w:val="18"/>
              </w:rPr>
            </w:pPr>
            <w:r w:rsidRPr="00140665">
              <w:rPr>
                <w:sz w:val="18"/>
                <w:szCs w:val="18"/>
              </w:rPr>
              <w:t>Prejemnik v celoti oproščen davka ali za plačilo velja preferenčni davčni režim</w:t>
            </w:r>
          </w:p>
        </w:tc>
        <w:tc>
          <w:tcPr>
            <w:tcW w:w="1979" w:type="dxa"/>
          </w:tcPr>
          <w:p w14:paraId="5361E0EB" w14:textId="77777777" w:rsidR="00706DAF" w:rsidRPr="00140665" w:rsidRDefault="00706DAF" w:rsidP="00697F07">
            <w:pPr>
              <w:spacing w:line="260" w:lineRule="exact"/>
              <w:jc w:val="center"/>
              <w:rPr>
                <w:sz w:val="18"/>
                <w:szCs w:val="18"/>
              </w:rPr>
            </w:pPr>
            <w:r w:rsidRPr="00140665">
              <w:rPr>
                <w:sz w:val="18"/>
                <w:szCs w:val="18"/>
              </w:rPr>
              <w:t>Da</w:t>
            </w:r>
          </w:p>
        </w:tc>
      </w:tr>
      <w:tr w:rsidR="00706DAF" w:rsidRPr="00140665" w14:paraId="5D39BFDE" w14:textId="77777777" w:rsidTr="00140665">
        <w:trPr>
          <w:trHeight w:val="191"/>
          <w:jc w:val="center"/>
        </w:trPr>
        <w:tc>
          <w:tcPr>
            <w:tcW w:w="1195" w:type="dxa"/>
          </w:tcPr>
          <w:p w14:paraId="78FF0E23" w14:textId="77777777" w:rsidR="00706DAF" w:rsidRPr="00140665" w:rsidRDefault="00706DAF" w:rsidP="00697F07">
            <w:pPr>
              <w:spacing w:line="260" w:lineRule="exact"/>
              <w:jc w:val="both"/>
              <w:rPr>
                <w:sz w:val="18"/>
                <w:szCs w:val="18"/>
              </w:rPr>
            </w:pPr>
            <w:r w:rsidRPr="00140665">
              <w:rPr>
                <w:sz w:val="18"/>
                <w:szCs w:val="18"/>
              </w:rPr>
              <w:t>C2</w:t>
            </w:r>
          </w:p>
        </w:tc>
        <w:tc>
          <w:tcPr>
            <w:tcW w:w="5893" w:type="dxa"/>
            <w:gridSpan w:val="2"/>
          </w:tcPr>
          <w:p w14:paraId="6BCE5D75" w14:textId="77777777" w:rsidR="00706DAF" w:rsidRPr="00140665" w:rsidRDefault="00706DAF" w:rsidP="00697F07">
            <w:pPr>
              <w:spacing w:line="260" w:lineRule="exact"/>
              <w:jc w:val="both"/>
              <w:rPr>
                <w:sz w:val="18"/>
                <w:szCs w:val="18"/>
              </w:rPr>
            </w:pPr>
            <w:r w:rsidRPr="00140665">
              <w:rPr>
                <w:sz w:val="18"/>
                <w:szCs w:val="18"/>
              </w:rPr>
              <w:t>Odbitki za isto amortizacijo se uveljavljajo v več državah</w:t>
            </w:r>
          </w:p>
        </w:tc>
        <w:tc>
          <w:tcPr>
            <w:tcW w:w="1979" w:type="dxa"/>
          </w:tcPr>
          <w:p w14:paraId="66E43E5F" w14:textId="77777777" w:rsidR="00706DAF" w:rsidRPr="00140665" w:rsidRDefault="00706DAF" w:rsidP="00697F07">
            <w:pPr>
              <w:spacing w:line="260" w:lineRule="exact"/>
              <w:jc w:val="center"/>
              <w:rPr>
                <w:sz w:val="18"/>
                <w:szCs w:val="18"/>
              </w:rPr>
            </w:pPr>
            <w:r w:rsidRPr="00140665">
              <w:rPr>
                <w:sz w:val="18"/>
                <w:szCs w:val="18"/>
              </w:rPr>
              <w:t>Ne</w:t>
            </w:r>
          </w:p>
        </w:tc>
      </w:tr>
      <w:tr w:rsidR="00706DAF" w:rsidRPr="00140665" w14:paraId="5853EF14" w14:textId="77777777" w:rsidTr="00140665">
        <w:trPr>
          <w:trHeight w:val="335"/>
          <w:jc w:val="center"/>
        </w:trPr>
        <w:tc>
          <w:tcPr>
            <w:tcW w:w="1195" w:type="dxa"/>
          </w:tcPr>
          <w:p w14:paraId="0B827D12" w14:textId="77777777" w:rsidR="00706DAF" w:rsidRPr="00140665" w:rsidRDefault="00706DAF" w:rsidP="00697F07">
            <w:pPr>
              <w:spacing w:line="260" w:lineRule="exact"/>
              <w:jc w:val="both"/>
              <w:rPr>
                <w:sz w:val="18"/>
                <w:szCs w:val="18"/>
              </w:rPr>
            </w:pPr>
            <w:r w:rsidRPr="00140665">
              <w:rPr>
                <w:sz w:val="18"/>
                <w:szCs w:val="18"/>
              </w:rPr>
              <w:t>C3</w:t>
            </w:r>
          </w:p>
        </w:tc>
        <w:tc>
          <w:tcPr>
            <w:tcW w:w="5893" w:type="dxa"/>
            <w:gridSpan w:val="2"/>
          </w:tcPr>
          <w:p w14:paraId="2804D1B7" w14:textId="77777777" w:rsidR="00706DAF" w:rsidRPr="00140665" w:rsidRDefault="00706DAF" w:rsidP="00697F07">
            <w:pPr>
              <w:spacing w:line="260" w:lineRule="exact"/>
              <w:jc w:val="both"/>
              <w:rPr>
                <w:sz w:val="18"/>
                <w:szCs w:val="18"/>
              </w:rPr>
            </w:pPr>
            <w:r w:rsidRPr="00140665">
              <w:rPr>
                <w:sz w:val="18"/>
                <w:szCs w:val="18"/>
              </w:rPr>
              <w:t>Uveljavljanje oprostitve dvojnega obdavčevanja za isti dohodek v več državah</w:t>
            </w:r>
          </w:p>
        </w:tc>
        <w:tc>
          <w:tcPr>
            <w:tcW w:w="1979" w:type="dxa"/>
          </w:tcPr>
          <w:p w14:paraId="5BEE1978" w14:textId="77777777" w:rsidR="00706DAF" w:rsidRPr="00140665" w:rsidRDefault="00706DAF" w:rsidP="00697F07">
            <w:pPr>
              <w:spacing w:line="260" w:lineRule="exact"/>
              <w:jc w:val="center"/>
              <w:rPr>
                <w:sz w:val="18"/>
                <w:szCs w:val="18"/>
              </w:rPr>
            </w:pPr>
            <w:r w:rsidRPr="00140665">
              <w:rPr>
                <w:sz w:val="18"/>
                <w:szCs w:val="18"/>
              </w:rPr>
              <w:t>Ne</w:t>
            </w:r>
          </w:p>
        </w:tc>
      </w:tr>
      <w:tr w:rsidR="00706DAF" w:rsidRPr="00140665" w14:paraId="087D855A" w14:textId="77777777" w:rsidTr="00140665">
        <w:trPr>
          <w:trHeight w:val="335"/>
          <w:jc w:val="center"/>
        </w:trPr>
        <w:tc>
          <w:tcPr>
            <w:tcW w:w="1195" w:type="dxa"/>
          </w:tcPr>
          <w:p w14:paraId="2707ADFB" w14:textId="77777777" w:rsidR="00706DAF" w:rsidRPr="00140665" w:rsidRDefault="00706DAF" w:rsidP="00697F07">
            <w:pPr>
              <w:spacing w:line="260" w:lineRule="exact"/>
              <w:jc w:val="both"/>
              <w:rPr>
                <w:sz w:val="18"/>
                <w:szCs w:val="18"/>
              </w:rPr>
            </w:pPr>
            <w:r w:rsidRPr="00140665">
              <w:rPr>
                <w:sz w:val="18"/>
                <w:szCs w:val="18"/>
              </w:rPr>
              <w:t>C4</w:t>
            </w:r>
          </w:p>
        </w:tc>
        <w:tc>
          <w:tcPr>
            <w:tcW w:w="5893" w:type="dxa"/>
            <w:gridSpan w:val="2"/>
          </w:tcPr>
          <w:p w14:paraId="6CAA363F" w14:textId="77777777" w:rsidR="00706DAF" w:rsidRPr="00140665" w:rsidRDefault="00706DAF" w:rsidP="00697F07">
            <w:pPr>
              <w:spacing w:line="260" w:lineRule="exact"/>
              <w:jc w:val="both"/>
              <w:rPr>
                <w:sz w:val="18"/>
                <w:szCs w:val="18"/>
              </w:rPr>
            </w:pPr>
            <w:r w:rsidRPr="00140665">
              <w:rPr>
                <w:sz w:val="18"/>
                <w:szCs w:val="18"/>
              </w:rPr>
              <w:t xml:space="preserve">Prenos sredstev, kjer med državami obstaja pomembna razlika v znesku plačila </w:t>
            </w:r>
          </w:p>
        </w:tc>
        <w:tc>
          <w:tcPr>
            <w:tcW w:w="1979" w:type="dxa"/>
          </w:tcPr>
          <w:p w14:paraId="58EFF457" w14:textId="77777777" w:rsidR="00706DAF" w:rsidRPr="00140665" w:rsidRDefault="00706DAF" w:rsidP="00697F07">
            <w:pPr>
              <w:spacing w:line="260" w:lineRule="exact"/>
              <w:jc w:val="center"/>
              <w:rPr>
                <w:sz w:val="18"/>
                <w:szCs w:val="18"/>
              </w:rPr>
            </w:pPr>
            <w:r w:rsidRPr="00140665">
              <w:rPr>
                <w:sz w:val="18"/>
                <w:szCs w:val="18"/>
              </w:rPr>
              <w:t>Ne</w:t>
            </w:r>
          </w:p>
        </w:tc>
      </w:tr>
    </w:tbl>
    <w:p w14:paraId="527175B5" w14:textId="77777777" w:rsidR="00452766" w:rsidRDefault="00452766" w:rsidP="00697F07">
      <w:pPr>
        <w:spacing w:line="260" w:lineRule="exact"/>
        <w:rPr>
          <w:lang w:eastAsia="sl-SI"/>
        </w:rPr>
      </w:pPr>
    </w:p>
    <w:p w14:paraId="65BD7A71" w14:textId="77777777" w:rsidR="00133AE1" w:rsidRDefault="00133AE1" w:rsidP="00697F07">
      <w:pPr>
        <w:spacing w:line="260" w:lineRule="exact"/>
        <w:rPr>
          <w:lang w:eastAsia="sl-SI"/>
        </w:rPr>
      </w:pPr>
    </w:p>
    <w:p w14:paraId="310F2B27" w14:textId="77777777" w:rsidR="00133AE1" w:rsidRDefault="00133AE1" w:rsidP="00697F07">
      <w:pPr>
        <w:spacing w:line="260" w:lineRule="exact"/>
        <w:rPr>
          <w:lang w:eastAsia="sl-SI"/>
        </w:rPr>
      </w:pPr>
    </w:p>
    <w:p w14:paraId="2DF73270" w14:textId="77777777" w:rsidR="00133AE1" w:rsidRDefault="00133AE1" w:rsidP="00697F07">
      <w:pPr>
        <w:spacing w:line="260" w:lineRule="exact"/>
        <w:rPr>
          <w:lang w:eastAsia="sl-SI"/>
        </w:rPr>
      </w:pPr>
    </w:p>
    <w:p w14:paraId="7F56C029" w14:textId="77777777" w:rsidR="007E5F37" w:rsidRPr="00706DAF" w:rsidRDefault="00706DAF" w:rsidP="00697F07">
      <w:pPr>
        <w:spacing w:line="260" w:lineRule="exact"/>
        <w:jc w:val="both"/>
        <w:rPr>
          <w:b/>
        </w:rPr>
      </w:pPr>
      <w:bookmarkStart w:id="49" w:name="_Toc75160032"/>
      <w:r w:rsidRPr="0068128B">
        <w:rPr>
          <w:rStyle w:val="Naslov3Znak"/>
        </w:rPr>
        <w:t xml:space="preserve">C1. </w:t>
      </w:r>
      <w:r w:rsidR="007E5F37" w:rsidRPr="0068128B">
        <w:rPr>
          <w:rStyle w:val="Naslov3Znak"/>
        </w:rPr>
        <w:t>Aranžma, ki vključuje odbitna čezmejna plačila med dvema ali več povezanimi podjetji</w:t>
      </w:r>
      <w:bookmarkEnd w:id="49"/>
      <w:r w:rsidR="007E5F37" w:rsidRPr="00FA5F7E">
        <w:rPr>
          <w:b/>
        </w:rPr>
        <w:t>,</w:t>
      </w:r>
      <w:r w:rsidR="007E5F37" w:rsidRPr="00706DAF">
        <w:rPr>
          <w:b/>
        </w:rPr>
        <w:t xml:space="preserve"> če je izpolnjen vsaj eden od naslednjih pogojev:</w:t>
      </w:r>
    </w:p>
    <w:p w14:paraId="3E16DE0E" w14:textId="77777777" w:rsidR="007E5F37" w:rsidRPr="007E5F37" w:rsidRDefault="007E5F37" w:rsidP="00697F07">
      <w:pPr>
        <w:pStyle w:val="Odstavekseznama"/>
        <w:spacing w:line="260" w:lineRule="exact"/>
        <w:jc w:val="both"/>
        <w:rPr>
          <w:b/>
        </w:rPr>
      </w:pPr>
    </w:p>
    <w:p w14:paraId="0E518DFD" w14:textId="77777777" w:rsidR="007E5F37" w:rsidRPr="007E5F37" w:rsidRDefault="00706DAF" w:rsidP="00140665">
      <w:pPr>
        <w:spacing w:line="260" w:lineRule="exact"/>
        <w:ind w:left="567" w:hanging="426"/>
        <w:jc w:val="both"/>
        <w:rPr>
          <w:b/>
          <w:lang w:eastAsia="sl-SI"/>
        </w:rPr>
      </w:pPr>
      <w:r>
        <w:rPr>
          <w:b/>
          <w:lang w:eastAsia="sl-SI"/>
        </w:rPr>
        <w:t xml:space="preserve">a) </w:t>
      </w:r>
      <w:r w:rsidR="007E5F37" w:rsidRPr="007E5F37">
        <w:rPr>
          <w:b/>
          <w:lang w:eastAsia="sl-SI"/>
        </w:rPr>
        <w:t>prejemnik ni rezident za davčne namene v nobeni davčni jurisdikciji;</w:t>
      </w:r>
    </w:p>
    <w:p w14:paraId="69C0E0A6" w14:textId="77777777" w:rsidR="007E5F37" w:rsidRPr="007E5F37" w:rsidRDefault="00706DAF" w:rsidP="00140665">
      <w:pPr>
        <w:spacing w:line="260" w:lineRule="exact"/>
        <w:ind w:left="567" w:hanging="426"/>
        <w:jc w:val="both"/>
        <w:rPr>
          <w:b/>
          <w:lang w:eastAsia="sl-SI"/>
        </w:rPr>
      </w:pPr>
      <w:r>
        <w:rPr>
          <w:b/>
          <w:lang w:eastAsia="sl-SI"/>
        </w:rPr>
        <w:t xml:space="preserve">b) </w:t>
      </w:r>
      <w:r w:rsidR="007E5F37" w:rsidRPr="007E5F37">
        <w:rPr>
          <w:b/>
          <w:lang w:eastAsia="sl-SI"/>
        </w:rPr>
        <w:t>prejemnik je sicer rezident za davčne namene v določeni jurisdikciji, vendar jurisdikcija:</w:t>
      </w:r>
    </w:p>
    <w:p w14:paraId="277733EC" w14:textId="77777777" w:rsidR="007E5F37" w:rsidRPr="007E5F37" w:rsidRDefault="007E5F37" w:rsidP="00140665">
      <w:pPr>
        <w:spacing w:line="260" w:lineRule="exact"/>
        <w:ind w:left="851" w:hanging="710"/>
        <w:jc w:val="both"/>
        <w:rPr>
          <w:b/>
          <w:lang w:eastAsia="sl-SI"/>
        </w:rPr>
      </w:pPr>
      <w:r w:rsidRPr="007E5F37">
        <w:rPr>
          <w:b/>
          <w:lang w:eastAsia="sl-SI"/>
        </w:rPr>
        <w:t>i) ne nalaga nobenega davka od dohodkov pravnih oseb ali pa nalaga davek od dohodkov pravnih oseb po ničelni ali skoraj ničelni stopnji ali</w:t>
      </w:r>
    </w:p>
    <w:p w14:paraId="230FA2A1" w14:textId="77777777" w:rsidR="007E5F37" w:rsidRPr="007E5F37" w:rsidRDefault="007E5F37" w:rsidP="00140665">
      <w:pPr>
        <w:spacing w:line="260" w:lineRule="exact"/>
        <w:ind w:left="851" w:hanging="710"/>
        <w:jc w:val="both"/>
        <w:rPr>
          <w:b/>
          <w:lang w:eastAsia="sl-SI"/>
        </w:rPr>
      </w:pPr>
      <w:r w:rsidRPr="007E5F37">
        <w:rPr>
          <w:b/>
          <w:lang w:eastAsia="sl-SI"/>
        </w:rPr>
        <w:t>(ii) je uvrščena na seznam jurisdikcij tretjih držav, za katere so države članice skupaj ali v okviru OECD ocenile, da niso pripravljene sodelovati;</w:t>
      </w:r>
    </w:p>
    <w:p w14:paraId="29DEAF50" w14:textId="77777777" w:rsidR="00706DAF" w:rsidRPr="007E5F37" w:rsidRDefault="00706DAF" w:rsidP="00140665">
      <w:pPr>
        <w:spacing w:line="260" w:lineRule="exact"/>
        <w:ind w:left="567" w:hanging="426"/>
        <w:jc w:val="both"/>
        <w:rPr>
          <w:b/>
          <w:lang w:eastAsia="sl-SI"/>
        </w:rPr>
      </w:pPr>
      <w:r>
        <w:rPr>
          <w:b/>
          <w:lang w:eastAsia="sl-SI"/>
        </w:rPr>
        <w:t xml:space="preserve"> c) </w:t>
      </w:r>
      <w:r w:rsidR="007E5F37" w:rsidRPr="007E5F37">
        <w:rPr>
          <w:b/>
          <w:lang w:eastAsia="sl-SI"/>
        </w:rPr>
        <w:t>plačilo je v jurisdikciji, v kateri je prejemnik rezident za davčne namene, v celo</w:t>
      </w:r>
      <w:r>
        <w:rPr>
          <w:b/>
          <w:lang w:eastAsia="sl-SI"/>
        </w:rPr>
        <w:t xml:space="preserve">ti </w:t>
      </w:r>
      <w:r w:rsidR="007E5F37" w:rsidRPr="007E5F37">
        <w:rPr>
          <w:b/>
          <w:lang w:eastAsia="sl-SI"/>
        </w:rPr>
        <w:t>oproščeno davka;</w:t>
      </w:r>
    </w:p>
    <w:p w14:paraId="5EF86C13" w14:textId="77777777" w:rsidR="007E5F37" w:rsidRPr="007E5F37" w:rsidRDefault="00706DAF" w:rsidP="00140665">
      <w:pPr>
        <w:spacing w:line="260" w:lineRule="exact"/>
        <w:ind w:left="567" w:hanging="426"/>
        <w:jc w:val="both"/>
        <w:rPr>
          <w:b/>
          <w:lang w:eastAsia="sl-SI"/>
        </w:rPr>
      </w:pPr>
      <w:r>
        <w:rPr>
          <w:b/>
          <w:lang w:eastAsia="sl-SI"/>
        </w:rPr>
        <w:t xml:space="preserve"> d)  </w:t>
      </w:r>
      <w:r w:rsidR="007E5F37" w:rsidRPr="007E5F37">
        <w:rPr>
          <w:b/>
          <w:lang w:eastAsia="sl-SI"/>
        </w:rPr>
        <w:t>za plačilo v jurisdikciji, v kateri je prejemnik rezident za davčne namene, velja ugodnejši davčni režim.</w:t>
      </w:r>
    </w:p>
    <w:p w14:paraId="7B56F0D6" w14:textId="77777777" w:rsidR="007E5F37" w:rsidRDefault="007E5F37" w:rsidP="00697F07">
      <w:pPr>
        <w:spacing w:line="260" w:lineRule="exact"/>
        <w:ind w:left="1134"/>
        <w:rPr>
          <w:color w:val="FF0000"/>
          <w:lang w:eastAsia="sl-SI"/>
        </w:rPr>
      </w:pPr>
    </w:p>
    <w:p w14:paraId="51623D13" w14:textId="77777777" w:rsidR="001864C0" w:rsidRPr="001864C0" w:rsidRDefault="007E5F37" w:rsidP="00697F07">
      <w:pPr>
        <w:spacing w:line="260" w:lineRule="exact"/>
        <w:jc w:val="both"/>
        <w:rPr>
          <w:lang w:eastAsia="sl-SI"/>
        </w:rPr>
      </w:pPr>
      <w:r w:rsidRPr="001864C0">
        <w:rPr>
          <w:lang w:eastAsia="sl-SI"/>
        </w:rPr>
        <w:t>Prepoznavne značilnosti C1 se uporabljajo za tran</w:t>
      </w:r>
      <w:r w:rsidR="00AE12A9" w:rsidRPr="001864C0">
        <w:rPr>
          <w:lang w:eastAsia="sl-SI"/>
        </w:rPr>
        <w:t>s</w:t>
      </w:r>
      <w:r w:rsidRPr="001864C0">
        <w:rPr>
          <w:lang w:eastAsia="sl-SI"/>
        </w:rPr>
        <w:t xml:space="preserve">akcije med povezanimi osebami </w:t>
      </w:r>
      <w:r w:rsidR="001864C0" w:rsidRPr="001864C0">
        <w:rPr>
          <w:lang w:eastAsia="sl-SI"/>
        </w:rPr>
        <w:t>in se razlagajo v skl</w:t>
      </w:r>
      <w:r w:rsidR="00956D5E">
        <w:rPr>
          <w:lang w:eastAsia="sl-SI"/>
        </w:rPr>
        <w:t>a</w:t>
      </w:r>
      <w:r w:rsidR="001864C0" w:rsidRPr="001864C0">
        <w:rPr>
          <w:lang w:eastAsia="sl-SI"/>
        </w:rPr>
        <w:t xml:space="preserve">du z določbami </w:t>
      </w:r>
      <w:r w:rsidR="00577F4D">
        <w:rPr>
          <w:lang w:eastAsia="sl-SI"/>
        </w:rPr>
        <w:t>255.m</w:t>
      </w:r>
      <w:r w:rsidR="00AE12A9" w:rsidRPr="001864C0">
        <w:rPr>
          <w:lang w:eastAsia="sl-SI"/>
        </w:rPr>
        <w:t xml:space="preserve"> člen</w:t>
      </w:r>
      <w:r w:rsidR="001864C0" w:rsidRPr="001864C0">
        <w:rPr>
          <w:lang w:eastAsia="sl-SI"/>
        </w:rPr>
        <w:t>a</w:t>
      </w:r>
      <w:r w:rsidR="00AE12A9" w:rsidRPr="001864C0">
        <w:rPr>
          <w:lang w:eastAsia="sl-SI"/>
        </w:rPr>
        <w:t xml:space="preserve"> ZD</w:t>
      </w:r>
      <w:r w:rsidRPr="001864C0">
        <w:rPr>
          <w:lang w:eastAsia="sl-SI"/>
        </w:rPr>
        <w:t>avP-2</w:t>
      </w:r>
      <w:r w:rsidR="00F92F96" w:rsidRPr="001864C0">
        <w:rPr>
          <w:lang w:eastAsia="sl-SI"/>
        </w:rPr>
        <w:t>. V opisu značilnosti je sicer up</w:t>
      </w:r>
      <w:r w:rsidR="00664257">
        <w:rPr>
          <w:lang w:eastAsia="sl-SI"/>
        </w:rPr>
        <w:t>o</w:t>
      </w:r>
      <w:r w:rsidR="00F92F96" w:rsidRPr="001864C0">
        <w:rPr>
          <w:lang w:eastAsia="sl-SI"/>
        </w:rPr>
        <w:t>rabljena dikcija »med dvema ali več povezanimi podjetji«, vendar</w:t>
      </w:r>
      <w:r w:rsidR="001864C0" w:rsidRPr="001864C0">
        <w:rPr>
          <w:lang w:eastAsia="sl-SI"/>
        </w:rPr>
        <w:t xml:space="preserve"> iz določil o povezanih osebah izhaja, da se t</w:t>
      </w:r>
      <w:r w:rsidR="009F51BF">
        <w:rPr>
          <w:lang w:eastAsia="sl-SI"/>
        </w:rPr>
        <w:t xml:space="preserve">udi posamezniki (torej fizične </w:t>
      </w:r>
      <w:r w:rsidR="001864C0" w:rsidRPr="001864C0">
        <w:rPr>
          <w:lang w:eastAsia="sl-SI"/>
        </w:rPr>
        <w:t>o</w:t>
      </w:r>
      <w:r w:rsidR="009F51BF">
        <w:rPr>
          <w:lang w:eastAsia="sl-SI"/>
        </w:rPr>
        <w:t>s</w:t>
      </w:r>
      <w:r w:rsidR="001864C0" w:rsidRPr="001864C0">
        <w:rPr>
          <w:lang w:eastAsia="sl-SI"/>
        </w:rPr>
        <w:t>ebe) in njihovi družinski č</w:t>
      </w:r>
      <w:r w:rsidR="0028696C">
        <w:rPr>
          <w:lang w:eastAsia="sl-SI"/>
        </w:rPr>
        <w:t>lani štejejo za povezane osebe.</w:t>
      </w:r>
      <w:r w:rsidR="0058184B">
        <w:rPr>
          <w:lang w:eastAsia="sl-SI"/>
        </w:rPr>
        <w:t xml:space="preserve"> </w:t>
      </w:r>
      <w:r w:rsidR="001864C0" w:rsidRPr="001864C0">
        <w:rPr>
          <w:lang w:eastAsia="sl-SI"/>
        </w:rPr>
        <w:t>Poleg tega je davek od dohodkov pravnih oseb</w:t>
      </w:r>
      <w:r w:rsidR="001864C0">
        <w:rPr>
          <w:lang w:eastAsia="sl-SI"/>
        </w:rPr>
        <w:t>, iz katere</w:t>
      </w:r>
      <w:r w:rsidR="0028696C">
        <w:rPr>
          <w:lang w:eastAsia="sl-SI"/>
        </w:rPr>
        <w:t>ga</w:t>
      </w:r>
      <w:r w:rsidR="001864C0">
        <w:rPr>
          <w:lang w:eastAsia="sl-SI"/>
        </w:rPr>
        <w:t xml:space="preserve"> bi bilo mo</w:t>
      </w:r>
      <w:r w:rsidR="00CE1379">
        <w:rPr>
          <w:lang w:eastAsia="sl-SI"/>
        </w:rPr>
        <w:t>č</w:t>
      </w:r>
      <w:r w:rsidR="001864C0">
        <w:rPr>
          <w:lang w:eastAsia="sl-SI"/>
        </w:rPr>
        <w:t xml:space="preserve"> sklepati, da velja zgolj za pravne osebe, </w:t>
      </w:r>
      <w:r w:rsidR="001864C0" w:rsidRPr="001864C0">
        <w:rPr>
          <w:lang w:eastAsia="sl-SI"/>
        </w:rPr>
        <w:t>izrecno naveden le v točki C1b(i), ki predstavlja specialno določ</w:t>
      </w:r>
      <w:r w:rsidR="009F51BF">
        <w:rPr>
          <w:lang w:eastAsia="sl-SI"/>
        </w:rPr>
        <w:t>b</w:t>
      </w:r>
      <w:r w:rsidR="001864C0" w:rsidRPr="001864C0">
        <w:rPr>
          <w:lang w:eastAsia="sl-SI"/>
        </w:rPr>
        <w:t xml:space="preserve">o </w:t>
      </w:r>
      <w:r w:rsidR="009F51BF">
        <w:rPr>
          <w:lang w:eastAsia="sl-SI"/>
        </w:rPr>
        <w:t xml:space="preserve">v razmerju do </w:t>
      </w:r>
      <w:r w:rsidR="001864C0" w:rsidRPr="001864C0">
        <w:rPr>
          <w:lang w:eastAsia="sl-SI"/>
        </w:rPr>
        <w:t>splošn</w:t>
      </w:r>
      <w:r w:rsidR="009F51BF">
        <w:rPr>
          <w:lang w:eastAsia="sl-SI"/>
        </w:rPr>
        <w:t>e</w:t>
      </w:r>
      <w:r w:rsidR="001864C0" w:rsidRPr="001864C0">
        <w:rPr>
          <w:lang w:eastAsia="sl-SI"/>
        </w:rPr>
        <w:t xml:space="preserve"> kategorij</w:t>
      </w:r>
      <w:r w:rsidR="009F51BF">
        <w:rPr>
          <w:lang w:eastAsia="sl-SI"/>
        </w:rPr>
        <w:t>e</w:t>
      </w:r>
      <w:r w:rsidR="001864C0" w:rsidRPr="001864C0">
        <w:rPr>
          <w:lang w:eastAsia="sl-SI"/>
        </w:rPr>
        <w:t xml:space="preserve"> C1. </w:t>
      </w:r>
    </w:p>
    <w:p w14:paraId="40CDDB24" w14:textId="77777777" w:rsidR="001864C0" w:rsidRDefault="001864C0" w:rsidP="00697F07">
      <w:pPr>
        <w:spacing w:line="260" w:lineRule="exact"/>
        <w:jc w:val="both"/>
        <w:rPr>
          <w:color w:val="FF0000"/>
          <w:lang w:eastAsia="sl-SI"/>
        </w:rPr>
      </w:pPr>
    </w:p>
    <w:p w14:paraId="345CDABB" w14:textId="77777777" w:rsidR="00353956" w:rsidRPr="00533EF7" w:rsidRDefault="00353956" w:rsidP="00697F07">
      <w:pPr>
        <w:spacing w:line="260" w:lineRule="exact"/>
        <w:jc w:val="both"/>
        <w:rPr>
          <w:lang w:eastAsia="sl-SI"/>
        </w:rPr>
      </w:pPr>
      <w:r w:rsidRPr="00533EF7">
        <w:rPr>
          <w:lang w:eastAsia="sl-SI"/>
        </w:rPr>
        <w:t xml:space="preserve">V značilnost </w:t>
      </w:r>
      <w:r w:rsidR="00A838A6" w:rsidRPr="00533EF7">
        <w:rPr>
          <w:lang w:eastAsia="sl-SI"/>
        </w:rPr>
        <w:t>kategorije C1 se, upoštevajoč smernice iz OECD BEPS ukrepa št. 2</w:t>
      </w:r>
      <w:r w:rsidR="007E5F37" w:rsidRPr="00533EF7">
        <w:rPr>
          <w:lang w:eastAsia="sl-SI"/>
        </w:rPr>
        <w:t>,</w:t>
      </w:r>
      <w:r w:rsidR="00A838A6" w:rsidRPr="00533EF7">
        <w:rPr>
          <w:lang w:eastAsia="sl-SI"/>
        </w:rPr>
        <w:t xml:space="preserve"> štejejo vsa plačila, ki jih plačnik po nacionalni zakonodaji lahko uveljavlja kot odbitno postav</w:t>
      </w:r>
      <w:r w:rsidRPr="00533EF7">
        <w:rPr>
          <w:lang w:eastAsia="sl-SI"/>
        </w:rPr>
        <w:t>ko pri kateri koli vrsti davka. Ali plačilo šteje kot odbitno</w:t>
      </w:r>
      <w:r w:rsidR="001544C5">
        <w:rPr>
          <w:lang w:eastAsia="sl-SI"/>
        </w:rPr>
        <w:t>,</w:t>
      </w:r>
      <w:r w:rsidRPr="00533EF7">
        <w:rPr>
          <w:lang w:eastAsia="sl-SI"/>
        </w:rPr>
        <w:t xml:space="preserve"> je odvisno od okoliščin konkretnega primera. </w:t>
      </w:r>
    </w:p>
    <w:p w14:paraId="69400BED" w14:textId="77777777" w:rsidR="00353956" w:rsidRPr="00533EF7" w:rsidRDefault="00353956" w:rsidP="00697F07">
      <w:pPr>
        <w:spacing w:line="260" w:lineRule="exact"/>
        <w:jc w:val="both"/>
        <w:rPr>
          <w:lang w:eastAsia="sl-SI"/>
        </w:rPr>
      </w:pPr>
    </w:p>
    <w:p w14:paraId="591674B0" w14:textId="77777777" w:rsidR="007E5F37" w:rsidRPr="00533EF7" w:rsidRDefault="00CE1379" w:rsidP="00697F07">
      <w:pPr>
        <w:spacing w:line="260" w:lineRule="exact"/>
        <w:jc w:val="both"/>
        <w:rPr>
          <w:lang w:eastAsia="sl-SI"/>
        </w:rPr>
      </w:pPr>
      <w:r w:rsidRPr="00533EF7">
        <w:rPr>
          <w:lang w:eastAsia="sl-SI"/>
        </w:rPr>
        <w:t>Termin »odbitek« se nanaša na postavko odhodkov/izdatkov, ki se smejo odštevati od prihodka/dohodka davčnega zavezanca</w:t>
      </w:r>
      <w:r w:rsidR="00B66639">
        <w:rPr>
          <w:lang w:eastAsia="sl-SI"/>
        </w:rPr>
        <w:t xml:space="preserve"> ali pa generirajo vračilo davka</w:t>
      </w:r>
      <w:r w:rsidRPr="00533EF7">
        <w:rPr>
          <w:lang w:eastAsia="sl-SI"/>
        </w:rPr>
        <w:t>. Poleg teh, neposrednih oblik, pa se kot odbitna plačila obravnavajo tudi vse preostale transakcije, ki imajo is</w:t>
      </w:r>
      <w:r w:rsidR="00867BA7" w:rsidRPr="00533EF7">
        <w:rPr>
          <w:lang w:eastAsia="sl-SI"/>
        </w:rPr>
        <w:t>tovrsten</w:t>
      </w:r>
      <w:r w:rsidRPr="00533EF7">
        <w:rPr>
          <w:lang w:eastAsia="sl-SI"/>
        </w:rPr>
        <w:t xml:space="preserve"> učinek na znižanje davčne osnove, </w:t>
      </w:r>
      <w:r w:rsidR="00867BA7" w:rsidRPr="00533EF7">
        <w:rPr>
          <w:lang w:eastAsia="sl-SI"/>
        </w:rPr>
        <w:t>ko</w:t>
      </w:r>
      <w:r w:rsidR="00140665">
        <w:rPr>
          <w:lang w:eastAsia="sl-SI"/>
        </w:rPr>
        <w:t>t so na primer odpisi vrednost.</w:t>
      </w:r>
      <w:r w:rsidR="00867BA7" w:rsidRPr="00533EF7">
        <w:rPr>
          <w:lang w:eastAsia="sl-SI"/>
        </w:rPr>
        <w:t xml:space="preserve"> </w:t>
      </w:r>
    </w:p>
    <w:p w14:paraId="4D876BDD" w14:textId="77777777" w:rsidR="00A838A6" w:rsidRPr="00533EF7" w:rsidRDefault="00A838A6" w:rsidP="00697F07">
      <w:pPr>
        <w:spacing w:line="260" w:lineRule="exact"/>
        <w:jc w:val="both"/>
        <w:rPr>
          <w:lang w:eastAsia="sl-SI"/>
        </w:rPr>
      </w:pPr>
    </w:p>
    <w:p w14:paraId="5F41D4A6" w14:textId="77777777" w:rsidR="00A838A6" w:rsidRDefault="00A838A6" w:rsidP="00697F07">
      <w:pPr>
        <w:spacing w:line="260" w:lineRule="exact"/>
        <w:jc w:val="both"/>
        <w:rPr>
          <w:lang w:eastAsia="sl-SI"/>
        </w:rPr>
      </w:pPr>
      <w:r w:rsidRPr="00533EF7">
        <w:rPr>
          <w:lang w:eastAsia="sl-SI"/>
        </w:rPr>
        <w:t xml:space="preserve">Termin »plačilo« </w:t>
      </w:r>
      <w:r w:rsidR="00533EF7" w:rsidRPr="00533EF7">
        <w:rPr>
          <w:lang w:eastAsia="sl-SI"/>
        </w:rPr>
        <w:t xml:space="preserve">je potrebno razlagati v najširšem smislu: vključuje tako plačila v denarju, kot druge načine pobotavanja terjatev in obveznosti, tudi pripis dobička. </w:t>
      </w:r>
    </w:p>
    <w:p w14:paraId="7B87DC90" w14:textId="77777777" w:rsidR="00664257" w:rsidRDefault="00664257" w:rsidP="00697F07">
      <w:pPr>
        <w:spacing w:line="260" w:lineRule="exact"/>
        <w:jc w:val="both"/>
        <w:rPr>
          <w:lang w:eastAsia="sl-SI"/>
        </w:rPr>
      </w:pPr>
    </w:p>
    <w:p w14:paraId="26256E9C" w14:textId="77777777" w:rsidR="00664257" w:rsidRPr="00533EF7" w:rsidRDefault="00943A29" w:rsidP="00697F07">
      <w:pPr>
        <w:spacing w:line="260" w:lineRule="exact"/>
        <w:jc w:val="both"/>
        <w:rPr>
          <w:lang w:eastAsia="sl-SI"/>
        </w:rPr>
      </w:pPr>
      <w:r>
        <w:rPr>
          <w:lang w:eastAsia="sl-SI"/>
        </w:rPr>
        <w:t>Prejemnik plačila je vsaka oseba, ki prejme plačilo, vključno s stalno poslovno enoto. Upr</w:t>
      </w:r>
      <w:r w:rsidR="001544C5">
        <w:rPr>
          <w:lang w:eastAsia="sl-SI"/>
        </w:rPr>
        <w:t xml:space="preserve">avičenec je praviloma pravna </w:t>
      </w:r>
      <w:r>
        <w:rPr>
          <w:lang w:eastAsia="sl-SI"/>
        </w:rPr>
        <w:t>o</w:t>
      </w:r>
      <w:r w:rsidR="001544C5">
        <w:rPr>
          <w:lang w:eastAsia="sl-SI"/>
        </w:rPr>
        <w:t>s</w:t>
      </w:r>
      <w:r>
        <w:rPr>
          <w:lang w:eastAsia="sl-SI"/>
        </w:rPr>
        <w:t>eba, vendar pa se v določenih situacijah plačilo oziroma prihodek ne pripiše neposredno gospodarskemu subjektu, temveč njegovemu vlagatelju. V tem primeru bo moral posrednik (ali zadevni davčni zavezanec) v zadostni meri ugotoviti, komu se p</w:t>
      </w:r>
      <w:r w:rsidR="00DD333C">
        <w:rPr>
          <w:lang w:eastAsia="sl-SI"/>
        </w:rPr>
        <w:t>ripiše dohodek iz tega naslova.</w:t>
      </w:r>
      <w:r>
        <w:rPr>
          <w:lang w:eastAsia="sl-SI"/>
        </w:rPr>
        <w:t xml:space="preserve"> </w:t>
      </w:r>
      <w:r w:rsidR="00DD333C">
        <w:rPr>
          <w:lang w:eastAsia="sl-SI"/>
        </w:rPr>
        <w:t xml:space="preserve">Če je rezidentstvo prejemnika (npr. partnerja) materialno pomembno za implementacijo aranžmaja, bo namreč moral </w:t>
      </w:r>
      <w:r w:rsidR="005212C5">
        <w:rPr>
          <w:lang w:eastAsia="sl-SI"/>
        </w:rPr>
        <w:t xml:space="preserve">že po naravi stvari </w:t>
      </w:r>
      <w:r w:rsidR="00DD333C">
        <w:rPr>
          <w:lang w:eastAsia="sl-SI"/>
        </w:rPr>
        <w:t xml:space="preserve">posrednik s tem podatkom razpolagati.  </w:t>
      </w:r>
      <w:r>
        <w:rPr>
          <w:lang w:eastAsia="sl-SI"/>
        </w:rPr>
        <w:t xml:space="preserve">    </w:t>
      </w:r>
    </w:p>
    <w:p w14:paraId="0511188A" w14:textId="77777777" w:rsidR="00A838A6" w:rsidRPr="00533EF7" w:rsidRDefault="00A838A6" w:rsidP="00697F07">
      <w:pPr>
        <w:spacing w:line="260" w:lineRule="exact"/>
        <w:jc w:val="both"/>
        <w:rPr>
          <w:lang w:eastAsia="sl-SI"/>
        </w:rPr>
      </w:pPr>
    </w:p>
    <w:p w14:paraId="7BE70CA5" w14:textId="77777777" w:rsidR="00EF5648" w:rsidRDefault="00533EF7" w:rsidP="00697F07">
      <w:pPr>
        <w:spacing w:line="260" w:lineRule="exact"/>
        <w:jc w:val="both"/>
        <w:rPr>
          <w:lang w:eastAsia="sl-SI"/>
        </w:rPr>
      </w:pPr>
      <w:r>
        <w:rPr>
          <w:lang w:eastAsia="sl-SI"/>
        </w:rPr>
        <w:t xml:space="preserve">Značilnost C1b(i) </w:t>
      </w:r>
      <w:r w:rsidR="00682872">
        <w:rPr>
          <w:lang w:eastAsia="sl-SI"/>
        </w:rPr>
        <w:t xml:space="preserve">se </w:t>
      </w:r>
      <w:r w:rsidR="001A674F">
        <w:rPr>
          <w:lang w:eastAsia="sl-SI"/>
        </w:rPr>
        <w:t xml:space="preserve">nanaša na davek od dohodkov pravnih oseb, pri čemer ta </w:t>
      </w:r>
      <w:r w:rsidR="0098091A">
        <w:rPr>
          <w:lang w:eastAsia="sl-SI"/>
        </w:rPr>
        <w:t xml:space="preserve">v </w:t>
      </w:r>
      <w:r w:rsidR="00963EF2">
        <w:rPr>
          <w:lang w:eastAsia="sl-SI"/>
        </w:rPr>
        <w:t>D</w:t>
      </w:r>
      <w:r w:rsidR="0098091A">
        <w:rPr>
          <w:lang w:eastAsia="sl-SI"/>
        </w:rPr>
        <w:t xml:space="preserve">irektivi </w:t>
      </w:r>
      <w:r w:rsidR="001A674F">
        <w:rPr>
          <w:lang w:eastAsia="sl-SI"/>
        </w:rPr>
        <w:t xml:space="preserve">ni podrobneje </w:t>
      </w:r>
      <w:r w:rsidR="0098091A">
        <w:rPr>
          <w:lang w:eastAsia="sl-SI"/>
        </w:rPr>
        <w:t>opredeljen</w:t>
      </w:r>
      <w:r w:rsidR="001A674F">
        <w:rPr>
          <w:lang w:eastAsia="sl-SI"/>
        </w:rPr>
        <w:t>, saj so de</w:t>
      </w:r>
      <w:r w:rsidR="00EF5648">
        <w:rPr>
          <w:lang w:eastAsia="sl-SI"/>
        </w:rPr>
        <w:t>finicije odvisne od določb nacion</w:t>
      </w:r>
      <w:r w:rsidR="001A674F">
        <w:rPr>
          <w:lang w:eastAsia="sl-SI"/>
        </w:rPr>
        <w:t>a</w:t>
      </w:r>
      <w:r w:rsidR="00EF5648">
        <w:rPr>
          <w:lang w:eastAsia="sl-SI"/>
        </w:rPr>
        <w:t>l</w:t>
      </w:r>
      <w:r w:rsidR="001A674F">
        <w:rPr>
          <w:lang w:eastAsia="sl-SI"/>
        </w:rPr>
        <w:t>ne zakonodaje</w:t>
      </w:r>
      <w:r w:rsidR="00EF5648">
        <w:rPr>
          <w:lang w:eastAsia="sl-SI"/>
        </w:rPr>
        <w:t>, zato je to določbo potrebno razlag</w:t>
      </w:r>
      <w:r w:rsidR="00063634">
        <w:rPr>
          <w:lang w:eastAsia="sl-SI"/>
        </w:rPr>
        <w:t>a</w:t>
      </w:r>
      <w:r w:rsidR="00EF5648">
        <w:rPr>
          <w:lang w:eastAsia="sl-SI"/>
        </w:rPr>
        <w:t xml:space="preserve">ti široko. Lahko se nanaša tudi na davčni odtegljaj in na druge kategorije obdavčitve pravnih oseb. Besedilo »po ničelni ali skoraj ničelni stopnji« se nanaša </w:t>
      </w:r>
      <w:r w:rsidR="00140665">
        <w:rPr>
          <w:lang w:eastAsia="sl-SI"/>
        </w:rPr>
        <w:t xml:space="preserve">na nominalno stopnjo davka. </w:t>
      </w:r>
      <w:r w:rsidR="005212C5">
        <w:rPr>
          <w:lang w:eastAsia="sl-SI"/>
        </w:rPr>
        <w:t>V to kategorijo sodijo plačila prejemnikom, pravnim subjektom in davčnim zavezancem, ki imajo poseben položaj – lahko so oproščeni davka ali pa ga plačujejo po nizki stopnji, če je glavni namen teh plačil prido</w:t>
      </w:r>
      <w:r w:rsidR="009A507B">
        <w:rPr>
          <w:lang w:eastAsia="sl-SI"/>
        </w:rPr>
        <w:t>biti davčno kor</w:t>
      </w:r>
      <w:r w:rsidR="005212C5">
        <w:rPr>
          <w:lang w:eastAsia="sl-SI"/>
        </w:rPr>
        <w:t>i</w:t>
      </w:r>
      <w:r w:rsidR="009A507B">
        <w:rPr>
          <w:lang w:eastAsia="sl-SI"/>
        </w:rPr>
        <w:t>s</w:t>
      </w:r>
      <w:r w:rsidR="005212C5">
        <w:rPr>
          <w:lang w:eastAsia="sl-SI"/>
        </w:rPr>
        <w:t>t. Z</w:t>
      </w:r>
      <w:r w:rsidR="005D78AE">
        <w:rPr>
          <w:lang w:eastAsia="sl-SI"/>
        </w:rPr>
        <w:t xml:space="preserve">golj opravljeno nakazilo ne zadostuje za sklep o pozitivnem testu – obstajati morajo tudi druge okoliščine, ki izkazujejo takšen namen. </w:t>
      </w:r>
    </w:p>
    <w:p w14:paraId="69DCFDB7" w14:textId="77777777" w:rsidR="00BB3DB8" w:rsidRDefault="00BB3DB8" w:rsidP="00697F07">
      <w:pPr>
        <w:spacing w:line="260" w:lineRule="exact"/>
        <w:jc w:val="both"/>
        <w:rPr>
          <w:lang w:eastAsia="sl-SI"/>
        </w:rPr>
      </w:pPr>
    </w:p>
    <w:p w14:paraId="5DFE4559" w14:textId="77777777" w:rsidR="00546BD6" w:rsidRDefault="00546BD6" w:rsidP="00697F07">
      <w:pPr>
        <w:spacing w:line="260" w:lineRule="exact"/>
        <w:jc w:val="both"/>
        <w:rPr>
          <w:lang w:eastAsia="sl-SI"/>
        </w:rPr>
      </w:pPr>
      <w:r>
        <w:rPr>
          <w:lang w:eastAsia="sl-SI"/>
        </w:rPr>
        <w:lastRenderedPageBreak/>
        <w:t>Kot orientacijski pripomoček pri določanju jurisdikcij z ničelno ali skoraj ničelno davčno stopnjo korporacijskih davkov se lahko uporabijo primerjalni statističn</w:t>
      </w:r>
      <w:r w:rsidR="00133AE1">
        <w:rPr>
          <w:lang w:eastAsia="sl-SI"/>
        </w:rPr>
        <w:t>i podatki, ki jih objavlja OECD</w:t>
      </w:r>
      <w:r>
        <w:rPr>
          <w:rStyle w:val="Sprotnaopomba-sklic"/>
          <w:lang w:eastAsia="sl-SI"/>
        </w:rPr>
        <w:footnoteReference w:id="19"/>
      </w:r>
      <w:r>
        <w:rPr>
          <w:lang w:eastAsia="sl-SI"/>
        </w:rPr>
        <w:t>.</w:t>
      </w:r>
    </w:p>
    <w:p w14:paraId="7EB74870" w14:textId="77777777" w:rsidR="00DD333C" w:rsidRDefault="00DD333C" w:rsidP="00697F07">
      <w:pPr>
        <w:spacing w:line="260" w:lineRule="exact"/>
        <w:jc w:val="both"/>
        <w:rPr>
          <w:lang w:eastAsia="sl-SI"/>
        </w:rPr>
      </w:pPr>
    </w:p>
    <w:p w14:paraId="5862DA1C" w14:textId="77777777" w:rsidR="00533EF7" w:rsidRDefault="00B66639" w:rsidP="00697F07">
      <w:pPr>
        <w:spacing w:line="260" w:lineRule="exact"/>
        <w:jc w:val="both"/>
        <w:rPr>
          <w:lang w:eastAsia="sl-SI"/>
        </w:rPr>
      </w:pPr>
      <w:r>
        <w:rPr>
          <w:lang w:eastAsia="sl-SI"/>
        </w:rPr>
        <w:t xml:space="preserve">Značilnost C1b(ii) je vezana na seznam jurisdikcij tretjih držav, za katere so države članice ali </w:t>
      </w:r>
      <w:r w:rsidR="001544C5">
        <w:rPr>
          <w:lang w:eastAsia="sl-SI"/>
        </w:rPr>
        <w:t xml:space="preserve">države </w:t>
      </w:r>
      <w:r>
        <w:rPr>
          <w:lang w:eastAsia="sl-SI"/>
        </w:rPr>
        <w:t xml:space="preserve">v okviru OECD </w:t>
      </w:r>
      <w:r w:rsidR="00660693">
        <w:rPr>
          <w:lang w:eastAsia="sl-SI"/>
        </w:rPr>
        <w:t xml:space="preserve">ocenile, da niso pripravljene sodelovati. </w:t>
      </w:r>
      <w:r w:rsidR="004227A7">
        <w:rPr>
          <w:lang w:eastAsia="sl-SI"/>
        </w:rPr>
        <w:t>Svet EU je 5. decembra 2017 objavil prvi seznam EU z jurisdikcijami, ki niso pripravljene sodelovati v davčne namene</w:t>
      </w:r>
      <w:r w:rsidR="004227A7">
        <w:rPr>
          <w:rStyle w:val="Sprotnaopomba-sklic"/>
          <w:lang w:eastAsia="sl-SI"/>
        </w:rPr>
        <w:footnoteReference w:id="20"/>
      </w:r>
      <w:r w:rsidR="003A647C">
        <w:rPr>
          <w:lang w:eastAsia="sl-SI"/>
        </w:rPr>
        <w:t xml:space="preserve">. </w:t>
      </w:r>
      <w:r w:rsidR="00660693">
        <w:rPr>
          <w:lang w:eastAsia="sl-SI"/>
        </w:rPr>
        <w:t>Ker se ti seznami spreminjajo, se pri prvem poroča</w:t>
      </w:r>
      <w:r w:rsidR="00063634">
        <w:rPr>
          <w:lang w:eastAsia="sl-SI"/>
        </w:rPr>
        <w:t>n</w:t>
      </w:r>
      <w:r w:rsidR="00660693">
        <w:rPr>
          <w:lang w:eastAsia="sl-SI"/>
        </w:rPr>
        <w:t>ju o aranžmaju upoštevajo</w:t>
      </w:r>
      <w:r w:rsidR="00EF5648">
        <w:rPr>
          <w:lang w:eastAsia="sl-SI"/>
        </w:rPr>
        <w:t xml:space="preserve"> </w:t>
      </w:r>
      <w:r w:rsidR="00660693">
        <w:rPr>
          <w:lang w:eastAsia="sl-SI"/>
        </w:rPr>
        <w:t>trenutno veljavni seznami</w:t>
      </w:r>
      <w:r w:rsidR="00D537F5">
        <w:rPr>
          <w:lang w:eastAsia="sl-SI"/>
        </w:rPr>
        <w:t>, ki so dostopni na uradnih sp</w:t>
      </w:r>
      <w:r w:rsidR="004227A7">
        <w:rPr>
          <w:lang w:eastAsia="sl-SI"/>
        </w:rPr>
        <w:t>l</w:t>
      </w:r>
      <w:r w:rsidR="00D537F5">
        <w:rPr>
          <w:lang w:eastAsia="sl-SI"/>
        </w:rPr>
        <w:t>e</w:t>
      </w:r>
      <w:r w:rsidR="004227A7">
        <w:rPr>
          <w:lang w:eastAsia="sl-SI"/>
        </w:rPr>
        <w:t>tnih straneh EU</w:t>
      </w:r>
      <w:r w:rsidR="004227A7">
        <w:rPr>
          <w:rStyle w:val="Sprotnaopomba-sklic"/>
          <w:lang w:eastAsia="sl-SI"/>
        </w:rPr>
        <w:footnoteReference w:id="21"/>
      </w:r>
      <w:r w:rsidR="00660693">
        <w:rPr>
          <w:lang w:eastAsia="sl-SI"/>
        </w:rPr>
        <w:t>. Upošteva se torej seznam, ki je veljaven v trenutku, ko nastane obveznost poročanja.</w:t>
      </w:r>
      <w:r w:rsidR="004227A7">
        <w:rPr>
          <w:lang w:eastAsia="sl-SI"/>
        </w:rPr>
        <w:t xml:space="preserve"> Pri enkratnem poročanju o aranžmajih iz prehodnega obdobja, ki se opravi najkasneje do 31. 8. 2020, se ravno tako upošteva seznam, ki je veljal v trenutku začetka uporabe aranžmaja.</w:t>
      </w:r>
      <w:r w:rsidR="00DD333C">
        <w:rPr>
          <w:lang w:eastAsia="sl-SI"/>
        </w:rPr>
        <w:t xml:space="preserve"> Naknadno spremljanje ažuriranih seznamov ni potrebno, če se druge okoliščine aranžmaja ne spremenijo v tolikšni meri, da bi že te spremembe same po sebi zahtevale novo/dodatno poročanje. </w:t>
      </w:r>
      <w:r w:rsidR="00660693">
        <w:rPr>
          <w:lang w:eastAsia="sl-SI"/>
        </w:rPr>
        <w:t xml:space="preserve"> </w:t>
      </w:r>
    </w:p>
    <w:p w14:paraId="635653E3" w14:textId="77777777" w:rsidR="00DD333C" w:rsidRDefault="00DD333C" w:rsidP="00697F07">
      <w:pPr>
        <w:spacing w:line="260" w:lineRule="exact"/>
        <w:jc w:val="both"/>
        <w:rPr>
          <w:lang w:eastAsia="sl-SI"/>
        </w:rPr>
      </w:pPr>
    </w:p>
    <w:p w14:paraId="01DD2501" w14:textId="77777777" w:rsidR="005D78AE" w:rsidRDefault="005212C5" w:rsidP="00697F07">
      <w:pPr>
        <w:spacing w:line="260" w:lineRule="exact"/>
        <w:jc w:val="both"/>
        <w:rPr>
          <w:lang w:eastAsia="sl-SI"/>
        </w:rPr>
      </w:pPr>
      <w:r>
        <w:rPr>
          <w:lang w:eastAsia="sl-SI"/>
        </w:rPr>
        <w:t>Pr</w:t>
      </w:r>
      <w:r w:rsidR="00DD333C">
        <w:rPr>
          <w:lang w:eastAsia="sl-SI"/>
        </w:rPr>
        <w:t>e</w:t>
      </w:r>
      <w:r>
        <w:rPr>
          <w:lang w:eastAsia="sl-SI"/>
        </w:rPr>
        <w:t>p</w:t>
      </w:r>
      <w:r w:rsidR="00DD333C">
        <w:rPr>
          <w:lang w:eastAsia="sl-SI"/>
        </w:rPr>
        <w:t>ozna</w:t>
      </w:r>
      <w:r>
        <w:rPr>
          <w:lang w:eastAsia="sl-SI"/>
        </w:rPr>
        <w:t>vna</w:t>
      </w:r>
      <w:r w:rsidR="00DD333C">
        <w:rPr>
          <w:lang w:eastAsia="sl-SI"/>
        </w:rPr>
        <w:t xml:space="preserve"> značilnosti C</w:t>
      </w:r>
      <w:r w:rsidR="00682872">
        <w:rPr>
          <w:lang w:eastAsia="sl-SI"/>
        </w:rPr>
        <w:t xml:space="preserve">1c se nanaša na naravo plačila, torej na vprašanje, ali je </w:t>
      </w:r>
      <w:r>
        <w:rPr>
          <w:lang w:eastAsia="sl-SI"/>
        </w:rPr>
        <w:t>plačilo oproščen</w:t>
      </w:r>
      <w:r w:rsidR="00063634">
        <w:rPr>
          <w:lang w:eastAsia="sl-SI"/>
        </w:rPr>
        <w:t>o samo po sebi, status subjekta</w:t>
      </w:r>
      <w:r>
        <w:rPr>
          <w:lang w:eastAsia="sl-SI"/>
        </w:rPr>
        <w:t xml:space="preserve"> (ali gre za</w:t>
      </w:r>
      <w:r w:rsidR="00DB070D">
        <w:rPr>
          <w:lang w:eastAsia="sl-SI"/>
        </w:rPr>
        <w:t xml:space="preserve"> osebo,</w:t>
      </w:r>
      <w:r>
        <w:rPr>
          <w:lang w:eastAsia="sl-SI"/>
        </w:rPr>
        <w:t xml:space="preserve"> ki je v tej jurisdikciji oproščena plačila davka </w:t>
      </w:r>
      <w:r w:rsidR="00063634">
        <w:rPr>
          <w:lang w:eastAsia="sl-SI"/>
        </w:rPr>
        <w:t>ali pa ga plačuje po nizki st</w:t>
      </w:r>
      <w:r>
        <w:rPr>
          <w:lang w:eastAsia="sl-SI"/>
        </w:rPr>
        <w:t>opnji) v tej zvez</w:t>
      </w:r>
      <w:r w:rsidR="003A647C">
        <w:rPr>
          <w:lang w:eastAsia="sl-SI"/>
        </w:rPr>
        <w:t>i ni relevanten. P</w:t>
      </w:r>
      <w:r>
        <w:rPr>
          <w:lang w:eastAsia="sl-SI"/>
        </w:rPr>
        <w:t>okojninski skladi, države institucije in podobne entitet</w:t>
      </w:r>
      <w:r w:rsidR="00063634">
        <w:rPr>
          <w:lang w:eastAsia="sl-SI"/>
        </w:rPr>
        <w:t>e</w:t>
      </w:r>
      <w:r>
        <w:rPr>
          <w:lang w:eastAsia="sl-SI"/>
        </w:rPr>
        <w:t>,</w:t>
      </w:r>
      <w:r w:rsidR="003A647C">
        <w:rPr>
          <w:lang w:eastAsia="sl-SI"/>
        </w:rPr>
        <w:t xml:space="preserve"> ki so oproščene plačila davka, torej v to značilnost ne zapadejo avtomatično zgolj zaradi njihovega statusa, temveč šele po naravi plačila. </w:t>
      </w:r>
      <w:r>
        <w:rPr>
          <w:lang w:eastAsia="sl-SI"/>
        </w:rPr>
        <w:t xml:space="preserve"> </w:t>
      </w:r>
    </w:p>
    <w:p w14:paraId="1BE13C4E" w14:textId="77777777" w:rsidR="005D78AE" w:rsidRDefault="005D78AE" w:rsidP="00697F07">
      <w:pPr>
        <w:spacing w:line="260" w:lineRule="exact"/>
        <w:jc w:val="both"/>
        <w:rPr>
          <w:lang w:eastAsia="sl-SI"/>
        </w:rPr>
      </w:pPr>
    </w:p>
    <w:p w14:paraId="2AD344DF" w14:textId="4F0D2257" w:rsidR="00442390" w:rsidRDefault="00063634" w:rsidP="00697F07">
      <w:pPr>
        <w:spacing w:line="260" w:lineRule="exact"/>
        <w:jc w:val="both"/>
        <w:rPr>
          <w:lang w:eastAsia="sl-SI"/>
        </w:rPr>
      </w:pPr>
      <w:r>
        <w:rPr>
          <w:lang w:eastAsia="sl-SI"/>
        </w:rPr>
        <w:t>V prepoznavno</w:t>
      </w:r>
      <w:r w:rsidR="00442390">
        <w:rPr>
          <w:lang w:eastAsia="sl-SI"/>
        </w:rPr>
        <w:t xml:space="preserve"> značilnost C1d se vštevajo t.</w:t>
      </w:r>
      <w:r w:rsidR="008E6EDD">
        <w:rPr>
          <w:lang w:eastAsia="sl-SI"/>
        </w:rPr>
        <w:t xml:space="preserve"> </w:t>
      </w:r>
      <w:r w:rsidR="00442390">
        <w:rPr>
          <w:lang w:eastAsia="sl-SI"/>
        </w:rPr>
        <w:t>i. »patent boxes« in posebne ekonom</w:t>
      </w:r>
      <w:r w:rsidR="001544C5">
        <w:rPr>
          <w:lang w:eastAsia="sl-SI"/>
        </w:rPr>
        <w:t>s</w:t>
      </w:r>
      <w:r w:rsidR="00442390">
        <w:rPr>
          <w:lang w:eastAsia="sl-SI"/>
        </w:rPr>
        <w:t xml:space="preserve">ke cone.  </w:t>
      </w:r>
      <w:r w:rsidR="00D50E16">
        <w:rPr>
          <w:lang w:eastAsia="sl-SI"/>
        </w:rPr>
        <w:t xml:space="preserve">Preferenčni režim v tem kontekstu predstavlja vrsta različnih pojavnih oblik. Bistveno pri </w:t>
      </w:r>
      <w:r w:rsidR="001544C5">
        <w:rPr>
          <w:lang w:eastAsia="sl-SI"/>
        </w:rPr>
        <w:t>presoji je, ali je določena obr</w:t>
      </w:r>
      <w:r w:rsidR="00D50E16">
        <w:rPr>
          <w:lang w:eastAsia="sl-SI"/>
        </w:rPr>
        <w:t>a</w:t>
      </w:r>
      <w:r w:rsidR="001544C5">
        <w:rPr>
          <w:lang w:eastAsia="sl-SI"/>
        </w:rPr>
        <w:t>v</w:t>
      </w:r>
      <w:r w:rsidR="00D50E16">
        <w:rPr>
          <w:lang w:eastAsia="sl-SI"/>
        </w:rPr>
        <w:t>nava znotraj režima omogočena vsem, ali ne.</w:t>
      </w:r>
    </w:p>
    <w:p w14:paraId="0605E2E7" w14:textId="77777777" w:rsidR="003A647C" w:rsidRDefault="003A647C" w:rsidP="00697F07">
      <w:pPr>
        <w:spacing w:line="260" w:lineRule="exact"/>
        <w:jc w:val="both"/>
        <w:rPr>
          <w:lang w:eastAsia="sl-SI"/>
        </w:rPr>
      </w:pPr>
    </w:p>
    <w:p w14:paraId="2ADE5AC3" w14:textId="77777777" w:rsidR="007D1446" w:rsidRDefault="003A647C" w:rsidP="007D1446">
      <w:pPr>
        <w:jc w:val="both"/>
        <w:rPr>
          <w:lang w:eastAsia="sl-SI"/>
        </w:rPr>
      </w:pPr>
      <w:r w:rsidRPr="004F49A7">
        <w:rPr>
          <w:i/>
          <w:lang w:eastAsia="sl-SI"/>
        </w:rPr>
        <w:t>Vprašanje: plačilo v jurisdikciji prejemnika efektivno ni obdavčeno, ker ima prejemnik davčne izgube. Ali sodi v C1c?</w:t>
      </w:r>
      <w:r>
        <w:rPr>
          <w:lang w:eastAsia="sl-SI"/>
        </w:rPr>
        <w:t xml:space="preserve"> </w:t>
      </w:r>
      <w:r w:rsidR="007D1446">
        <w:rPr>
          <w:lang w:eastAsia="sl-SI"/>
        </w:rPr>
        <w:t xml:space="preserve">V tem primeru bi takšno plačilo lahko pomenilo, da gre po vsebini za »skoraj ničelno« davčno stopnjo in bi s tem bili lahko izpolnjeni pogoji za poročanje. </w:t>
      </w:r>
    </w:p>
    <w:p w14:paraId="2F4CB013" w14:textId="77777777" w:rsidR="003A647C" w:rsidRDefault="003A647C" w:rsidP="003A647C">
      <w:pPr>
        <w:spacing w:line="260" w:lineRule="exact"/>
        <w:jc w:val="both"/>
        <w:rPr>
          <w:lang w:eastAsia="sl-SI"/>
        </w:rPr>
      </w:pPr>
    </w:p>
    <w:p w14:paraId="2C0B9C73" w14:textId="77777777" w:rsidR="00E01D89" w:rsidRDefault="00E01D89" w:rsidP="00697F07">
      <w:pPr>
        <w:spacing w:line="260" w:lineRule="exact"/>
        <w:rPr>
          <w:lang w:eastAsia="sl-SI"/>
        </w:rPr>
      </w:pPr>
    </w:p>
    <w:p w14:paraId="547DAF8F" w14:textId="77777777" w:rsidR="006542F5" w:rsidRDefault="00442390" w:rsidP="00697F07">
      <w:pPr>
        <w:spacing w:line="260" w:lineRule="exact"/>
        <w:rPr>
          <w:lang w:eastAsia="sl-SI"/>
        </w:rPr>
      </w:pPr>
      <w:bookmarkStart w:id="50" w:name="_Toc75160033"/>
      <w:r w:rsidRPr="00E01D89">
        <w:rPr>
          <w:rStyle w:val="Naslov3Znak"/>
        </w:rPr>
        <w:t>Primer</w:t>
      </w:r>
      <w:r w:rsidR="006542F5" w:rsidRPr="00E01D89">
        <w:rPr>
          <w:rStyle w:val="Naslov3Znak"/>
        </w:rPr>
        <w:t>i: C1</w:t>
      </w:r>
      <w:bookmarkEnd w:id="50"/>
      <w:r w:rsidR="006542F5">
        <w:rPr>
          <w:lang w:eastAsia="sl-SI"/>
        </w:rPr>
        <w:t xml:space="preserve"> </w:t>
      </w:r>
      <w:r w:rsidR="006542F5" w:rsidRPr="00E01D89">
        <w:rPr>
          <w:b/>
          <w:lang w:eastAsia="sl-SI"/>
        </w:rPr>
        <w:t>– odbitna plačila</w:t>
      </w:r>
    </w:p>
    <w:p w14:paraId="74C4DB3C" w14:textId="77777777" w:rsidR="006542F5" w:rsidRDefault="006542F5" w:rsidP="00697F07">
      <w:pPr>
        <w:spacing w:line="260" w:lineRule="exact"/>
        <w:jc w:val="both"/>
        <w:rPr>
          <w:lang w:eastAsia="sl-SI"/>
        </w:rPr>
      </w:pPr>
    </w:p>
    <w:p w14:paraId="3F1B8847" w14:textId="77777777" w:rsidR="006542F5" w:rsidRPr="00D537F5" w:rsidRDefault="00D537F5" w:rsidP="00697F07">
      <w:pPr>
        <w:pStyle w:val="Odstavekseznama"/>
        <w:spacing w:line="260" w:lineRule="exact"/>
        <w:jc w:val="both"/>
      </w:pPr>
      <w:r>
        <w:rPr>
          <w:i/>
        </w:rPr>
        <w:t xml:space="preserve">a) </w:t>
      </w:r>
      <w:r w:rsidR="006542F5" w:rsidRPr="00D537F5">
        <w:t>Licence za uporabo IP</w:t>
      </w:r>
    </w:p>
    <w:p w14:paraId="1E47F2D2" w14:textId="77777777" w:rsidR="006542F5" w:rsidRPr="00D537F5" w:rsidRDefault="006542F5" w:rsidP="00697F07">
      <w:pPr>
        <w:pStyle w:val="Odstavekseznama"/>
        <w:spacing w:line="260" w:lineRule="exact"/>
        <w:jc w:val="both"/>
      </w:pPr>
    </w:p>
    <w:p w14:paraId="493B32C3" w14:textId="77777777" w:rsidR="00442390" w:rsidRPr="00D537F5" w:rsidRDefault="006542F5" w:rsidP="00697F07">
      <w:pPr>
        <w:pStyle w:val="Odstavekseznama"/>
        <w:spacing w:line="260" w:lineRule="exact"/>
        <w:jc w:val="both"/>
      </w:pPr>
      <w:r w:rsidRPr="00D537F5">
        <w:t>D</w:t>
      </w:r>
      <w:r w:rsidR="00442390" w:rsidRPr="00D537F5">
        <w:t xml:space="preserve">ružba A je rezidentka države članice A z visoko stopnjo obdavčitve. Razpolaga z licenco za uporabo intelektualne lastnine </w:t>
      </w:r>
      <w:r w:rsidR="0002259A" w:rsidRPr="00D537F5">
        <w:t>mednarodne skupine podjetij</w:t>
      </w:r>
      <w:r w:rsidR="00442390" w:rsidRPr="00D537F5">
        <w:t xml:space="preserve">, </w:t>
      </w:r>
      <w:r w:rsidR="00DC6F3F" w:rsidRPr="00D537F5">
        <w:t xml:space="preserve">katere </w:t>
      </w:r>
      <w:r w:rsidR="00442390" w:rsidRPr="00D537F5">
        <w:t>matična</w:t>
      </w:r>
      <w:r w:rsidR="001544C5" w:rsidRPr="00D537F5">
        <w:t xml:space="preserve"> </w:t>
      </w:r>
      <w:r w:rsidR="00442390" w:rsidRPr="00D537F5">
        <w:t>d</w:t>
      </w:r>
      <w:r w:rsidR="001544C5" w:rsidRPr="00D537F5">
        <w:t>r</w:t>
      </w:r>
      <w:r w:rsidR="00442390" w:rsidRPr="00D537F5">
        <w:t>užba je locirana v eni izmed glavnih trgovinski partneric EU. Licenca je podeljena preko centra sk</w:t>
      </w:r>
      <w:r w:rsidR="001544C5" w:rsidRPr="00D537F5">
        <w:t>upine (IP center), ki je locira</w:t>
      </w:r>
      <w:r w:rsidR="00442390" w:rsidRPr="00D537F5">
        <w:t>n v tretji državi</w:t>
      </w:r>
      <w:r w:rsidR="001544C5" w:rsidRPr="00D537F5">
        <w:t xml:space="preserve"> z ničelno stopnjo davka od doh</w:t>
      </w:r>
      <w:r w:rsidR="00442390" w:rsidRPr="00D537F5">
        <w:t>o</w:t>
      </w:r>
      <w:r w:rsidR="001544C5" w:rsidRPr="00D537F5">
        <w:t>d</w:t>
      </w:r>
      <w:r w:rsidR="00442390" w:rsidRPr="00D537F5">
        <w:t xml:space="preserve">kov pravnih oseb. </w:t>
      </w:r>
    </w:p>
    <w:p w14:paraId="7F173FD3" w14:textId="77777777" w:rsidR="00442390" w:rsidRPr="00D537F5" w:rsidRDefault="00442390" w:rsidP="00697F07">
      <w:pPr>
        <w:spacing w:line="260" w:lineRule="exact"/>
        <w:jc w:val="both"/>
        <w:rPr>
          <w:lang w:eastAsia="sl-SI"/>
        </w:rPr>
      </w:pPr>
    </w:p>
    <w:p w14:paraId="39F86B74" w14:textId="77777777" w:rsidR="009A507B" w:rsidRPr="00D537F5" w:rsidRDefault="00442390" w:rsidP="00697F07">
      <w:pPr>
        <w:spacing w:line="260" w:lineRule="exact"/>
        <w:ind w:left="709"/>
        <w:jc w:val="both"/>
        <w:rPr>
          <w:lang w:eastAsia="sl-SI"/>
        </w:rPr>
      </w:pPr>
      <w:r w:rsidRPr="00D537F5">
        <w:rPr>
          <w:lang w:eastAsia="sl-SI"/>
        </w:rPr>
        <w:t>Družba A plačuje licenčnino družbi IP</w:t>
      </w:r>
      <w:r w:rsidR="007C2634" w:rsidRPr="00D537F5">
        <w:rPr>
          <w:lang w:eastAsia="sl-SI"/>
        </w:rPr>
        <w:t>.</w:t>
      </w:r>
      <w:r w:rsidR="003A647C">
        <w:rPr>
          <w:lang w:eastAsia="sl-SI"/>
        </w:rPr>
        <w:t xml:space="preserve"> </w:t>
      </w:r>
      <w:r w:rsidR="007C2634" w:rsidRPr="00D537F5">
        <w:rPr>
          <w:lang w:eastAsia="sl-SI"/>
        </w:rPr>
        <w:t>D</w:t>
      </w:r>
      <w:r w:rsidRPr="00D537F5">
        <w:rPr>
          <w:lang w:eastAsia="sl-SI"/>
        </w:rPr>
        <w:t>a bi se pri tem izognili plačilu davčnega odtegljaja v višini 15% (ni sklenjen davčni sporazum</w:t>
      </w:r>
      <w:r w:rsidR="00063634" w:rsidRPr="00D537F5">
        <w:rPr>
          <w:lang w:eastAsia="sl-SI"/>
        </w:rPr>
        <w:t xml:space="preserve">), </w:t>
      </w:r>
      <w:r w:rsidR="007C2634" w:rsidRPr="00D537F5">
        <w:rPr>
          <w:lang w:eastAsia="sl-SI"/>
        </w:rPr>
        <w:t>mednarodna skupina podjetij</w:t>
      </w:r>
      <w:r w:rsidR="00063634" w:rsidRPr="00D537F5">
        <w:rPr>
          <w:lang w:eastAsia="sl-SI"/>
        </w:rPr>
        <w:t xml:space="preserve"> ustanovi novo družbo</w:t>
      </w:r>
      <w:r w:rsidRPr="00D537F5">
        <w:rPr>
          <w:lang w:eastAsia="sl-SI"/>
        </w:rPr>
        <w:t xml:space="preserve"> NewCo v eni izmed</w:t>
      </w:r>
      <w:r w:rsidR="00D50E16" w:rsidRPr="00D537F5">
        <w:rPr>
          <w:lang w:eastAsia="sl-SI"/>
        </w:rPr>
        <w:t xml:space="preserve"> držav članic, </w:t>
      </w:r>
      <w:r w:rsidR="007C2634" w:rsidRPr="00D537F5">
        <w:rPr>
          <w:lang w:eastAsia="sl-SI"/>
        </w:rPr>
        <w:t>v</w:t>
      </w:r>
      <w:r w:rsidR="00D50E16" w:rsidRPr="00D537F5">
        <w:rPr>
          <w:lang w:eastAsia="sl-SI"/>
        </w:rPr>
        <w:t xml:space="preserve"> kater</w:t>
      </w:r>
      <w:r w:rsidR="007C2634" w:rsidRPr="00D537F5">
        <w:rPr>
          <w:lang w:eastAsia="sl-SI"/>
        </w:rPr>
        <w:t>i</w:t>
      </w:r>
      <w:r w:rsidR="00D50E16" w:rsidRPr="00D537F5">
        <w:rPr>
          <w:lang w:eastAsia="sl-SI"/>
        </w:rPr>
        <w:t xml:space="preserve"> plačila dohodkov v tretje države ne podležejo davčnemu odtegljaju.</w:t>
      </w:r>
      <w:r w:rsidR="001544C5" w:rsidRPr="00D537F5">
        <w:rPr>
          <w:lang w:eastAsia="sl-SI"/>
        </w:rPr>
        <w:t xml:space="preserve"> NewCo pridobi vlogo </w:t>
      </w:r>
      <w:r w:rsidR="007C2634" w:rsidRPr="00D537F5">
        <w:rPr>
          <w:lang w:eastAsia="sl-SI"/>
        </w:rPr>
        <w:t>podlicencojemalca (</w:t>
      </w:r>
      <w:r w:rsidR="001544C5" w:rsidRPr="00D537F5">
        <w:rPr>
          <w:lang w:eastAsia="sl-SI"/>
        </w:rPr>
        <w:t>su</w:t>
      </w:r>
      <w:r w:rsidR="00063634" w:rsidRPr="00D537F5">
        <w:rPr>
          <w:lang w:eastAsia="sl-SI"/>
        </w:rPr>
        <w:t>blicens</w:t>
      </w:r>
      <w:r w:rsidR="00D50E16" w:rsidRPr="00D537F5">
        <w:rPr>
          <w:lang w:eastAsia="sl-SI"/>
        </w:rPr>
        <w:t>e</w:t>
      </w:r>
      <w:r w:rsidR="007C2634" w:rsidRPr="00D537F5">
        <w:rPr>
          <w:lang w:eastAsia="sl-SI"/>
        </w:rPr>
        <w:t>e)</w:t>
      </w:r>
      <w:r w:rsidR="00D50E16" w:rsidRPr="00D537F5">
        <w:rPr>
          <w:lang w:eastAsia="sl-SI"/>
        </w:rPr>
        <w:t xml:space="preserve"> za upravljanje intelektualne lastnine </w:t>
      </w:r>
      <w:r w:rsidR="007C2634" w:rsidRPr="00D537F5">
        <w:rPr>
          <w:lang w:eastAsia="sl-SI"/>
        </w:rPr>
        <w:t xml:space="preserve">mednarodne </w:t>
      </w:r>
      <w:r w:rsidR="00D50E16" w:rsidRPr="00D537F5">
        <w:rPr>
          <w:lang w:eastAsia="sl-SI"/>
        </w:rPr>
        <w:t>skupine</w:t>
      </w:r>
      <w:r w:rsidR="007C2634" w:rsidRPr="00D537F5">
        <w:rPr>
          <w:lang w:eastAsia="sl-SI"/>
        </w:rPr>
        <w:t xml:space="preserve"> podjetij</w:t>
      </w:r>
      <w:r w:rsidR="00D50E16" w:rsidRPr="00D537F5">
        <w:rPr>
          <w:lang w:eastAsia="sl-SI"/>
        </w:rPr>
        <w:t xml:space="preserve"> po celotni EU. </w:t>
      </w:r>
    </w:p>
    <w:p w14:paraId="0A3F06E7" w14:textId="77777777" w:rsidR="00D50E16" w:rsidRPr="00D537F5" w:rsidRDefault="00D50E16" w:rsidP="00697F07">
      <w:pPr>
        <w:spacing w:line="260" w:lineRule="exact"/>
        <w:ind w:left="709"/>
        <w:jc w:val="both"/>
        <w:rPr>
          <w:lang w:eastAsia="sl-SI"/>
        </w:rPr>
      </w:pPr>
    </w:p>
    <w:p w14:paraId="2EF88384" w14:textId="77777777" w:rsidR="00D50E16" w:rsidRPr="00D537F5" w:rsidRDefault="00D50E16" w:rsidP="00697F07">
      <w:pPr>
        <w:spacing w:line="260" w:lineRule="exact"/>
        <w:ind w:left="709"/>
        <w:jc w:val="both"/>
        <w:rPr>
          <w:lang w:eastAsia="sl-SI"/>
        </w:rPr>
      </w:pPr>
      <w:r w:rsidRPr="00D537F5">
        <w:rPr>
          <w:lang w:eastAsia="sl-SI"/>
        </w:rPr>
        <w:t>Družba A plača licenčnino družbi Ne</w:t>
      </w:r>
      <w:r w:rsidR="00617F0D" w:rsidRPr="00D537F5">
        <w:rPr>
          <w:lang w:eastAsia="sl-SI"/>
        </w:rPr>
        <w:t>w</w:t>
      </w:r>
      <w:r w:rsidRPr="00D537F5">
        <w:rPr>
          <w:lang w:eastAsia="sl-SI"/>
        </w:rPr>
        <w:t>Co pod pogoji davčnega sp</w:t>
      </w:r>
      <w:r w:rsidR="00063634" w:rsidRPr="00D537F5">
        <w:rPr>
          <w:lang w:eastAsia="sl-SI"/>
        </w:rPr>
        <w:t>o</w:t>
      </w:r>
      <w:r w:rsidRPr="00D537F5">
        <w:rPr>
          <w:lang w:eastAsia="sl-SI"/>
        </w:rPr>
        <w:t xml:space="preserve">razuma, ki sledi vzročni konvenciji OECD in zagotavlja oprostitev davčnega odtegljaja. V nadaljevanju </w:t>
      </w:r>
      <w:r w:rsidR="006B4FF6" w:rsidRPr="00D537F5">
        <w:rPr>
          <w:lang w:eastAsia="sl-SI"/>
        </w:rPr>
        <w:t xml:space="preserve">družba </w:t>
      </w:r>
      <w:r w:rsidRPr="00D537F5">
        <w:rPr>
          <w:lang w:eastAsia="sl-SI"/>
        </w:rPr>
        <w:t>NewCo plača licenčnino družbi IP v tretjo državo,</w:t>
      </w:r>
      <w:r w:rsidR="003A647C">
        <w:rPr>
          <w:lang w:eastAsia="sl-SI"/>
        </w:rPr>
        <w:t xml:space="preserve"> </w:t>
      </w:r>
      <w:r w:rsidRPr="00D537F5">
        <w:rPr>
          <w:lang w:eastAsia="sl-SI"/>
        </w:rPr>
        <w:t>dav</w:t>
      </w:r>
      <w:r w:rsidR="001544C5" w:rsidRPr="00D537F5">
        <w:rPr>
          <w:lang w:eastAsia="sl-SI"/>
        </w:rPr>
        <w:t xml:space="preserve">čni odtegljaj </w:t>
      </w:r>
      <w:r w:rsidR="00DC6F3F" w:rsidRPr="00D537F5">
        <w:rPr>
          <w:lang w:eastAsia="sl-SI"/>
        </w:rPr>
        <w:t xml:space="preserve">pa se </w:t>
      </w:r>
      <w:r w:rsidR="001544C5" w:rsidRPr="00D537F5">
        <w:rPr>
          <w:lang w:eastAsia="sl-SI"/>
        </w:rPr>
        <w:t>ravno tako ne obr</w:t>
      </w:r>
      <w:r w:rsidRPr="00D537F5">
        <w:rPr>
          <w:lang w:eastAsia="sl-SI"/>
        </w:rPr>
        <w:t>a</w:t>
      </w:r>
      <w:r w:rsidR="001544C5" w:rsidRPr="00D537F5">
        <w:rPr>
          <w:lang w:eastAsia="sl-SI"/>
        </w:rPr>
        <w:t>č</w:t>
      </w:r>
      <w:r w:rsidRPr="00D537F5">
        <w:rPr>
          <w:lang w:eastAsia="sl-SI"/>
        </w:rPr>
        <w:t>una, ker se po nacionalni zakonodaji tov</w:t>
      </w:r>
      <w:r w:rsidR="00617F0D" w:rsidRPr="00D537F5">
        <w:rPr>
          <w:lang w:eastAsia="sl-SI"/>
        </w:rPr>
        <w:t>r</w:t>
      </w:r>
      <w:r w:rsidR="001544C5" w:rsidRPr="00D537F5">
        <w:rPr>
          <w:lang w:eastAsia="sl-SI"/>
        </w:rPr>
        <w:t>s</w:t>
      </w:r>
      <w:r w:rsidR="00617F0D" w:rsidRPr="00D537F5">
        <w:rPr>
          <w:lang w:eastAsia="sl-SI"/>
        </w:rPr>
        <w:t>t</w:t>
      </w:r>
      <w:r w:rsidR="001544C5" w:rsidRPr="00D537F5">
        <w:rPr>
          <w:lang w:eastAsia="sl-SI"/>
        </w:rPr>
        <w:t>na izh</w:t>
      </w:r>
      <w:r w:rsidRPr="00D537F5">
        <w:rPr>
          <w:lang w:eastAsia="sl-SI"/>
        </w:rPr>
        <w:t>odna plačila ne ob</w:t>
      </w:r>
      <w:r w:rsidR="001544C5" w:rsidRPr="00D537F5">
        <w:rPr>
          <w:lang w:eastAsia="sl-SI"/>
        </w:rPr>
        <w:t>dav</w:t>
      </w:r>
      <w:r w:rsidRPr="00D537F5">
        <w:rPr>
          <w:lang w:eastAsia="sl-SI"/>
        </w:rPr>
        <w:t>čijo.</w:t>
      </w:r>
    </w:p>
    <w:p w14:paraId="0EDA3041" w14:textId="77777777" w:rsidR="00D50E16" w:rsidRPr="00D537F5" w:rsidRDefault="00D50E16" w:rsidP="00697F07">
      <w:pPr>
        <w:spacing w:line="260" w:lineRule="exact"/>
        <w:ind w:left="709"/>
        <w:jc w:val="both"/>
        <w:rPr>
          <w:lang w:eastAsia="sl-SI"/>
        </w:rPr>
      </w:pPr>
    </w:p>
    <w:p w14:paraId="6379E429" w14:textId="77777777" w:rsidR="00D50E16" w:rsidRPr="00D537F5" w:rsidRDefault="006B4FF6" w:rsidP="00697F07">
      <w:pPr>
        <w:spacing w:line="260" w:lineRule="exact"/>
        <w:ind w:left="709"/>
        <w:jc w:val="both"/>
        <w:rPr>
          <w:lang w:eastAsia="sl-SI"/>
        </w:rPr>
      </w:pPr>
      <w:r w:rsidRPr="00D537F5">
        <w:rPr>
          <w:lang w:eastAsia="sl-SI"/>
        </w:rPr>
        <w:t xml:space="preserve">Družba </w:t>
      </w:r>
      <w:r w:rsidR="00D50E16" w:rsidRPr="00D537F5">
        <w:rPr>
          <w:lang w:eastAsia="sl-SI"/>
        </w:rPr>
        <w:t xml:space="preserve">NewCo prejete licenčnine od družbe A izkazuje kot prihodek, plačane licenčnine družbi IP pa kot odhodek, s čimer se znižuje njena davčna osnova.  </w:t>
      </w:r>
    </w:p>
    <w:p w14:paraId="5632DBB9" w14:textId="77777777" w:rsidR="00D50E16" w:rsidRPr="00D537F5" w:rsidRDefault="00D50E16" w:rsidP="00697F07">
      <w:pPr>
        <w:spacing w:line="260" w:lineRule="exact"/>
        <w:ind w:left="709"/>
        <w:jc w:val="both"/>
        <w:rPr>
          <w:lang w:eastAsia="sl-SI"/>
        </w:rPr>
      </w:pPr>
    </w:p>
    <w:p w14:paraId="78243872" w14:textId="77777777" w:rsidR="006542F5" w:rsidRDefault="00D50E16" w:rsidP="00697F07">
      <w:pPr>
        <w:spacing w:line="260" w:lineRule="exact"/>
        <w:ind w:left="709"/>
        <w:jc w:val="both"/>
        <w:rPr>
          <w:i/>
          <w:lang w:eastAsia="sl-SI"/>
        </w:rPr>
      </w:pPr>
      <w:r w:rsidRPr="00D537F5">
        <w:rPr>
          <w:lang w:eastAsia="sl-SI"/>
        </w:rPr>
        <w:t>Tak aranžma omog</w:t>
      </w:r>
      <w:r w:rsidR="001544C5" w:rsidRPr="00D537F5">
        <w:rPr>
          <w:lang w:eastAsia="sl-SI"/>
        </w:rPr>
        <w:t>o</w:t>
      </w:r>
      <w:r w:rsidRPr="00D537F5">
        <w:rPr>
          <w:lang w:eastAsia="sl-SI"/>
        </w:rPr>
        <w:t>ča, da se lice</w:t>
      </w:r>
      <w:r w:rsidR="005510AA" w:rsidRPr="00D537F5">
        <w:rPr>
          <w:lang w:eastAsia="sl-SI"/>
        </w:rPr>
        <w:t>n</w:t>
      </w:r>
      <w:r w:rsidR="00617F0D" w:rsidRPr="00D537F5">
        <w:rPr>
          <w:lang w:eastAsia="sl-SI"/>
        </w:rPr>
        <w:t>čnine neobdavčeno prelije</w:t>
      </w:r>
      <w:r w:rsidRPr="00D537F5">
        <w:rPr>
          <w:lang w:eastAsia="sl-SI"/>
        </w:rPr>
        <w:t>jo v IP c</w:t>
      </w:r>
      <w:r w:rsidR="005510AA" w:rsidRPr="00D537F5">
        <w:rPr>
          <w:lang w:eastAsia="sl-SI"/>
        </w:rPr>
        <w:t>enter izven EU, kjer je ta priho</w:t>
      </w:r>
      <w:r w:rsidRPr="00D537F5">
        <w:rPr>
          <w:lang w:eastAsia="sl-SI"/>
        </w:rPr>
        <w:t>dek obdavčen p</w:t>
      </w:r>
      <w:r w:rsidR="005510AA" w:rsidRPr="00D537F5">
        <w:rPr>
          <w:lang w:eastAsia="sl-SI"/>
        </w:rPr>
        <w:t>o</w:t>
      </w:r>
      <w:r w:rsidRPr="00D537F5">
        <w:rPr>
          <w:lang w:eastAsia="sl-SI"/>
        </w:rPr>
        <w:t xml:space="preserve"> niče</w:t>
      </w:r>
      <w:r w:rsidR="005510AA" w:rsidRPr="00D537F5">
        <w:rPr>
          <w:lang w:eastAsia="sl-SI"/>
        </w:rPr>
        <w:t>l</w:t>
      </w:r>
      <w:r w:rsidR="001544C5" w:rsidRPr="00D537F5">
        <w:rPr>
          <w:lang w:eastAsia="sl-SI"/>
        </w:rPr>
        <w:t>ni st</w:t>
      </w:r>
      <w:r w:rsidRPr="00D537F5">
        <w:rPr>
          <w:lang w:eastAsia="sl-SI"/>
        </w:rPr>
        <w:t xml:space="preserve">opnji. </w:t>
      </w:r>
    </w:p>
    <w:p w14:paraId="2096715D" w14:textId="77777777" w:rsidR="006542F5" w:rsidRDefault="006542F5" w:rsidP="00697F07">
      <w:pPr>
        <w:pStyle w:val="Odstavekseznama"/>
        <w:spacing w:line="260" w:lineRule="exact"/>
        <w:jc w:val="both"/>
        <w:rPr>
          <w:i/>
        </w:rPr>
      </w:pPr>
    </w:p>
    <w:p w14:paraId="4687D1AE" w14:textId="77777777" w:rsidR="00442390" w:rsidRPr="00442390" w:rsidRDefault="00442390" w:rsidP="00697F07">
      <w:pPr>
        <w:pStyle w:val="Naslov3"/>
        <w:numPr>
          <w:ilvl w:val="0"/>
          <w:numId w:val="0"/>
        </w:numPr>
        <w:spacing w:line="260" w:lineRule="exact"/>
        <w:ind w:left="567"/>
        <w:rPr>
          <w:lang w:eastAsia="sl-SI"/>
        </w:rPr>
      </w:pPr>
      <w:bookmarkStart w:id="51" w:name="_Toc75160034"/>
      <w:r w:rsidRPr="00442390">
        <w:rPr>
          <w:lang w:eastAsia="sl-SI"/>
        </w:rPr>
        <w:t>C2. Odbitki za isto amortizacijo sredstev se uveljavljajo v več kot eni jurisdikciji</w:t>
      </w:r>
      <w:bookmarkEnd w:id="51"/>
    </w:p>
    <w:p w14:paraId="6383D255" w14:textId="77777777" w:rsidR="00C44F3C" w:rsidRDefault="00C44F3C" w:rsidP="00697F07">
      <w:pPr>
        <w:spacing w:line="260" w:lineRule="exact"/>
        <w:jc w:val="both"/>
        <w:rPr>
          <w:rFonts w:ascii="EUAlbertina-Regu" w:hAnsi="EUAlbertina-Regu" w:cs="EUAlbertina-Regu"/>
          <w:b/>
          <w:sz w:val="19"/>
          <w:szCs w:val="19"/>
          <w:lang w:eastAsia="sl-SI"/>
        </w:rPr>
      </w:pPr>
    </w:p>
    <w:p w14:paraId="5328E3B7" w14:textId="77777777" w:rsidR="00C15B8A" w:rsidRPr="002D4764" w:rsidRDefault="00C15B8A" w:rsidP="00697F07">
      <w:pPr>
        <w:spacing w:line="260" w:lineRule="exact"/>
        <w:jc w:val="both"/>
        <w:rPr>
          <w:rFonts w:cs="Arial"/>
          <w:szCs w:val="20"/>
          <w:lang w:eastAsia="sl-SI"/>
        </w:rPr>
      </w:pPr>
      <w:r w:rsidRPr="002D4764">
        <w:rPr>
          <w:rFonts w:cs="Arial"/>
          <w:szCs w:val="20"/>
          <w:lang w:eastAsia="sl-SI"/>
        </w:rPr>
        <w:t>Poročanje o prepoznavni značilnosti C2 se nanaša na vse prenose vrednosti opredmetenih in neopredmetenih sredstev v stroške na podlagi njihove funkcionalne in ekonomske izrabe (v nadaljevanju poimenovano amortizacija), ne glede na to kako so ti prenosi v posameznih okoljih poimenovani (npr. amortizacija, depreciacija</w:t>
      </w:r>
      <w:r w:rsidR="00E23D31">
        <w:rPr>
          <w:rFonts w:cs="Arial"/>
          <w:szCs w:val="20"/>
          <w:lang w:eastAsia="sl-SI"/>
        </w:rPr>
        <w:t>,</w:t>
      </w:r>
      <w:r w:rsidRPr="002D4764">
        <w:rPr>
          <w:rFonts w:cs="Arial"/>
          <w:szCs w:val="20"/>
          <w:lang w:eastAsia="sl-SI"/>
        </w:rPr>
        <w:t xml:space="preserve">…). </w:t>
      </w:r>
    </w:p>
    <w:p w14:paraId="62B4BF57" w14:textId="77777777" w:rsidR="00C15B8A" w:rsidRPr="002D4764" w:rsidRDefault="00C15B8A" w:rsidP="00697F07">
      <w:pPr>
        <w:spacing w:line="260" w:lineRule="exact"/>
        <w:jc w:val="both"/>
        <w:rPr>
          <w:rFonts w:cs="Arial"/>
          <w:szCs w:val="20"/>
          <w:lang w:eastAsia="sl-SI"/>
        </w:rPr>
      </w:pPr>
    </w:p>
    <w:p w14:paraId="4B1D60F8" w14:textId="77777777" w:rsidR="00C15B8A" w:rsidRPr="002D4764" w:rsidRDefault="00C15B8A" w:rsidP="00697F07">
      <w:pPr>
        <w:spacing w:line="260" w:lineRule="exact"/>
        <w:jc w:val="both"/>
        <w:rPr>
          <w:rFonts w:cs="Arial"/>
          <w:szCs w:val="20"/>
          <w:lang w:eastAsia="sl-SI"/>
        </w:rPr>
      </w:pPr>
      <w:r w:rsidRPr="002D4764">
        <w:rPr>
          <w:rFonts w:cs="Arial"/>
          <w:szCs w:val="20"/>
          <w:lang w:eastAsia="sl-SI"/>
        </w:rPr>
        <w:t>Predmet poročanja o prepoznavni značilnosti C2 so odhodki iz naslova amortizacije sredstev, ki so hkrati evidentirana med sredstvi matičnega podjetja v prvi državi in njegove podružnice oziroma poslovne enote v drugi državi, pri čemer je ena od teh dveh držav Slovenija. Poročanje je omejeno na primere, ko se odhodki iz naslova amortizacije istega sredstva v posameznem poslovnem obdobju v izkazu poslovnega izida matičnega podjetja in v izkazu poslovnega izida podružnice oziroma poslovne enote med seboj razlikujejo zaradi katerega koli vzroka.</w:t>
      </w:r>
    </w:p>
    <w:p w14:paraId="411DE74E" w14:textId="77777777" w:rsidR="00C15B8A" w:rsidRPr="002D4764" w:rsidRDefault="00C15B8A" w:rsidP="00697F07">
      <w:pPr>
        <w:spacing w:line="260" w:lineRule="exact"/>
        <w:jc w:val="both"/>
        <w:rPr>
          <w:rFonts w:cs="Arial"/>
          <w:szCs w:val="20"/>
          <w:lang w:eastAsia="sl-SI"/>
        </w:rPr>
      </w:pPr>
    </w:p>
    <w:p w14:paraId="333F73AD" w14:textId="77777777" w:rsidR="00C15B8A" w:rsidRPr="002D4764" w:rsidRDefault="00C15B8A" w:rsidP="00697F07">
      <w:pPr>
        <w:spacing w:line="260" w:lineRule="exact"/>
        <w:jc w:val="both"/>
        <w:rPr>
          <w:rFonts w:cs="Arial"/>
          <w:szCs w:val="20"/>
          <w:lang w:eastAsia="sl-SI"/>
        </w:rPr>
      </w:pPr>
      <w:r w:rsidRPr="002D4764">
        <w:rPr>
          <w:rFonts w:cs="Arial"/>
          <w:szCs w:val="20"/>
          <w:lang w:eastAsia="sl-SI"/>
        </w:rPr>
        <w:t>Predmet poročanja o prepoznavni značilnosti C2 so tudi odhodki iz naslova amortizacije sredstev, ki so hkrati evidentirana med sredstvi prvega podjetja v prvi državi in z njim povezanega drugega podjetja v drugi državi, pri čemer je ena od teh dveh držav Slovenija. Do navedene okoliščine primeroma lahko pride, ko podjetje - najemodajalec posel obravnava kot poslovni najem, podjetje - najemnik pa kot finančni najem. Poroča se o vseh primerih</w:t>
      </w:r>
      <w:r w:rsidR="009D6464">
        <w:rPr>
          <w:rFonts w:cs="Arial"/>
          <w:szCs w:val="20"/>
          <w:lang w:eastAsia="sl-SI"/>
        </w:rPr>
        <w:t>,</w:t>
      </w:r>
      <w:r w:rsidRPr="002D4764">
        <w:rPr>
          <w:rFonts w:cs="Arial"/>
          <w:szCs w:val="20"/>
          <w:lang w:eastAsia="sl-SI"/>
        </w:rPr>
        <w:t xml:space="preserve"> v katerih prihaja do hkratnega pripoznanja sredstva, ki je predmet amortizacije, v poslovnih knjigah najemodajalca in najemnika.</w:t>
      </w:r>
    </w:p>
    <w:p w14:paraId="2445939C" w14:textId="77777777" w:rsidR="00C15B8A" w:rsidRPr="002D4764" w:rsidRDefault="00C15B8A" w:rsidP="00697F07">
      <w:pPr>
        <w:spacing w:line="260" w:lineRule="exact"/>
        <w:jc w:val="both"/>
        <w:rPr>
          <w:rFonts w:cs="Arial"/>
          <w:szCs w:val="20"/>
          <w:lang w:eastAsia="sl-SI"/>
        </w:rPr>
      </w:pPr>
    </w:p>
    <w:p w14:paraId="1C3C8065" w14:textId="77777777" w:rsidR="00C15B8A" w:rsidRPr="002D4764" w:rsidRDefault="00C15B8A" w:rsidP="00697F07">
      <w:pPr>
        <w:spacing w:line="260" w:lineRule="exact"/>
        <w:jc w:val="both"/>
        <w:rPr>
          <w:rFonts w:cs="Arial"/>
          <w:szCs w:val="20"/>
          <w:lang w:eastAsia="sl-SI"/>
        </w:rPr>
      </w:pPr>
      <w:r w:rsidRPr="002D4764">
        <w:rPr>
          <w:rFonts w:cs="Arial"/>
          <w:szCs w:val="20"/>
          <w:lang w:eastAsia="sl-SI"/>
        </w:rPr>
        <w:t>V primeru poslovnega najema najemodajalec amortizira sredstvo, najemojemalec pa amortizira pravico do najema. Ker prvo amortizacijo opredeljuje doba koristnosti sredstva in njegova vrednost, drugo amortizacijo pa opredeljuje obdobje najema in diskontirana sedanja vrednost bodočih najemnin, navedeni amortizaciji med seboj ne moremo enačiti. Poročanje o prepoznavni značilnosti C2 se posledično ne nanaša na primerjavo med amortizacijo sredstva in amortizacijo pravice do uporabe tega sredstva, v primeru ko tako najemodajalec kot tudi najemojemalec posel smatrata za poslovni najem.</w:t>
      </w:r>
    </w:p>
    <w:p w14:paraId="5816696C" w14:textId="77777777" w:rsidR="00C15B8A" w:rsidRDefault="00C15B8A" w:rsidP="00697F07">
      <w:pPr>
        <w:spacing w:line="260" w:lineRule="exact"/>
        <w:rPr>
          <w:rFonts w:ascii="Calibri" w:hAnsi="Calibri"/>
          <w:sz w:val="22"/>
          <w:szCs w:val="22"/>
        </w:rPr>
      </w:pPr>
    </w:p>
    <w:p w14:paraId="6ED7400E" w14:textId="77777777" w:rsidR="00442390" w:rsidRDefault="00442390" w:rsidP="00697F07">
      <w:pPr>
        <w:pStyle w:val="Naslov3"/>
        <w:numPr>
          <w:ilvl w:val="0"/>
          <w:numId w:val="0"/>
        </w:numPr>
        <w:spacing w:line="260" w:lineRule="exact"/>
        <w:ind w:left="567"/>
        <w:rPr>
          <w:lang w:eastAsia="sl-SI"/>
        </w:rPr>
      </w:pPr>
      <w:bookmarkStart w:id="52" w:name="_Toc75160035"/>
      <w:r w:rsidRPr="00442390">
        <w:rPr>
          <w:lang w:eastAsia="sl-SI"/>
        </w:rPr>
        <w:t>C3. Oprostitev dvojnega obdavčevanja v zvezi z isto postavko dohodkov ali kapitala se uveljavlja v več kot eni jurisdikciji</w:t>
      </w:r>
      <w:bookmarkEnd w:id="52"/>
    </w:p>
    <w:p w14:paraId="52C14189" w14:textId="77777777" w:rsidR="00E93A1F" w:rsidRPr="00E93A1F" w:rsidRDefault="00E93A1F" w:rsidP="00697F07">
      <w:pPr>
        <w:spacing w:line="260" w:lineRule="exact"/>
        <w:rPr>
          <w:lang w:eastAsia="sl-SI"/>
        </w:rPr>
      </w:pPr>
    </w:p>
    <w:p w14:paraId="5AFC06B3" w14:textId="77777777" w:rsidR="00E93A1F" w:rsidRPr="002D4764" w:rsidRDefault="00E93A1F" w:rsidP="00697F07">
      <w:pPr>
        <w:spacing w:line="260" w:lineRule="exact"/>
        <w:jc w:val="both"/>
        <w:rPr>
          <w:rFonts w:cs="Arial"/>
          <w:color w:val="000000" w:themeColor="text1"/>
          <w:szCs w:val="20"/>
        </w:rPr>
      </w:pPr>
      <w:r w:rsidRPr="002D4764">
        <w:rPr>
          <w:rFonts w:cs="Arial"/>
          <w:color w:val="000000" w:themeColor="text1"/>
          <w:szCs w:val="20"/>
        </w:rPr>
        <w:t xml:space="preserve">Prepoznavna značilnost C3 zajema situacije, kjer se kot rezultat različnih opredelitev upravičenega lastništva, uveljavlja odprava dvojne obdavčitve v več kot eni jurisdikciji za isto vrsto dohodka. Ta konflikt v pojmovanju upravičenega lastništva se lahko nanaša na konflikt med osebami ali jurisdikcijami. </w:t>
      </w:r>
    </w:p>
    <w:p w14:paraId="1199EA61" w14:textId="77777777" w:rsidR="00E93A1F" w:rsidRPr="002D4764" w:rsidRDefault="00E93A1F" w:rsidP="00697F07">
      <w:pPr>
        <w:spacing w:line="260" w:lineRule="exact"/>
        <w:jc w:val="both"/>
        <w:rPr>
          <w:rFonts w:cs="Arial"/>
          <w:color w:val="000000" w:themeColor="text1"/>
          <w:szCs w:val="20"/>
        </w:rPr>
      </w:pPr>
    </w:p>
    <w:p w14:paraId="58C14D8C" w14:textId="77777777" w:rsidR="00E93A1F" w:rsidRPr="002D4764" w:rsidRDefault="00E93A1F" w:rsidP="00697F07">
      <w:pPr>
        <w:spacing w:line="260" w:lineRule="exact"/>
        <w:jc w:val="both"/>
        <w:rPr>
          <w:rFonts w:cs="Arial"/>
          <w:color w:val="000000" w:themeColor="text1"/>
          <w:szCs w:val="20"/>
        </w:rPr>
      </w:pPr>
      <w:r w:rsidRPr="002D4764">
        <w:rPr>
          <w:rFonts w:cs="Arial"/>
          <w:color w:val="000000" w:themeColor="text1"/>
          <w:szCs w:val="20"/>
        </w:rPr>
        <w:t>Opredelitev te prepoznavne značilnosti je precej abstraktna, zaradi česar jo je treba razlagati precej  široko. Primeroma vključuje davčne aranžmaje, ki zajemajo tehnike zniževanja davčne osnove in dobička, ki so definirana v BEPS Action Plan (OECD, 2013), npr. hibridna neskladja (hybrid mismatch) in t. i. »treaty</w:t>
      </w:r>
      <w:r w:rsidRPr="002D4764">
        <w:rPr>
          <w:rFonts w:cs="Arial"/>
          <w:b/>
          <w:color w:val="000000" w:themeColor="text1"/>
          <w:szCs w:val="20"/>
        </w:rPr>
        <w:t xml:space="preserve"> </w:t>
      </w:r>
      <w:r w:rsidRPr="002D4764">
        <w:rPr>
          <w:rFonts w:cs="Arial"/>
          <w:color w:val="000000" w:themeColor="text1"/>
          <w:szCs w:val="20"/>
        </w:rPr>
        <w:t xml:space="preserve">shoppping arrangements«. </w:t>
      </w:r>
    </w:p>
    <w:p w14:paraId="0AC8EA8D" w14:textId="77777777" w:rsidR="00E93A1F" w:rsidRPr="002D4764" w:rsidRDefault="00E93A1F" w:rsidP="00697F07">
      <w:pPr>
        <w:spacing w:line="260" w:lineRule="exact"/>
        <w:jc w:val="both"/>
        <w:rPr>
          <w:rFonts w:cs="Arial"/>
          <w:color w:val="000000" w:themeColor="text1"/>
          <w:szCs w:val="20"/>
        </w:rPr>
      </w:pPr>
    </w:p>
    <w:p w14:paraId="58DACBE8" w14:textId="77777777" w:rsidR="00491ED0" w:rsidRPr="00582270" w:rsidRDefault="00E93A1F" w:rsidP="00697F07">
      <w:pPr>
        <w:pStyle w:val="Default"/>
        <w:spacing w:line="260" w:lineRule="exact"/>
        <w:jc w:val="both"/>
        <w:rPr>
          <w:color w:val="000000" w:themeColor="text1"/>
          <w:sz w:val="20"/>
          <w:szCs w:val="20"/>
          <w:lang w:val="sl-SI"/>
        </w:rPr>
      </w:pPr>
      <w:r w:rsidRPr="00582270">
        <w:rPr>
          <w:color w:val="000000" w:themeColor="text1"/>
          <w:sz w:val="20"/>
          <w:szCs w:val="20"/>
          <w:lang w:val="sl-SI"/>
        </w:rPr>
        <w:t xml:space="preserve">Hibridna neskladja nastanejo zaradi plačil ali domnevnih plačil med davčnim zavezancem in povezanimi osebami ali v okviru strukturiranih ureditev med osebami v različnih državah. Hibridna neskladja so </w:t>
      </w:r>
      <w:r w:rsidRPr="00582270">
        <w:rPr>
          <w:color w:val="000000" w:themeColor="text1"/>
          <w:sz w:val="20"/>
          <w:szCs w:val="20"/>
          <w:lang w:val="sl-SI"/>
        </w:rPr>
        <w:lastRenderedPageBreak/>
        <w:t>posledica razlik v pravni opredelitvi plačil, finančnih instrumentov in oseb</w:t>
      </w:r>
      <w:r w:rsidRPr="00491ED0">
        <w:rPr>
          <w:rStyle w:val="Sprotnaopomba-sklic"/>
          <w:color w:val="000000" w:themeColor="text1"/>
          <w:sz w:val="20"/>
          <w:szCs w:val="20"/>
        </w:rPr>
        <w:footnoteReference w:id="22"/>
      </w:r>
      <w:r w:rsidRPr="00582270">
        <w:rPr>
          <w:color w:val="000000" w:themeColor="text1"/>
          <w:sz w:val="20"/>
          <w:szCs w:val="20"/>
          <w:lang w:val="sl-SI"/>
        </w:rPr>
        <w:t xml:space="preserve"> ter posledica neupoštevanih poslovnih enot</w:t>
      </w:r>
      <w:r w:rsidRPr="00491ED0">
        <w:rPr>
          <w:rStyle w:val="Sprotnaopomba-sklic"/>
          <w:color w:val="000000" w:themeColor="text1"/>
          <w:sz w:val="20"/>
          <w:szCs w:val="20"/>
        </w:rPr>
        <w:footnoteReference w:id="23"/>
      </w:r>
      <w:r w:rsidRPr="00582270">
        <w:rPr>
          <w:color w:val="000000" w:themeColor="text1"/>
          <w:sz w:val="20"/>
          <w:szCs w:val="20"/>
          <w:lang w:val="sl-SI"/>
        </w:rPr>
        <w:t xml:space="preserve">. Privedejo do različne razporeditve plačil, uvoženih neskladij, obratnih hibridnih neskladij, hibridnih prenosov oziroma neskladij glede davčnega rezidentstva. Posledice hibridnih neskladij so dvojni odbitek, odbitek dohodka v eni državi brez njegove vključitve v davčno osnovo v drugi državi ali ne obdavčitev dohodka v eni državi brez njegove vključitve v davčno osnovo v drugi državi. </w:t>
      </w:r>
    </w:p>
    <w:p w14:paraId="5CCD7552" w14:textId="77777777" w:rsidR="00491ED0" w:rsidRPr="00582270" w:rsidRDefault="00491ED0" w:rsidP="00697F07">
      <w:pPr>
        <w:pStyle w:val="Default"/>
        <w:spacing w:line="260" w:lineRule="exact"/>
        <w:jc w:val="both"/>
        <w:rPr>
          <w:color w:val="000000" w:themeColor="text1"/>
          <w:szCs w:val="20"/>
          <w:lang w:val="sl-SI"/>
        </w:rPr>
      </w:pPr>
    </w:p>
    <w:p w14:paraId="511AB629" w14:textId="00461BE4" w:rsidR="00491ED0" w:rsidRPr="009D6464" w:rsidRDefault="00491ED0" w:rsidP="00697F07">
      <w:pPr>
        <w:pStyle w:val="Default"/>
        <w:spacing w:line="260" w:lineRule="exact"/>
        <w:jc w:val="both"/>
        <w:rPr>
          <w:color w:val="auto"/>
          <w:sz w:val="20"/>
          <w:szCs w:val="20"/>
          <w:lang w:val="sl-SI"/>
        </w:rPr>
      </w:pPr>
      <w:r w:rsidRPr="009D6464">
        <w:rPr>
          <w:color w:val="auto"/>
          <w:sz w:val="20"/>
          <w:szCs w:val="20"/>
          <w:lang w:val="sl-SI"/>
        </w:rPr>
        <w:t>V Direktivi Sveta (EU) 2016/1164 z dne 12. julija 2016 o določitvi pravil proti praksam izogibanja davkom (t.</w:t>
      </w:r>
      <w:r w:rsidR="008E6EDD">
        <w:rPr>
          <w:color w:val="auto"/>
          <w:sz w:val="20"/>
          <w:szCs w:val="20"/>
          <w:lang w:val="sl-SI"/>
        </w:rPr>
        <w:t xml:space="preserve"> </w:t>
      </w:r>
      <w:r w:rsidRPr="009D6464">
        <w:rPr>
          <w:color w:val="auto"/>
          <w:sz w:val="20"/>
          <w:szCs w:val="20"/>
          <w:lang w:val="sl-SI"/>
        </w:rPr>
        <w:t>i. ATAD direktiva) in Direktivi Sveta (EU) 2017/952 z dne 29. maja 2017 (t.</w:t>
      </w:r>
      <w:r w:rsidR="008E6EDD">
        <w:rPr>
          <w:color w:val="auto"/>
          <w:sz w:val="20"/>
          <w:szCs w:val="20"/>
          <w:lang w:val="sl-SI"/>
        </w:rPr>
        <w:t xml:space="preserve"> </w:t>
      </w:r>
      <w:r w:rsidRPr="009D6464">
        <w:rPr>
          <w:color w:val="auto"/>
          <w:sz w:val="20"/>
          <w:szCs w:val="20"/>
          <w:lang w:val="sl-SI"/>
        </w:rPr>
        <w:t xml:space="preserve">i. ATAD2 direktiva) so določeni ukrepi za odpravo hibridnih neskladij, ki so bili prevzeti v nacionalno materialno zakonodajo, t.j. Zakon o davku od dohodkov pravnih oseb – ZDDPO-2. </w:t>
      </w:r>
    </w:p>
    <w:p w14:paraId="08CB27E7" w14:textId="77777777" w:rsidR="00E93A1F" w:rsidRPr="009D6464" w:rsidRDefault="00E93A1F" w:rsidP="00697F07">
      <w:pPr>
        <w:spacing w:line="260" w:lineRule="exact"/>
        <w:jc w:val="both"/>
        <w:rPr>
          <w:rFonts w:cs="Arial"/>
          <w:szCs w:val="20"/>
        </w:rPr>
      </w:pPr>
    </w:p>
    <w:p w14:paraId="74C676B2" w14:textId="77777777" w:rsidR="00654F26" w:rsidRPr="009D6464" w:rsidRDefault="00654F26" w:rsidP="00697F07">
      <w:pPr>
        <w:pStyle w:val="Default"/>
        <w:spacing w:line="260" w:lineRule="exact"/>
        <w:jc w:val="both"/>
        <w:rPr>
          <w:color w:val="auto"/>
          <w:sz w:val="20"/>
          <w:szCs w:val="20"/>
          <w:lang w:val="sl-SI"/>
        </w:rPr>
      </w:pPr>
      <w:r w:rsidRPr="009D6464">
        <w:rPr>
          <w:color w:val="auto"/>
          <w:sz w:val="20"/>
          <w:szCs w:val="20"/>
          <w:lang w:val="sl-SI"/>
        </w:rPr>
        <w:t xml:space="preserve">V skladu s tem pod prepoznavno značilnost C3 spadajo hibridne strukture, ki še niso nevtralizirane z določbami ZZDPO-2, ali katerih namen je zaobiti določbe ZDDPO-2 o odpravi hibridnih neskladij. </w:t>
      </w:r>
    </w:p>
    <w:p w14:paraId="7CC48A30" w14:textId="77777777" w:rsidR="00E93A1F" w:rsidRPr="009D6464" w:rsidRDefault="00E93A1F" w:rsidP="00697F07">
      <w:pPr>
        <w:spacing w:line="260" w:lineRule="exact"/>
        <w:jc w:val="both"/>
        <w:rPr>
          <w:rFonts w:cs="Arial"/>
          <w:szCs w:val="20"/>
        </w:rPr>
      </w:pPr>
    </w:p>
    <w:p w14:paraId="1AF659A3" w14:textId="77777777" w:rsidR="00E93A1F" w:rsidRPr="002D4764" w:rsidRDefault="00E93A1F" w:rsidP="00697F07">
      <w:pPr>
        <w:spacing w:line="260" w:lineRule="exact"/>
        <w:jc w:val="both"/>
        <w:rPr>
          <w:rFonts w:cs="Arial"/>
          <w:color w:val="000000" w:themeColor="text1"/>
          <w:szCs w:val="20"/>
        </w:rPr>
      </w:pPr>
      <w:r w:rsidRPr="002D4764">
        <w:rPr>
          <w:rFonts w:cs="Arial"/>
          <w:color w:val="000000" w:themeColor="text1"/>
          <w:szCs w:val="20"/>
        </w:rPr>
        <w:t>Tipični primer »treaty shoppping arrangements« vključuje osebo, ki posredno uveljavlja ugodnosti iz mednarodne pogodbe o izogibanju dvojnega obdavčevanja med dvema državama kljub temu, da ni rezident nobene od obeh držav pogodbenic.</w:t>
      </w:r>
      <w:r w:rsidRPr="002D4764">
        <w:rPr>
          <w:rStyle w:val="Sprotnaopomba-sklic"/>
          <w:rFonts w:cs="Arial"/>
          <w:color w:val="000000" w:themeColor="text1"/>
          <w:szCs w:val="20"/>
        </w:rPr>
        <w:footnoteReference w:id="24"/>
      </w:r>
      <w:r w:rsidRPr="002D4764">
        <w:rPr>
          <w:rFonts w:cs="Arial"/>
          <w:color w:val="000000" w:themeColor="text1"/>
          <w:szCs w:val="20"/>
        </w:rPr>
        <w:t xml:space="preserve"> </w:t>
      </w:r>
    </w:p>
    <w:p w14:paraId="77D981FA" w14:textId="77777777" w:rsidR="00E93A1F" w:rsidRPr="002D4764" w:rsidRDefault="00E93A1F" w:rsidP="00697F07">
      <w:pPr>
        <w:spacing w:line="260" w:lineRule="exact"/>
        <w:rPr>
          <w:rFonts w:cs="Arial"/>
          <w:color w:val="000000" w:themeColor="text1"/>
          <w:szCs w:val="20"/>
        </w:rPr>
      </w:pPr>
    </w:p>
    <w:p w14:paraId="6E5C43C3" w14:textId="77777777" w:rsidR="00E93A1F" w:rsidRDefault="00E93A1F" w:rsidP="00697F07">
      <w:pPr>
        <w:spacing w:line="260" w:lineRule="exact"/>
        <w:rPr>
          <w:rFonts w:cs="Arial"/>
          <w:color w:val="000000" w:themeColor="text1"/>
          <w:szCs w:val="20"/>
        </w:rPr>
      </w:pPr>
      <w:r w:rsidRPr="002D4764">
        <w:rPr>
          <w:rFonts w:cs="Arial"/>
          <w:color w:val="000000" w:themeColor="text1"/>
          <w:szCs w:val="20"/>
        </w:rPr>
        <w:t xml:space="preserve">Obveznost poročanja o davčnih aranžmajih na podlagi prepoznavne značilnosti C3 je pripoznana, če so kumulativno izpolnjeni naslednji trije pogoji: </w:t>
      </w:r>
    </w:p>
    <w:p w14:paraId="64A07810" w14:textId="77777777" w:rsidR="002D4764" w:rsidRPr="002D4764" w:rsidRDefault="002D4764" w:rsidP="00697F07">
      <w:pPr>
        <w:spacing w:line="260" w:lineRule="exact"/>
        <w:rPr>
          <w:rFonts w:cs="Arial"/>
          <w:color w:val="000000" w:themeColor="text1"/>
          <w:szCs w:val="20"/>
        </w:rPr>
      </w:pPr>
    </w:p>
    <w:p w14:paraId="7B2AF120" w14:textId="77777777" w:rsidR="00E93A1F" w:rsidRDefault="00E93A1F" w:rsidP="00697F07">
      <w:pPr>
        <w:pStyle w:val="Odstavekseznama"/>
        <w:numPr>
          <w:ilvl w:val="0"/>
          <w:numId w:val="57"/>
        </w:numPr>
        <w:spacing w:after="160" w:line="260" w:lineRule="exact"/>
        <w:jc w:val="both"/>
        <w:rPr>
          <w:color w:val="000000" w:themeColor="text1"/>
        </w:rPr>
      </w:pPr>
      <w:r w:rsidRPr="002D4764">
        <w:rPr>
          <w:b/>
          <w:color w:val="000000" w:themeColor="text1"/>
        </w:rPr>
        <w:t>Konflikt v pojmovanju upravičenega lastništva sredstev.</w:t>
      </w:r>
      <w:r w:rsidRPr="002D4764">
        <w:rPr>
          <w:color w:val="000000" w:themeColor="text1"/>
        </w:rPr>
        <w:t xml:space="preserve"> Prepoznavna značilnost C3 pokriva davčne aranžmaje, kjer zaradi konflikta v pojmovanju u</w:t>
      </w:r>
      <w:r w:rsidR="009D6464">
        <w:rPr>
          <w:color w:val="000000" w:themeColor="text1"/>
        </w:rPr>
        <w:t>pravičenega lastništva sredstev</w:t>
      </w:r>
      <w:r w:rsidRPr="002D4764">
        <w:rPr>
          <w:color w:val="000000" w:themeColor="text1"/>
        </w:rPr>
        <w:t xml:space="preserve"> pride do uveljavljanja odprave dvojne obdavčitve v več kot eni jurisdikciji. </w:t>
      </w:r>
    </w:p>
    <w:p w14:paraId="3971475F" w14:textId="77777777" w:rsidR="009D6464" w:rsidRPr="002D4764" w:rsidRDefault="009D6464" w:rsidP="009D6464">
      <w:pPr>
        <w:pStyle w:val="Odstavekseznama"/>
        <w:spacing w:after="160" w:line="260" w:lineRule="exact"/>
        <w:jc w:val="both"/>
        <w:rPr>
          <w:color w:val="000000" w:themeColor="text1"/>
        </w:rPr>
      </w:pPr>
    </w:p>
    <w:p w14:paraId="49CBCCF8" w14:textId="77777777" w:rsidR="00E93A1F" w:rsidRDefault="00E93A1F" w:rsidP="00697F07">
      <w:pPr>
        <w:pStyle w:val="Odstavekseznama"/>
        <w:numPr>
          <w:ilvl w:val="0"/>
          <w:numId w:val="57"/>
        </w:numPr>
        <w:spacing w:after="160" w:line="260" w:lineRule="exact"/>
        <w:jc w:val="both"/>
        <w:rPr>
          <w:color w:val="000000" w:themeColor="text1"/>
        </w:rPr>
      </w:pPr>
      <w:r w:rsidRPr="002D4764">
        <w:rPr>
          <w:b/>
          <w:color w:val="000000" w:themeColor="text1"/>
        </w:rPr>
        <w:t xml:space="preserve">Zavezanec uveljavlja odpravo dvojne obdavčitve v zvezi z istim dohodkom. </w:t>
      </w:r>
      <w:r w:rsidRPr="002D4764">
        <w:rPr>
          <w:color w:val="000000" w:themeColor="text1"/>
        </w:rPr>
        <w:t>Sem spadajo le primeri, kjer zavezanec zahteva odpravo dvojne obdavčitve v državi, kjer je rezident za davčne namene (metoda odbitka ali metoda izvzema). Pri tem ni pomembno,</w:t>
      </w:r>
      <w:r w:rsidR="00133AE1">
        <w:rPr>
          <w:color w:val="000000" w:themeColor="text1"/>
        </w:rPr>
        <w:t xml:space="preserve"> </w:t>
      </w:r>
      <w:r w:rsidRPr="002D4764">
        <w:rPr>
          <w:color w:val="000000" w:themeColor="text1"/>
        </w:rPr>
        <w:t xml:space="preserve">ali se zahteva oprostitev na podlagi določil nacionalne zakonodaje ali mednarodne pogodbe o izogibanju dvojnega obdavčevanja. </w:t>
      </w:r>
    </w:p>
    <w:p w14:paraId="2A832E8C" w14:textId="77777777" w:rsidR="009D6464" w:rsidRPr="009D6464" w:rsidRDefault="009D6464" w:rsidP="009D6464">
      <w:pPr>
        <w:pStyle w:val="Odstavekseznama"/>
        <w:rPr>
          <w:color w:val="000000" w:themeColor="text1"/>
        </w:rPr>
      </w:pPr>
    </w:p>
    <w:p w14:paraId="059D6C48" w14:textId="77777777" w:rsidR="00E93A1F" w:rsidRPr="002D4764" w:rsidRDefault="00E93A1F" w:rsidP="00697F07">
      <w:pPr>
        <w:pStyle w:val="Odstavekseznama"/>
        <w:numPr>
          <w:ilvl w:val="0"/>
          <w:numId w:val="57"/>
        </w:numPr>
        <w:spacing w:after="160" w:line="260" w:lineRule="exact"/>
        <w:jc w:val="both"/>
        <w:rPr>
          <w:b/>
          <w:color w:val="000000" w:themeColor="text1"/>
        </w:rPr>
      </w:pPr>
      <w:r w:rsidRPr="002D4764">
        <w:rPr>
          <w:b/>
          <w:color w:val="000000" w:themeColor="text1"/>
        </w:rPr>
        <w:t xml:space="preserve">Uveljavljanje odprave dvojne obdavčitve v več kot eni jurisdikciji je posledica konflikta v pojmovanju upravičenega lastništva sredstva.  </w:t>
      </w:r>
    </w:p>
    <w:p w14:paraId="034FBB36" w14:textId="77777777" w:rsidR="00E93A1F" w:rsidRPr="002D4764" w:rsidRDefault="00E93A1F" w:rsidP="00697F07">
      <w:pPr>
        <w:spacing w:after="160" w:line="260" w:lineRule="exact"/>
        <w:jc w:val="both"/>
        <w:rPr>
          <w:rFonts w:cs="Arial"/>
          <w:color w:val="000000" w:themeColor="text1"/>
          <w:szCs w:val="20"/>
        </w:rPr>
      </w:pPr>
      <w:r w:rsidRPr="002D4764">
        <w:rPr>
          <w:rFonts w:cs="Arial"/>
          <w:color w:val="000000" w:themeColor="text1"/>
          <w:szCs w:val="20"/>
        </w:rPr>
        <w:t xml:space="preserve">Nepovezane osebe – ta prepoznavna značilnost ne zahteva, da poteka davčni aranžma obvezno med dvema povezanima osebama, da bi bilo treba o njem poročati. Poročajo se tudi transakcije med nepovezanimi osebami, primeroma posojanje delnic, če tako posojilojemalec kot posojilodajalec uveljavljata odpravo dvojne obdavčitve.  </w:t>
      </w:r>
    </w:p>
    <w:p w14:paraId="24CDAACF" w14:textId="77777777" w:rsidR="00E93A1F" w:rsidRPr="001D7715" w:rsidRDefault="00E93A1F" w:rsidP="00697F07">
      <w:pPr>
        <w:spacing w:line="260" w:lineRule="exact"/>
        <w:jc w:val="both"/>
        <w:rPr>
          <w:color w:val="000000" w:themeColor="text1"/>
        </w:rPr>
      </w:pPr>
      <w:r w:rsidRPr="001D7715">
        <w:rPr>
          <w:color w:val="000000" w:themeColor="text1"/>
        </w:rPr>
        <w:t xml:space="preserve">Obveznost poročanja o tovrstnih aranžmajih je podana že s tem, ko je bila primeroma odprava dvojne obdavčitve uveljavljena v davčni napovedi ali davčnem obračunu, ki vsebuje možnost uveljavljanja oprostitve davka/odbitka davka in ne nujno s posebnim zahtevkom. Opozoriti je treba na obveznost poročanja tudi v primerih, ko se uveljavlja odprava dvojnega obdavčevanja v zvezi z isto postavko </w:t>
      </w:r>
      <w:r w:rsidRPr="001D7715">
        <w:rPr>
          <w:color w:val="000000" w:themeColor="text1"/>
        </w:rPr>
        <w:lastRenderedPageBreak/>
        <w:t>dohodka ali kapitala, čeprav so v jurisdikcije, ki so pri tem vključene, prenesena pravila glede hibridnih</w:t>
      </w:r>
      <w:r w:rsidR="00535775">
        <w:rPr>
          <w:color w:val="000000" w:themeColor="text1"/>
        </w:rPr>
        <w:t xml:space="preserve">, kot je bilo predhodno že omenjeno. </w:t>
      </w:r>
    </w:p>
    <w:p w14:paraId="011E96C8" w14:textId="77777777" w:rsidR="00E93A1F" w:rsidRPr="001D7715" w:rsidRDefault="00E93A1F" w:rsidP="00697F07">
      <w:pPr>
        <w:spacing w:line="260" w:lineRule="exact"/>
        <w:jc w:val="both"/>
        <w:rPr>
          <w:color w:val="000000" w:themeColor="text1"/>
        </w:rPr>
      </w:pPr>
    </w:p>
    <w:p w14:paraId="0D8B1707" w14:textId="77777777" w:rsidR="00E93A1F" w:rsidRPr="001D7715" w:rsidRDefault="00E93A1F" w:rsidP="00697F07">
      <w:pPr>
        <w:spacing w:line="260" w:lineRule="exact"/>
        <w:jc w:val="both"/>
        <w:rPr>
          <w:color w:val="000000" w:themeColor="text1"/>
        </w:rPr>
      </w:pPr>
      <w:r w:rsidRPr="001D7715">
        <w:rPr>
          <w:color w:val="000000" w:themeColor="text1"/>
        </w:rPr>
        <w:t>Nekaj primerov davčnih aranžmajev, ki so predmet poročanja, je mogoče najti v poročil</w:t>
      </w:r>
      <w:r w:rsidR="009D6464">
        <w:rPr>
          <w:color w:val="000000" w:themeColor="text1"/>
        </w:rPr>
        <w:t>ih o BEPS Ukrepu št. 2 (</w:t>
      </w:r>
      <w:hyperlink r:id="rId17" w:history="1">
        <w:r w:rsidRPr="00E32696">
          <w:rPr>
            <w:rStyle w:val="Hiperpovezava"/>
            <w:color w:val="000000" w:themeColor="text1"/>
            <w:u w:val="none"/>
          </w:rPr>
          <w:t>BEPS Action 2  – Neutralising the effects of hybrid mismatch arrangements</w:t>
        </w:r>
      </w:hyperlink>
      <w:r w:rsidRPr="00E32696">
        <w:rPr>
          <w:rStyle w:val="Sprotnaopomba-sklic"/>
          <w:color w:val="000000" w:themeColor="text1"/>
        </w:rPr>
        <w:footnoteReference w:id="25"/>
      </w:r>
      <w:r w:rsidR="009D6464" w:rsidRPr="00E91EFE">
        <w:rPr>
          <w:rStyle w:val="Hiperpovezava"/>
          <w:color w:val="000000" w:themeColor="text1"/>
          <w:u w:val="none"/>
        </w:rPr>
        <w:t>)</w:t>
      </w:r>
      <w:r w:rsidRPr="000262B5">
        <w:rPr>
          <w:color w:val="000000" w:themeColor="text1"/>
        </w:rPr>
        <w:t xml:space="preserve"> </w:t>
      </w:r>
      <w:r w:rsidRPr="001D7715">
        <w:rPr>
          <w:color w:val="000000" w:themeColor="text1"/>
        </w:rPr>
        <w:t xml:space="preserve">in poročilu </w:t>
      </w:r>
      <w:r w:rsidR="009D6464">
        <w:rPr>
          <w:color w:val="000000" w:themeColor="text1"/>
        </w:rPr>
        <w:t>o BEPS ukrepu št. 12 (</w:t>
      </w:r>
      <w:hyperlink r:id="rId18" w:history="1">
        <w:r w:rsidRPr="00E32696">
          <w:rPr>
            <w:rStyle w:val="Hiperpovezava"/>
            <w:color w:val="000000" w:themeColor="text1"/>
            <w:u w:val="none"/>
          </w:rPr>
          <w:t>BEPS  Action 12 – Mandatory Disclosure Rules</w:t>
        </w:r>
      </w:hyperlink>
      <w:r w:rsidR="009D6464">
        <w:rPr>
          <w:rStyle w:val="Hiperpovezava"/>
          <w:color w:val="000000" w:themeColor="text1"/>
        </w:rPr>
        <w:t>)</w:t>
      </w:r>
      <w:r w:rsidRPr="001D7715">
        <w:rPr>
          <w:color w:val="000000" w:themeColor="text1"/>
        </w:rPr>
        <w:t xml:space="preserve">. </w:t>
      </w:r>
    </w:p>
    <w:p w14:paraId="2BFF2D01" w14:textId="77777777" w:rsidR="00E93A1F" w:rsidRPr="00E5523D" w:rsidRDefault="00E93A1F" w:rsidP="00697F07">
      <w:pPr>
        <w:spacing w:line="260" w:lineRule="exact"/>
        <w:jc w:val="both"/>
        <w:rPr>
          <w:color w:val="FF0000"/>
        </w:rPr>
      </w:pPr>
    </w:p>
    <w:p w14:paraId="776E4CF3" w14:textId="77777777" w:rsidR="00442390" w:rsidRPr="00442390" w:rsidRDefault="00442390" w:rsidP="00697F07">
      <w:pPr>
        <w:pStyle w:val="Naslov3"/>
        <w:numPr>
          <w:ilvl w:val="0"/>
          <w:numId w:val="0"/>
        </w:numPr>
        <w:spacing w:line="260" w:lineRule="exact"/>
        <w:ind w:left="567"/>
        <w:rPr>
          <w:lang w:eastAsia="sl-SI"/>
        </w:rPr>
      </w:pPr>
      <w:bookmarkStart w:id="53" w:name="_Toc75160036"/>
      <w:r w:rsidRPr="00442390">
        <w:rPr>
          <w:lang w:eastAsia="sl-SI"/>
        </w:rPr>
        <w:t>C4. Obstaja aranžma, ki vključuje prenose sredstev, pri čemer obstaja pomembna razlika v znesku, ki se v navedenih jurisdikcijah v zvezi s temi sredstvi šteje za plačljivega</w:t>
      </w:r>
      <w:bookmarkEnd w:id="53"/>
    </w:p>
    <w:p w14:paraId="5D8AF6B5" w14:textId="77777777" w:rsidR="00442390" w:rsidRDefault="00442390" w:rsidP="00697F07">
      <w:pPr>
        <w:autoSpaceDE w:val="0"/>
        <w:autoSpaceDN w:val="0"/>
        <w:adjustRightInd w:val="0"/>
        <w:spacing w:line="260" w:lineRule="exact"/>
        <w:rPr>
          <w:lang w:eastAsia="sl-SI"/>
        </w:rPr>
      </w:pPr>
    </w:p>
    <w:p w14:paraId="372759B1" w14:textId="77777777" w:rsidR="00103BB5" w:rsidRDefault="00103BB5" w:rsidP="00697F07">
      <w:pPr>
        <w:autoSpaceDE w:val="0"/>
        <w:autoSpaceDN w:val="0"/>
        <w:spacing w:line="260" w:lineRule="exact"/>
        <w:jc w:val="both"/>
        <w:rPr>
          <w:rFonts w:ascii="Calibri" w:hAnsi="Calibri"/>
          <w:szCs w:val="22"/>
          <w:lang w:eastAsia="sl-SI"/>
        </w:rPr>
      </w:pPr>
      <w:r>
        <w:rPr>
          <w:lang w:eastAsia="sl-SI"/>
        </w:rPr>
        <w:t xml:space="preserve">Poročanje o </w:t>
      </w:r>
      <w:r w:rsidR="009D6464">
        <w:rPr>
          <w:lang w:eastAsia="sl-SI"/>
        </w:rPr>
        <w:t>prepoznavni</w:t>
      </w:r>
      <w:r>
        <w:rPr>
          <w:lang w:eastAsia="sl-SI"/>
        </w:rPr>
        <w:t xml:space="preserve"> značilnosti C4 je potrebno v primerih aranžmajev</w:t>
      </w:r>
      <w:r w:rsidR="002D4764">
        <w:rPr>
          <w:lang w:eastAsia="sl-SI"/>
        </w:rPr>
        <w:t>,</w:t>
      </w:r>
      <w:r>
        <w:rPr>
          <w:lang w:eastAsia="sl-SI"/>
        </w:rPr>
        <w:t xml:space="preserve"> pri katerih razlike v zneskih, ki se štejejo za plačljive, privedejo do nesorazmernih posledic, ki jih posamezni prenos sredstva ima na davčno osnovo v posamezni jurisdikciji. Povedano drugače, za poročanje je potrebno, da razlike pri zneskih, ki se štejejo za plačljive</w:t>
      </w:r>
      <w:r w:rsidR="009D6464">
        <w:rPr>
          <w:lang w:eastAsia="sl-SI"/>
        </w:rPr>
        <w:t>,</w:t>
      </w:r>
      <w:r>
        <w:rPr>
          <w:lang w:eastAsia="sl-SI"/>
        </w:rPr>
        <w:t xml:space="preserve"> rezultirajo tudi v razlikah pri izračunu davčnih osnov, v primerjavi z davčnimi osnovami, ki bi se udejanjile, če razlik v zneskih, ki se štejejo za plačljive ne bi bilo. Poročanje je omejeno na transa</w:t>
      </w:r>
      <w:r w:rsidR="009D6464">
        <w:rPr>
          <w:lang w:eastAsia="sl-SI"/>
        </w:rPr>
        <w:t>kcije med povezanimi osebami.</w:t>
      </w:r>
    </w:p>
    <w:p w14:paraId="7BA8B044" w14:textId="77777777" w:rsidR="00103BB5" w:rsidRDefault="00103BB5" w:rsidP="00697F07">
      <w:pPr>
        <w:autoSpaceDE w:val="0"/>
        <w:autoSpaceDN w:val="0"/>
        <w:spacing w:line="260" w:lineRule="exact"/>
        <w:jc w:val="both"/>
        <w:rPr>
          <w:lang w:eastAsia="sl-SI"/>
        </w:rPr>
      </w:pPr>
    </w:p>
    <w:p w14:paraId="117F2029" w14:textId="77777777" w:rsidR="00103BB5" w:rsidRDefault="00103BB5" w:rsidP="00697F07">
      <w:pPr>
        <w:autoSpaceDE w:val="0"/>
        <w:autoSpaceDN w:val="0"/>
        <w:spacing w:line="260" w:lineRule="exact"/>
        <w:jc w:val="both"/>
        <w:rPr>
          <w:lang w:eastAsia="sl-SI"/>
        </w:rPr>
      </w:pPr>
      <w:r>
        <w:rPr>
          <w:lang w:eastAsia="sl-SI"/>
        </w:rPr>
        <w:t>Poročanje je omejeno na aranžmaje, ki vključujejo prenos sredstva iz računovodskega vidika. Poročanje o poslih v katerih lastninska pravica nad sredstvom sicer preide na drug subjekt, v poslovnih knjigah pa do prenosa ne pride (npr. Sale&amp;Lease posli) v poročanje niso zajeti.</w:t>
      </w:r>
    </w:p>
    <w:p w14:paraId="55017752" w14:textId="77777777" w:rsidR="00103BB5" w:rsidRDefault="00103BB5" w:rsidP="00697F07">
      <w:pPr>
        <w:autoSpaceDE w:val="0"/>
        <w:autoSpaceDN w:val="0"/>
        <w:spacing w:line="260" w:lineRule="exact"/>
        <w:jc w:val="both"/>
        <w:rPr>
          <w:lang w:eastAsia="sl-SI"/>
        </w:rPr>
      </w:pPr>
    </w:p>
    <w:p w14:paraId="344B67FF" w14:textId="77777777" w:rsidR="00103BB5" w:rsidRDefault="00103BB5" w:rsidP="00697F07">
      <w:pPr>
        <w:autoSpaceDE w:val="0"/>
        <w:autoSpaceDN w:val="0"/>
        <w:spacing w:line="260" w:lineRule="exact"/>
        <w:jc w:val="both"/>
        <w:rPr>
          <w:lang w:eastAsia="sl-SI"/>
        </w:rPr>
      </w:pPr>
      <w:r>
        <w:rPr>
          <w:lang w:eastAsia="sl-SI"/>
        </w:rPr>
        <w:t>Pojavna oblika ne vključuje poročanja o prenosih med matično družbo in njeno poslovno enoto v drugi jurisdikciji, saj pri navedenih prenosih ne moremo govoriti o zneskih, ki se štejejo za plačljive. Pojavna oblika prav tako ne vključuje brezplačnih prenosov sredstev</w:t>
      </w:r>
      <w:r w:rsidR="009D6464">
        <w:rPr>
          <w:lang w:eastAsia="sl-SI"/>
        </w:rPr>
        <w:t>,</w:t>
      </w:r>
      <w:r>
        <w:rPr>
          <w:lang w:eastAsia="sl-SI"/>
        </w:rPr>
        <w:t xml:space="preserve"> pod pogojem, da prenos kot brezplačen upoštevata tako prenosnik kot prejemnik. Nadalje pojavna oblika ne vključuje prenosov med povezanimi osebami po cenah, ki se razlikujejo od primerljivih tržnih cen, pod pogojem, da je višina transferne cene enaka tako pri prenosniku kot pri prejemniku.</w:t>
      </w:r>
      <w:r w:rsidR="009D6464">
        <w:rPr>
          <w:lang w:eastAsia="sl-SI"/>
        </w:rPr>
        <w:t xml:space="preserve"> Navedeno velja tudi v primeru, če oziroma,</w:t>
      </w:r>
      <w:r>
        <w:rPr>
          <w:lang w:eastAsia="sl-SI"/>
        </w:rPr>
        <w:t xml:space="preserve"> ko eden od njiju ali oba opravita zakonsko predpisane prilagoditve v svojih davčnih osnovah.</w:t>
      </w:r>
    </w:p>
    <w:p w14:paraId="4BE167FE" w14:textId="77777777" w:rsidR="00103BB5" w:rsidRDefault="00103BB5" w:rsidP="00697F07">
      <w:pPr>
        <w:autoSpaceDE w:val="0"/>
        <w:autoSpaceDN w:val="0"/>
        <w:spacing w:line="260" w:lineRule="exact"/>
        <w:jc w:val="both"/>
        <w:rPr>
          <w:lang w:eastAsia="sl-SI"/>
        </w:rPr>
      </w:pPr>
    </w:p>
    <w:p w14:paraId="215F6A9E" w14:textId="77777777" w:rsidR="00103BB5" w:rsidRDefault="00103BB5" w:rsidP="00697F07">
      <w:pPr>
        <w:autoSpaceDE w:val="0"/>
        <w:autoSpaceDN w:val="0"/>
        <w:spacing w:line="260" w:lineRule="exact"/>
        <w:jc w:val="both"/>
        <w:rPr>
          <w:lang w:eastAsia="sl-SI"/>
        </w:rPr>
      </w:pPr>
      <w:r>
        <w:rPr>
          <w:lang w:eastAsia="sl-SI"/>
        </w:rPr>
        <w:t>Aranžma</w:t>
      </w:r>
      <w:r w:rsidR="009D6464">
        <w:rPr>
          <w:lang w:eastAsia="sl-SI"/>
        </w:rPr>
        <w:t>,</w:t>
      </w:r>
      <w:r>
        <w:rPr>
          <w:lang w:eastAsia="sl-SI"/>
        </w:rPr>
        <w:t xml:space="preserve"> o katerem je potrebno poročati</w:t>
      </w:r>
      <w:r w:rsidR="009D6464">
        <w:rPr>
          <w:lang w:eastAsia="sl-SI"/>
        </w:rPr>
        <w:t>,</w:t>
      </w:r>
      <w:r>
        <w:rPr>
          <w:lang w:eastAsia="sl-SI"/>
        </w:rPr>
        <w:t xml:space="preserve"> je lahko sestavljen iz posameznega prenosa sredstev ali iz skupka oziroma zaporedja večih prenosov istih sredstev v omejenem časovnem obdobju, pri čemer velja, da obstaja pomembna razlika med zneskom</w:t>
      </w:r>
      <w:r w:rsidR="009D6464">
        <w:rPr>
          <w:lang w:eastAsia="sl-SI"/>
        </w:rPr>
        <w:t>,</w:t>
      </w:r>
      <w:r>
        <w:rPr>
          <w:lang w:eastAsia="sl-SI"/>
        </w:rPr>
        <w:t xml:space="preserve"> ki se šteje za plačljivega v prvem subjektu v verigi</w:t>
      </w:r>
      <w:r w:rsidR="009D6464">
        <w:rPr>
          <w:lang w:eastAsia="sl-SI"/>
        </w:rPr>
        <w:t>,</w:t>
      </w:r>
      <w:r>
        <w:rPr>
          <w:lang w:eastAsia="sl-SI"/>
        </w:rPr>
        <w:t xml:space="preserve"> in zneskom, ki se šteje za plačljivega v zadnjem subjektu v verigi.</w:t>
      </w:r>
    </w:p>
    <w:p w14:paraId="648A0617" w14:textId="77777777" w:rsidR="008947DC" w:rsidRDefault="008947DC" w:rsidP="00697F07">
      <w:pPr>
        <w:autoSpaceDE w:val="0"/>
        <w:autoSpaceDN w:val="0"/>
        <w:adjustRightInd w:val="0"/>
        <w:spacing w:line="260" w:lineRule="exact"/>
        <w:rPr>
          <w:lang w:eastAsia="sl-SI"/>
        </w:rPr>
      </w:pPr>
    </w:p>
    <w:p w14:paraId="1E188044" w14:textId="77777777" w:rsidR="00133AE1" w:rsidRDefault="00133AE1" w:rsidP="00697F07">
      <w:pPr>
        <w:autoSpaceDE w:val="0"/>
        <w:autoSpaceDN w:val="0"/>
        <w:adjustRightInd w:val="0"/>
        <w:spacing w:line="260" w:lineRule="exact"/>
        <w:rPr>
          <w:lang w:eastAsia="sl-SI"/>
        </w:rPr>
      </w:pPr>
    </w:p>
    <w:p w14:paraId="2CFD775D" w14:textId="77777777" w:rsidR="00133AE1" w:rsidRDefault="00133AE1" w:rsidP="00697F07">
      <w:pPr>
        <w:autoSpaceDE w:val="0"/>
        <w:autoSpaceDN w:val="0"/>
        <w:adjustRightInd w:val="0"/>
        <w:spacing w:line="260" w:lineRule="exact"/>
        <w:rPr>
          <w:lang w:eastAsia="sl-SI"/>
        </w:rPr>
      </w:pPr>
    </w:p>
    <w:p w14:paraId="12D8E947" w14:textId="77777777" w:rsidR="00133AE1" w:rsidRDefault="00133AE1" w:rsidP="00697F07">
      <w:pPr>
        <w:autoSpaceDE w:val="0"/>
        <w:autoSpaceDN w:val="0"/>
        <w:adjustRightInd w:val="0"/>
        <w:spacing w:line="260" w:lineRule="exact"/>
        <w:rPr>
          <w:lang w:eastAsia="sl-SI"/>
        </w:rPr>
      </w:pPr>
    </w:p>
    <w:p w14:paraId="267A0F01" w14:textId="77777777" w:rsidR="00133AE1" w:rsidRDefault="00133AE1" w:rsidP="00697F07">
      <w:pPr>
        <w:autoSpaceDE w:val="0"/>
        <w:autoSpaceDN w:val="0"/>
        <w:adjustRightInd w:val="0"/>
        <w:spacing w:line="260" w:lineRule="exact"/>
        <w:rPr>
          <w:lang w:eastAsia="sl-SI"/>
        </w:rPr>
      </w:pPr>
    </w:p>
    <w:p w14:paraId="339E5468" w14:textId="77777777" w:rsidR="00133AE1" w:rsidRDefault="00133AE1" w:rsidP="00697F07">
      <w:pPr>
        <w:autoSpaceDE w:val="0"/>
        <w:autoSpaceDN w:val="0"/>
        <w:adjustRightInd w:val="0"/>
        <w:spacing w:line="260" w:lineRule="exact"/>
        <w:rPr>
          <w:lang w:eastAsia="sl-SI"/>
        </w:rPr>
      </w:pPr>
    </w:p>
    <w:p w14:paraId="5C18F8B7" w14:textId="77777777" w:rsidR="00133AE1" w:rsidRDefault="00133AE1" w:rsidP="00697F07">
      <w:pPr>
        <w:autoSpaceDE w:val="0"/>
        <w:autoSpaceDN w:val="0"/>
        <w:adjustRightInd w:val="0"/>
        <w:spacing w:line="260" w:lineRule="exact"/>
        <w:rPr>
          <w:lang w:eastAsia="sl-SI"/>
        </w:rPr>
      </w:pPr>
    </w:p>
    <w:p w14:paraId="450A63A4" w14:textId="77777777" w:rsidR="00133AE1" w:rsidRDefault="00133AE1" w:rsidP="00697F07">
      <w:pPr>
        <w:autoSpaceDE w:val="0"/>
        <w:autoSpaceDN w:val="0"/>
        <w:adjustRightInd w:val="0"/>
        <w:spacing w:line="260" w:lineRule="exact"/>
        <w:rPr>
          <w:lang w:eastAsia="sl-SI"/>
        </w:rPr>
      </w:pPr>
    </w:p>
    <w:p w14:paraId="3A9D5848" w14:textId="77777777" w:rsidR="00133AE1" w:rsidRDefault="00133AE1" w:rsidP="00697F07">
      <w:pPr>
        <w:autoSpaceDE w:val="0"/>
        <w:autoSpaceDN w:val="0"/>
        <w:adjustRightInd w:val="0"/>
        <w:spacing w:line="260" w:lineRule="exact"/>
        <w:rPr>
          <w:lang w:eastAsia="sl-SI"/>
        </w:rPr>
      </w:pPr>
    </w:p>
    <w:p w14:paraId="4150837E" w14:textId="77777777" w:rsidR="00133AE1" w:rsidRDefault="00133AE1" w:rsidP="00697F07">
      <w:pPr>
        <w:autoSpaceDE w:val="0"/>
        <w:autoSpaceDN w:val="0"/>
        <w:adjustRightInd w:val="0"/>
        <w:spacing w:line="260" w:lineRule="exact"/>
        <w:rPr>
          <w:lang w:eastAsia="sl-SI"/>
        </w:rPr>
      </w:pPr>
    </w:p>
    <w:p w14:paraId="48D16199" w14:textId="77777777" w:rsidR="00133AE1" w:rsidRDefault="00133AE1" w:rsidP="00697F07">
      <w:pPr>
        <w:autoSpaceDE w:val="0"/>
        <w:autoSpaceDN w:val="0"/>
        <w:adjustRightInd w:val="0"/>
        <w:spacing w:line="260" w:lineRule="exact"/>
        <w:rPr>
          <w:lang w:eastAsia="sl-SI"/>
        </w:rPr>
      </w:pPr>
    </w:p>
    <w:p w14:paraId="239A08D8" w14:textId="77777777" w:rsidR="00133AE1" w:rsidRDefault="00133AE1" w:rsidP="00697F07">
      <w:pPr>
        <w:autoSpaceDE w:val="0"/>
        <w:autoSpaceDN w:val="0"/>
        <w:adjustRightInd w:val="0"/>
        <w:spacing w:line="260" w:lineRule="exact"/>
        <w:rPr>
          <w:lang w:eastAsia="sl-SI"/>
        </w:rPr>
      </w:pPr>
    </w:p>
    <w:p w14:paraId="67520D46" w14:textId="77777777" w:rsidR="00133AE1" w:rsidRDefault="00133AE1" w:rsidP="00697F07">
      <w:pPr>
        <w:autoSpaceDE w:val="0"/>
        <w:autoSpaceDN w:val="0"/>
        <w:adjustRightInd w:val="0"/>
        <w:spacing w:line="260" w:lineRule="exact"/>
        <w:rPr>
          <w:lang w:eastAsia="sl-SI"/>
        </w:rPr>
      </w:pPr>
    </w:p>
    <w:p w14:paraId="51D42938" w14:textId="77777777" w:rsidR="00133AE1" w:rsidRDefault="00133AE1" w:rsidP="00697F07">
      <w:pPr>
        <w:autoSpaceDE w:val="0"/>
        <w:autoSpaceDN w:val="0"/>
        <w:adjustRightInd w:val="0"/>
        <w:spacing w:line="260" w:lineRule="exact"/>
        <w:rPr>
          <w:lang w:eastAsia="sl-SI"/>
        </w:rPr>
      </w:pPr>
    </w:p>
    <w:p w14:paraId="533E2DAC" w14:textId="77777777" w:rsidR="00C743DB" w:rsidRPr="00A57D78" w:rsidRDefault="0068128B" w:rsidP="00697F07">
      <w:pPr>
        <w:pStyle w:val="Naslov2"/>
      </w:pPr>
      <w:bookmarkStart w:id="54" w:name="_Toc75160037"/>
      <w:r>
        <w:lastRenderedPageBreak/>
        <w:t xml:space="preserve">D. </w:t>
      </w:r>
      <w:r w:rsidR="008E6C22" w:rsidRPr="00A57D78">
        <w:t>POSEBNE PREPOZNAVNE Z</w:t>
      </w:r>
      <w:r w:rsidR="00C743DB" w:rsidRPr="00A57D78">
        <w:t>N</w:t>
      </w:r>
      <w:r w:rsidR="008E6C22" w:rsidRPr="00A57D78">
        <w:t>A</w:t>
      </w:r>
      <w:r w:rsidR="00C743DB" w:rsidRPr="00A57D78">
        <w:t>ČILNOSTI, POVEZANE Z AVTOMATIČNO IZMENJAVO PODATKOV IN UPRAVIČENIM LASTNIŠTVOM</w:t>
      </w:r>
      <w:bookmarkEnd w:id="54"/>
    </w:p>
    <w:p w14:paraId="136B01A5" w14:textId="77777777" w:rsidR="00C743DB" w:rsidRDefault="00C743DB" w:rsidP="00697F07">
      <w:pPr>
        <w:spacing w:line="260" w:lineRule="exact"/>
        <w:rPr>
          <w:lang w:eastAsia="sl-SI"/>
        </w:rPr>
      </w:pPr>
    </w:p>
    <w:p w14:paraId="0B2AC879" w14:textId="77777777" w:rsidR="009465C2" w:rsidRDefault="009465C2" w:rsidP="008713F9">
      <w:pPr>
        <w:pStyle w:val="Napis"/>
      </w:pPr>
      <w:r>
        <w:t xml:space="preserve">Preglednica </w:t>
      </w:r>
      <w:r w:rsidR="006B665D">
        <w:fldChar w:fldCharType="begin"/>
      </w:r>
      <w:r w:rsidR="006B665D">
        <w:instrText xml:space="preserve"> SEQ Preglednica \* ARABIC </w:instrText>
      </w:r>
      <w:r w:rsidR="006B665D">
        <w:fldChar w:fldCharType="separate"/>
      </w:r>
      <w:r w:rsidR="000262B5">
        <w:rPr>
          <w:noProof/>
        </w:rPr>
        <w:t>4</w:t>
      </w:r>
      <w:r w:rsidR="006B665D">
        <w:rPr>
          <w:noProof/>
        </w:rPr>
        <w:fldChar w:fldCharType="end"/>
      </w:r>
      <w:r>
        <w:t xml:space="preserve">: Skupina D – </w:t>
      </w:r>
      <w:r w:rsidR="002E3576">
        <w:t>izmenjava podatkov in upravičeno lastništvo</w:t>
      </w:r>
    </w:p>
    <w:tbl>
      <w:tblPr>
        <w:tblStyle w:val="Tabelamrea"/>
        <w:tblW w:w="9067" w:type="dxa"/>
        <w:jc w:val="center"/>
        <w:tblLook w:val="04A0" w:firstRow="1" w:lastRow="0" w:firstColumn="1" w:lastColumn="0" w:noHBand="0" w:noVBand="1"/>
      </w:tblPr>
      <w:tblGrid>
        <w:gridCol w:w="906"/>
        <w:gridCol w:w="5326"/>
        <w:gridCol w:w="2835"/>
      </w:tblGrid>
      <w:tr w:rsidR="009465C2" w:rsidRPr="005C0CCC" w14:paraId="543EBD75" w14:textId="77777777" w:rsidTr="002E3576">
        <w:trPr>
          <w:trHeight w:val="335"/>
          <w:jc w:val="center"/>
        </w:trPr>
        <w:tc>
          <w:tcPr>
            <w:tcW w:w="906" w:type="dxa"/>
          </w:tcPr>
          <w:p w14:paraId="03597FE9" w14:textId="77777777" w:rsidR="009465C2" w:rsidRPr="005C0CCC" w:rsidRDefault="009465C2" w:rsidP="00697F07">
            <w:pPr>
              <w:spacing w:line="260" w:lineRule="exact"/>
              <w:jc w:val="both"/>
              <w:rPr>
                <w:sz w:val="18"/>
                <w:szCs w:val="18"/>
              </w:rPr>
            </w:pPr>
            <w:r w:rsidRPr="005C0CCC">
              <w:rPr>
                <w:sz w:val="18"/>
                <w:szCs w:val="18"/>
              </w:rPr>
              <w:t>Oznaka</w:t>
            </w:r>
          </w:p>
        </w:tc>
        <w:tc>
          <w:tcPr>
            <w:tcW w:w="5326" w:type="dxa"/>
          </w:tcPr>
          <w:p w14:paraId="1B8CB8BB" w14:textId="77777777" w:rsidR="009465C2" w:rsidRPr="005C0CCC" w:rsidRDefault="009465C2" w:rsidP="00697F07">
            <w:pPr>
              <w:spacing w:line="260" w:lineRule="exact"/>
              <w:jc w:val="both"/>
              <w:rPr>
                <w:sz w:val="18"/>
                <w:szCs w:val="18"/>
              </w:rPr>
            </w:pPr>
            <w:r w:rsidRPr="005C0CCC">
              <w:rPr>
                <w:sz w:val="18"/>
                <w:szCs w:val="18"/>
              </w:rPr>
              <w:t>Prepoznavne značilnosti</w:t>
            </w:r>
          </w:p>
        </w:tc>
        <w:tc>
          <w:tcPr>
            <w:tcW w:w="2835" w:type="dxa"/>
          </w:tcPr>
          <w:p w14:paraId="0097A26C" w14:textId="77777777" w:rsidR="009465C2" w:rsidRPr="005C0CCC" w:rsidRDefault="009465C2" w:rsidP="00697F07">
            <w:pPr>
              <w:spacing w:line="260" w:lineRule="exact"/>
              <w:jc w:val="both"/>
              <w:rPr>
                <w:sz w:val="18"/>
                <w:szCs w:val="18"/>
              </w:rPr>
            </w:pPr>
            <w:r w:rsidRPr="005C0CCC">
              <w:rPr>
                <w:sz w:val="18"/>
                <w:szCs w:val="18"/>
              </w:rPr>
              <w:t>Vezano na test glavne koristi</w:t>
            </w:r>
          </w:p>
        </w:tc>
      </w:tr>
      <w:tr w:rsidR="009465C2" w:rsidRPr="005C0CCC" w14:paraId="7D62CA7C" w14:textId="77777777" w:rsidTr="002E3576">
        <w:trPr>
          <w:trHeight w:val="335"/>
          <w:jc w:val="center"/>
        </w:trPr>
        <w:tc>
          <w:tcPr>
            <w:tcW w:w="906" w:type="dxa"/>
          </w:tcPr>
          <w:p w14:paraId="05F72280" w14:textId="77777777" w:rsidR="009465C2" w:rsidRPr="005C0CCC" w:rsidRDefault="009465C2" w:rsidP="00697F07">
            <w:pPr>
              <w:spacing w:line="260" w:lineRule="exact"/>
              <w:jc w:val="both"/>
              <w:rPr>
                <w:sz w:val="18"/>
                <w:szCs w:val="18"/>
              </w:rPr>
            </w:pPr>
            <w:r w:rsidRPr="005C0CCC">
              <w:rPr>
                <w:sz w:val="18"/>
                <w:szCs w:val="18"/>
              </w:rPr>
              <w:t>D1a</w:t>
            </w:r>
          </w:p>
          <w:p w14:paraId="74F34424" w14:textId="77777777" w:rsidR="009465C2" w:rsidRPr="005C0CCC" w:rsidRDefault="009465C2" w:rsidP="00697F07">
            <w:pPr>
              <w:spacing w:line="260" w:lineRule="exact"/>
              <w:jc w:val="both"/>
              <w:rPr>
                <w:sz w:val="18"/>
                <w:szCs w:val="18"/>
              </w:rPr>
            </w:pPr>
            <w:r w:rsidRPr="005C0CCC">
              <w:rPr>
                <w:sz w:val="18"/>
                <w:szCs w:val="18"/>
              </w:rPr>
              <w:t>D1b</w:t>
            </w:r>
          </w:p>
          <w:p w14:paraId="338A0966" w14:textId="77777777" w:rsidR="009465C2" w:rsidRPr="005C0CCC" w:rsidRDefault="009465C2" w:rsidP="00697F07">
            <w:pPr>
              <w:spacing w:line="260" w:lineRule="exact"/>
              <w:jc w:val="both"/>
              <w:rPr>
                <w:sz w:val="18"/>
                <w:szCs w:val="18"/>
              </w:rPr>
            </w:pPr>
            <w:r w:rsidRPr="005C0CCC">
              <w:rPr>
                <w:sz w:val="18"/>
                <w:szCs w:val="18"/>
              </w:rPr>
              <w:t>D1c</w:t>
            </w:r>
          </w:p>
          <w:p w14:paraId="51974C52" w14:textId="77777777" w:rsidR="009465C2" w:rsidRPr="005C0CCC" w:rsidRDefault="009465C2" w:rsidP="00697F07">
            <w:pPr>
              <w:spacing w:line="260" w:lineRule="exact"/>
              <w:jc w:val="both"/>
              <w:rPr>
                <w:sz w:val="18"/>
                <w:szCs w:val="18"/>
              </w:rPr>
            </w:pPr>
            <w:r w:rsidRPr="005C0CCC">
              <w:rPr>
                <w:sz w:val="18"/>
                <w:szCs w:val="18"/>
              </w:rPr>
              <w:t>D1e</w:t>
            </w:r>
          </w:p>
          <w:p w14:paraId="3457BD75" w14:textId="77777777" w:rsidR="009465C2" w:rsidRPr="005C0CCC" w:rsidRDefault="009465C2" w:rsidP="00697F07">
            <w:pPr>
              <w:spacing w:line="260" w:lineRule="exact"/>
              <w:jc w:val="both"/>
              <w:rPr>
                <w:sz w:val="18"/>
                <w:szCs w:val="18"/>
              </w:rPr>
            </w:pPr>
            <w:r w:rsidRPr="005C0CCC">
              <w:rPr>
                <w:sz w:val="18"/>
                <w:szCs w:val="18"/>
              </w:rPr>
              <w:t>D1f</w:t>
            </w:r>
          </w:p>
          <w:p w14:paraId="250BF8EA" w14:textId="77777777" w:rsidR="009465C2" w:rsidRPr="005C0CCC" w:rsidRDefault="009465C2" w:rsidP="00697F07">
            <w:pPr>
              <w:spacing w:line="260" w:lineRule="exact"/>
              <w:jc w:val="both"/>
              <w:rPr>
                <w:sz w:val="18"/>
                <w:szCs w:val="18"/>
              </w:rPr>
            </w:pPr>
            <w:r w:rsidRPr="005C0CCC">
              <w:rPr>
                <w:sz w:val="18"/>
                <w:szCs w:val="18"/>
              </w:rPr>
              <w:t>D2a</w:t>
            </w:r>
          </w:p>
          <w:p w14:paraId="5758E074" w14:textId="77777777" w:rsidR="009465C2" w:rsidRPr="005C0CCC" w:rsidRDefault="009465C2" w:rsidP="00697F07">
            <w:pPr>
              <w:spacing w:line="260" w:lineRule="exact"/>
              <w:jc w:val="both"/>
              <w:rPr>
                <w:sz w:val="18"/>
                <w:szCs w:val="18"/>
              </w:rPr>
            </w:pPr>
            <w:r w:rsidRPr="005C0CCC">
              <w:rPr>
                <w:sz w:val="18"/>
                <w:szCs w:val="18"/>
              </w:rPr>
              <w:t>D2b</w:t>
            </w:r>
          </w:p>
          <w:p w14:paraId="07A7ABDE" w14:textId="77777777" w:rsidR="009465C2" w:rsidRPr="005C0CCC" w:rsidRDefault="009465C2" w:rsidP="00697F07">
            <w:pPr>
              <w:spacing w:line="260" w:lineRule="exact"/>
              <w:jc w:val="both"/>
              <w:rPr>
                <w:sz w:val="18"/>
                <w:szCs w:val="18"/>
              </w:rPr>
            </w:pPr>
            <w:r w:rsidRPr="005C0CCC">
              <w:rPr>
                <w:sz w:val="18"/>
                <w:szCs w:val="18"/>
              </w:rPr>
              <w:t>D2c</w:t>
            </w:r>
          </w:p>
        </w:tc>
        <w:tc>
          <w:tcPr>
            <w:tcW w:w="5326" w:type="dxa"/>
          </w:tcPr>
          <w:p w14:paraId="46792270" w14:textId="77777777" w:rsidR="009465C2" w:rsidRPr="005C0CCC" w:rsidRDefault="009465C2" w:rsidP="00697F07">
            <w:pPr>
              <w:spacing w:line="260" w:lineRule="exact"/>
              <w:jc w:val="both"/>
              <w:rPr>
                <w:sz w:val="18"/>
                <w:szCs w:val="18"/>
              </w:rPr>
            </w:pPr>
            <w:r w:rsidRPr="005C0CCC">
              <w:rPr>
                <w:sz w:val="18"/>
                <w:szCs w:val="18"/>
              </w:rPr>
              <w:t xml:space="preserve">Aranžmaji, </w:t>
            </w:r>
            <w:r w:rsidR="001227E5" w:rsidRPr="005C0CCC">
              <w:rPr>
                <w:sz w:val="18"/>
                <w:szCs w:val="18"/>
              </w:rPr>
              <w:t xml:space="preserve">ki imajo lahko za posledico ogrozitev obveznosti avtomatične izmenjave podatkov in </w:t>
            </w:r>
            <w:r w:rsidRPr="005C0CCC">
              <w:rPr>
                <w:sz w:val="18"/>
                <w:szCs w:val="18"/>
              </w:rPr>
              <w:t>zakrivanjem upravičenega lastništva</w:t>
            </w:r>
          </w:p>
        </w:tc>
        <w:tc>
          <w:tcPr>
            <w:tcW w:w="2835" w:type="dxa"/>
          </w:tcPr>
          <w:p w14:paraId="302B04C5" w14:textId="77777777" w:rsidR="009465C2" w:rsidRPr="005C0CCC" w:rsidRDefault="009465C2" w:rsidP="00697F07">
            <w:pPr>
              <w:spacing w:line="260" w:lineRule="exact"/>
              <w:jc w:val="center"/>
              <w:rPr>
                <w:sz w:val="18"/>
                <w:szCs w:val="18"/>
              </w:rPr>
            </w:pPr>
            <w:r w:rsidRPr="005C0CCC">
              <w:rPr>
                <w:sz w:val="18"/>
                <w:szCs w:val="18"/>
              </w:rPr>
              <w:t>Ne</w:t>
            </w:r>
          </w:p>
        </w:tc>
      </w:tr>
    </w:tbl>
    <w:p w14:paraId="51FEFDD8" w14:textId="77777777" w:rsidR="00452766" w:rsidRDefault="00452766" w:rsidP="00697F07">
      <w:pPr>
        <w:spacing w:line="260" w:lineRule="exact"/>
        <w:rPr>
          <w:lang w:eastAsia="sl-SI"/>
        </w:rPr>
      </w:pPr>
    </w:p>
    <w:p w14:paraId="3E5D189E" w14:textId="77777777" w:rsidR="005510AA" w:rsidRDefault="005510AA" w:rsidP="00697F07">
      <w:pPr>
        <w:spacing w:after="160" w:line="260" w:lineRule="exact"/>
        <w:jc w:val="both"/>
        <w:rPr>
          <w:rFonts w:eastAsia="Calibri" w:cs="Arial"/>
          <w:szCs w:val="20"/>
        </w:rPr>
      </w:pPr>
      <w:r w:rsidRPr="009D12D5">
        <w:rPr>
          <w:rFonts w:eastAsia="Calibri" w:cs="Arial"/>
          <w:szCs w:val="20"/>
        </w:rPr>
        <w:t xml:space="preserve">V uvodnih določbah </w:t>
      </w:r>
      <w:r w:rsidR="00737098" w:rsidRPr="009D12D5">
        <w:rPr>
          <w:rFonts w:eastAsia="Calibri" w:cs="Arial"/>
          <w:szCs w:val="20"/>
        </w:rPr>
        <w:t>D</w:t>
      </w:r>
      <w:r w:rsidRPr="009D12D5">
        <w:rPr>
          <w:rFonts w:eastAsia="Calibri" w:cs="Arial"/>
          <w:szCs w:val="20"/>
        </w:rPr>
        <w:t xml:space="preserve">irektive </w:t>
      </w:r>
      <w:r w:rsidR="00737098" w:rsidRPr="009D12D5">
        <w:rPr>
          <w:rFonts w:eastAsia="Calibri" w:cs="Arial"/>
          <w:szCs w:val="20"/>
        </w:rPr>
        <w:t xml:space="preserve">2011/16/EU </w:t>
      </w:r>
      <w:r w:rsidRPr="009D12D5">
        <w:rPr>
          <w:rFonts w:eastAsia="Calibri" w:cs="Arial"/>
          <w:szCs w:val="20"/>
        </w:rPr>
        <w:t>(odstavek 13) je definirano, da se države članice pri izvajanju tega dela direktive, zaradi ponazoritve in razlage lahko oprejo na delo OECD oz. na pripravljena vzorčna pravila o obveznem razkritju za obravnavanje aranžmajev za izogibanje skupnim standardom poročanja in nepreglednih offshore struktur</w:t>
      </w:r>
      <w:r w:rsidR="00AF494C" w:rsidRPr="009D12D5">
        <w:rPr>
          <w:rFonts w:eastAsia="Calibri" w:cs="Arial"/>
          <w:szCs w:val="20"/>
        </w:rPr>
        <w:t xml:space="preserve"> (ang. Model Mandatory Disclosure Rules for CRS Avoidance Arrangements and Opaque Offshore Structures – v nadaljevanju; MDR)</w:t>
      </w:r>
      <w:r w:rsidRPr="009D12D5">
        <w:rPr>
          <w:rFonts w:eastAsia="Calibri" w:cs="Arial"/>
          <w:szCs w:val="20"/>
        </w:rPr>
        <w:t xml:space="preserve">, zato podrobnejši opis </w:t>
      </w:r>
      <w:r w:rsidR="00737098" w:rsidRPr="009D12D5">
        <w:rPr>
          <w:rFonts w:eastAsia="Calibri" w:cs="Arial"/>
          <w:szCs w:val="20"/>
        </w:rPr>
        <w:t xml:space="preserve">v tem delu </w:t>
      </w:r>
      <w:r w:rsidRPr="009D12D5">
        <w:rPr>
          <w:rFonts w:eastAsia="Calibri" w:cs="Arial"/>
          <w:szCs w:val="20"/>
        </w:rPr>
        <w:t xml:space="preserve">sledi </w:t>
      </w:r>
      <w:r w:rsidR="00737098" w:rsidRPr="009D12D5">
        <w:rPr>
          <w:rFonts w:eastAsia="Calibri" w:cs="Arial"/>
          <w:szCs w:val="20"/>
        </w:rPr>
        <w:t xml:space="preserve">OECD </w:t>
      </w:r>
      <w:r w:rsidRPr="009D12D5">
        <w:rPr>
          <w:rFonts w:eastAsia="Calibri" w:cs="Arial"/>
          <w:szCs w:val="20"/>
        </w:rPr>
        <w:t>pravilom</w:t>
      </w:r>
      <w:r w:rsidRPr="009D12D5">
        <w:rPr>
          <w:rStyle w:val="Sprotnaopomba-sklic"/>
          <w:rFonts w:eastAsia="Calibri" w:cs="Arial"/>
          <w:szCs w:val="20"/>
        </w:rPr>
        <w:footnoteReference w:id="26"/>
      </w:r>
      <w:r w:rsidRPr="009D12D5">
        <w:rPr>
          <w:rFonts w:eastAsia="Calibri" w:cs="Arial"/>
          <w:szCs w:val="20"/>
        </w:rPr>
        <w:t xml:space="preserve">. </w:t>
      </w:r>
    </w:p>
    <w:p w14:paraId="14863460" w14:textId="77777777" w:rsidR="00C64923" w:rsidRDefault="00C64923" w:rsidP="00697F07">
      <w:pPr>
        <w:spacing w:after="160" w:line="260" w:lineRule="exact"/>
        <w:jc w:val="both"/>
        <w:rPr>
          <w:rFonts w:eastAsia="Calibri" w:cs="Arial"/>
          <w:szCs w:val="20"/>
        </w:rPr>
      </w:pPr>
      <w:r>
        <w:rPr>
          <w:rFonts w:eastAsia="Calibri" w:cs="Arial"/>
          <w:szCs w:val="20"/>
        </w:rPr>
        <w:t>Prepoznavne značilnosti znotraj skupine D niso vezane na test glavne koristi, kar pomeni, da se o njih poroča</w:t>
      </w:r>
      <w:r w:rsidR="002E3576">
        <w:rPr>
          <w:rFonts w:eastAsia="Calibri" w:cs="Arial"/>
          <w:szCs w:val="20"/>
        </w:rPr>
        <w:t>,</w:t>
      </w:r>
      <w:r>
        <w:rPr>
          <w:rFonts w:eastAsia="Calibri" w:cs="Arial"/>
          <w:szCs w:val="20"/>
        </w:rPr>
        <w:t xml:space="preserve"> četudi se od aranžmaja ne pričakuje davčna korist.  </w:t>
      </w:r>
    </w:p>
    <w:p w14:paraId="7B940B95" w14:textId="77777777" w:rsidR="00AF494C" w:rsidRDefault="00225A25" w:rsidP="00697F07">
      <w:pPr>
        <w:spacing w:after="160" w:line="260" w:lineRule="exact"/>
        <w:jc w:val="both"/>
        <w:rPr>
          <w:rFonts w:eastAsia="Calibri" w:cs="Arial"/>
          <w:szCs w:val="20"/>
        </w:rPr>
      </w:pPr>
      <w:r>
        <w:rPr>
          <w:rFonts w:eastAsia="Calibri" w:cs="Arial"/>
          <w:szCs w:val="20"/>
        </w:rPr>
        <w:t xml:space="preserve">Finančna institucija, ki ponuja določen produkt, da se izogne obveznosti poročanja glede na prepoznavne značilnosti pod D1 in D2 se bo </w:t>
      </w:r>
      <w:r w:rsidR="00BC0894">
        <w:rPr>
          <w:rFonts w:eastAsia="Calibri" w:cs="Arial"/>
          <w:szCs w:val="20"/>
        </w:rPr>
        <w:t xml:space="preserve">najverjetneje </w:t>
      </w:r>
      <w:r>
        <w:rPr>
          <w:rFonts w:eastAsia="Calibri" w:cs="Arial"/>
          <w:szCs w:val="20"/>
        </w:rPr>
        <w:t xml:space="preserve">obravnavala kot posrednik, </w:t>
      </w:r>
      <w:r w:rsidR="007B2C4B">
        <w:rPr>
          <w:rFonts w:eastAsia="Calibri" w:cs="Arial"/>
          <w:szCs w:val="20"/>
        </w:rPr>
        <w:t xml:space="preserve">saj bo zajeta v definicijo osebe, ki »oblikuje, trži, organizira ali daje na voljo za uporabo« čezmejni aranžma, o katerem se poroča. </w:t>
      </w:r>
    </w:p>
    <w:p w14:paraId="798D429E" w14:textId="77777777" w:rsidR="005510AA" w:rsidRPr="00817D06" w:rsidRDefault="005510AA" w:rsidP="00697F07">
      <w:pPr>
        <w:spacing w:after="160" w:line="260" w:lineRule="exact"/>
        <w:jc w:val="both"/>
        <w:rPr>
          <w:rFonts w:eastAsia="Calibri" w:cs="Arial"/>
          <w:b/>
          <w:szCs w:val="20"/>
        </w:rPr>
      </w:pPr>
      <w:bookmarkStart w:id="55" w:name="_Toc75160038"/>
      <w:r w:rsidRPr="0068128B">
        <w:rPr>
          <w:rStyle w:val="Naslov3Znak"/>
          <w:rFonts w:eastAsia="Calibri"/>
        </w:rPr>
        <w:t>D1. Aranžma, ki lahko ima za posledico ogrozitev obveznosti</w:t>
      </w:r>
      <w:bookmarkEnd w:id="55"/>
      <w:r w:rsidRPr="00817D06">
        <w:rPr>
          <w:rStyle w:val="Naslov2Znak"/>
          <w:rFonts w:eastAsia="Calibri"/>
        </w:rPr>
        <w:t xml:space="preserve"> poročanja </w:t>
      </w:r>
      <w:r w:rsidRPr="00817D06">
        <w:rPr>
          <w:rFonts w:eastAsia="Calibri" w:cs="Arial"/>
          <w:b/>
          <w:szCs w:val="20"/>
        </w:rPr>
        <w:t xml:space="preserve">na podlagi zakonov, s katerimi se izvaja zakonodaja Unije, ali kakršni koli enakovredni sporazumi o avtomatični izmenjavi informacij o Finančnih računih, vključno s sporazumi s tretjimi državami, ali ki izkorišča neobstoj take zakonodaje ali sporazumov. Takšni aranžmaji vključujejo vsaj naslednje: </w:t>
      </w:r>
    </w:p>
    <w:p w14:paraId="3B41B264" w14:textId="77777777" w:rsidR="005510AA" w:rsidRPr="00817D06" w:rsidRDefault="005510AA" w:rsidP="00697F07">
      <w:pPr>
        <w:spacing w:after="160" w:line="260" w:lineRule="exact"/>
        <w:jc w:val="both"/>
        <w:rPr>
          <w:rFonts w:eastAsia="Calibri" w:cs="Arial"/>
          <w:szCs w:val="20"/>
        </w:rPr>
      </w:pPr>
      <w:r>
        <w:rPr>
          <w:rFonts w:eastAsia="Calibri" w:cs="Arial"/>
          <w:szCs w:val="20"/>
        </w:rPr>
        <w:t>P</w:t>
      </w:r>
      <w:r w:rsidRPr="00817D06">
        <w:rPr>
          <w:rFonts w:eastAsia="Calibri" w:cs="Arial"/>
          <w:szCs w:val="20"/>
        </w:rPr>
        <w:t>repoznavn</w:t>
      </w:r>
      <w:r>
        <w:rPr>
          <w:rFonts w:eastAsia="Calibri" w:cs="Arial"/>
          <w:szCs w:val="20"/>
        </w:rPr>
        <w:t>a</w:t>
      </w:r>
      <w:r w:rsidRPr="00817D06">
        <w:rPr>
          <w:rFonts w:eastAsia="Calibri" w:cs="Arial"/>
          <w:szCs w:val="20"/>
        </w:rPr>
        <w:t xml:space="preserve"> značilnost D1 </w:t>
      </w:r>
      <w:r>
        <w:rPr>
          <w:rFonts w:eastAsia="Calibri" w:cs="Arial"/>
          <w:szCs w:val="20"/>
        </w:rPr>
        <w:t xml:space="preserve">velja </w:t>
      </w:r>
      <w:r w:rsidRPr="00817D06">
        <w:rPr>
          <w:rFonts w:eastAsia="Calibri" w:cs="Arial"/>
          <w:szCs w:val="20"/>
        </w:rPr>
        <w:t>za aranžmaje, ki so povezani z avtomatično izmenjavo podatkov o finančnih računih (Common Reporting Standard, v nadaljevanju CRS</w:t>
      </w:r>
      <w:r w:rsidR="00B30A96">
        <w:rPr>
          <w:rStyle w:val="Sprotnaopomba-sklic"/>
          <w:rFonts w:eastAsia="Calibri" w:cs="Arial"/>
          <w:szCs w:val="20"/>
        </w:rPr>
        <w:footnoteReference w:id="27"/>
      </w:r>
      <w:r w:rsidRPr="00817D06">
        <w:rPr>
          <w:rFonts w:eastAsia="Calibri" w:cs="Arial"/>
          <w:szCs w:val="20"/>
        </w:rPr>
        <w:t>). Značilnost se nanaša na aranžmaje, namenjene izogibanju CRS poročanja, in sicer tako za izogibanje zakonskim zahtevam CRS standarda kot napačni razlag</w:t>
      </w:r>
      <w:r w:rsidR="00AF494C">
        <w:rPr>
          <w:rFonts w:eastAsia="Calibri" w:cs="Arial"/>
          <w:szCs w:val="20"/>
        </w:rPr>
        <w:t>i</w:t>
      </w:r>
      <w:r w:rsidRPr="00817D06">
        <w:rPr>
          <w:rFonts w:eastAsia="Calibri" w:cs="Arial"/>
          <w:szCs w:val="20"/>
        </w:rPr>
        <w:t xml:space="preserve"> oziroma uporabi standarda.</w:t>
      </w:r>
    </w:p>
    <w:p w14:paraId="62657E11" w14:textId="77777777" w:rsidR="00AF494C" w:rsidRPr="00F27554" w:rsidRDefault="005510AA" w:rsidP="00697F07">
      <w:pPr>
        <w:spacing w:after="160" w:line="260" w:lineRule="exact"/>
        <w:jc w:val="both"/>
        <w:rPr>
          <w:rFonts w:eastAsia="Calibri" w:cs="Arial"/>
          <w:szCs w:val="20"/>
        </w:rPr>
      </w:pPr>
      <w:r w:rsidRPr="00F27554">
        <w:rPr>
          <w:rFonts w:eastAsia="Calibri" w:cs="Arial"/>
          <w:szCs w:val="20"/>
        </w:rPr>
        <w:t>Zgolj dejstvo, da aranžma vpliva na neporočanje, še ne zadošča, da se njegov učinek obravnava kot izog</w:t>
      </w:r>
      <w:r w:rsidR="00063634" w:rsidRPr="00F27554">
        <w:rPr>
          <w:rFonts w:eastAsia="Calibri" w:cs="Arial"/>
          <w:szCs w:val="20"/>
        </w:rPr>
        <w:t>ibanje CRS zakonodaji.</w:t>
      </w:r>
      <w:r w:rsidRPr="00F27554">
        <w:rPr>
          <w:rFonts w:eastAsia="Calibri" w:cs="Arial"/>
          <w:szCs w:val="20"/>
        </w:rPr>
        <w:t xml:space="preserve"> Za izogibanje CRS zakonodaji gre le v primeru, ko je mogoče razumno sklepati</w:t>
      </w:r>
      <w:r w:rsidR="00617F0D" w:rsidRPr="00F27554">
        <w:rPr>
          <w:rFonts w:eastAsia="Calibri" w:cs="Arial"/>
          <w:szCs w:val="20"/>
        </w:rPr>
        <w:t>,</w:t>
      </w:r>
      <w:r w:rsidRPr="00F27554">
        <w:rPr>
          <w:rFonts w:eastAsia="Calibri" w:cs="Arial"/>
          <w:szCs w:val="20"/>
        </w:rPr>
        <w:t xml:space="preserve"> da aranžma ogroža obveznost poročanja na podlagi </w:t>
      </w:r>
      <w:r w:rsidR="00BC0894" w:rsidRPr="00F27554">
        <w:rPr>
          <w:rFonts w:eastAsia="Calibri" w:cs="Arial"/>
          <w:szCs w:val="20"/>
        </w:rPr>
        <w:t xml:space="preserve">CRS </w:t>
      </w:r>
      <w:r w:rsidRPr="00F27554">
        <w:rPr>
          <w:rFonts w:eastAsia="Calibri" w:cs="Arial"/>
          <w:szCs w:val="20"/>
        </w:rPr>
        <w:t>zakonodaje</w:t>
      </w:r>
      <w:r w:rsidR="00BC0894" w:rsidRPr="00F27554">
        <w:rPr>
          <w:rFonts w:eastAsia="Calibri" w:cs="Arial"/>
          <w:szCs w:val="20"/>
        </w:rPr>
        <w:t>.</w:t>
      </w:r>
      <w:r w:rsidRPr="00F27554">
        <w:rPr>
          <w:rFonts w:eastAsia="Calibri" w:cs="Arial"/>
          <w:szCs w:val="20"/>
        </w:rPr>
        <w:t xml:space="preserve"> </w:t>
      </w:r>
    </w:p>
    <w:p w14:paraId="6AA246E9" w14:textId="77777777" w:rsidR="00AF494C" w:rsidRPr="009466CB" w:rsidRDefault="00AF494C" w:rsidP="00697F07">
      <w:pPr>
        <w:spacing w:after="160" w:line="260" w:lineRule="exact"/>
        <w:jc w:val="both"/>
        <w:rPr>
          <w:rFonts w:eastAsia="Calibri" w:cs="Arial"/>
          <w:szCs w:val="20"/>
        </w:rPr>
      </w:pPr>
      <w:r>
        <w:t xml:space="preserve">Aranžma ogrozi poročanje in zaobide CRS zakonodajo, kadar se izogiba poročanju zadevnih informacij jurisdikciji(-jam) davčnega rezidentstva zavezanca na način, ki spodkopava </w:t>
      </w:r>
      <w:r w:rsidRPr="009466CB">
        <w:rPr>
          <w:rFonts w:cs="Arial"/>
        </w:rPr>
        <w:t xml:space="preserve">nameravano politiko CRS, vključno z: </w:t>
      </w:r>
    </w:p>
    <w:p w14:paraId="6E8758B2" w14:textId="77777777" w:rsidR="00AF494C" w:rsidRPr="00391F60" w:rsidRDefault="00AF494C" w:rsidP="00697F07">
      <w:pPr>
        <w:numPr>
          <w:ilvl w:val="0"/>
          <w:numId w:val="8"/>
        </w:numPr>
        <w:autoSpaceDE w:val="0"/>
        <w:autoSpaceDN w:val="0"/>
        <w:adjustRightInd w:val="0"/>
        <w:spacing w:line="260" w:lineRule="exact"/>
        <w:ind w:left="567" w:hanging="425"/>
        <w:jc w:val="both"/>
        <w:rPr>
          <w:rFonts w:cs="Arial"/>
          <w:color w:val="000000"/>
        </w:rPr>
      </w:pPr>
      <w:r w:rsidRPr="009466CB">
        <w:rPr>
          <w:rFonts w:cs="Arial"/>
        </w:rPr>
        <w:t xml:space="preserve">izkoriščanjem odsotnosti </w:t>
      </w:r>
      <w:r>
        <w:rPr>
          <w:rFonts w:cs="Arial"/>
        </w:rPr>
        <w:t xml:space="preserve">CRS </w:t>
      </w:r>
      <w:r w:rsidRPr="009466CB">
        <w:rPr>
          <w:rFonts w:cs="Arial"/>
        </w:rPr>
        <w:t>zakonodaje ali nepravilno uporabo takšne zakonodaje;</w:t>
      </w:r>
    </w:p>
    <w:p w14:paraId="59628EC3" w14:textId="77777777" w:rsidR="00AF494C" w:rsidRPr="00391F60" w:rsidRDefault="00AF494C" w:rsidP="00697F07">
      <w:pPr>
        <w:numPr>
          <w:ilvl w:val="0"/>
          <w:numId w:val="8"/>
        </w:numPr>
        <w:autoSpaceDE w:val="0"/>
        <w:autoSpaceDN w:val="0"/>
        <w:adjustRightInd w:val="0"/>
        <w:spacing w:line="260" w:lineRule="exact"/>
        <w:ind w:left="567" w:hanging="425"/>
        <w:jc w:val="both"/>
        <w:rPr>
          <w:rFonts w:cs="Arial"/>
          <w:color w:val="000000"/>
        </w:rPr>
      </w:pPr>
      <w:r w:rsidRPr="009466CB">
        <w:rPr>
          <w:rFonts w:cs="Arial"/>
        </w:rPr>
        <w:lastRenderedPageBreak/>
        <w:t xml:space="preserve">izkoriščanjem odsotnosti sporazuma o </w:t>
      </w:r>
      <w:r w:rsidR="00BC0894">
        <w:rPr>
          <w:rFonts w:cs="Arial"/>
        </w:rPr>
        <w:t xml:space="preserve">avtomatični </w:t>
      </w:r>
      <w:r w:rsidRPr="009466CB">
        <w:rPr>
          <w:rFonts w:cs="Arial"/>
        </w:rPr>
        <w:t>izmenjavi</w:t>
      </w:r>
      <w:r>
        <w:rPr>
          <w:rFonts w:cs="Arial"/>
        </w:rPr>
        <w:t xml:space="preserve"> </w:t>
      </w:r>
      <w:r w:rsidRPr="009466CB">
        <w:rPr>
          <w:rFonts w:cs="Arial"/>
        </w:rPr>
        <w:t>CRS</w:t>
      </w:r>
      <w:r>
        <w:rPr>
          <w:rFonts w:cs="Arial"/>
        </w:rPr>
        <w:t xml:space="preserve"> podatkov</w:t>
      </w:r>
      <w:r w:rsidRPr="009466CB">
        <w:rPr>
          <w:rFonts w:cs="Arial"/>
        </w:rPr>
        <w:t xml:space="preserve"> z eno ali več jurisdikcijami davčnega rezidentstva zavezanca;</w:t>
      </w:r>
    </w:p>
    <w:p w14:paraId="350BB079" w14:textId="77777777" w:rsidR="00AF494C" w:rsidRPr="00391F60" w:rsidRDefault="00AF494C" w:rsidP="00697F07">
      <w:pPr>
        <w:numPr>
          <w:ilvl w:val="0"/>
          <w:numId w:val="8"/>
        </w:numPr>
        <w:autoSpaceDE w:val="0"/>
        <w:autoSpaceDN w:val="0"/>
        <w:adjustRightInd w:val="0"/>
        <w:spacing w:line="260" w:lineRule="exact"/>
        <w:ind w:left="567" w:hanging="425"/>
        <w:jc w:val="both"/>
        <w:rPr>
          <w:rFonts w:cs="Arial"/>
        </w:rPr>
      </w:pPr>
      <w:r w:rsidRPr="009466CB">
        <w:rPr>
          <w:rFonts w:cs="Arial"/>
        </w:rPr>
        <w:t>spodkopavanjem ali izkoriščanjem pomanjkljivosti v postopkih dolžne skrbnosti, ki jih uporabljajo finančne institucije v skladu</w:t>
      </w:r>
      <w:r>
        <w:rPr>
          <w:rFonts w:cs="Arial"/>
        </w:rPr>
        <w:t xml:space="preserve"> s </w:t>
      </w:r>
      <w:r w:rsidRPr="009466CB">
        <w:rPr>
          <w:rFonts w:cs="Arial"/>
        </w:rPr>
        <w:t>CRS</w:t>
      </w:r>
      <w:r>
        <w:rPr>
          <w:rFonts w:cs="Arial"/>
        </w:rPr>
        <w:t xml:space="preserve"> zakonodajo</w:t>
      </w:r>
      <w:r w:rsidRPr="009466CB">
        <w:rPr>
          <w:rFonts w:cs="Arial"/>
        </w:rPr>
        <w:t>;</w:t>
      </w:r>
      <w:r w:rsidRPr="00391F60">
        <w:rPr>
          <w:rFonts w:cs="Arial"/>
          <w:color w:val="000000"/>
        </w:rPr>
        <w:t xml:space="preserve"> </w:t>
      </w:r>
      <w:r w:rsidRPr="009466CB">
        <w:rPr>
          <w:rFonts w:cs="Arial"/>
        </w:rPr>
        <w:t>ali</w:t>
      </w:r>
    </w:p>
    <w:p w14:paraId="1C7DDF6F" w14:textId="77777777" w:rsidR="00AF494C" w:rsidRPr="00391F60" w:rsidRDefault="00AF494C" w:rsidP="00697F07">
      <w:pPr>
        <w:numPr>
          <w:ilvl w:val="0"/>
          <w:numId w:val="8"/>
        </w:numPr>
        <w:autoSpaceDE w:val="0"/>
        <w:autoSpaceDN w:val="0"/>
        <w:adjustRightInd w:val="0"/>
        <w:spacing w:line="260" w:lineRule="exact"/>
        <w:ind w:left="567" w:hanging="425"/>
        <w:jc w:val="both"/>
        <w:rPr>
          <w:rFonts w:cs="Arial"/>
          <w:color w:val="000000"/>
          <w:lang w:val="it-IT"/>
        </w:rPr>
      </w:pPr>
      <w:r w:rsidRPr="009466CB">
        <w:rPr>
          <w:rFonts w:cs="Arial"/>
        </w:rPr>
        <w:t>na druge načine spodkopavanjem nameravane politike CRS.</w:t>
      </w:r>
    </w:p>
    <w:p w14:paraId="23F1781F" w14:textId="77777777" w:rsidR="00940F6E" w:rsidRPr="00391F60" w:rsidRDefault="00940F6E" w:rsidP="00697F07">
      <w:pPr>
        <w:autoSpaceDE w:val="0"/>
        <w:autoSpaceDN w:val="0"/>
        <w:adjustRightInd w:val="0"/>
        <w:spacing w:line="260" w:lineRule="exact"/>
        <w:ind w:left="2136"/>
        <w:jc w:val="both"/>
        <w:rPr>
          <w:rFonts w:ascii="Times New Roman" w:hAnsi="Times New Roman"/>
          <w:color w:val="000000"/>
          <w:lang w:val="it-IT"/>
        </w:rPr>
      </w:pPr>
    </w:p>
    <w:p w14:paraId="019A0C17" w14:textId="77777777" w:rsidR="005510AA" w:rsidRPr="00D22E4A" w:rsidRDefault="005510AA" w:rsidP="00697F07">
      <w:pPr>
        <w:spacing w:after="160" w:line="260" w:lineRule="exact"/>
        <w:jc w:val="both"/>
        <w:rPr>
          <w:rFonts w:eastAsia="Calibri" w:cs="Arial"/>
          <w:szCs w:val="20"/>
        </w:rPr>
      </w:pPr>
      <w:r w:rsidRPr="00D22E4A">
        <w:rPr>
          <w:rFonts w:eastAsia="Calibri" w:cs="Arial"/>
          <w:szCs w:val="20"/>
        </w:rPr>
        <w:t xml:space="preserve">Aranžma </w:t>
      </w:r>
      <w:r w:rsidR="00BC0894">
        <w:rPr>
          <w:rFonts w:eastAsia="Calibri" w:cs="Arial"/>
          <w:szCs w:val="20"/>
        </w:rPr>
        <w:t xml:space="preserve">torej </w:t>
      </w:r>
      <w:r w:rsidRPr="00D22E4A">
        <w:rPr>
          <w:rFonts w:eastAsia="Calibri" w:cs="Arial"/>
          <w:szCs w:val="20"/>
        </w:rPr>
        <w:t xml:space="preserve">izpolnjuje prepoznavno značilnost D1, kadar so njegovi učinki taki, da ogrozijo obveznost poročanja oziroma se skušajo izogniti poročanju po CRS. Test, ali je podana prepoznavna značilnost D1, je objektiven test. Podobno kot pri testu glavne koristi ni pomembno, kakšni so subjektivni motivi uporabnika, temveč zgolj, ali je to pričakovan rezultat aranžmaja. Pri tem se presoja učinek glede celotnega aranžmaja.  </w:t>
      </w:r>
    </w:p>
    <w:p w14:paraId="0DCE8522" w14:textId="77777777" w:rsidR="005510AA" w:rsidRPr="00D22E4A" w:rsidRDefault="005510AA" w:rsidP="00697F07">
      <w:pPr>
        <w:spacing w:after="160" w:line="260" w:lineRule="exact"/>
        <w:jc w:val="both"/>
        <w:rPr>
          <w:rFonts w:eastAsia="Calibri" w:cs="Arial"/>
          <w:szCs w:val="20"/>
        </w:rPr>
      </w:pPr>
      <w:r w:rsidRPr="00D22E4A">
        <w:rPr>
          <w:rFonts w:eastAsia="Calibri" w:cs="Arial"/>
          <w:szCs w:val="20"/>
        </w:rPr>
        <w:t>V kolikor se posrednik sreča le z delom aranžmaja in ne ve, da ta posamezni korak aranžmaja pomeni ogrozitev obveznosti oziroma izogibanje poročanja po CRS, v tem primeru ni zavezan k poročanju. Če obveznosti poročanja CRS ni, ne pomeni, da je avtomatsko sprožena prepoznavna značilnost D1. V takem primeru je potrebno presojati</w:t>
      </w:r>
      <w:r w:rsidR="005711E2">
        <w:rPr>
          <w:rFonts w:eastAsia="Calibri" w:cs="Arial"/>
          <w:szCs w:val="20"/>
        </w:rPr>
        <w:t>,</w:t>
      </w:r>
      <w:r w:rsidRPr="00D22E4A">
        <w:rPr>
          <w:rFonts w:eastAsia="Calibri" w:cs="Arial"/>
          <w:szCs w:val="20"/>
        </w:rPr>
        <w:t xml:space="preserve"> ali je mogoče razumno sklepati, da izostanek poročanja ni posledica ogrozitve obveznosti poročanja po CRS. </w:t>
      </w:r>
    </w:p>
    <w:p w14:paraId="46D6145D" w14:textId="77777777" w:rsidR="00CF0483" w:rsidRDefault="00BC0894" w:rsidP="00697F07">
      <w:pPr>
        <w:spacing w:after="160" w:line="260" w:lineRule="exact"/>
        <w:jc w:val="both"/>
        <w:rPr>
          <w:rFonts w:eastAsia="Calibri" w:cs="Arial"/>
          <w:szCs w:val="20"/>
        </w:rPr>
      </w:pPr>
      <w:r w:rsidRPr="00697128">
        <w:rPr>
          <w:rFonts w:eastAsia="Calibri" w:cs="Arial"/>
          <w:b/>
          <w:szCs w:val="20"/>
        </w:rPr>
        <w:t>Primer:</w:t>
      </w:r>
      <w:r>
        <w:rPr>
          <w:rFonts w:eastAsia="Calibri" w:cs="Arial"/>
          <w:szCs w:val="20"/>
        </w:rPr>
        <w:t xml:space="preserve"> </w:t>
      </w:r>
    </w:p>
    <w:p w14:paraId="1DD7FCCE" w14:textId="77777777" w:rsidR="005510AA" w:rsidRDefault="005510AA" w:rsidP="00697F07">
      <w:pPr>
        <w:spacing w:after="160" w:line="260" w:lineRule="exact"/>
        <w:jc w:val="both"/>
        <w:rPr>
          <w:rFonts w:eastAsia="Calibri" w:cs="Arial"/>
          <w:szCs w:val="20"/>
        </w:rPr>
      </w:pPr>
      <w:r w:rsidRPr="00D22E4A">
        <w:rPr>
          <w:rFonts w:eastAsia="Calibri" w:cs="Arial"/>
          <w:szCs w:val="20"/>
        </w:rPr>
        <w:t xml:space="preserve">Nepremičnine so na primer vrsta premoženja, ki ni zajeta v obseg poročanja po CRS. Zato aranžma o dvigu sredstev za nakup stanovanja iz depozitnega računa, ki je predmet poročanja, ne predstavlja aranžmaja o izogibanju CRS kljub dejstvu, da se zaradi aranžmaja ne poroča o sredstvih, uporabljenih za ta nakup. </w:t>
      </w:r>
    </w:p>
    <w:p w14:paraId="020A31DF" w14:textId="77777777" w:rsidR="009553CC" w:rsidRDefault="00F97E20" w:rsidP="00697F07">
      <w:pPr>
        <w:spacing w:after="160" w:line="260" w:lineRule="exact"/>
        <w:jc w:val="both"/>
        <w:rPr>
          <w:rFonts w:eastAsia="Calibri" w:cs="Arial"/>
          <w:szCs w:val="20"/>
        </w:rPr>
      </w:pPr>
      <w:r>
        <w:rPr>
          <w:rFonts w:eastAsia="Calibri" w:cs="Arial"/>
          <w:szCs w:val="20"/>
        </w:rPr>
        <w:t xml:space="preserve">Podobno se  </w:t>
      </w:r>
      <w:r w:rsidR="00972DAF">
        <w:rPr>
          <w:rFonts w:eastAsia="Calibri" w:cs="Arial"/>
          <w:szCs w:val="20"/>
        </w:rPr>
        <w:t>predplačniške kartice, ki jih izdaja finančna institucija pri običajnem bančnem ali podobnem poslovanju in so namenjene izključno plačevanju blaga in storitev, ob izpolnjevanju kriterijev iz CRS standarda lahko obravnavajo kot izključeni računi in zato v normalnih okoliščinah ne predstavljajo aranžmaja o izogibanju CRS zakonodaje.</w:t>
      </w:r>
    </w:p>
    <w:p w14:paraId="5C27F2FB" w14:textId="77777777" w:rsidR="00737098" w:rsidRDefault="005510AA" w:rsidP="00697F07">
      <w:pPr>
        <w:spacing w:after="160" w:line="260" w:lineRule="exact"/>
        <w:jc w:val="both"/>
        <w:rPr>
          <w:rFonts w:eastAsia="Calibri" w:cs="Arial"/>
          <w:b/>
          <w:szCs w:val="20"/>
        </w:rPr>
      </w:pPr>
      <w:r w:rsidRPr="00D22E4A">
        <w:rPr>
          <w:rFonts w:eastAsia="Calibri" w:cs="Arial"/>
          <w:b/>
          <w:szCs w:val="20"/>
        </w:rPr>
        <w:t xml:space="preserve">(a) uporabo računa, produkta ali naložbe, ki ni ali naj ne bi bil </w:t>
      </w:r>
      <w:r w:rsidR="00535775">
        <w:rPr>
          <w:rFonts w:eastAsia="Calibri" w:cs="Arial"/>
          <w:b/>
          <w:szCs w:val="20"/>
        </w:rPr>
        <w:t>F</w:t>
      </w:r>
      <w:r w:rsidRPr="00D22E4A">
        <w:rPr>
          <w:rFonts w:eastAsia="Calibri" w:cs="Arial"/>
          <w:b/>
          <w:szCs w:val="20"/>
        </w:rPr>
        <w:t xml:space="preserve">inančni račun, ima pa značilnosti, ki so zelo podobne značilnostim </w:t>
      </w:r>
      <w:r w:rsidR="00535775">
        <w:rPr>
          <w:rFonts w:eastAsia="Calibri" w:cs="Arial"/>
          <w:b/>
          <w:szCs w:val="20"/>
        </w:rPr>
        <w:t>F</w:t>
      </w:r>
      <w:r w:rsidRPr="00D22E4A">
        <w:rPr>
          <w:rFonts w:eastAsia="Calibri" w:cs="Arial"/>
          <w:b/>
          <w:szCs w:val="20"/>
        </w:rPr>
        <w:t xml:space="preserve">inančnega računa; </w:t>
      </w:r>
    </w:p>
    <w:p w14:paraId="280FF815" w14:textId="575F1573" w:rsidR="00D9585F" w:rsidRDefault="005510AA" w:rsidP="00697F07">
      <w:pPr>
        <w:spacing w:after="160" w:line="260" w:lineRule="exact"/>
        <w:jc w:val="both"/>
        <w:rPr>
          <w:rFonts w:eastAsia="Calibri" w:cs="Arial"/>
          <w:szCs w:val="20"/>
        </w:rPr>
      </w:pPr>
      <w:r w:rsidRPr="00D54AFD">
        <w:rPr>
          <w:rFonts w:eastAsia="Calibri" w:cs="Arial"/>
          <w:szCs w:val="20"/>
        </w:rPr>
        <w:t xml:space="preserve">Prepoznavna značilnost D1a, se nanaša na finančne produkte, ki vlagatelju zagotavljajo osnovno funkcionalnost finančnega računa, vendar pa se ga zaradi lastnosti, ki jih vključuje, ne more opredeliti kot finančni račun za namene CRS. Ta značilnost bi lahko zajemala npr. uporabo nekaterih vrst elektronskega denarja kot nadomestka za depozitni račun ali izdajo določenih vrst pogodb o izvedenih finančnih instrumentih s strani finančnih institucij, ki ne spadajo v področje uporabe zakonodaje CRS, ampak replicirajo osnovno finančno premoženje, ki ga zajema ta zakonodaja. Čeprav se glede na definicijo zdi polje uporabe zelo široko, ker bo zajelo vrsto produktov samo zato, ker niso finančni računi, pa se poročanje nanaša le na prepoznavne značilnosti, ki imajo za posledico ogrozitev obveznosti poročanja. Prepoznavna značilnost zajema tako ponujanje takih produktov kot tudi transfer sredstev v take investicije. </w:t>
      </w:r>
    </w:p>
    <w:p w14:paraId="07AD14A0" w14:textId="77777777" w:rsidR="005510AA" w:rsidRPr="009D12D5" w:rsidRDefault="002E3576" w:rsidP="00697F07">
      <w:pPr>
        <w:spacing w:after="160" w:line="260" w:lineRule="exact"/>
        <w:jc w:val="both"/>
        <w:rPr>
          <w:rFonts w:eastAsia="Calibri" w:cs="Arial"/>
          <w:b/>
          <w:szCs w:val="20"/>
        </w:rPr>
      </w:pPr>
      <w:r>
        <w:rPr>
          <w:rFonts w:eastAsia="Calibri" w:cs="Arial"/>
          <w:b/>
          <w:szCs w:val="20"/>
        </w:rPr>
        <w:t>Splošno o D</w:t>
      </w:r>
      <w:r w:rsidR="005510AA" w:rsidRPr="009D12D5">
        <w:rPr>
          <w:rFonts w:eastAsia="Calibri" w:cs="Arial"/>
          <w:b/>
          <w:szCs w:val="20"/>
        </w:rPr>
        <w:t>1b – D1d</w:t>
      </w:r>
      <w:r w:rsidR="005510AA" w:rsidRPr="00737098">
        <w:rPr>
          <w:rFonts w:eastAsia="Calibri" w:cs="Arial"/>
          <w:b/>
          <w:i/>
          <w:szCs w:val="20"/>
        </w:rPr>
        <w:t>:</w:t>
      </w:r>
      <w:r w:rsidR="005510AA" w:rsidRPr="00737098">
        <w:rPr>
          <w:rFonts w:eastAsia="Calibri" w:cs="Arial"/>
          <w:i/>
          <w:szCs w:val="20"/>
        </w:rPr>
        <w:t xml:space="preserve"> </w:t>
      </w:r>
      <w:r w:rsidR="005510AA" w:rsidRPr="009D12D5">
        <w:rPr>
          <w:rFonts w:eastAsia="Calibri" w:cs="Arial"/>
          <w:szCs w:val="20"/>
        </w:rPr>
        <w:t>Za razliko od prepoznavne značilnosti D1a, ki se osredotoča na posebne značilnosti produkta, zaradi katerih je ta izvzet iz CRS poročanja, se te prepoznavne značilnosti nanašajo na jurisdikcijo, v kateri se ponuja finančni produkt</w:t>
      </w:r>
      <w:r>
        <w:rPr>
          <w:rFonts w:eastAsia="Calibri" w:cs="Arial"/>
          <w:szCs w:val="20"/>
        </w:rPr>
        <w:t>,</w:t>
      </w:r>
      <w:r w:rsidR="005510AA" w:rsidRPr="009D12D5">
        <w:rPr>
          <w:rFonts w:eastAsia="Calibri" w:cs="Arial"/>
          <w:szCs w:val="20"/>
        </w:rPr>
        <w:t xml:space="preserve"> ali na domače izjeme pri poročanju znotraj posamezne jurisdikcije, da bi opredelili aranžmaje, ki predstavljajo tveganje za izogibanje CRS poročanju</w:t>
      </w:r>
      <w:r w:rsidR="005510AA" w:rsidRPr="009D12D5">
        <w:rPr>
          <w:rFonts w:eastAsia="Calibri" w:cs="Arial"/>
          <w:b/>
          <w:szCs w:val="20"/>
        </w:rPr>
        <w:t xml:space="preserve">. </w:t>
      </w:r>
    </w:p>
    <w:p w14:paraId="15FCED2F" w14:textId="77777777" w:rsidR="005510AA" w:rsidRDefault="005510AA" w:rsidP="00697F07">
      <w:pPr>
        <w:tabs>
          <w:tab w:val="left" w:pos="426"/>
        </w:tabs>
        <w:autoSpaceDE w:val="0"/>
        <w:autoSpaceDN w:val="0"/>
        <w:adjustRightInd w:val="0"/>
        <w:spacing w:line="260" w:lineRule="exact"/>
        <w:jc w:val="both"/>
        <w:rPr>
          <w:rFonts w:cs="Arial"/>
          <w:color w:val="000000"/>
        </w:rPr>
      </w:pPr>
      <w:r w:rsidRPr="009D12D5">
        <w:rPr>
          <w:rFonts w:cs="Arial"/>
        </w:rPr>
        <w:t>Te posebne značilnosti se nanašajo na prenose denarja ali finančnih sredstev in vključujejo tiste primere, v katerih pride do spremembe strukture naložb, ki ima za posledico umik finančnega računa iz področja poročanja CRS.</w:t>
      </w:r>
      <w:r w:rsidRPr="009D12D5">
        <w:rPr>
          <w:rFonts w:cs="Arial"/>
          <w:color w:val="000000"/>
        </w:rPr>
        <w:t xml:space="preserve"> </w:t>
      </w:r>
    </w:p>
    <w:p w14:paraId="2323DA40" w14:textId="77777777" w:rsidR="00E702B7" w:rsidRDefault="00E702B7" w:rsidP="00697F07">
      <w:pPr>
        <w:tabs>
          <w:tab w:val="left" w:pos="426"/>
        </w:tabs>
        <w:autoSpaceDE w:val="0"/>
        <w:autoSpaceDN w:val="0"/>
        <w:adjustRightInd w:val="0"/>
        <w:spacing w:line="260" w:lineRule="exact"/>
        <w:jc w:val="both"/>
        <w:rPr>
          <w:rFonts w:cs="Arial"/>
          <w:color w:val="000000"/>
        </w:rPr>
      </w:pPr>
    </w:p>
    <w:p w14:paraId="3178893D" w14:textId="77777777" w:rsidR="00E702B7" w:rsidRDefault="00E702B7" w:rsidP="00697F07">
      <w:pPr>
        <w:tabs>
          <w:tab w:val="left" w:pos="426"/>
        </w:tabs>
        <w:autoSpaceDE w:val="0"/>
        <w:autoSpaceDN w:val="0"/>
        <w:adjustRightInd w:val="0"/>
        <w:spacing w:line="260" w:lineRule="exact"/>
        <w:jc w:val="both"/>
        <w:rPr>
          <w:rFonts w:cs="Arial"/>
          <w:color w:val="000000"/>
        </w:rPr>
      </w:pPr>
    </w:p>
    <w:p w14:paraId="7835C7A4" w14:textId="77777777" w:rsidR="004F49A7" w:rsidRPr="009D12D5" w:rsidRDefault="004F49A7" w:rsidP="00697F07">
      <w:pPr>
        <w:tabs>
          <w:tab w:val="left" w:pos="426"/>
        </w:tabs>
        <w:autoSpaceDE w:val="0"/>
        <w:autoSpaceDN w:val="0"/>
        <w:adjustRightInd w:val="0"/>
        <w:spacing w:line="260" w:lineRule="exact"/>
        <w:jc w:val="both"/>
        <w:rPr>
          <w:rFonts w:cs="Arial"/>
          <w:color w:val="000000"/>
        </w:rPr>
      </w:pPr>
    </w:p>
    <w:p w14:paraId="4238E0A7" w14:textId="77777777" w:rsidR="00737098" w:rsidRDefault="00940F6E" w:rsidP="00697F07">
      <w:pPr>
        <w:spacing w:after="160" w:line="260" w:lineRule="exact"/>
        <w:jc w:val="both"/>
        <w:rPr>
          <w:rFonts w:eastAsia="Calibri" w:cs="Arial"/>
          <w:b/>
          <w:szCs w:val="20"/>
        </w:rPr>
      </w:pPr>
      <w:r w:rsidRPr="00D54AFD">
        <w:rPr>
          <w:rFonts w:eastAsia="Calibri" w:cs="Arial"/>
          <w:b/>
          <w:szCs w:val="20"/>
        </w:rPr>
        <w:lastRenderedPageBreak/>
        <w:t xml:space="preserve">(b) prenos Finančnih računov ali sredstev v jurisdikcije, ki jih avtomatična izmenjava informacij o Finančnih računih z državo, katere rezident je zadevni davčni zavezanec, ne zavezuje, ali uporabo teh jurisdikcij; </w:t>
      </w:r>
    </w:p>
    <w:p w14:paraId="1B0F4D19" w14:textId="1C3BCFA0" w:rsidR="00940F6E" w:rsidRPr="00697128" w:rsidRDefault="00940F6E" w:rsidP="00697F07">
      <w:pPr>
        <w:spacing w:after="160" w:line="260" w:lineRule="exact"/>
        <w:jc w:val="both"/>
        <w:rPr>
          <w:rFonts w:eastAsia="Calibri" w:cs="Arial"/>
          <w:szCs w:val="20"/>
        </w:rPr>
      </w:pPr>
      <w:r w:rsidRPr="004404AD">
        <w:rPr>
          <w:rFonts w:eastAsia="Calibri" w:cs="Arial"/>
          <w:szCs w:val="20"/>
        </w:rPr>
        <w:t>Prepoznavna značilnost D1b se nanaša na prenos finančnih računov ali sredstev v finančne institucije v jurisdikcije, ki niso vzpostavile CRS ali ne izmenjujejo CRS informacij z jurisdikcijo reziden</w:t>
      </w:r>
      <w:r w:rsidR="000F22FE">
        <w:rPr>
          <w:rFonts w:eastAsia="Calibri" w:cs="Arial"/>
          <w:szCs w:val="20"/>
        </w:rPr>
        <w:t>t</w:t>
      </w:r>
      <w:r w:rsidR="00BB3DB8">
        <w:rPr>
          <w:rFonts w:eastAsia="Calibri" w:cs="Arial"/>
          <w:szCs w:val="20"/>
        </w:rPr>
        <w:t>stva davčnega zavezanca (t.</w:t>
      </w:r>
      <w:r w:rsidR="008E6EDD">
        <w:rPr>
          <w:rFonts w:eastAsia="Calibri" w:cs="Arial"/>
          <w:szCs w:val="20"/>
        </w:rPr>
        <w:t xml:space="preserve"> </w:t>
      </w:r>
      <w:r w:rsidR="00BB3DB8">
        <w:rPr>
          <w:rFonts w:eastAsia="Calibri" w:cs="Arial"/>
          <w:szCs w:val="20"/>
        </w:rPr>
        <w:t>i</w:t>
      </w:r>
      <w:r w:rsidRPr="004404AD">
        <w:rPr>
          <w:rFonts w:eastAsia="Calibri" w:cs="Arial"/>
          <w:szCs w:val="20"/>
        </w:rPr>
        <w:t xml:space="preserve">. ne-sodelujoče jurisdikcije). </w:t>
      </w:r>
      <w:r w:rsidR="00737098">
        <w:rPr>
          <w:rFonts w:eastAsia="Calibri" w:cs="Arial"/>
          <w:szCs w:val="20"/>
        </w:rPr>
        <w:t xml:space="preserve">Prepoznavna značilnost </w:t>
      </w:r>
      <w:r w:rsidRPr="004404AD">
        <w:rPr>
          <w:rFonts w:eastAsia="Calibri" w:cs="Arial"/>
          <w:szCs w:val="20"/>
        </w:rPr>
        <w:t>D1b je tako npr. izpolnjen</w:t>
      </w:r>
      <w:r w:rsidR="00737098">
        <w:rPr>
          <w:rFonts w:eastAsia="Calibri" w:cs="Arial"/>
          <w:szCs w:val="20"/>
        </w:rPr>
        <w:t>a</w:t>
      </w:r>
      <w:r w:rsidRPr="004404AD">
        <w:rPr>
          <w:rFonts w:eastAsia="Calibri" w:cs="Arial"/>
          <w:szCs w:val="20"/>
        </w:rPr>
        <w:t xml:space="preserve"> v primeru, ko posrednik svetuje, da stranka prenese sredstva iz jurisdikcije, ki je implementirala CRS standard</w:t>
      </w:r>
      <w:r w:rsidR="002E3576">
        <w:rPr>
          <w:rFonts w:eastAsia="Calibri" w:cs="Arial"/>
          <w:szCs w:val="20"/>
        </w:rPr>
        <w:t>,</w:t>
      </w:r>
      <w:r w:rsidRPr="004404AD">
        <w:rPr>
          <w:rFonts w:eastAsia="Calibri" w:cs="Arial"/>
          <w:szCs w:val="20"/>
        </w:rPr>
        <w:t xml:space="preserve"> v jurisdikcijo, ki CRS standarda ni implementirala. </w:t>
      </w:r>
      <w:r w:rsidRPr="00697128">
        <w:rPr>
          <w:rFonts w:eastAsia="Calibri" w:cs="Arial"/>
          <w:szCs w:val="20"/>
        </w:rPr>
        <w:t xml:space="preserve">Oseba, ki transakcijo sredstev izvede (npr. bančni prenos iz enega računa na drug račun) in nima vpogleda v aranžma kot celoto, ter ni seznanjena z učinkom prenosa, ni dolžna poročati. </w:t>
      </w:r>
      <w:r w:rsidR="00737098" w:rsidRPr="00697128">
        <w:rPr>
          <w:rFonts w:eastAsia="Calibri" w:cs="Arial"/>
          <w:szCs w:val="20"/>
        </w:rPr>
        <w:t>Prav tako se o</w:t>
      </w:r>
      <w:r w:rsidRPr="00697128">
        <w:rPr>
          <w:rFonts w:eastAsia="Calibri" w:cs="Arial"/>
          <w:szCs w:val="20"/>
        </w:rPr>
        <w:t>d finančne institucije, ki izvaja rutinske bančne transakcije (kot je prenos denarja, skrbništvo, itd</w:t>
      </w:r>
      <w:r w:rsidR="00BB3DB8" w:rsidRPr="00697128">
        <w:rPr>
          <w:rFonts w:eastAsia="Calibri" w:cs="Arial"/>
          <w:szCs w:val="20"/>
        </w:rPr>
        <w:t>.</w:t>
      </w:r>
      <w:r w:rsidRPr="00697128">
        <w:rPr>
          <w:rFonts w:eastAsia="Calibri" w:cs="Arial"/>
          <w:szCs w:val="20"/>
        </w:rPr>
        <w:t xml:space="preserve">), praviloma ne </w:t>
      </w:r>
      <w:r w:rsidR="00737098" w:rsidRPr="00697128">
        <w:rPr>
          <w:rFonts w:eastAsia="Calibri" w:cs="Arial"/>
          <w:szCs w:val="20"/>
        </w:rPr>
        <w:t>more</w:t>
      </w:r>
      <w:r w:rsidRPr="00697128">
        <w:rPr>
          <w:rFonts w:eastAsia="Calibri" w:cs="Arial"/>
          <w:szCs w:val="20"/>
        </w:rPr>
        <w:t xml:space="preserve"> pričakovati, da bi v določenem </w:t>
      </w:r>
      <w:r w:rsidR="00737098" w:rsidRPr="00697128">
        <w:rPr>
          <w:rFonts w:eastAsia="Calibri" w:cs="Arial"/>
          <w:szCs w:val="20"/>
        </w:rPr>
        <w:t xml:space="preserve">trenutku </w:t>
      </w:r>
      <w:r w:rsidRPr="00697128">
        <w:rPr>
          <w:rFonts w:eastAsia="Calibri" w:cs="Arial"/>
          <w:szCs w:val="20"/>
        </w:rPr>
        <w:t xml:space="preserve">poznala podrobnosti o mreži CRS izmenjav </w:t>
      </w:r>
      <w:r w:rsidR="00737098" w:rsidRPr="00697128">
        <w:rPr>
          <w:rFonts w:eastAsia="Calibri" w:cs="Arial"/>
          <w:szCs w:val="20"/>
        </w:rPr>
        <w:t xml:space="preserve">za posamezno </w:t>
      </w:r>
      <w:r w:rsidRPr="00697128">
        <w:rPr>
          <w:rFonts w:eastAsia="Calibri" w:cs="Arial"/>
          <w:szCs w:val="20"/>
        </w:rPr>
        <w:t>jurisdikcij</w:t>
      </w:r>
      <w:r w:rsidR="00737098" w:rsidRPr="00697128">
        <w:rPr>
          <w:rFonts w:eastAsia="Calibri" w:cs="Arial"/>
          <w:szCs w:val="20"/>
        </w:rPr>
        <w:t>o</w:t>
      </w:r>
      <w:r w:rsidRPr="00697128">
        <w:rPr>
          <w:rFonts w:eastAsia="Calibri" w:cs="Arial"/>
          <w:szCs w:val="20"/>
        </w:rPr>
        <w:t>, vendar pa bi bilo vseeno razumno pričakovati, da ve, če je jurisdikcija</w:t>
      </w:r>
      <w:r w:rsidR="00A75834" w:rsidRPr="00697128">
        <w:rPr>
          <w:rFonts w:eastAsia="Calibri" w:cs="Arial"/>
          <w:szCs w:val="20"/>
        </w:rPr>
        <w:t>,</w:t>
      </w:r>
      <w:r w:rsidRPr="00697128">
        <w:rPr>
          <w:rFonts w:eastAsia="Calibri" w:cs="Arial"/>
          <w:szCs w:val="20"/>
        </w:rPr>
        <w:t xml:space="preserve"> s katero ima finančna institucija redne stike, implementirala CRS pravila. </w:t>
      </w:r>
    </w:p>
    <w:p w14:paraId="350D772C" w14:textId="77777777" w:rsidR="00D523D1" w:rsidRDefault="00C40EA9" w:rsidP="00697F07">
      <w:pPr>
        <w:spacing w:after="160" w:line="260" w:lineRule="exact"/>
        <w:jc w:val="both"/>
        <w:rPr>
          <w:rStyle w:val="Naslov3Znak"/>
          <w:rFonts w:eastAsia="Calibri"/>
        </w:rPr>
      </w:pPr>
      <w:bookmarkStart w:id="56" w:name="_Toc75160039"/>
      <w:r w:rsidRPr="004F49A7">
        <w:rPr>
          <w:rStyle w:val="Naslov3Znak"/>
          <w:rFonts w:eastAsia="Calibri"/>
        </w:rPr>
        <w:t>Primer</w:t>
      </w:r>
      <w:r w:rsidR="004F49A7">
        <w:rPr>
          <w:rStyle w:val="Naslov3Znak"/>
          <w:rFonts w:eastAsia="Calibri"/>
        </w:rPr>
        <w:t>i</w:t>
      </w:r>
      <w:r w:rsidR="00D523D1">
        <w:rPr>
          <w:rStyle w:val="Naslov3Znak"/>
          <w:rFonts w:eastAsia="Calibri"/>
        </w:rPr>
        <w:t>: D1b</w:t>
      </w:r>
      <w:bookmarkEnd w:id="56"/>
      <w:r w:rsidR="00D523D1">
        <w:rPr>
          <w:rStyle w:val="Naslov3Znak"/>
          <w:rFonts w:eastAsia="Calibri"/>
        </w:rPr>
        <w:t xml:space="preserve"> </w:t>
      </w:r>
    </w:p>
    <w:p w14:paraId="60A1AA93" w14:textId="77777777" w:rsidR="00C40EA9" w:rsidRDefault="00C40EA9" w:rsidP="00697F07">
      <w:pPr>
        <w:pStyle w:val="Odstavekseznama"/>
        <w:numPr>
          <w:ilvl w:val="0"/>
          <w:numId w:val="54"/>
        </w:numPr>
        <w:spacing w:after="160" w:line="260" w:lineRule="exact"/>
        <w:jc w:val="both"/>
        <w:rPr>
          <w:rFonts w:eastAsia="Calibri"/>
        </w:rPr>
      </w:pPr>
      <w:r w:rsidRPr="00D523D1">
        <w:rPr>
          <w:rFonts w:eastAsia="Calibri"/>
        </w:rPr>
        <w:t xml:space="preserve">prenos vodenja računov: Poročevalska finančna institucija stranki svetuje, da njen račun vodi povezan subjekt v ne-sodelujoči jurisdikciji, kar poročevalski finančni instituciji omogoča, da se izogne poročanju, pri čemer pa še vedno ponuja storitve in posluje s strankami, kot da bi sama vodila račun. V takem primeru se šteje, da račun vodi </w:t>
      </w:r>
      <w:r w:rsidR="00917AFA" w:rsidRPr="00D523D1">
        <w:rPr>
          <w:rFonts w:eastAsia="Calibri"/>
        </w:rPr>
        <w:t>poročevalska finančna institucija ter ima zato s tem povez</w:t>
      </w:r>
      <w:r w:rsidR="002E3576">
        <w:rPr>
          <w:rFonts w:eastAsia="Calibri"/>
        </w:rPr>
        <w:t>a</w:t>
      </w:r>
      <w:r w:rsidR="00917AFA" w:rsidRPr="00D523D1">
        <w:rPr>
          <w:rFonts w:eastAsia="Calibri"/>
        </w:rPr>
        <w:t xml:space="preserve">no obveznost poročanja ter izvajanja postopkov dolžne skrbnosti. </w:t>
      </w:r>
    </w:p>
    <w:p w14:paraId="3519B034" w14:textId="77777777" w:rsidR="00D523D1" w:rsidRPr="00D523D1" w:rsidRDefault="00D523D1" w:rsidP="00697F07">
      <w:pPr>
        <w:pStyle w:val="Odstavekseznama"/>
        <w:spacing w:after="160" w:line="260" w:lineRule="exact"/>
        <w:jc w:val="both"/>
        <w:rPr>
          <w:rFonts w:eastAsia="Calibri"/>
        </w:rPr>
      </w:pPr>
    </w:p>
    <w:p w14:paraId="35899CD3" w14:textId="77777777" w:rsidR="00CF1A6D" w:rsidRDefault="00CF1A6D" w:rsidP="00697F07">
      <w:pPr>
        <w:pStyle w:val="Odstavekseznama"/>
        <w:numPr>
          <w:ilvl w:val="0"/>
          <w:numId w:val="54"/>
        </w:numPr>
        <w:spacing w:after="160" w:line="260" w:lineRule="exact"/>
        <w:jc w:val="both"/>
        <w:rPr>
          <w:rFonts w:eastAsia="Calibri"/>
        </w:rPr>
      </w:pPr>
      <w:r w:rsidRPr="00D523D1">
        <w:rPr>
          <w:rFonts w:eastAsia="Calibri"/>
        </w:rPr>
        <w:t>Aranžma ne pomeni izogibanja CRS, če se izmenjujejo informacije o finančnih računih na podlagi FATCA sporazuma</w:t>
      </w:r>
      <w:r w:rsidR="00535775">
        <w:rPr>
          <w:rStyle w:val="Sprotnaopomba-sklic"/>
          <w:rFonts w:eastAsia="Calibri"/>
        </w:rPr>
        <w:footnoteReference w:id="28"/>
      </w:r>
      <w:r w:rsidRPr="00D523D1">
        <w:rPr>
          <w:rFonts w:eastAsia="Calibri"/>
        </w:rPr>
        <w:t xml:space="preserve"> z jurisdikcijo davčnega rezidentstva osebe, o kateri se poroča. Če npr. oseba, o kateri se poroča, davčni rezident Hrvaške, prenese finančni račun v ZDA, se ta prenos ne šteje za izogibanje CRS zakonodaji pod pogojem, da se podatki o finančnih računih izmenjujejo med pristojnimi organom ZDA in Hrvaške.</w:t>
      </w:r>
    </w:p>
    <w:p w14:paraId="7B520DA3" w14:textId="77777777" w:rsidR="008947DC" w:rsidRPr="008947DC" w:rsidRDefault="008947DC" w:rsidP="00697F07">
      <w:pPr>
        <w:pStyle w:val="Odstavekseznama"/>
        <w:spacing w:line="260" w:lineRule="exact"/>
        <w:rPr>
          <w:rFonts w:eastAsia="Calibri"/>
        </w:rPr>
      </w:pPr>
    </w:p>
    <w:p w14:paraId="15E20EE4" w14:textId="77777777" w:rsidR="00A047F5" w:rsidRPr="00D523D1" w:rsidRDefault="00A047F5" w:rsidP="00697F07">
      <w:pPr>
        <w:pStyle w:val="Odstavekseznama"/>
        <w:numPr>
          <w:ilvl w:val="0"/>
          <w:numId w:val="54"/>
        </w:numPr>
        <w:spacing w:after="160" w:line="260" w:lineRule="exact"/>
        <w:jc w:val="both"/>
        <w:rPr>
          <w:rFonts w:eastAsia="Calibri"/>
        </w:rPr>
      </w:pPr>
      <w:r w:rsidRPr="00D523D1">
        <w:rPr>
          <w:rFonts w:eastAsia="Calibri"/>
        </w:rPr>
        <w:t xml:space="preserve">Kapital se prenese na skrbniški račun, odprt v jurisdikciji, ki ni implementirala CRS zakonodaje. Rezultat aranžmaja je, da država rezidentstva zadevnega davčnega zavezanca ne bo prejela informacij o tem finančnem računu. </w:t>
      </w:r>
    </w:p>
    <w:p w14:paraId="1C62113B" w14:textId="77777777" w:rsidR="00D523D1" w:rsidRPr="00D523D1" w:rsidRDefault="00D523D1" w:rsidP="00697F07">
      <w:pPr>
        <w:pStyle w:val="Odstavekseznama"/>
        <w:spacing w:after="160" w:line="260" w:lineRule="exact"/>
        <w:jc w:val="both"/>
        <w:rPr>
          <w:rFonts w:eastAsia="Calibri"/>
        </w:rPr>
      </w:pPr>
    </w:p>
    <w:p w14:paraId="793BB416" w14:textId="77777777" w:rsidR="005510AA" w:rsidRPr="004404AD" w:rsidRDefault="005510AA" w:rsidP="00697F07">
      <w:pPr>
        <w:spacing w:after="160" w:line="260" w:lineRule="exact"/>
        <w:jc w:val="both"/>
        <w:rPr>
          <w:rFonts w:eastAsia="Calibri" w:cs="Arial"/>
          <w:b/>
          <w:szCs w:val="20"/>
        </w:rPr>
      </w:pPr>
      <w:r w:rsidRPr="004404AD">
        <w:rPr>
          <w:rFonts w:eastAsia="Calibri" w:cs="Arial"/>
          <w:b/>
          <w:szCs w:val="20"/>
        </w:rPr>
        <w:t xml:space="preserve">(c) prerazvrstitev dohodka in kapitala v produkte ali plačila, za katere ne velja avtomatična izmenjava informacij o Finančnih računih; </w:t>
      </w:r>
    </w:p>
    <w:p w14:paraId="02789DEB" w14:textId="77777777" w:rsidR="00963EF2" w:rsidRDefault="005510AA" w:rsidP="00697F07">
      <w:pPr>
        <w:spacing w:after="160" w:line="260" w:lineRule="exact"/>
        <w:jc w:val="both"/>
        <w:rPr>
          <w:rFonts w:eastAsia="Calibri" w:cs="Arial"/>
          <w:szCs w:val="20"/>
        </w:rPr>
      </w:pPr>
      <w:r w:rsidRPr="004404AD">
        <w:rPr>
          <w:rFonts w:eastAsia="Calibri" w:cs="Arial"/>
          <w:szCs w:val="20"/>
        </w:rPr>
        <w:t>Prepoznavna značilnost D1c se nanaša na aranžmaje, ki razvrščajo plačila imetniku računa ali obvladujoči osebi</w:t>
      </w:r>
      <w:r w:rsidR="002E3576">
        <w:rPr>
          <w:rFonts w:eastAsia="Calibri" w:cs="Arial"/>
          <w:szCs w:val="20"/>
        </w:rPr>
        <w:t>,</w:t>
      </w:r>
      <w:r w:rsidRPr="004404AD">
        <w:rPr>
          <w:rFonts w:eastAsia="Calibri" w:cs="Arial"/>
          <w:szCs w:val="20"/>
        </w:rPr>
        <w:t xml:space="preserve"> v takšno vrsto plačila, za katero ne velja obveznost poročanja po CRS. Zajeti so aranžmaji, ki plačila opredeljujejo kot plačilo, ki ni zavezano k poročanju</w:t>
      </w:r>
      <w:r w:rsidR="002E3576">
        <w:rPr>
          <w:rFonts w:eastAsia="Calibri" w:cs="Arial"/>
          <w:szCs w:val="20"/>
        </w:rPr>
        <w:t>,</w:t>
      </w:r>
      <w:r w:rsidRPr="004404AD">
        <w:rPr>
          <w:rFonts w:eastAsia="Calibri" w:cs="Arial"/>
          <w:szCs w:val="20"/>
        </w:rPr>
        <w:t xml:space="preserve"> tudi če tak aranžma nima pravnega učinka in vključujejo zahtevo, da se precizira, da je plačilo za oziroma v korist imetnika računa ali obvladujoče osebe. Gre npr. za skrbniški sklad, ki plačuje račune v imenu upravičenca ali kreditira zneske na predplačniški debetni ali kreditni kartici.</w:t>
      </w:r>
      <w:r w:rsidR="00737098">
        <w:rPr>
          <w:rFonts w:eastAsia="Calibri" w:cs="Arial"/>
          <w:szCs w:val="20"/>
        </w:rPr>
        <w:t xml:space="preserve"> </w:t>
      </w:r>
      <w:r w:rsidRPr="004404AD">
        <w:rPr>
          <w:rFonts w:eastAsia="Calibri" w:cs="Arial"/>
          <w:szCs w:val="20"/>
        </w:rPr>
        <w:t xml:space="preserve">Hallmark D1c tako na primer ni podan v primeru, ko rezident države A dvigne denarna sredstva iz depozitnega računa v državi B za nakup nepremičnine v državi B, ker so nepremičnine izključene iz poročanja po CRS. </w:t>
      </w:r>
    </w:p>
    <w:p w14:paraId="684EDF77" w14:textId="77777777" w:rsidR="00D523D1" w:rsidRDefault="005510AA" w:rsidP="00697F07">
      <w:pPr>
        <w:pStyle w:val="Naslov3"/>
        <w:numPr>
          <w:ilvl w:val="0"/>
          <w:numId w:val="0"/>
        </w:numPr>
        <w:spacing w:line="260" w:lineRule="exact"/>
        <w:ind w:left="709" w:hanging="709"/>
        <w:rPr>
          <w:rFonts w:eastAsia="Calibri"/>
        </w:rPr>
      </w:pPr>
      <w:bookmarkStart w:id="57" w:name="_Toc75160040"/>
      <w:r>
        <w:rPr>
          <w:rFonts w:eastAsia="Calibri"/>
        </w:rPr>
        <w:t>Primer</w:t>
      </w:r>
      <w:r w:rsidR="00D523D1">
        <w:rPr>
          <w:rFonts w:eastAsia="Calibri"/>
        </w:rPr>
        <w:t>i: D1c</w:t>
      </w:r>
      <w:bookmarkEnd w:id="57"/>
    </w:p>
    <w:p w14:paraId="34DFC0AF" w14:textId="77777777" w:rsidR="00D523D1" w:rsidRPr="00D523D1" w:rsidRDefault="00D523D1" w:rsidP="00697F07">
      <w:pPr>
        <w:spacing w:line="260" w:lineRule="exact"/>
        <w:rPr>
          <w:rFonts w:eastAsia="Calibri"/>
        </w:rPr>
      </w:pPr>
    </w:p>
    <w:p w14:paraId="06EFCC00" w14:textId="77777777" w:rsidR="005510AA" w:rsidRPr="00D523D1" w:rsidRDefault="000F22FE" w:rsidP="00697F07">
      <w:pPr>
        <w:pStyle w:val="Odstavekseznama"/>
        <w:numPr>
          <w:ilvl w:val="0"/>
          <w:numId w:val="55"/>
        </w:numPr>
        <w:spacing w:after="160" w:line="260" w:lineRule="exact"/>
        <w:ind w:left="709" w:hanging="283"/>
        <w:jc w:val="both"/>
        <w:rPr>
          <w:rFonts w:eastAsia="Calibri"/>
        </w:rPr>
      </w:pPr>
      <w:r w:rsidRPr="00D523D1">
        <w:rPr>
          <w:rFonts w:eastAsia="Calibri"/>
        </w:rPr>
        <w:lastRenderedPageBreak/>
        <w:t>Družba, ki ni finančn</w:t>
      </w:r>
      <w:r w:rsidR="0090249A" w:rsidRPr="00D523D1">
        <w:rPr>
          <w:rFonts w:eastAsia="Calibri"/>
        </w:rPr>
        <w:t>a institucija (subjekt)</w:t>
      </w:r>
      <w:r w:rsidRPr="00D523D1">
        <w:rPr>
          <w:rFonts w:eastAsia="Calibri"/>
        </w:rPr>
        <w:t xml:space="preserve">, izplača plačo svojim zaposlenim </w:t>
      </w:r>
      <w:r w:rsidR="00D608E4" w:rsidRPr="00D523D1">
        <w:rPr>
          <w:rFonts w:eastAsia="Calibri"/>
        </w:rPr>
        <w:t xml:space="preserve">v obliki delnic ali obveznic te družbe. Ti </w:t>
      </w:r>
      <w:r w:rsidR="005510AA" w:rsidRPr="00D523D1">
        <w:rPr>
          <w:rFonts w:eastAsia="Calibri"/>
        </w:rPr>
        <w:t xml:space="preserve">vrednostni papirji </w:t>
      </w:r>
      <w:r w:rsidR="00D608E4" w:rsidRPr="00D523D1">
        <w:rPr>
          <w:rFonts w:eastAsia="Calibri"/>
        </w:rPr>
        <w:t xml:space="preserve">so v neposredni lasti zaposlenih (vlagateljev), brez posredovanja skrbnika. </w:t>
      </w:r>
      <w:r w:rsidR="005510AA" w:rsidRPr="00D523D1">
        <w:rPr>
          <w:rFonts w:eastAsia="Calibri"/>
        </w:rPr>
        <w:t xml:space="preserve">Posledično dohodek, ki </w:t>
      </w:r>
      <w:r w:rsidR="00D608E4" w:rsidRPr="00D523D1">
        <w:rPr>
          <w:rFonts w:eastAsia="Calibri"/>
        </w:rPr>
        <w:t xml:space="preserve">se </w:t>
      </w:r>
      <w:r w:rsidR="005510AA" w:rsidRPr="00D523D1">
        <w:rPr>
          <w:rFonts w:eastAsia="Calibri"/>
        </w:rPr>
        <w:t>generira</w:t>
      </w:r>
      <w:r w:rsidR="00D608E4" w:rsidRPr="00D523D1">
        <w:rPr>
          <w:rFonts w:eastAsia="Calibri"/>
        </w:rPr>
        <w:t xml:space="preserve"> iz naslova teh </w:t>
      </w:r>
      <w:r w:rsidR="005510AA" w:rsidRPr="00D523D1">
        <w:rPr>
          <w:rFonts w:eastAsia="Calibri"/>
        </w:rPr>
        <w:t>vrednostni</w:t>
      </w:r>
      <w:r w:rsidR="00D608E4" w:rsidRPr="00D523D1">
        <w:rPr>
          <w:rFonts w:eastAsia="Calibri"/>
        </w:rPr>
        <w:t>h</w:t>
      </w:r>
      <w:r w:rsidR="005510AA" w:rsidRPr="00D523D1">
        <w:rPr>
          <w:rFonts w:eastAsia="Calibri"/>
        </w:rPr>
        <w:t xml:space="preserve"> papirj</w:t>
      </w:r>
      <w:r w:rsidR="00D608E4" w:rsidRPr="00D523D1">
        <w:rPr>
          <w:rFonts w:eastAsia="Calibri"/>
        </w:rPr>
        <w:t>ev</w:t>
      </w:r>
      <w:r w:rsidR="005510AA" w:rsidRPr="00D523D1">
        <w:rPr>
          <w:rFonts w:eastAsia="Calibri"/>
        </w:rPr>
        <w:t>, ne bo zajet v CRS poročanj</w:t>
      </w:r>
      <w:r w:rsidR="00D608E4" w:rsidRPr="00D523D1">
        <w:rPr>
          <w:rFonts w:eastAsia="Calibri"/>
        </w:rPr>
        <w:t>u</w:t>
      </w:r>
      <w:r w:rsidR="00535775">
        <w:rPr>
          <w:rFonts w:eastAsia="Calibri"/>
        </w:rPr>
        <w:t>,</w:t>
      </w:r>
      <w:r w:rsidR="00D608E4" w:rsidRPr="00D523D1">
        <w:rPr>
          <w:rFonts w:eastAsia="Calibri"/>
        </w:rPr>
        <w:t xml:space="preserve"> kajti z </w:t>
      </w:r>
      <w:r w:rsidR="005510AA" w:rsidRPr="00D523D1">
        <w:rPr>
          <w:rFonts w:eastAsia="Calibri"/>
        </w:rPr>
        <w:t>vrednostnimi papirji razpolagajo</w:t>
      </w:r>
      <w:r w:rsidR="00D608E4" w:rsidRPr="00D523D1">
        <w:rPr>
          <w:rFonts w:eastAsia="Calibri"/>
        </w:rPr>
        <w:t xml:space="preserve"> neposredno zaposleni (vlagatelji)</w:t>
      </w:r>
      <w:r w:rsidR="005510AA" w:rsidRPr="00D523D1">
        <w:rPr>
          <w:rFonts w:eastAsia="Calibri"/>
        </w:rPr>
        <w:t>, brez</w:t>
      </w:r>
      <w:r w:rsidR="00D608E4" w:rsidRPr="00D523D1">
        <w:rPr>
          <w:rFonts w:eastAsia="Calibri"/>
        </w:rPr>
        <w:t xml:space="preserve"> posredovanja skrbnika, torej </w:t>
      </w:r>
      <w:r w:rsidR="005510AA" w:rsidRPr="00D523D1">
        <w:rPr>
          <w:rFonts w:eastAsia="Calibri"/>
        </w:rPr>
        <w:t>finančne institucije.</w:t>
      </w:r>
    </w:p>
    <w:p w14:paraId="3871C7FC" w14:textId="77777777" w:rsidR="00D523D1" w:rsidRPr="00D523D1" w:rsidRDefault="00D523D1" w:rsidP="00697F07">
      <w:pPr>
        <w:pStyle w:val="Odstavekseznama"/>
        <w:spacing w:after="160" w:line="260" w:lineRule="exact"/>
        <w:ind w:left="1080"/>
        <w:jc w:val="both"/>
        <w:rPr>
          <w:rFonts w:eastAsia="Calibri"/>
        </w:rPr>
      </w:pPr>
    </w:p>
    <w:p w14:paraId="0011D9EE" w14:textId="77777777" w:rsidR="005510AA" w:rsidRPr="001800B9" w:rsidRDefault="005510AA" w:rsidP="00697F07">
      <w:pPr>
        <w:spacing w:after="160" w:line="260" w:lineRule="exact"/>
        <w:jc w:val="both"/>
        <w:rPr>
          <w:rFonts w:eastAsia="Calibri" w:cs="Arial"/>
          <w:b/>
          <w:szCs w:val="20"/>
        </w:rPr>
      </w:pPr>
      <w:r w:rsidRPr="001800B9">
        <w:rPr>
          <w:rFonts w:eastAsia="Calibri" w:cs="Arial"/>
          <w:b/>
          <w:szCs w:val="20"/>
        </w:rPr>
        <w:t xml:space="preserve">(d) prenos ali preoblikovanje Finančne institucije ali Finančnega računa ali sredstev v njih v Finančno institucijo ali Finančni račun ali sredstva, ki niso predmet poročanja na podlagi avtomatične izmenjave informacij o Finančnih računih; </w:t>
      </w:r>
    </w:p>
    <w:p w14:paraId="47E22899" w14:textId="77777777" w:rsidR="005510AA" w:rsidRPr="001800B9" w:rsidRDefault="005510AA" w:rsidP="00697F07">
      <w:pPr>
        <w:spacing w:after="160" w:line="260" w:lineRule="exact"/>
        <w:jc w:val="both"/>
        <w:rPr>
          <w:rFonts w:eastAsia="Calibri" w:cs="Arial"/>
          <w:szCs w:val="20"/>
        </w:rPr>
      </w:pPr>
      <w:r w:rsidRPr="001800B9">
        <w:rPr>
          <w:rFonts w:eastAsia="Calibri" w:cs="Arial"/>
          <w:szCs w:val="20"/>
        </w:rPr>
        <w:t>Prepoznavna značilnost D1d se nanaša predvsem na izjeme pri CRS poročanju, kar omogoča prenos ali preoblikovanje finančne institucije ali finančnega računa ali sredstev, na način, da ti niso predmet CRS izmenjave. CRS namreč izrecno predvideva kategorije izključenih računov in finančnih institucij, ki so izvzete iz poročanja. Skladno s tem se</w:t>
      </w:r>
      <w:r>
        <w:rPr>
          <w:rFonts w:eastAsia="Calibri" w:cs="Arial"/>
          <w:szCs w:val="20"/>
        </w:rPr>
        <w:t>,</w:t>
      </w:r>
      <w:r w:rsidRPr="001800B9">
        <w:rPr>
          <w:rFonts w:eastAsia="Calibri" w:cs="Arial"/>
          <w:szCs w:val="20"/>
        </w:rPr>
        <w:t xml:space="preserve"> na primer</w:t>
      </w:r>
      <w:r>
        <w:rPr>
          <w:rFonts w:eastAsia="Calibri" w:cs="Arial"/>
          <w:szCs w:val="20"/>
        </w:rPr>
        <w:t>,</w:t>
      </w:r>
      <w:r w:rsidRPr="001800B9">
        <w:rPr>
          <w:rFonts w:eastAsia="Calibri" w:cs="Arial"/>
          <w:szCs w:val="20"/>
        </w:rPr>
        <w:t xml:space="preserve"> prenos sredstev iz depozitnega računa</w:t>
      </w:r>
      <w:r>
        <w:rPr>
          <w:rFonts w:eastAsia="Calibri" w:cs="Arial"/>
          <w:szCs w:val="20"/>
        </w:rPr>
        <w:t xml:space="preserve"> (</w:t>
      </w:r>
      <w:r w:rsidRPr="001800B9">
        <w:rPr>
          <w:rFonts w:eastAsia="Calibri" w:cs="Arial"/>
          <w:szCs w:val="20"/>
        </w:rPr>
        <w:t>ki je predmet poročanja</w:t>
      </w:r>
      <w:r>
        <w:rPr>
          <w:rFonts w:eastAsia="Calibri" w:cs="Arial"/>
          <w:szCs w:val="20"/>
        </w:rPr>
        <w:t>)</w:t>
      </w:r>
      <w:r w:rsidRPr="001800B9">
        <w:rPr>
          <w:rFonts w:eastAsia="Calibri" w:cs="Arial"/>
          <w:szCs w:val="20"/>
        </w:rPr>
        <w:t xml:space="preserve"> na pokojninski račun</w:t>
      </w:r>
      <w:r w:rsidR="003527E0">
        <w:rPr>
          <w:rFonts w:eastAsia="Calibri" w:cs="Arial"/>
          <w:szCs w:val="20"/>
        </w:rPr>
        <w:t xml:space="preserve"> </w:t>
      </w:r>
      <w:r>
        <w:rPr>
          <w:rFonts w:eastAsia="Calibri" w:cs="Arial"/>
          <w:szCs w:val="20"/>
        </w:rPr>
        <w:t>(</w:t>
      </w:r>
      <w:r w:rsidRPr="001800B9">
        <w:rPr>
          <w:rFonts w:eastAsia="Calibri" w:cs="Arial"/>
          <w:szCs w:val="20"/>
        </w:rPr>
        <w:t>ki je opredeljen kot izključen račun</w:t>
      </w:r>
      <w:r>
        <w:rPr>
          <w:rFonts w:eastAsia="Calibri" w:cs="Arial"/>
          <w:szCs w:val="20"/>
        </w:rPr>
        <w:t>)</w:t>
      </w:r>
      <w:r w:rsidRPr="001800B9">
        <w:rPr>
          <w:rFonts w:eastAsia="Calibri" w:cs="Arial"/>
          <w:szCs w:val="20"/>
        </w:rPr>
        <w:t>, v normalnih okoliščinah ne bi štel za izogibanje CRS zakonodaji. Vendar pa se trženje sheme, ki izkorišča takšno izključitev na način, ki spodkopava CRS zakonodajo in kriterije za zagotovitev takšne izključitve, šteje za aranžma o izogibanju CRS.</w:t>
      </w:r>
    </w:p>
    <w:p w14:paraId="4A3C44B5" w14:textId="77777777" w:rsidR="005510AA" w:rsidRDefault="005510AA" w:rsidP="00697F07">
      <w:pPr>
        <w:spacing w:after="160" w:line="260" w:lineRule="exact"/>
        <w:jc w:val="both"/>
        <w:rPr>
          <w:rFonts w:ascii="Calibri" w:eastAsia="Calibri" w:hAnsi="Calibri"/>
          <w:sz w:val="22"/>
          <w:szCs w:val="22"/>
        </w:rPr>
      </w:pPr>
      <w:r w:rsidRPr="001800B9">
        <w:rPr>
          <w:rFonts w:eastAsia="Calibri" w:cs="Arial"/>
          <w:szCs w:val="20"/>
        </w:rPr>
        <w:t xml:space="preserve">Hallmark D1d bi bil podan tudi v primeru uporabe določenih strategij, kot je razdelitev zneskov na finančnem računu tako, da ostanejo pod 250.000 USD, ki je prag za poročanje že obstoječih računov subjektov. </w:t>
      </w:r>
      <w:r>
        <w:rPr>
          <w:rFonts w:ascii="Calibri" w:eastAsia="Calibri" w:hAnsi="Calibri"/>
          <w:sz w:val="22"/>
          <w:szCs w:val="22"/>
        </w:rPr>
        <w:t xml:space="preserve"> </w:t>
      </w:r>
    </w:p>
    <w:p w14:paraId="0524B40A" w14:textId="77777777" w:rsidR="00D9794D" w:rsidRPr="00637B9C" w:rsidRDefault="00D9794D" w:rsidP="00D9794D">
      <w:pPr>
        <w:spacing w:after="160" w:line="260" w:lineRule="exact"/>
        <w:jc w:val="both"/>
        <w:rPr>
          <w:rFonts w:eastAsia="Calibri" w:cs="Arial"/>
          <w:b/>
          <w:szCs w:val="20"/>
        </w:rPr>
      </w:pPr>
      <w:r w:rsidRPr="00637B9C">
        <w:rPr>
          <w:rFonts w:eastAsia="Calibri" w:cs="Arial"/>
          <w:b/>
          <w:szCs w:val="20"/>
        </w:rPr>
        <w:t>Primeri: D1d</w:t>
      </w:r>
    </w:p>
    <w:p w14:paraId="6C1BA6C4" w14:textId="77777777" w:rsidR="00D9794D" w:rsidRPr="00157A87" w:rsidRDefault="00D9794D" w:rsidP="00D9794D">
      <w:pPr>
        <w:pStyle w:val="Odstavekseznama"/>
        <w:numPr>
          <w:ilvl w:val="0"/>
          <w:numId w:val="61"/>
        </w:numPr>
        <w:spacing w:after="160" w:line="260" w:lineRule="exact"/>
        <w:jc w:val="both"/>
        <w:rPr>
          <w:rFonts w:eastAsia="Calibri"/>
        </w:rPr>
      </w:pPr>
      <w:r w:rsidRPr="00637B9C">
        <w:rPr>
          <w:rFonts w:eastAsia="Calibri"/>
        </w:rPr>
        <w:t xml:space="preserve">Davčni zavezanec, ki je rezident države članice A, ustanovi profesionalno voden skrbniški sklad (ki se obravnava kot investicijski subjekt v skladu s Poglavjem VIII(6)(b) CRS standarda – subjekt, ki ga »upravlja« drug subjekt) v tretji državi, jurisdikciji B. Sklad odpre finančni račun v državi članici C. </w:t>
      </w:r>
    </w:p>
    <w:p w14:paraId="7BD9A3D0" w14:textId="77777777" w:rsidR="00D9794D" w:rsidRPr="005510AA" w:rsidRDefault="00D9794D" w:rsidP="00D9794D">
      <w:pPr>
        <w:spacing w:after="160" w:line="260" w:lineRule="exact"/>
        <w:ind w:left="720"/>
        <w:jc w:val="both"/>
        <w:rPr>
          <w:rFonts w:eastAsia="Calibri" w:cs="Arial"/>
          <w:szCs w:val="20"/>
        </w:rPr>
      </w:pPr>
      <w:r w:rsidRPr="005510AA">
        <w:rPr>
          <w:rFonts w:eastAsia="Calibri" w:cs="Arial"/>
          <w:szCs w:val="20"/>
        </w:rPr>
        <w:t xml:space="preserve">Država članica C ima sklenjen bilateralni </w:t>
      </w:r>
      <w:r>
        <w:rPr>
          <w:rFonts w:eastAsia="Calibri" w:cs="Arial"/>
          <w:szCs w:val="20"/>
        </w:rPr>
        <w:t xml:space="preserve">sporazum o avtomatični izmenjavi informacij o finančnih računih (Competent Authority Agreement – </w:t>
      </w:r>
      <w:r w:rsidRPr="005510AA">
        <w:rPr>
          <w:rFonts w:eastAsia="Calibri" w:cs="Arial"/>
          <w:szCs w:val="20"/>
        </w:rPr>
        <w:t>CAA</w:t>
      </w:r>
      <w:r>
        <w:rPr>
          <w:rFonts w:eastAsia="Calibri" w:cs="Arial"/>
          <w:szCs w:val="20"/>
        </w:rPr>
        <w:t xml:space="preserve">) </w:t>
      </w:r>
      <w:r w:rsidRPr="005510AA">
        <w:rPr>
          <w:rFonts w:eastAsia="Calibri" w:cs="Arial"/>
          <w:szCs w:val="20"/>
        </w:rPr>
        <w:t>s tretjo državo B, zaradi česar se država B</w:t>
      </w:r>
      <w:r>
        <w:rPr>
          <w:rFonts w:eastAsia="Calibri" w:cs="Arial"/>
          <w:szCs w:val="20"/>
        </w:rPr>
        <w:t xml:space="preserve">, s strani države C, </w:t>
      </w:r>
      <w:r w:rsidRPr="005510AA">
        <w:rPr>
          <w:rFonts w:eastAsia="Calibri" w:cs="Arial"/>
          <w:szCs w:val="20"/>
        </w:rPr>
        <w:t>šteje kot sodelujoča jurisdikcija</w:t>
      </w:r>
      <w:r>
        <w:rPr>
          <w:rFonts w:eastAsia="Calibri" w:cs="Arial"/>
          <w:szCs w:val="20"/>
        </w:rPr>
        <w:t xml:space="preserve"> za CRS namene. </w:t>
      </w:r>
      <w:r w:rsidRPr="005510AA">
        <w:rPr>
          <w:rFonts w:eastAsia="Calibri" w:cs="Arial"/>
          <w:szCs w:val="20"/>
        </w:rPr>
        <w:t>Zato država članica C ne bo</w:t>
      </w:r>
      <w:r>
        <w:rPr>
          <w:rFonts w:eastAsia="Calibri" w:cs="Arial"/>
          <w:szCs w:val="20"/>
        </w:rPr>
        <w:t xml:space="preserve"> opravila</w:t>
      </w:r>
      <w:r w:rsidRPr="005510AA">
        <w:rPr>
          <w:rFonts w:eastAsia="Calibri" w:cs="Arial"/>
          <w:szCs w:val="20"/>
        </w:rPr>
        <w:t xml:space="preserve"> »spregled</w:t>
      </w:r>
      <w:r>
        <w:rPr>
          <w:rFonts w:eastAsia="Calibri" w:cs="Arial"/>
          <w:szCs w:val="20"/>
        </w:rPr>
        <w:t xml:space="preserve">« (look </w:t>
      </w:r>
      <w:r w:rsidRPr="005510AA">
        <w:rPr>
          <w:rFonts w:eastAsia="Calibri" w:cs="Arial"/>
          <w:szCs w:val="20"/>
        </w:rPr>
        <w:t>through</w:t>
      </w:r>
      <w:r>
        <w:rPr>
          <w:rFonts w:eastAsia="Calibri" w:cs="Arial"/>
          <w:szCs w:val="20"/>
        </w:rPr>
        <w:t xml:space="preserve">) investicijskega subjekta (sklada) v </w:t>
      </w:r>
      <w:r w:rsidRPr="005510AA">
        <w:rPr>
          <w:rFonts w:eastAsia="Calibri" w:cs="Arial"/>
          <w:szCs w:val="20"/>
        </w:rPr>
        <w:t>državi B. Med državo članico A in tretj</w:t>
      </w:r>
      <w:r>
        <w:rPr>
          <w:rFonts w:eastAsia="Calibri" w:cs="Arial"/>
          <w:szCs w:val="20"/>
        </w:rPr>
        <w:t xml:space="preserve">o </w:t>
      </w:r>
      <w:r w:rsidRPr="005510AA">
        <w:rPr>
          <w:rFonts w:eastAsia="Calibri" w:cs="Arial"/>
          <w:szCs w:val="20"/>
        </w:rPr>
        <w:t xml:space="preserve">državo B </w:t>
      </w:r>
      <w:r>
        <w:rPr>
          <w:rFonts w:eastAsia="Calibri" w:cs="Arial"/>
          <w:szCs w:val="20"/>
        </w:rPr>
        <w:t xml:space="preserve">pa CAA </w:t>
      </w:r>
      <w:r w:rsidRPr="005510AA">
        <w:rPr>
          <w:rFonts w:eastAsia="Calibri" w:cs="Arial"/>
          <w:szCs w:val="20"/>
        </w:rPr>
        <w:t>ni podpisan</w:t>
      </w:r>
      <w:r>
        <w:rPr>
          <w:rFonts w:eastAsia="Calibri" w:cs="Arial"/>
          <w:szCs w:val="20"/>
        </w:rPr>
        <w:t xml:space="preserve">. </w:t>
      </w:r>
    </w:p>
    <w:p w14:paraId="676E5114" w14:textId="77777777" w:rsidR="00D9794D" w:rsidRDefault="00D9794D" w:rsidP="00D9794D">
      <w:pPr>
        <w:spacing w:after="160" w:line="260" w:lineRule="exact"/>
        <w:ind w:left="720"/>
        <w:jc w:val="both"/>
        <w:rPr>
          <w:rFonts w:eastAsia="Calibri" w:cs="Arial"/>
          <w:szCs w:val="20"/>
        </w:rPr>
      </w:pPr>
      <w:r w:rsidRPr="005510AA">
        <w:rPr>
          <w:rFonts w:eastAsia="Calibri" w:cs="Arial"/>
          <w:szCs w:val="20"/>
        </w:rPr>
        <w:t xml:space="preserve">V tem primeru se o strukturi ne bo poročalo </w:t>
      </w:r>
      <w:r>
        <w:rPr>
          <w:rFonts w:eastAsia="Calibri" w:cs="Arial"/>
          <w:szCs w:val="20"/>
        </w:rPr>
        <w:t xml:space="preserve">v državo </w:t>
      </w:r>
      <w:r w:rsidRPr="005510AA">
        <w:rPr>
          <w:rFonts w:eastAsia="Calibri" w:cs="Arial"/>
          <w:szCs w:val="20"/>
        </w:rPr>
        <w:t>članic</w:t>
      </w:r>
      <w:r>
        <w:rPr>
          <w:rFonts w:eastAsia="Calibri" w:cs="Arial"/>
          <w:szCs w:val="20"/>
        </w:rPr>
        <w:t>o</w:t>
      </w:r>
      <w:r w:rsidRPr="005510AA">
        <w:rPr>
          <w:rFonts w:eastAsia="Calibri" w:cs="Arial"/>
          <w:szCs w:val="20"/>
        </w:rPr>
        <w:t xml:space="preserve"> A </w:t>
      </w:r>
      <w:r>
        <w:rPr>
          <w:rFonts w:eastAsia="Calibri" w:cs="Arial"/>
          <w:szCs w:val="20"/>
        </w:rPr>
        <w:t xml:space="preserve">in država članica A tako ne bo dobila informacije o strukturi skrbniškega sklada in povezanih računih, ki jih ima njen zavezanec za davek. V kolikor med državo C in tretjo državo B ne bi bilo sklenjenega bilateralnega CAA, bi država članica B skrbniški sklad obravnavala kot pasivni nefinančni subjekt (pasivni NFS) in bi opravila »spregled« pasivnega NFS, da identificira upravičene lastnike in poroča podatke o finančnih računih državi rezidentstva upravičenega lastnika.  </w:t>
      </w:r>
    </w:p>
    <w:p w14:paraId="0E296979" w14:textId="77777777" w:rsidR="002E3576" w:rsidRDefault="002E3576" w:rsidP="00697F07">
      <w:pPr>
        <w:spacing w:after="160" w:line="260" w:lineRule="exact"/>
        <w:jc w:val="both"/>
        <w:rPr>
          <w:rFonts w:eastAsia="Calibri" w:cs="Arial"/>
          <w:szCs w:val="20"/>
        </w:rPr>
      </w:pPr>
    </w:p>
    <w:p w14:paraId="65C00E70" w14:textId="77777777" w:rsidR="005510AA" w:rsidRPr="005510AA" w:rsidRDefault="005510AA" w:rsidP="00697F07">
      <w:pPr>
        <w:spacing w:after="160" w:line="260" w:lineRule="exact"/>
        <w:jc w:val="both"/>
        <w:rPr>
          <w:rFonts w:eastAsia="Calibri" w:cs="Arial"/>
          <w:b/>
          <w:szCs w:val="20"/>
        </w:rPr>
      </w:pPr>
      <w:r w:rsidRPr="005510AA">
        <w:rPr>
          <w:rFonts w:eastAsia="Calibri" w:cs="Arial"/>
          <w:b/>
          <w:szCs w:val="20"/>
        </w:rPr>
        <w:t xml:space="preserve">(e) uporabo pravnih subjektov, aranžmajev ali struktur, ki odpravljajo ali naj bi odpravili poročanje enega ali več imetnikov računov ali obvladujočih oseb na podlagi avtomatične izmenjave informacij o Finančnih računih; </w:t>
      </w:r>
    </w:p>
    <w:p w14:paraId="13F6C378" w14:textId="77777777" w:rsidR="005510AA" w:rsidRPr="005510AA" w:rsidRDefault="005510AA" w:rsidP="00697F07">
      <w:pPr>
        <w:spacing w:after="160" w:line="260" w:lineRule="exact"/>
        <w:jc w:val="both"/>
        <w:rPr>
          <w:rFonts w:eastAsia="Calibri" w:cs="Arial"/>
          <w:szCs w:val="20"/>
        </w:rPr>
      </w:pPr>
      <w:r w:rsidRPr="005510AA">
        <w:rPr>
          <w:rFonts w:eastAsia="Calibri" w:cs="Arial"/>
          <w:szCs w:val="20"/>
        </w:rPr>
        <w:t xml:space="preserve">Med prepoznavno značilnost D1e sodijo aranžmaji, ki imajo za posledico ogrožanje obveznosti poročanja oziroma izkoriščajo dejstvo, da za določene subjekte, aranžmaje ali strukture ne velja obveznost razkritja ali poročanja imetnikov računov ali obvladujočih oseb. </w:t>
      </w:r>
    </w:p>
    <w:p w14:paraId="7CB591D4" w14:textId="77777777" w:rsidR="00B75AB1" w:rsidRDefault="00063634" w:rsidP="00697F07">
      <w:pPr>
        <w:spacing w:after="160" w:line="260" w:lineRule="exact"/>
        <w:jc w:val="both"/>
        <w:rPr>
          <w:rFonts w:eastAsia="Calibri"/>
        </w:rPr>
      </w:pPr>
      <w:r>
        <w:rPr>
          <w:rFonts w:eastAsia="Calibri" w:cs="Arial"/>
          <w:szCs w:val="20"/>
        </w:rPr>
        <w:t>V okviru CRS tako za aktivni nefinančni subjekt</w:t>
      </w:r>
      <w:r w:rsidR="005510AA" w:rsidRPr="005510AA">
        <w:rPr>
          <w:rFonts w:eastAsia="Calibri" w:cs="Arial"/>
          <w:szCs w:val="20"/>
        </w:rPr>
        <w:t xml:space="preserve"> ne velja obveznost razkritja ali poročanja v zvezi z njegovimi obvladujočimi osebami. Hallmark D1e </w:t>
      </w:r>
      <w:r w:rsidR="005510AA" w:rsidRPr="000134B8">
        <w:rPr>
          <w:rFonts w:eastAsia="Calibri"/>
        </w:rPr>
        <w:t>bi bil tako pod</w:t>
      </w:r>
      <w:r w:rsidRPr="000134B8">
        <w:rPr>
          <w:rFonts w:eastAsia="Calibri"/>
        </w:rPr>
        <w:t>an, na primer, v primeru trženja</w:t>
      </w:r>
      <w:r w:rsidR="005510AA" w:rsidRPr="000134B8">
        <w:rPr>
          <w:rFonts w:eastAsia="Calibri"/>
        </w:rPr>
        <w:t xml:space="preserve"> podjetja, ki se v jurisdikciji ustanovitve samodejno kvalificira kot aktivni nefinančni subjekt</w:t>
      </w:r>
      <w:r w:rsidRPr="000134B8">
        <w:rPr>
          <w:rFonts w:eastAsia="Calibri"/>
        </w:rPr>
        <w:t xml:space="preserve"> ali v primeru naložbe v pasivni</w:t>
      </w:r>
      <w:r w:rsidR="005510AA" w:rsidRPr="000134B8">
        <w:rPr>
          <w:rFonts w:eastAsia="Calibri"/>
        </w:rPr>
        <w:t xml:space="preserve"> nefinančni subjekt, ki so strukturirane tako, da omogočijo izvzetje vlagatelja iz opredelitve </w:t>
      </w:r>
      <w:r w:rsidR="005510AA" w:rsidRPr="000134B8">
        <w:rPr>
          <w:rFonts w:eastAsia="Calibri"/>
        </w:rPr>
        <w:lastRenderedPageBreak/>
        <w:t xml:space="preserve">obvladujoče osebe v okviru CRS (npr. načrt za preusmeritev iz skrbniškega sklada v družbo kot naložbenega nosilca z namenom izogibanja poročanja o dejanskih (skritih) upravičencev sklada kot obvladujočih oseb). </w:t>
      </w:r>
    </w:p>
    <w:p w14:paraId="5CA87DE8" w14:textId="77777777" w:rsidR="005510AA" w:rsidRDefault="000134B8" w:rsidP="00697F07">
      <w:pPr>
        <w:spacing w:after="160" w:line="260" w:lineRule="exact"/>
        <w:jc w:val="both"/>
        <w:rPr>
          <w:rFonts w:eastAsia="Calibri" w:cs="Arial"/>
          <w:szCs w:val="20"/>
        </w:rPr>
      </w:pPr>
      <w:r>
        <w:rPr>
          <w:rFonts w:eastAsia="Calibri" w:cs="Arial"/>
          <w:szCs w:val="20"/>
        </w:rPr>
        <w:t>Ta prepoznavna značilnost uporablja ustrez</w:t>
      </w:r>
      <w:r w:rsidR="00477189">
        <w:rPr>
          <w:rFonts w:eastAsia="Calibri" w:cs="Arial"/>
          <w:szCs w:val="20"/>
        </w:rPr>
        <w:t>ne</w:t>
      </w:r>
      <w:r>
        <w:rPr>
          <w:rFonts w:eastAsia="Calibri" w:cs="Arial"/>
          <w:szCs w:val="20"/>
        </w:rPr>
        <w:t xml:space="preserve"> opredelitve iz CRS zakonodaje</w:t>
      </w:r>
      <w:r w:rsidR="00477189">
        <w:rPr>
          <w:rFonts w:eastAsia="Calibri" w:cs="Arial"/>
          <w:szCs w:val="20"/>
        </w:rPr>
        <w:t xml:space="preserve"> za ciljno obravnavo teh tveganj, brez da bi se določile posebne tehnike, ki se uporabljajo za </w:t>
      </w:r>
      <w:r w:rsidR="00B75AB1">
        <w:rPr>
          <w:rFonts w:eastAsia="Calibri" w:cs="Arial"/>
          <w:szCs w:val="20"/>
        </w:rPr>
        <w:t>doseganje tega cilja</w:t>
      </w:r>
      <w:r w:rsidR="00477189">
        <w:rPr>
          <w:rFonts w:eastAsia="Calibri" w:cs="Arial"/>
          <w:szCs w:val="20"/>
        </w:rPr>
        <w:t xml:space="preserve">. Vendar </w:t>
      </w:r>
      <w:r w:rsidR="005510AA" w:rsidRPr="005510AA">
        <w:rPr>
          <w:rFonts w:eastAsia="Calibri" w:cs="Arial"/>
          <w:szCs w:val="20"/>
        </w:rPr>
        <w:t xml:space="preserve">pa samo dejstvo, da je subjekt po CRS opredeljen kot »aktivni finančni subjekt« ali da je oseba opravila naložbo v aktivni ali pasivni nefinančni subjekt, ne bi uvrstila aranžmaja pod to prepoznavno značilnost, razen če te transakcije ne vsebujejo elementa, ki je zasnovan tako, da subjektu omogoča pridobitev statusa aktivnega nefinančnega subjekta za namene CRS, ali pa je bila struktura naložbe v nefinančni subjekt takšna, da je mogoče </w:t>
      </w:r>
      <w:r w:rsidR="00927894">
        <w:rPr>
          <w:rFonts w:eastAsia="Calibri" w:cs="Arial"/>
          <w:szCs w:val="20"/>
        </w:rPr>
        <w:t xml:space="preserve">razumno </w:t>
      </w:r>
      <w:r w:rsidR="005510AA" w:rsidRPr="005510AA">
        <w:rPr>
          <w:rFonts w:eastAsia="Calibri" w:cs="Arial"/>
          <w:szCs w:val="20"/>
        </w:rPr>
        <w:t xml:space="preserve">pričakovati, da bi takšen dogovor spodkopal postopke dolžne skrbnosti po CRS. </w:t>
      </w:r>
    </w:p>
    <w:p w14:paraId="46F30BEA" w14:textId="77777777" w:rsidR="00E23D31" w:rsidRDefault="00E23D31" w:rsidP="00697F07">
      <w:pPr>
        <w:spacing w:after="160" w:line="260" w:lineRule="exact"/>
        <w:jc w:val="both"/>
        <w:rPr>
          <w:rFonts w:eastAsia="Calibri" w:cs="Arial"/>
          <w:szCs w:val="20"/>
        </w:rPr>
      </w:pPr>
    </w:p>
    <w:p w14:paraId="751CF9A7" w14:textId="77777777" w:rsidR="005510AA" w:rsidRPr="003E4285" w:rsidRDefault="005510AA" w:rsidP="00697F07">
      <w:pPr>
        <w:spacing w:after="160" w:line="260" w:lineRule="exact"/>
        <w:jc w:val="both"/>
        <w:rPr>
          <w:rFonts w:eastAsia="Calibri" w:cs="Arial"/>
          <w:b/>
          <w:szCs w:val="20"/>
        </w:rPr>
      </w:pPr>
      <w:r w:rsidRPr="003E4285">
        <w:rPr>
          <w:rFonts w:eastAsia="Calibri" w:cs="Arial"/>
          <w:b/>
          <w:szCs w:val="20"/>
        </w:rPr>
        <w:t xml:space="preserve">(f) aranžmaje, ki ogrožajo postopke skrbnega preverjanja, ki jih uporabljajo Finančne institucije za izpolnitev obveznosti poročanja informacij o Finančnih računih, ali izkoriščajo slabosti teh postopkov, vključno z uporabo jurisdikcij z nezadostnimi ali šibkimi ureditvami izvrševanja zakonodaje s področja preprečevanja pranja denarja ali s šibkimi zahtevami po preglednosti za pravne osebe ali pravne ureditve. </w:t>
      </w:r>
    </w:p>
    <w:p w14:paraId="73A28037" w14:textId="77777777" w:rsidR="00E01D89" w:rsidRDefault="005510AA" w:rsidP="00697F07">
      <w:pPr>
        <w:spacing w:after="160" w:line="260" w:lineRule="exact"/>
        <w:jc w:val="both"/>
        <w:rPr>
          <w:rFonts w:eastAsia="Calibri" w:cs="Arial"/>
          <w:szCs w:val="20"/>
        </w:rPr>
      </w:pPr>
      <w:r w:rsidRPr="003E4285">
        <w:rPr>
          <w:rFonts w:eastAsia="Calibri" w:cs="Arial"/>
          <w:szCs w:val="20"/>
        </w:rPr>
        <w:t>Cilj prepoznavne značilnosti D1f so aranžmaji, ki ogrožajo ali izkoriščajo slabosti v postopkih dolžne skrbnosti, ki jih finančne institucije uporabljajo za zbiranje informacij CRS o imetnikih računov in obvladujočih osebah pasivnega finančnega subjekta. Aranžmaji, ki ogrožajo učinkovitost postopkov dolžne skrbnosti so tisti, ki ovirajo doseganje načrtovanih rezultatov teh postopkov (na primer zloraba potrdil o rezidentstvu). Aranžmaji, ki izkoriščajo slabosti v postopkih dolžne skrbnosti vključujejo tiste aranžmaje, ki se zanašajo na odsotnost ali neustreznost izvajanja takšnih postopkov dolžne skrbnosti, npr. izkoriščanje nedoslednega izvajanja najnovejših priporočil FATF</w:t>
      </w:r>
      <w:r w:rsidR="004146EC">
        <w:rPr>
          <w:rStyle w:val="Sprotnaopomba-sklic"/>
          <w:rFonts w:eastAsia="Calibri" w:cs="Arial"/>
          <w:szCs w:val="20"/>
        </w:rPr>
        <w:footnoteReference w:id="29"/>
      </w:r>
      <w:r w:rsidRPr="003E4285">
        <w:rPr>
          <w:rFonts w:eastAsia="Calibri" w:cs="Arial"/>
          <w:szCs w:val="20"/>
        </w:rPr>
        <w:t xml:space="preserve">, nedosledna zakonodaja s področja preprečevanja pranja denarja, šibke zahteve po preglednosti za pravne osebe ali pravne ureditve. </w:t>
      </w:r>
    </w:p>
    <w:p w14:paraId="3C1DA442" w14:textId="77777777" w:rsidR="00D523D1" w:rsidRDefault="00E01D89" w:rsidP="00697F07">
      <w:pPr>
        <w:spacing w:line="260" w:lineRule="exact"/>
        <w:jc w:val="both"/>
        <w:rPr>
          <w:rFonts w:eastAsia="Calibri"/>
          <w:b/>
        </w:rPr>
      </w:pPr>
      <w:bookmarkStart w:id="58" w:name="_Toc75160041"/>
      <w:r w:rsidRPr="00FA28DA">
        <w:rPr>
          <w:rStyle w:val="Naslov3Znak"/>
          <w:rFonts w:eastAsia="Calibri"/>
        </w:rPr>
        <w:t>Primeri: D1f</w:t>
      </w:r>
      <w:bookmarkEnd w:id="58"/>
      <w:r w:rsidRPr="00FA28DA">
        <w:rPr>
          <w:rFonts w:eastAsia="Calibri"/>
        </w:rPr>
        <w:t xml:space="preserve"> </w:t>
      </w:r>
    </w:p>
    <w:p w14:paraId="58334F91" w14:textId="77777777" w:rsidR="00D523D1" w:rsidRDefault="00D523D1" w:rsidP="00697F07">
      <w:pPr>
        <w:spacing w:line="260" w:lineRule="exact"/>
        <w:jc w:val="both"/>
        <w:rPr>
          <w:rFonts w:eastAsia="Calibri"/>
          <w:b/>
        </w:rPr>
      </w:pPr>
    </w:p>
    <w:p w14:paraId="4380547A" w14:textId="77777777" w:rsidR="00B25B7F" w:rsidRPr="00D523D1" w:rsidRDefault="00D523D1" w:rsidP="00697F07">
      <w:pPr>
        <w:pStyle w:val="Odstavekseznama"/>
        <w:numPr>
          <w:ilvl w:val="0"/>
          <w:numId w:val="56"/>
        </w:numPr>
        <w:spacing w:line="260" w:lineRule="exact"/>
        <w:ind w:left="426" w:hanging="436"/>
        <w:jc w:val="both"/>
        <w:rPr>
          <w:rFonts w:eastAsia="Calibri"/>
        </w:rPr>
      </w:pPr>
      <w:r w:rsidRPr="00D523D1">
        <w:rPr>
          <w:rFonts w:eastAsia="Calibri"/>
        </w:rPr>
        <w:t>P</w:t>
      </w:r>
      <w:r w:rsidR="00E01D89" w:rsidRPr="00D523D1">
        <w:rPr>
          <w:rFonts w:eastAsia="Calibri"/>
        </w:rPr>
        <w:t>revzem davčnega rezidenstva</w:t>
      </w:r>
      <w:r w:rsidR="00FA28DA" w:rsidRPr="00D523D1">
        <w:rPr>
          <w:rFonts w:eastAsia="Calibri"/>
          <w:b/>
        </w:rPr>
        <w:t xml:space="preserve">: </w:t>
      </w:r>
      <w:r w:rsidR="002F199D" w:rsidRPr="00D523D1">
        <w:rPr>
          <w:rFonts w:eastAsia="Calibri"/>
        </w:rPr>
        <w:t>Številne jurisdikcije ponujajo davčne spodbude posameznikom, s katerim jih privabljajo k prevzemu davčnega rezidentstva v tej jurisdikcij. Te spodbude lahko vključujejo začasne ali trajne oprostitve davka od dohodka iz tujega vira, za pridobitev takšnega davčnega reziden</w:t>
      </w:r>
      <w:r w:rsidR="004C7557" w:rsidRPr="00D523D1">
        <w:rPr>
          <w:rFonts w:eastAsia="Calibri"/>
        </w:rPr>
        <w:t>t</w:t>
      </w:r>
      <w:r w:rsidR="002F199D" w:rsidRPr="00D523D1">
        <w:rPr>
          <w:rFonts w:eastAsia="Calibri"/>
        </w:rPr>
        <w:t xml:space="preserve">stva pa se lahko zahteva le minimalna prisotnost v tej jurisdikcij. Oseba, ki je davčni rezident v več kot eni jurisdikciji, lahko takšno potrdilo uporabi za prikritje dejstva, da je davčni rezident v drugi jurisdikciji. Predložitev takšnega potrdila finančni instituciji kot dokazila o rezidentstvu z namenom, da se spodkopava postopke dolžne skrbnosti finančne institucije, bi spadalo pod prepoznavno značilnost D1f. </w:t>
      </w:r>
      <w:r w:rsidR="004C7557" w:rsidRPr="00D523D1">
        <w:rPr>
          <w:rFonts w:eastAsia="Calibri"/>
        </w:rPr>
        <w:t xml:space="preserve">Pridobitev potrdila o davčnem rezidentstvu je lahko del aranžmaja o izogibanju CRS, vendar pa se oseba, ki ni posrednik (promotor), temveč le zagotavlja storitve v zvezi s pridobitvijo takšnega potrdila, ne šteje za posrednika pri aranžmaju o izogibanju CRS, razen če je ta oseba vedela, ali bi se lahko razumno pričakovalo, da bi vedela, da je bilo potrdilo o davčnem rezidentstvu prodano stranki, da bi se izognila CRS poročanju. </w:t>
      </w:r>
    </w:p>
    <w:p w14:paraId="2D35AE41" w14:textId="77777777" w:rsidR="00A9701C" w:rsidRPr="002F199D" w:rsidRDefault="00A9701C" w:rsidP="00697F07">
      <w:pPr>
        <w:spacing w:line="260" w:lineRule="exact"/>
        <w:rPr>
          <w:rStyle w:val="Naslov2Znak"/>
          <w:rFonts w:eastAsia="Calibri"/>
          <w:b w:val="0"/>
        </w:rPr>
      </w:pPr>
    </w:p>
    <w:p w14:paraId="7F6AB698" w14:textId="77777777" w:rsidR="005510AA" w:rsidRDefault="005510AA" w:rsidP="00697F07">
      <w:pPr>
        <w:spacing w:after="160" w:line="260" w:lineRule="exact"/>
        <w:jc w:val="both"/>
        <w:rPr>
          <w:rFonts w:eastAsia="Calibri" w:cs="Arial"/>
          <w:b/>
          <w:szCs w:val="20"/>
        </w:rPr>
      </w:pPr>
      <w:bookmarkStart w:id="59" w:name="_Toc75160042"/>
      <w:r w:rsidRPr="0068128B">
        <w:rPr>
          <w:rStyle w:val="Naslov3Znak"/>
          <w:rFonts w:eastAsia="Calibri"/>
        </w:rPr>
        <w:t>D2. Aranžma, ki vključuje nepregledno verigo pravnega ali upravičenega lastništva</w:t>
      </w:r>
      <w:bookmarkEnd w:id="59"/>
      <w:r w:rsidRPr="00C84C23">
        <w:rPr>
          <w:rFonts w:eastAsia="Calibri" w:cs="Arial"/>
          <w:b/>
          <w:szCs w:val="20"/>
        </w:rPr>
        <w:t xml:space="preserve"> z uporabo oseb, pravnih ureditev ali struktur:</w:t>
      </w:r>
    </w:p>
    <w:p w14:paraId="3BEBF442" w14:textId="77777777" w:rsidR="005510AA" w:rsidRDefault="005510AA" w:rsidP="00697F07">
      <w:pPr>
        <w:numPr>
          <w:ilvl w:val="0"/>
          <w:numId w:val="6"/>
        </w:numPr>
        <w:spacing w:after="160" w:line="260" w:lineRule="exact"/>
        <w:contextualSpacing/>
        <w:jc w:val="both"/>
        <w:rPr>
          <w:rFonts w:eastAsia="Calibri" w:cs="Arial"/>
          <w:b/>
          <w:szCs w:val="20"/>
        </w:rPr>
      </w:pPr>
      <w:r w:rsidRPr="005510AA">
        <w:rPr>
          <w:rFonts w:eastAsia="Calibri" w:cs="Arial"/>
          <w:b/>
          <w:szCs w:val="20"/>
        </w:rPr>
        <w:t xml:space="preserve">ki ne opravljajo pomembne gospodarske dejavnosti, podprte z ustreznim osebjem, opremo, sredstvi in prostori; </w:t>
      </w:r>
      <w:r w:rsidR="00F51392">
        <w:rPr>
          <w:rFonts w:eastAsia="Calibri" w:cs="Arial"/>
          <w:b/>
          <w:szCs w:val="20"/>
        </w:rPr>
        <w:t>in</w:t>
      </w:r>
      <w:r w:rsidRPr="005510AA">
        <w:rPr>
          <w:rFonts w:eastAsia="Calibri" w:cs="Arial"/>
          <w:b/>
          <w:szCs w:val="20"/>
        </w:rPr>
        <w:t xml:space="preserve"> </w:t>
      </w:r>
    </w:p>
    <w:p w14:paraId="6606585F" w14:textId="77777777" w:rsidR="005510AA" w:rsidRDefault="005510AA" w:rsidP="00697F07">
      <w:pPr>
        <w:numPr>
          <w:ilvl w:val="0"/>
          <w:numId w:val="6"/>
        </w:numPr>
        <w:spacing w:after="160" w:line="260" w:lineRule="exact"/>
        <w:contextualSpacing/>
        <w:jc w:val="both"/>
        <w:rPr>
          <w:rFonts w:eastAsia="Calibri" w:cs="Arial"/>
          <w:b/>
          <w:szCs w:val="20"/>
        </w:rPr>
      </w:pPr>
      <w:r w:rsidRPr="005510AA">
        <w:rPr>
          <w:rFonts w:eastAsia="Calibri" w:cs="Arial"/>
          <w:b/>
          <w:szCs w:val="20"/>
        </w:rPr>
        <w:lastRenderedPageBreak/>
        <w:t>ki so ustanovljeni, se upravljajo, so rezidenti, so pod nadzorom ali imajo sedež v kateri koli jurisdikciji, ki ni jurisdikcija rezidentstva enega ali več upravičenih lastnikov sredstev, ki jih imajo te osebe, pravne</w:t>
      </w:r>
      <w:r w:rsidR="00F51392">
        <w:rPr>
          <w:rFonts w:eastAsia="Calibri" w:cs="Arial"/>
          <w:b/>
          <w:szCs w:val="20"/>
        </w:rPr>
        <w:t xml:space="preserve"> ureditve ali strukture v lasti, ter</w:t>
      </w:r>
    </w:p>
    <w:p w14:paraId="1C7930E5" w14:textId="77777777" w:rsidR="005510AA" w:rsidRPr="005510AA" w:rsidRDefault="005510AA" w:rsidP="00697F07">
      <w:pPr>
        <w:numPr>
          <w:ilvl w:val="0"/>
          <w:numId w:val="6"/>
        </w:numPr>
        <w:spacing w:after="160" w:line="260" w:lineRule="exact"/>
        <w:contextualSpacing/>
        <w:jc w:val="both"/>
        <w:rPr>
          <w:rFonts w:eastAsia="Calibri" w:cs="Arial"/>
          <w:b/>
          <w:szCs w:val="20"/>
        </w:rPr>
      </w:pPr>
      <w:r w:rsidRPr="005510AA">
        <w:rPr>
          <w:rFonts w:eastAsia="Calibri" w:cs="Arial"/>
          <w:b/>
          <w:szCs w:val="20"/>
        </w:rPr>
        <w:t>kadar upravičenih lastnikov teh oseb, pravnih ureditev ali struktur, kot so opredeljeni v Direktivi (EU) 2015/849 ni mogoče identificirati.</w:t>
      </w:r>
    </w:p>
    <w:p w14:paraId="705588BF" w14:textId="77777777" w:rsidR="00E702B7" w:rsidRPr="00C84C23" w:rsidRDefault="00E702B7" w:rsidP="00697F07">
      <w:pPr>
        <w:spacing w:after="160" w:line="260" w:lineRule="exact"/>
        <w:jc w:val="both"/>
        <w:rPr>
          <w:rFonts w:eastAsia="Calibri" w:cs="Arial"/>
          <w:b/>
          <w:szCs w:val="20"/>
        </w:rPr>
      </w:pPr>
    </w:p>
    <w:p w14:paraId="1C6BF323" w14:textId="77777777" w:rsidR="005510AA" w:rsidRPr="00C84C23" w:rsidRDefault="005510AA" w:rsidP="00697F07">
      <w:pPr>
        <w:spacing w:after="160" w:line="260" w:lineRule="exact"/>
        <w:jc w:val="both"/>
        <w:rPr>
          <w:rFonts w:eastAsia="Calibri" w:cs="Arial"/>
          <w:b/>
          <w:szCs w:val="20"/>
        </w:rPr>
      </w:pPr>
      <w:r w:rsidRPr="00C84C23">
        <w:rPr>
          <w:rFonts w:eastAsia="Calibri" w:cs="Arial"/>
          <w:b/>
          <w:szCs w:val="20"/>
        </w:rPr>
        <w:t xml:space="preserve">Splošno o prepoznavni značilnosti D2: </w:t>
      </w:r>
    </w:p>
    <w:p w14:paraId="745B40FB" w14:textId="77777777" w:rsidR="005510AA" w:rsidRPr="00C84C23" w:rsidRDefault="005510AA" w:rsidP="00697F07">
      <w:pPr>
        <w:spacing w:after="160" w:line="260" w:lineRule="exact"/>
        <w:jc w:val="both"/>
        <w:rPr>
          <w:rFonts w:eastAsia="Calibri" w:cs="Arial"/>
          <w:szCs w:val="20"/>
        </w:rPr>
      </w:pPr>
      <w:r w:rsidRPr="00C84C23">
        <w:rPr>
          <w:rFonts w:eastAsia="Calibri" w:cs="Arial"/>
          <w:szCs w:val="20"/>
        </w:rPr>
        <w:t xml:space="preserve">Prepoznavna značilnost </w:t>
      </w:r>
      <w:r w:rsidR="00535775">
        <w:rPr>
          <w:rFonts w:eastAsia="Calibri" w:cs="Arial"/>
          <w:szCs w:val="20"/>
        </w:rPr>
        <w:t>D2</w:t>
      </w:r>
      <w:r w:rsidR="00963EF2">
        <w:rPr>
          <w:rFonts w:eastAsia="Calibri" w:cs="Arial"/>
          <w:szCs w:val="20"/>
        </w:rPr>
        <w:t xml:space="preserve"> </w:t>
      </w:r>
      <w:r w:rsidRPr="00C84C23">
        <w:rPr>
          <w:rFonts w:eastAsia="Calibri" w:cs="Arial"/>
          <w:szCs w:val="20"/>
        </w:rPr>
        <w:t>se</w:t>
      </w:r>
      <w:r w:rsidR="00963EF2">
        <w:rPr>
          <w:rFonts w:eastAsia="Calibri" w:cs="Arial"/>
          <w:szCs w:val="20"/>
        </w:rPr>
        <w:t>, namesto</w:t>
      </w:r>
      <w:r w:rsidRPr="00C84C23">
        <w:rPr>
          <w:rFonts w:eastAsia="Calibri" w:cs="Arial"/>
          <w:szCs w:val="20"/>
        </w:rPr>
        <w:t xml:space="preserve"> da se osredotoča na potencialne sheme agresivnega davčnega načrtovanja, usmerja v izmenjavo informacij in zakrivanje podatkov davčnim organom o dejanskih upravičenih lastnikih. Prepoznavna značilnost vzpostavlja neposredno povezavo z Direktivo 2015/849 o preprečevanju uporabe finančnega sistema za pranje denarja ali financiranje terorizma</w:t>
      </w:r>
      <w:r w:rsidR="004146EC">
        <w:rPr>
          <w:rFonts w:eastAsia="Calibri" w:cs="Arial"/>
          <w:szCs w:val="20"/>
        </w:rPr>
        <w:t xml:space="preserve"> (AML pravila)</w:t>
      </w:r>
      <w:r w:rsidRPr="00C84C23">
        <w:rPr>
          <w:rFonts w:eastAsia="Calibri" w:cs="Arial"/>
          <w:szCs w:val="20"/>
        </w:rPr>
        <w:t>. Hallmark D2 vključuje aranžmaje, katerih cilj ali rez</w:t>
      </w:r>
      <w:r w:rsidR="008C1364">
        <w:rPr>
          <w:rFonts w:eastAsia="Calibri" w:cs="Arial"/>
          <w:szCs w:val="20"/>
        </w:rPr>
        <w:t>ultat je, da se davčnim organom</w:t>
      </w:r>
      <w:r w:rsidRPr="00C84C23">
        <w:rPr>
          <w:rFonts w:eastAsia="Calibri" w:cs="Arial"/>
          <w:szCs w:val="20"/>
        </w:rPr>
        <w:t xml:space="preserve"> zakrije dejanske upravičene lastnike, z uporabo oseb, pravnih ureditev, struktur zunaj države rezidentstva upravičenega lastnika. </w:t>
      </w:r>
      <w:r w:rsidRPr="00697128">
        <w:rPr>
          <w:rFonts w:eastAsia="Calibri" w:cs="Arial"/>
          <w:szCs w:val="20"/>
        </w:rPr>
        <w:t>Vsi trije pogoji oziroma prepoznavne značilnosti, navedene v točkah a do c morajo biti izpolnjen</w:t>
      </w:r>
      <w:r w:rsidR="00697128">
        <w:rPr>
          <w:rFonts w:eastAsia="Calibri" w:cs="Arial"/>
          <w:szCs w:val="20"/>
        </w:rPr>
        <w:t>e</w:t>
      </w:r>
      <w:r w:rsidRPr="00697128">
        <w:rPr>
          <w:rFonts w:eastAsia="Calibri" w:cs="Arial"/>
          <w:szCs w:val="20"/>
        </w:rPr>
        <w:t xml:space="preserve"> kumulativno, da je izpolnjen test po hallmarku D2. </w:t>
      </w:r>
    </w:p>
    <w:p w14:paraId="6BD8D105" w14:textId="77777777" w:rsidR="005510AA" w:rsidRPr="00C84C23" w:rsidRDefault="005510AA" w:rsidP="00697F07">
      <w:pPr>
        <w:spacing w:after="160" w:line="260" w:lineRule="exact"/>
        <w:contextualSpacing/>
        <w:jc w:val="both"/>
        <w:rPr>
          <w:rFonts w:eastAsia="Calibri" w:cs="Arial"/>
          <w:szCs w:val="20"/>
        </w:rPr>
      </w:pPr>
      <w:r w:rsidRPr="00C84C23">
        <w:rPr>
          <w:rFonts w:eastAsia="Calibri" w:cs="Arial"/>
          <w:szCs w:val="20"/>
        </w:rPr>
        <w:t>V kontekstu prepoznavne značilnosti D2 se izraz »nepregledno«</w:t>
      </w:r>
      <w:r w:rsidR="00EA0582">
        <w:rPr>
          <w:rFonts w:eastAsia="Calibri" w:cs="Arial"/>
          <w:szCs w:val="20"/>
        </w:rPr>
        <w:t xml:space="preserve"> </w:t>
      </w:r>
      <w:r w:rsidRPr="00C84C23">
        <w:rPr>
          <w:rFonts w:eastAsia="Calibri" w:cs="Arial"/>
          <w:szCs w:val="20"/>
        </w:rPr>
        <w:t xml:space="preserve">uporablja v smislu transparentnosti dostopa do informacij, kot na primer: ali je s strani davčnega organa enostavno identificirati dejanske lastnike strukture oz. aranžmaja. Pri interpretaciji se lahko uporabi OECD vzorčna pravila o razkritju (MDR), kjer </w:t>
      </w:r>
      <w:r w:rsidR="00737098">
        <w:rPr>
          <w:rFonts w:eastAsia="Calibri" w:cs="Arial"/>
          <w:szCs w:val="20"/>
        </w:rPr>
        <w:t xml:space="preserve">so </w:t>
      </w:r>
      <w:r w:rsidRPr="00C84C23">
        <w:rPr>
          <w:rFonts w:eastAsia="Calibri" w:cs="Arial"/>
          <w:szCs w:val="20"/>
        </w:rPr>
        <w:t>»nepregledne strukture«</w:t>
      </w:r>
      <w:r w:rsidR="00737098">
        <w:rPr>
          <w:rFonts w:eastAsia="Calibri" w:cs="Arial"/>
          <w:szCs w:val="20"/>
        </w:rPr>
        <w:t xml:space="preserve"> definirane kot </w:t>
      </w:r>
      <w:r w:rsidRPr="00C84C23">
        <w:rPr>
          <w:rFonts w:eastAsia="Calibri" w:cs="Arial"/>
          <w:szCs w:val="20"/>
        </w:rPr>
        <w:t>strukture z uporabo pooblaščen</w:t>
      </w:r>
      <w:r w:rsidR="00EA0582">
        <w:rPr>
          <w:rFonts w:eastAsia="Calibri" w:cs="Arial"/>
          <w:szCs w:val="20"/>
        </w:rPr>
        <w:t>ih del</w:t>
      </w:r>
      <w:r w:rsidR="00CC116B">
        <w:rPr>
          <w:rFonts w:eastAsia="Calibri" w:cs="Arial"/>
          <w:szCs w:val="20"/>
        </w:rPr>
        <w:t>ničarjev (nominee shareholders)</w:t>
      </w:r>
      <w:r w:rsidRPr="00C84C23">
        <w:rPr>
          <w:rFonts w:eastAsia="Calibri" w:cs="Arial"/>
          <w:szCs w:val="20"/>
        </w:rPr>
        <w:t xml:space="preserve">, dogovorov o posrednem nazoru ali dogovorov, ki onemogočajo prepoznavo dejanskega lastnika. </w:t>
      </w:r>
    </w:p>
    <w:p w14:paraId="77D7A61F" w14:textId="77777777" w:rsidR="00CC116B" w:rsidRDefault="00CC116B" w:rsidP="00697F07">
      <w:pPr>
        <w:spacing w:after="160" w:line="260" w:lineRule="exact"/>
        <w:contextualSpacing/>
        <w:jc w:val="both"/>
        <w:rPr>
          <w:rFonts w:eastAsia="Calibri" w:cs="Arial"/>
          <w:szCs w:val="20"/>
        </w:rPr>
      </w:pPr>
    </w:p>
    <w:p w14:paraId="270CF677" w14:textId="375DF4CB" w:rsidR="00610BE2" w:rsidRPr="00610BE2" w:rsidRDefault="00610BE2" w:rsidP="00697F07">
      <w:pPr>
        <w:spacing w:after="160" w:line="260" w:lineRule="exact"/>
        <w:jc w:val="both"/>
        <w:rPr>
          <w:rFonts w:eastAsia="Calibri" w:cs="Arial"/>
          <w:szCs w:val="20"/>
        </w:rPr>
      </w:pPr>
      <w:r w:rsidRPr="00610BE2">
        <w:rPr>
          <w:rFonts w:eastAsia="Calibri" w:cs="Arial"/>
          <w:szCs w:val="20"/>
        </w:rPr>
        <w:t>Pomembna gospodarska dejavnost je v slovenski zakonodaji opredeljena kot tuja družba, ki ima pri opravljanju dejavnosti na voljo osebje, opremo, sredstva in prostore ali če ena tretjina ali manj dohodka, ki ga prejme nadzorovana tuja družba</w:t>
      </w:r>
      <w:r w:rsidR="00737098">
        <w:rPr>
          <w:rFonts w:eastAsia="Calibri" w:cs="Arial"/>
          <w:szCs w:val="20"/>
        </w:rPr>
        <w:t xml:space="preserve"> spada med t.</w:t>
      </w:r>
      <w:r w:rsidR="008E6EDD">
        <w:rPr>
          <w:rFonts w:eastAsia="Calibri" w:cs="Arial"/>
          <w:szCs w:val="20"/>
        </w:rPr>
        <w:t xml:space="preserve"> </w:t>
      </w:r>
      <w:r w:rsidR="00737098">
        <w:rPr>
          <w:rFonts w:eastAsia="Calibri" w:cs="Arial"/>
          <w:szCs w:val="20"/>
        </w:rPr>
        <w:t xml:space="preserve">i. pasivne dohodke </w:t>
      </w:r>
      <w:r w:rsidRPr="00610BE2">
        <w:rPr>
          <w:rFonts w:eastAsia="Calibri" w:cs="Arial"/>
          <w:szCs w:val="20"/>
        </w:rPr>
        <w:t>(Direktiva 2016/1164 in 67.i člen ZDDPO</w:t>
      </w:r>
      <w:r>
        <w:rPr>
          <w:rFonts w:eastAsia="Calibri" w:cs="Arial"/>
          <w:szCs w:val="20"/>
        </w:rPr>
        <w:t>-2</w:t>
      </w:r>
      <w:r w:rsidRPr="00610BE2">
        <w:rPr>
          <w:rFonts w:eastAsia="Calibri" w:cs="Arial"/>
          <w:szCs w:val="20"/>
        </w:rPr>
        <w:t>).</w:t>
      </w:r>
    </w:p>
    <w:p w14:paraId="3757E8CE" w14:textId="77777777" w:rsidR="00DC48BE" w:rsidRDefault="005510AA" w:rsidP="00697F07">
      <w:pPr>
        <w:spacing w:after="160" w:line="260" w:lineRule="exact"/>
        <w:contextualSpacing/>
        <w:jc w:val="both"/>
        <w:rPr>
          <w:rFonts w:eastAsia="Calibri" w:cs="Arial"/>
          <w:szCs w:val="20"/>
        </w:rPr>
      </w:pPr>
      <w:r w:rsidRPr="00C84C23">
        <w:rPr>
          <w:rFonts w:eastAsia="Calibri" w:cs="Arial"/>
          <w:szCs w:val="20"/>
        </w:rPr>
        <w:t xml:space="preserve">Prepoznavna značilnost D2 je podana v primerih, ko upravičenih </w:t>
      </w:r>
      <w:r w:rsidR="00B30A96">
        <w:rPr>
          <w:rFonts w:eastAsia="Calibri" w:cs="Arial"/>
          <w:szCs w:val="20"/>
        </w:rPr>
        <w:t xml:space="preserve">(dejanskih) </w:t>
      </w:r>
      <w:r w:rsidRPr="00C84C23">
        <w:rPr>
          <w:rFonts w:eastAsia="Calibri" w:cs="Arial"/>
          <w:szCs w:val="20"/>
        </w:rPr>
        <w:t xml:space="preserve">lastnikov ni mogoče identificirati. Pri opredelitvi »ni mogoče identificirati« se lahko opre na dokument Evropske Komisije SWD (2017) 236 final (Commission staff working document – impact assessment) iz katerega izhaja, da je namen posebne prepoznavne značilnosti D2 </w:t>
      </w:r>
      <w:r w:rsidR="00A376EE">
        <w:rPr>
          <w:rFonts w:eastAsia="Calibri" w:cs="Arial"/>
          <w:szCs w:val="20"/>
        </w:rPr>
        <w:t>naj</w:t>
      </w:r>
      <w:r w:rsidRPr="00C84C23">
        <w:rPr>
          <w:rFonts w:eastAsia="Calibri" w:cs="Arial"/>
          <w:szCs w:val="20"/>
        </w:rPr>
        <w:t>verjetn</w:t>
      </w:r>
      <w:r w:rsidR="00A376EE">
        <w:rPr>
          <w:rFonts w:eastAsia="Calibri" w:cs="Arial"/>
          <w:szCs w:val="20"/>
        </w:rPr>
        <w:t xml:space="preserve">eje v </w:t>
      </w:r>
      <w:r w:rsidRPr="00C84C23">
        <w:rPr>
          <w:rFonts w:eastAsia="Calibri" w:cs="Arial"/>
          <w:szCs w:val="20"/>
        </w:rPr>
        <w:t>širit</w:t>
      </w:r>
      <w:r w:rsidR="00A376EE">
        <w:rPr>
          <w:rFonts w:eastAsia="Calibri" w:cs="Arial"/>
          <w:szCs w:val="20"/>
        </w:rPr>
        <w:t xml:space="preserve">vi </w:t>
      </w:r>
      <w:r w:rsidRPr="00C84C23">
        <w:rPr>
          <w:rFonts w:eastAsia="Calibri" w:cs="Arial"/>
          <w:szCs w:val="20"/>
        </w:rPr>
        <w:t xml:space="preserve">prizadevanja EU na področju CRS in AML in sicer, da se zajame tiste aranžmaje, kjer davčni organ ne more identificirati dejanskega lastnika. </w:t>
      </w:r>
    </w:p>
    <w:p w14:paraId="428AFBCE" w14:textId="77777777" w:rsidR="005510AA" w:rsidRDefault="005510AA" w:rsidP="00697F07">
      <w:pPr>
        <w:spacing w:after="160" w:line="260" w:lineRule="exact"/>
        <w:contextualSpacing/>
        <w:jc w:val="both"/>
        <w:rPr>
          <w:rFonts w:eastAsia="Calibri" w:cs="Arial"/>
          <w:szCs w:val="20"/>
        </w:rPr>
      </w:pPr>
    </w:p>
    <w:p w14:paraId="68EAE6EC" w14:textId="77777777" w:rsidR="00610BE2" w:rsidRDefault="00BA0118" w:rsidP="00697F07">
      <w:pPr>
        <w:spacing w:after="160" w:line="260" w:lineRule="exact"/>
        <w:contextualSpacing/>
        <w:jc w:val="both"/>
        <w:rPr>
          <w:rFonts w:eastAsia="Calibri" w:cs="Arial"/>
          <w:szCs w:val="20"/>
        </w:rPr>
      </w:pPr>
      <w:r w:rsidRPr="00BA0118">
        <w:rPr>
          <w:rFonts w:eastAsia="Calibri" w:cs="Arial"/>
          <w:szCs w:val="20"/>
        </w:rPr>
        <w:t xml:space="preserve">Pri razlagi izrazov se lahko uporabi tudi opredelitev iz FATF 2012 priporočil, ki »dejanskega lastnika« definirajo kot »vsako fizično osebo, ki obvladuje oziroma ima nadzor nad pravno osebo ali pravnim dogovorom«. Finančne institucije morajo </w:t>
      </w:r>
      <w:r w:rsidR="00737098">
        <w:rPr>
          <w:rFonts w:eastAsia="Calibri" w:cs="Arial"/>
          <w:szCs w:val="20"/>
        </w:rPr>
        <w:t xml:space="preserve">namreč </w:t>
      </w:r>
      <w:r w:rsidRPr="00BA0118">
        <w:rPr>
          <w:rFonts w:eastAsia="Calibri" w:cs="Arial"/>
          <w:szCs w:val="20"/>
        </w:rPr>
        <w:t>za določene skupine subjektov (pasivni nefinančni subjekt) identificirati obvla</w:t>
      </w:r>
      <w:r w:rsidR="00B30A96">
        <w:rPr>
          <w:rFonts w:eastAsia="Calibri" w:cs="Arial"/>
          <w:szCs w:val="20"/>
        </w:rPr>
        <w:t>dujoče osebe. S</w:t>
      </w:r>
      <w:r w:rsidRPr="00BA0118">
        <w:rPr>
          <w:rFonts w:eastAsia="Calibri" w:cs="Arial"/>
          <w:szCs w:val="20"/>
        </w:rPr>
        <w:t xml:space="preserve"> tem namenom morajo izvesti postopke dolžne skrbnosti, kot jih določa AML zakonodaja</w:t>
      </w:r>
      <w:r w:rsidR="00B30A96">
        <w:rPr>
          <w:rFonts w:eastAsia="Calibri" w:cs="Arial"/>
          <w:szCs w:val="20"/>
        </w:rPr>
        <w:t xml:space="preserve"> </w:t>
      </w:r>
      <w:r w:rsidRPr="00BA0118">
        <w:rPr>
          <w:rFonts w:eastAsia="Calibri" w:cs="Arial"/>
          <w:szCs w:val="20"/>
        </w:rPr>
        <w:t>ter pridobiti ustrezno samopotrdilo, kot to določba CRS zakonodaja.</w:t>
      </w:r>
      <w:r w:rsidR="00D3383A">
        <w:rPr>
          <w:rFonts w:eastAsia="Calibri" w:cs="Arial"/>
          <w:szCs w:val="20"/>
        </w:rPr>
        <w:t xml:space="preserve"> Brez dejanskega poznavanja </w:t>
      </w:r>
      <w:r w:rsidR="008C1364">
        <w:rPr>
          <w:rFonts w:eastAsia="Calibri" w:cs="Arial"/>
          <w:szCs w:val="20"/>
        </w:rPr>
        <w:t>stranke</w:t>
      </w:r>
      <w:r w:rsidR="00D3383A" w:rsidRPr="00D3383A">
        <w:rPr>
          <w:rFonts w:eastAsia="Calibri" w:cs="Arial"/>
          <w:szCs w:val="20"/>
        </w:rPr>
        <w:t xml:space="preserve">  bi bilo v večini primerov za finančno institucijo neizvedljivo ugotoviti, ali je namen, da se obvladujočo osebo </w:t>
      </w:r>
      <w:r w:rsidR="00D3383A">
        <w:rPr>
          <w:rFonts w:eastAsia="Calibri" w:cs="Arial"/>
          <w:szCs w:val="20"/>
        </w:rPr>
        <w:t xml:space="preserve">oz. dejanskega lastnik </w:t>
      </w:r>
      <w:r w:rsidR="00D3383A" w:rsidRPr="00D3383A">
        <w:rPr>
          <w:rFonts w:eastAsia="Calibri" w:cs="Arial"/>
          <w:szCs w:val="20"/>
        </w:rPr>
        <w:t xml:space="preserve">»prikrije«. </w:t>
      </w:r>
      <w:r w:rsidR="00D3383A">
        <w:rPr>
          <w:rFonts w:eastAsia="Calibri" w:cs="Arial"/>
          <w:szCs w:val="20"/>
        </w:rPr>
        <w:t xml:space="preserve">Finančna institucija bi o aranžmaju torej morala poročati v primeru: </w:t>
      </w:r>
    </w:p>
    <w:p w14:paraId="16A9EAD1" w14:textId="77777777" w:rsidR="008C1364" w:rsidRPr="00BA0118" w:rsidRDefault="008C1364" w:rsidP="00697F07">
      <w:pPr>
        <w:spacing w:after="160" w:line="260" w:lineRule="exact"/>
        <w:contextualSpacing/>
        <w:jc w:val="both"/>
        <w:rPr>
          <w:rFonts w:eastAsia="Calibri" w:cs="Arial"/>
          <w:szCs w:val="20"/>
        </w:rPr>
      </w:pPr>
    </w:p>
    <w:p w14:paraId="0FA209CD" w14:textId="77777777" w:rsidR="00BA0118" w:rsidRPr="00BA0118" w:rsidRDefault="00BA0118" w:rsidP="00697F07">
      <w:pPr>
        <w:spacing w:after="160" w:line="260" w:lineRule="exact"/>
        <w:ind w:left="426" w:hanging="284"/>
        <w:contextualSpacing/>
        <w:jc w:val="both"/>
        <w:rPr>
          <w:rFonts w:eastAsia="Calibri" w:cs="Arial"/>
          <w:szCs w:val="20"/>
        </w:rPr>
      </w:pPr>
      <w:r w:rsidRPr="00BA0118">
        <w:rPr>
          <w:rFonts w:eastAsia="Calibri" w:cs="Arial"/>
          <w:szCs w:val="20"/>
        </w:rPr>
        <w:t>-</w:t>
      </w:r>
      <w:r w:rsidRPr="00BA0118">
        <w:rPr>
          <w:rFonts w:eastAsia="Calibri" w:cs="Arial"/>
          <w:szCs w:val="20"/>
        </w:rPr>
        <w:tab/>
        <w:t>če ima stranka izrecen (specifičen) namen, da ene ali več obvladujočih oseb ni mogoče identificirati v skladu z običajnimi CRS postopki;</w:t>
      </w:r>
    </w:p>
    <w:p w14:paraId="565EC7F3" w14:textId="77777777" w:rsidR="00BA0118" w:rsidRPr="00BA0118" w:rsidRDefault="00BA0118" w:rsidP="00697F07">
      <w:pPr>
        <w:spacing w:after="160" w:line="260" w:lineRule="exact"/>
        <w:ind w:left="426" w:hanging="284"/>
        <w:contextualSpacing/>
        <w:jc w:val="both"/>
        <w:rPr>
          <w:rFonts w:eastAsia="Calibri" w:cs="Arial"/>
          <w:szCs w:val="20"/>
        </w:rPr>
      </w:pPr>
      <w:r w:rsidRPr="00BA0118">
        <w:rPr>
          <w:rFonts w:eastAsia="Calibri" w:cs="Arial"/>
          <w:szCs w:val="20"/>
        </w:rPr>
        <w:t>-</w:t>
      </w:r>
      <w:r w:rsidRPr="00BA0118">
        <w:rPr>
          <w:rFonts w:eastAsia="Calibri" w:cs="Arial"/>
          <w:szCs w:val="20"/>
        </w:rPr>
        <w:tab/>
        <w:t>o namenu je finančna institucija seznanjena;  ter</w:t>
      </w:r>
    </w:p>
    <w:p w14:paraId="0D29A440" w14:textId="77777777" w:rsidR="00BA0118" w:rsidRPr="00BA0118" w:rsidRDefault="00BA0118" w:rsidP="00697F07">
      <w:pPr>
        <w:spacing w:after="160" w:line="260" w:lineRule="exact"/>
        <w:ind w:left="426" w:hanging="284"/>
        <w:contextualSpacing/>
        <w:jc w:val="both"/>
        <w:rPr>
          <w:rFonts w:eastAsia="Calibri" w:cs="Arial"/>
          <w:szCs w:val="20"/>
        </w:rPr>
      </w:pPr>
      <w:r w:rsidRPr="00BA0118">
        <w:rPr>
          <w:rFonts w:eastAsia="Calibri" w:cs="Arial"/>
          <w:szCs w:val="20"/>
        </w:rPr>
        <w:t>-</w:t>
      </w:r>
      <w:r w:rsidRPr="00BA0118">
        <w:rPr>
          <w:rFonts w:eastAsia="Calibri" w:cs="Arial"/>
          <w:szCs w:val="20"/>
        </w:rPr>
        <w:tab/>
        <w:t>finančna institucija nastopa kot posrednik pri transakciji.</w:t>
      </w:r>
    </w:p>
    <w:p w14:paraId="118EDF1B" w14:textId="77777777" w:rsidR="00BA0118" w:rsidRPr="00BA0118" w:rsidRDefault="00BA0118" w:rsidP="00697F07">
      <w:pPr>
        <w:spacing w:after="160" w:line="260" w:lineRule="exact"/>
        <w:contextualSpacing/>
        <w:jc w:val="both"/>
        <w:rPr>
          <w:rFonts w:eastAsia="Calibri" w:cs="Arial"/>
          <w:szCs w:val="20"/>
        </w:rPr>
      </w:pPr>
    </w:p>
    <w:p w14:paraId="3111B699" w14:textId="77777777" w:rsidR="00BA0118" w:rsidRDefault="00BA0118" w:rsidP="00697F07">
      <w:pPr>
        <w:spacing w:after="160" w:line="260" w:lineRule="exact"/>
        <w:contextualSpacing/>
        <w:jc w:val="both"/>
        <w:rPr>
          <w:rFonts w:eastAsia="Calibri" w:cs="Arial"/>
          <w:szCs w:val="20"/>
        </w:rPr>
      </w:pPr>
      <w:r w:rsidRPr="00BA0118">
        <w:rPr>
          <w:rFonts w:eastAsia="Calibri" w:cs="Arial"/>
          <w:szCs w:val="20"/>
        </w:rPr>
        <w:t xml:space="preserve">Finančne </w:t>
      </w:r>
      <w:r w:rsidR="008C1364">
        <w:rPr>
          <w:rFonts w:eastAsia="Calibri" w:cs="Arial"/>
          <w:szCs w:val="20"/>
        </w:rPr>
        <w:t>institucije</w:t>
      </w:r>
      <w:r w:rsidRPr="00BA0118">
        <w:rPr>
          <w:rFonts w:eastAsia="Calibri" w:cs="Arial"/>
          <w:szCs w:val="20"/>
        </w:rPr>
        <w:t>, ki so implementirale AML zakonodajo v skladu s FATF 2012 priporočili in izvajajo postopke dolžne skrbnosti obvladujočih oseb kot to določa CRS standard, načeloma niso zajete v poročanje pod prepoznavno značilnostjo D</w:t>
      </w:r>
      <w:r w:rsidR="004146EC">
        <w:rPr>
          <w:rFonts w:eastAsia="Calibri" w:cs="Arial"/>
          <w:szCs w:val="20"/>
        </w:rPr>
        <w:t>2</w:t>
      </w:r>
      <w:r w:rsidR="008C1364">
        <w:rPr>
          <w:rFonts w:eastAsia="Calibri" w:cs="Arial"/>
          <w:szCs w:val="20"/>
        </w:rPr>
        <w:t>,</w:t>
      </w:r>
      <w:r w:rsidRPr="00BA0118">
        <w:rPr>
          <w:rFonts w:eastAsia="Calibri" w:cs="Arial"/>
          <w:szCs w:val="20"/>
        </w:rPr>
        <w:t xml:space="preserve"> razen, če imajo specifično znanje oziroma vedenje, da gre za aranžma, ki je namenjen izogibanju CRS poročanja. </w:t>
      </w:r>
    </w:p>
    <w:p w14:paraId="0F96D05F" w14:textId="77777777" w:rsidR="004A3E2C" w:rsidRDefault="004A3E2C" w:rsidP="00697F07">
      <w:pPr>
        <w:spacing w:after="160" w:line="260" w:lineRule="exact"/>
        <w:contextualSpacing/>
        <w:jc w:val="both"/>
        <w:rPr>
          <w:rFonts w:eastAsia="Calibri" w:cs="Arial"/>
          <w:szCs w:val="20"/>
        </w:rPr>
      </w:pPr>
    </w:p>
    <w:p w14:paraId="27C47640" w14:textId="77777777" w:rsidR="00D523D1" w:rsidRPr="00D523D1" w:rsidRDefault="00D523D1" w:rsidP="00697F07">
      <w:pPr>
        <w:spacing w:after="160" w:line="260" w:lineRule="exact"/>
        <w:contextualSpacing/>
        <w:jc w:val="both"/>
        <w:rPr>
          <w:rFonts w:eastAsia="Calibri" w:cs="Arial"/>
          <w:szCs w:val="20"/>
        </w:rPr>
      </w:pPr>
      <w:r w:rsidRPr="00D523D1">
        <w:rPr>
          <w:rFonts w:eastAsia="Calibri" w:cs="Arial"/>
          <w:szCs w:val="20"/>
        </w:rPr>
        <w:t xml:space="preserve">Velja poudariti, da se prepoznavna značilnost nanaša na </w:t>
      </w:r>
      <w:r w:rsidR="004A3E2C" w:rsidRPr="00D523D1">
        <w:rPr>
          <w:rFonts w:eastAsia="Calibri" w:cs="Arial"/>
          <w:szCs w:val="20"/>
        </w:rPr>
        <w:t>sheme agresivnega davčne</w:t>
      </w:r>
      <w:r w:rsidRPr="00D523D1">
        <w:rPr>
          <w:rFonts w:eastAsia="Calibri" w:cs="Arial"/>
          <w:szCs w:val="20"/>
        </w:rPr>
        <w:t xml:space="preserve">ga načrtovanja, povezane z zakrivanjem podatkov (o dejanskih lastnikih) davčnemu organu. Z njimi se v praksi ne bodo srečevale le finančne institucije, temveč vsi posredniki, zato tudi za vse ostale subjekte nastane obveznost poročanja, če je izpolnjena prepoznavna značilnost D2. </w:t>
      </w:r>
    </w:p>
    <w:p w14:paraId="36F92F65" w14:textId="77777777" w:rsidR="00D523D1" w:rsidRDefault="00D523D1" w:rsidP="00697F07">
      <w:pPr>
        <w:spacing w:after="160" w:line="260" w:lineRule="exact"/>
        <w:contextualSpacing/>
        <w:jc w:val="both"/>
        <w:rPr>
          <w:rFonts w:eastAsia="Calibri" w:cs="Arial"/>
          <w:szCs w:val="20"/>
          <w:highlight w:val="yellow"/>
        </w:rPr>
      </w:pPr>
    </w:p>
    <w:p w14:paraId="109C0DBC" w14:textId="77777777" w:rsidR="00E702B7" w:rsidRDefault="00E702B7" w:rsidP="00697F07">
      <w:pPr>
        <w:spacing w:after="160" w:line="260" w:lineRule="exact"/>
        <w:contextualSpacing/>
        <w:jc w:val="both"/>
        <w:rPr>
          <w:rFonts w:eastAsia="Calibri" w:cs="Arial"/>
          <w:szCs w:val="20"/>
          <w:highlight w:val="yellow"/>
        </w:rPr>
      </w:pPr>
    </w:p>
    <w:p w14:paraId="4DC7A92E" w14:textId="77777777" w:rsidR="00F67C51" w:rsidRDefault="00F67C51" w:rsidP="00697F07">
      <w:pPr>
        <w:spacing w:line="260" w:lineRule="exact"/>
        <w:rPr>
          <w:rFonts w:eastAsia="Calibri"/>
        </w:rPr>
      </w:pPr>
      <w:bookmarkStart w:id="60" w:name="_Toc75160043"/>
      <w:r w:rsidRPr="00E01D89">
        <w:rPr>
          <w:rStyle w:val="Naslov3Znak"/>
          <w:rFonts w:eastAsia="Calibri"/>
        </w:rPr>
        <w:t>Primer</w:t>
      </w:r>
      <w:r w:rsidR="00E01D89" w:rsidRPr="00E01D89">
        <w:rPr>
          <w:rStyle w:val="Naslov3Znak"/>
          <w:rFonts w:eastAsia="Calibri"/>
        </w:rPr>
        <w:t xml:space="preserve">i: </w:t>
      </w:r>
      <w:r w:rsidR="00F144B9" w:rsidRPr="00E01D89">
        <w:rPr>
          <w:rStyle w:val="Naslov3Znak"/>
          <w:rFonts w:eastAsia="Calibri"/>
        </w:rPr>
        <w:t>D2</w:t>
      </w:r>
      <w:bookmarkEnd w:id="60"/>
      <w:r w:rsidR="00E01D89" w:rsidRPr="00E01D89">
        <w:rPr>
          <w:rFonts w:eastAsia="Calibri"/>
          <w:b/>
        </w:rPr>
        <w:t>- nepregledne lastniške strukture</w:t>
      </w:r>
      <w:r>
        <w:rPr>
          <w:rFonts w:eastAsia="Calibri"/>
        </w:rPr>
        <w:t xml:space="preserve"> </w:t>
      </w:r>
    </w:p>
    <w:p w14:paraId="7FB23947" w14:textId="77777777" w:rsidR="008C1364" w:rsidRDefault="008C1364" w:rsidP="008C1364">
      <w:pPr>
        <w:spacing w:line="260" w:lineRule="exact"/>
        <w:jc w:val="both"/>
        <w:rPr>
          <w:color w:val="000000" w:themeColor="text1"/>
        </w:rPr>
      </w:pPr>
    </w:p>
    <w:p w14:paraId="734C4463" w14:textId="77777777" w:rsidR="008C1364" w:rsidRDefault="008C1364" w:rsidP="008C1364">
      <w:pPr>
        <w:spacing w:line="260" w:lineRule="exact"/>
        <w:jc w:val="both"/>
        <w:rPr>
          <w:color w:val="000000" w:themeColor="text1"/>
        </w:rPr>
      </w:pPr>
      <w:r>
        <w:rPr>
          <w:color w:val="000000" w:themeColor="text1"/>
        </w:rPr>
        <w:t xml:space="preserve">Pojavnih oblik </w:t>
      </w:r>
      <w:r w:rsidRPr="001D7715">
        <w:rPr>
          <w:color w:val="000000" w:themeColor="text1"/>
        </w:rPr>
        <w:t xml:space="preserve">aranžmajev, ki </w:t>
      </w:r>
      <w:r>
        <w:rPr>
          <w:color w:val="000000" w:themeColor="text1"/>
        </w:rPr>
        <w:t>bi se lahko nanašali na prepoznavno značilnost D2, je več, ena izmed (nikakor pa ne edina, te so lahko podane v različnih situacijah), je ponazorjena v spodnjem primeru.</w:t>
      </w:r>
    </w:p>
    <w:p w14:paraId="4FE883DF" w14:textId="77777777" w:rsidR="00447C1F" w:rsidRDefault="00447C1F" w:rsidP="00697F07">
      <w:pPr>
        <w:spacing w:line="260" w:lineRule="exact"/>
        <w:rPr>
          <w:rFonts w:eastAsia="Calibri"/>
        </w:rPr>
      </w:pPr>
    </w:p>
    <w:p w14:paraId="2617F03C" w14:textId="77777777" w:rsidR="00A9701C" w:rsidRPr="00FF4165" w:rsidRDefault="00A9701C" w:rsidP="00697F07">
      <w:pPr>
        <w:pStyle w:val="Odstavekseznama"/>
        <w:numPr>
          <w:ilvl w:val="0"/>
          <w:numId w:val="41"/>
        </w:numPr>
        <w:spacing w:line="260" w:lineRule="exact"/>
        <w:ind w:left="709" w:hanging="425"/>
        <w:jc w:val="both"/>
      </w:pPr>
      <w:r w:rsidRPr="00FF4165">
        <w:t xml:space="preserve">Davčni zavezanec nabavlja blago pri dobaviteljih iz Kitajske, pri čemer </w:t>
      </w:r>
      <w:r>
        <w:t xml:space="preserve">mu </w:t>
      </w:r>
      <w:r w:rsidRPr="00FF4165">
        <w:t>računa za blago ne izda dobavitelj iz Kitajske, temveč poslovni subjekt iz davčne oaze. Zavezanec prejet</w:t>
      </w:r>
      <w:r>
        <w:t>e</w:t>
      </w:r>
      <w:r w:rsidRPr="00FF4165">
        <w:t xml:space="preserve"> račune plačuje na račun družbe iz davčne oaze, ki je pogosto odprt v eni izmed sosednjih držav (najpogosteje v Avstriji). Dejanski dobavitelj blaga je torej druž</w:t>
      </w:r>
      <w:r>
        <w:t>b</w:t>
      </w:r>
      <w:r w:rsidRPr="00FF4165">
        <w:t xml:space="preserve">a iz Kitajske (to je razvidno iz listin, ki spremljajo blago na poti do slovenskega kupca), medtem ko je družba iz davčne oaze, od katere davčni zavezanec prejme račun za </w:t>
      </w:r>
      <w:r>
        <w:t>b</w:t>
      </w:r>
      <w:r w:rsidRPr="00FF4165">
        <w:t>lago, zgolj vmesni člen. Pri</w:t>
      </w:r>
      <w:r>
        <w:t xml:space="preserve"> </w:t>
      </w:r>
      <w:r w:rsidRPr="00FF4165">
        <w:t>tem je cena, ki jo davčnemu zaveza</w:t>
      </w:r>
      <w:r>
        <w:t>n</w:t>
      </w:r>
      <w:r w:rsidRPr="00FF4165">
        <w:t>cu zaračuna poslovni subjekt iz davčne oaze, bistveno višja od tiste, ki jo zaračuna dejanski</w:t>
      </w:r>
      <w:r>
        <w:t xml:space="preserve"> </w:t>
      </w:r>
      <w:r w:rsidRPr="00FF4165">
        <w:t>dobavitelj iz Kitajske. Zavezanec je sam opra</w:t>
      </w:r>
      <w:r>
        <w:t>v</w:t>
      </w:r>
      <w:r w:rsidRPr="00FF4165">
        <w:t xml:space="preserve">il naročilo blaga pri dobavitelju iz Kitajske. </w:t>
      </w:r>
    </w:p>
    <w:p w14:paraId="7F67E8B0" w14:textId="77777777" w:rsidR="00A9701C" w:rsidRPr="00FF4165" w:rsidRDefault="00A9701C" w:rsidP="00697F07">
      <w:pPr>
        <w:pStyle w:val="Odstavekseznama"/>
        <w:spacing w:line="260" w:lineRule="exact"/>
        <w:ind w:left="1800"/>
        <w:jc w:val="both"/>
      </w:pPr>
    </w:p>
    <w:p w14:paraId="50569F4C" w14:textId="77777777" w:rsidR="00A9701C" w:rsidRPr="00FF4165" w:rsidRDefault="00A9701C" w:rsidP="00697F07">
      <w:pPr>
        <w:spacing w:line="260" w:lineRule="exact"/>
        <w:ind w:left="709"/>
        <w:jc w:val="both"/>
      </w:pPr>
      <w:r w:rsidRPr="00FF4165">
        <w:t>Zavezanec posluje z družbo iz davčno ugodnejšega območja zgolj na podlagi ustnih naročil in dogovorov. Poslovne korespondence, razen splošne osnovne pogodbe o dobavi</w:t>
      </w:r>
      <w:r>
        <w:t>,</w:t>
      </w:r>
      <w:r w:rsidRPr="00FF4165">
        <w:t xml:space="preserve"> nima. Pristojni pri zavezancu ne pojasnijo, kdo je kontaktna oseba pri obravnavanem poslovnem subjektu iz davčno ugodnejšega območja. Subjekt iz davčne oaze nima zaposlenih, upravlja ga odvetniška družba, ki upravlja še številne druge poslovne subjekte</w:t>
      </w:r>
      <w:r>
        <w:t>. S</w:t>
      </w:r>
      <w:r w:rsidRPr="00FF4165">
        <w:t xml:space="preserve"> tem poslovnim subjektom ni mogoče navezati stika in nima objavljenih informacij na spletni strani. </w:t>
      </w:r>
    </w:p>
    <w:p w14:paraId="262A0E16" w14:textId="77777777" w:rsidR="00A9701C" w:rsidRPr="00FF4165" w:rsidRDefault="00A9701C" w:rsidP="00697F07">
      <w:pPr>
        <w:pStyle w:val="Odstavekseznama"/>
        <w:spacing w:line="260" w:lineRule="exact"/>
        <w:ind w:left="709"/>
        <w:jc w:val="both"/>
      </w:pPr>
    </w:p>
    <w:p w14:paraId="366B35EA" w14:textId="77777777" w:rsidR="00A9701C" w:rsidRPr="00FF4165" w:rsidRDefault="00A9701C" w:rsidP="00697F07">
      <w:pPr>
        <w:spacing w:line="260" w:lineRule="exact"/>
        <w:ind w:left="709"/>
        <w:jc w:val="both"/>
      </w:pPr>
      <w:r>
        <w:t>Dejanskih lastnikov gosp</w:t>
      </w:r>
      <w:r w:rsidR="00AE3FC6">
        <w:t>o</w:t>
      </w:r>
      <w:r>
        <w:t xml:space="preserve">darskega subjekta iz davčne oaze nikakor ni mogoče identificirati, namen aranžmaja pa je izvedba </w:t>
      </w:r>
      <w:r w:rsidR="008C1364">
        <w:t>navideznih</w:t>
      </w:r>
      <w:r w:rsidR="00BB3DB8">
        <w:t xml:space="preserve"> dobav s </w:t>
      </w:r>
      <w:r w:rsidRPr="00FF4165">
        <w:t>strani poslovnega subjekta iz davčno ugodnejšega območja,</w:t>
      </w:r>
      <w:r>
        <w:t xml:space="preserve"> </w:t>
      </w:r>
      <w:r w:rsidRPr="00FF4165">
        <w:t>s čimer se prikriva pravilna (dejansko nižja) nabavna vrednost blaga. Zaradi tega so izkazani previsoki davčno priznani odhodki zavezanca</w:t>
      </w:r>
      <w:r>
        <w:t xml:space="preserve">, </w:t>
      </w:r>
      <w:r w:rsidRPr="00FF4165">
        <w:t xml:space="preserve">posledično pa je s tem </w:t>
      </w:r>
      <w:r w:rsidR="008C1364">
        <w:t>nižja</w:t>
      </w:r>
      <w:r w:rsidRPr="00FF4165">
        <w:t xml:space="preserve"> davčna osnova za obračun d</w:t>
      </w:r>
      <w:r>
        <w:t xml:space="preserve">avka od dohodkov pravnih oseb. </w:t>
      </w:r>
    </w:p>
    <w:p w14:paraId="4A001644" w14:textId="77777777" w:rsidR="00BA0118" w:rsidRDefault="00BA0118" w:rsidP="00697F07">
      <w:pPr>
        <w:spacing w:after="160" w:line="260" w:lineRule="exact"/>
        <w:ind w:left="1440"/>
        <w:jc w:val="both"/>
        <w:rPr>
          <w:rFonts w:eastAsia="Calibri"/>
        </w:rPr>
      </w:pPr>
    </w:p>
    <w:p w14:paraId="00631AC1" w14:textId="77777777" w:rsidR="00697128" w:rsidRDefault="00697128" w:rsidP="00697F07">
      <w:pPr>
        <w:spacing w:after="160" w:line="260" w:lineRule="exact"/>
        <w:ind w:left="1440"/>
        <w:jc w:val="both"/>
        <w:rPr>
          <w:rFonts w:eastAsia="Calibri"/>
        </w:rPr>
      </w:pPr>
    </w:p>
    <w:p w14:paraId="75060EBD" w14:textId="77777777" w:rsidR="00697128" w:rsidRDefault="00697128" w:rsidP="00697F07">
      <w:pPr>
        <w:spacing w:after="160" w:line="260" w:lineRule="exact"/>
        <w:ind w:left="1440"/>
        <w:jc w:val="both"/>
        <w:rPr>
          <w:rFonts w:eastAsia="Calibri"/>
        </w:rPr>
      </w:pPr>
    </w:p>
    <w:p w14:paraId="04706472" w14:textId="77777777" w:rsidR="00697128" w:rsidRDefault="00697128" w:rsidP="00697F07">
      <w:pPr>
        <w:spacing w:after="160" w:line="260" w:lineRule="exact"/>
        <w:ind w:left="1440"/>
        <w:jc w:val="both"/>
        <w:rPr>
          <w:rFonts w:eastAsia="Calibri"/>
        </w:rPr>
      </w:pPr>
    </w:p>
    <w:p w14:paraId="66CA2DF9" w14:textId="77777777" w:rsidR="00511B34" w:rsidRDefault="00511B34" w:rsidP="00697F07">
      <w:pPr>
        <w:spacing w:after="160" w:line="260" w:lineRule="exact"/>
        <w:ind w:left="1440"/>
        <w:jc w:val="both"/>
        <w:rPr>
          <w:rFonts w:eastAsia="Calibri"/>
        </w:rPr>
      </w:pPr>
    </w:p>
    <w:p w14:paraId="75528B03" w14:textId="77777777" w:rsidR="00511B34" w:rsidRDefault="00511B34" w:rsidP="00697F07">
      <w:pPr>
        <w:spacing w:after="160" w:line="260" w:lineRule="exact"/>
        <w:ind w:left="1440"/>
        <w:jc w:val="both"/>
        <w:rPr>
          <w:rFonts w:eastAsia="Calibri"/>
        </w:rPr>
      </w:pPr>
    </w:p>
    <w:p w14:paraId="273750C7" w14:textId="77777777" w:rsidR="00447597" w:rsidRDefault="00447597" w:rsidP="00697F07">
      <w:pPr>
        <w:spacing w:after="160" w:line="260" w:lineRule="exact"/>
        <w:ind w:left="1440"/>
        <w:jc w:val="both"/>
        <w:rPr>
          <w:rFonts w:eastAsia="Calibri"/>
        </w:rPr>
      </w:pPr>
    </w:p>
    <w:p w14:paraId="1022AB34" w14:textId="77777777" w:rsidR="00447597" w:rsidRDefault="00447597" w:rsidP="00697F07">
      <w:pPr>
        <w:spacing w:after="160" w:line="260" w:lineRule="exact"/>
        <w:ind w:left="1440"/>
        <w:jc w:val="both"/>
        <w:rPr>
          <w:rFonts w:eastAsia="Calibri"/>
        </w:rPr>
      </w:pPr>
    </w:p>
    <w:p w14:paraId="1D0E9341" w14:textId="77777777" w:rsidR="00447597" w:rsidRDefault="00447597" w:rsidP="00697F07">
      <w:pPr>
        <w:spacing w:after="160" w:line="260" w:lineRule="exact"/>
        <w:ind w:left="1440"/>
        <w:jc w:val="both"/>
        <w:rPr>
          <w:rFonts w:eastAsia="Calibri"/>
        </w:rPr>
      </w:pPr>
    </w:p>
    <w:p w14:paraId="7AABDEF5" w14:textId="77777777" w:rsidR="00511B34" w:rsidRDefault="00511B34" w:rsidP="00697F07">
      <w:pPr>
        <w:spacing w:after="160" w:line="260" w:lineRule="exact"/>
        <w:ind w:left="1440"/>
        <w:jc w:val="both"/>
        <w:rPr>
          <w:rFonts w:eastAsia="Calibri"/>
        </w:rPr>
      </w:pPr>
    </w:p>
    <w:p w14:paraId="2E955A5C" w14:textId="77777777" w:rsidR="00697128" w:rsidRPr="00A9701C" w:rsidRDefault="00697128" w:rsidP="00697F07">
      <w:pPr>
        <w:spacing w:after="160" w:line="260" w:lineRule="exact"/>
        <w:ind w:left="1440"/>
        <w:jc w:val="both"/>
        <w:rPr>
          <w:rFonts w:eastAsia="Calibri"/>
        </w:rPr>
      </w:pPr>
    </w:p>
    <w:p w14:paraId="32B850EB" w14:textId="77777777" w:rsidR="00DE5072" w:rsidRDefault="00C743DB" w:rsidP="00697F07">
      <w:pPr>
        <w:pStyle w:val="Naslov2"/>
      </w:pPr>
      <w:bookmarkStart w:id="61" w:name="_Toc75160044"/>
      <w:r>
        <w:lastRenderedPageBreak/>
        <w:t xml:space="preserve">POSEBNE </w:t>
      </w:r>
      <w:r w:rsidR="00DE5072">
        <w:t>P</w:t>
      </w:r>
      <w:r>
        <w:t>REPOZNAVNE ZNAČILNOSTI, POVEZANE S TRANSFERNIMI CENAMI</w:t>
      </w:r>
      <w:bookmarkEnd w:id="61"/>
    </w:p>
    <w:p w14:paraId="64050483" w14:textId="77777777" w:rsidR="00C743DB" w:rsidRPr="00C743DB" w:rsidRDefault="00C743DB" w:rsidP="00697F07">
      <w:pPr>
        <w:spacing w:line="260" w:lineRule="exact"/>
        <w:rPr>
          <w:lang w:eastAsia="sl-SI"/>
        </w:rPr>
      </w:pPr>
    </w:p>
    <w:p w14:paraId="2F8AF7D2" w14:textId="77777777" w:rsidR="00C96A99" w:rsidRPr="00697128" w:rsidRDefault="00F27DE9" w:rsidP="008713F9">
      <w:pPr>
        <w:pStyle w:val="Napis"/>
        <w:rPr>
          <w:bCs/>
          <w:color w:val="FF0000"/>
          <w:lang w:val="sl-SI"/>
        </w:rPr>
      </w:pPr>
      <w:r w:rsidRPr="00697128">
        <w:rPr>
          <w:lang w:val="sl-SI"/>
        </w:rPr>
        <w:t xml:space="preserve">Preglednica </w:t>
      </w:r>
      <w:r w:rsidR="006B665D">
        <w:fldChar w:fldCharType="begin"/>
      </w:r>
      <w:r w:rsidR="006B665D" w:rsidRPr="00697128">
        <w:rPr>
          <w:lang w:val="sl-SI"/>
        </w:rPr>
        <w:instrText xml:space="preserve"> SEQ Preglednica \* ARABIC </w:instrText>
      </w:r>
      <w:r w:rsidR="006B665D">
        <w:fldChar w:fldCharType="separate"/>
      </w:r>
      <w:r w:rsidR="000262B5">
        <w:rPr>
          <w:noProof/>
          <w:lang w:val="sl-SI"/>
        </w:rPr>
        <w:t>5</w:t>
      </w:r>
      <w:r w:rsidR="006B665D">
        <w:rPr>
          <w:noProof/>
        </w:rPr>
        <w:fldChar w:fldCharType="end"/>
      </w:r>
      <w:r w:rsidRPr="00697128">
        <w:rPr>
          <w:lang w:val="sl-SI"/>
        </w:rPr>
        <w:t>: Skupina E – transferne cene: neupoštevanje neodvisnega tržnega načela, neg</w:t>
      </w:r>
      <w:r w:rsidR="00B3452E" w:rsidRPr="00697128">
        <w:rPr>
          <w:lang w:val="sl-SI"/>
        </w:rPr>
        <w:t>otove cenitve ali transferji, k</w:t>
      </w:r>
      <w:r w:rsidRPr="00697128">
        <w:rPr>
          <w:lang w:val="sl-SI"/>
        </w:rPr>
        <w:t>i</w:t>
      </w:r>
      <w:r w:rsidR="00B3452E" w:rsidRPr="00697128">
        <w:rPr>
          <w:lang w:val="sl-SI"/>
        </w:rPr>
        <w:t xml:space="preserve"> </w:t>
      </w:r>
      <w:r w:rsidRPr="00697128">
        <w:rPr>
          <w:lang w:val="sl-SI"/>
        </w:rPr>
        <w:t>znižujejo davčn</w:t>
      </w:r>
      <w:r w:rsidR="00B3452E" w:rsidRPr="00697128">
        <w:rPr>
          <w:lang w:val="sl-SI"/>
        </w:rPr>
        <w:t>o</w:t>
      </w:r>
      <w:r w:rsidRPr="00697128">
        <w:rPr>
          <w:lang w:val="sl-SI"/>
        </w:rPr>
        <w:t xml:space="preserve"> osnovo</w:t>
      </w:r>
    </w:p>
    <w:tbl>
      <w:tblPr>
        <w:tblStyle w:val="Tabelamrea"/>
        <w:tblW w:w="9073" w:type="dxa"/>
        <w:jc w:val="center"/>
        <w:tblLook w:val="04A0" w:firstRow="1" w:lastRow="0" w:firstColumn="1" w:lastColumn="0" w:noHBand="0" w:noVBand="1"/>
      </w:tblPr>
      <w:tblGrid>
        <w:gridCol w:w="1281"/>
        <w:gridCol w:w="5382"/>
        <w:gridCol w:w="2410"/>
      </w:tblGrid>
      <w:tr w:rsidR="00F27DE9" w:rsidRPr="007007B0" w14:paraId="32354E4C" w14:textId="77777777" w:rsidTr="00E702B7">
        <w:trPr>
          <w:trHeight w:val="420"/>
          <w:jc w:val="center"/>
        </w:trPr>
        <w:tc>
          <w:tcPr>
            <w:tcW w:w="1281" w:type="dxa"/>
          </w:tcPr>
          <w:p w14:paraId="01521227" w14:textId="77777777" w:rsidR="00F27DE9" w:rsidRPr="007007B0" w:rsidRDefault="00F27DE9" w:rsidP="00697F07">
            <w:pPr>
              <w:spacing w:line="260" w:lineRule="exact"/>
              <w:jc w:val="both"/>
              <w:rPr>
                <w:sz w:val="18"/>
                <w:szCs w:val="18"/>
              </w:rPr>
            </w:pPr>
            <w:r w:rsidRPr="007007B0">
              <w:rPr>
                <w:sz w:val="18"/>
                <w:szCs w:val="18"/>
              </w:rPr>
              <w:t>Oznaka</w:t>
            </w:r>
          </w:p>
        </w:tc>
        <w:tc>
          <w:tcPr>
            <w:tcW w:w="5382" w:type="dxa"/>
          </w:tcPr>
          <w:p w14:paraId="448F13FF" w14:textId="77777777" w:rsidR="00F27DE9" w:rsidRPr="007007B0" w:rsidRDefault="00F27DE9" w:rsidP="00697F07">
            <w:pPr>
              <w:spacing w:line="260" w:lineRule="exact"/>
              <w:jc w:val="both"/>
              <w:rPr>
                <w:sz w:val="18"/>
                <w:szCs w:val="18"/>
              </w:rPr>
            </w:pPr>
            <w:r w:rsidRPr="007007B0">
              <w:rPr>
                <w:sz w:val="18"/>
                <w:szCs w:val="18"/>
              </w:rPr>
              <w:t>Prepoznavne značilnosti</w:t>
            </w:r>
          </w:p>
        </w:tc>
        <w:tc>
          <w:tcPr>
            <w:tcW w:w="2410" w:type="dxa"/>
          </w:tcPr>
          <w:p w14:paraId="3FFEEF76" w14:textId="77777777" w:rsidR="00F27DE9" w:rsidRPr="007007B0" w:rsidRDefault="00F27DE9" w:rsidP="00697F07">
            <w:pPr>
              <w:spacing w:line="260" w:lineRule="exact"/>
              <w:jc w:val="both"/>
              <w:rPr>
                <w:sz w:val="18"/>
                <w:szCs w:val="18"/>
              </w:rPr>
            </w:pPr>
            <w:r w:rsidRPr="007007B0">
              <w:rPr>
                <w:sz w:val="18"/>
                <w:szCs w:val="18"/>
              </w:rPr>
              <w:t>Vezano na test glavne koristi</w:t>
            </w:r>
          </w:p>
        </w:tc>
      </w:tr>
      <w:tr w:rsidR="00F27DE9" w:rsidRPr="007007B0" w14:paraId="3C73696B" w14:textId="77777777" w:rsidTr="00E702B7">
        <w:trPr>
          <w:trHeight w:val="420"/>
          <w:jc w:val="center"/>
        </w:trPr>
        <w:tc>
          <w:tcPr>
            <w:tcW w:w="1281" w:type="dxa"/>
          </w:tcPr>
          <w:p w14:paraId="42097793" w14:textId="77777777" w:rsidR="00F27DE9" w:rsidRPr="007007B0" w:rsidRDefault="00F27DE9" w:rsidP="00697F07">
            <w:pPr>
              <w:spacing w:line="260" w:lineRule="exact"/>
              <w:jc w:val="both"/>
              <w:rPr>
                <w:sz w:val="18"/>
                <w:szCs w:val="18"/>
              </w:rPr>
            </w:pPr>
            <w:r w:rsidRPr="007007B0">
              <w:rPr>
                <w:sz w:val="18"/>
                <w:szCs w:val="18"/>
              </w:rPr>
              <w:t>E1</w:t>
            </w:r>
          </w:p>
        </w:tc>
        <w:tc>
          <w:tcPr>
            <w:tcW w:w="5382" w:type="dxa"/>
          </w:tcPr>
          <w:p w14:paraId="003D2490" w14:textId="77777777" w:rsidR="00F27DE9" w:rsidRPr="007007B0" w:rsidRDefault="00F27DE9" w:rsidP="00697F07">
            <w:pPr>
              <w:spacing w:line="260" w:lineRule="exact"/>
              <w:jc w:val="both"/>
              <w:rPr>
                <w:sz w:val="18"/>
                <w:szCs w:val="18"/>
              </w:rPr>
            </w:pPr>
            <w:r w:rsidRPr="007007B0">
              <w:rPr>
                <w:sz w:val="18"/>
                <w:szCs w:val="18"/>
              </w:rPr>
              <w:t>Enostranska pravila varnega pristana (pravila, ki niso skladna z OECD smernicami za TC)</w:t>
            </w:r>
          </w:p>
        </w:tc>
        <w:tc>
          <w:tcPr>
            <w:tcW w:w="2410" w:type="dxa"/>
          </w:tcPr>
          <w:p w14:paraId="44B059D7" w14:textId="77777777" w:rsidR="00F27DE9" w:rsidRPr="007007B0" w:rsidRDefault="00F27DE9" w:rsidP="00697F07">
            <w:pPr>
              <w:spacing w:line="260" w:lineRule="exact"/>
              <w:jc w:val="center"/>
              <w:rPr>
                <w:sz w:val="18"/>
                <w:szCs w:val="18"/>
              </w:rPr>
            </w:pPr>
            <w:r w:rsidRPr="007007B0">
              <w:rPr>
                <w:sz w:val="18"/>
                <w:szCs w:val="18"/>
              </w:rPr>
              <w:t>Ne</w:t>
            </w:r>
          </w:p>
        </w:tc>
      </w:tr>
      <w:tr w:rsidR="00F27DE9" w:rsidRPr="007007B0" w14:paraId="4C1821CE" w14:textId="77777777" w:rsidTr="00E702B7">
        <w:trPr>
          <w:trHeight w:val="420"/>
          <w:jc w:val="center"/>
        </w:trPr>
        <w:tc>
          <w:tcPr>
            <w:tcW w:w="1281" w:type="dxa"/>
          </w:tcPr>
          <w:p w14:paraId="32A00DB5" w14:textId="77777777" w:rsidR="00F27DE9" w:rsidRPr="007007B0" w:rsidRDefault="00F27DE9" w:rsidP="00697F07">
            <w:pPr>
              <w:spacing w:line="260" w:lineRule="exact"/>
              <w:jc w:val="both"/>
              <w:rPr>
                <w:sz w:val="18"/>
                <w:szCs w:val="18"/>
              </w:rPr>
            </w:pPr>
            <w:r w:rsidRPr="007007B0">
              <w:rPr>
                <w:sz w:val="18"/>
                <w:szCs w:val="18"/>
              </w:rPr>
              <w:t>E2a</w:t>
            </w:r>
          </w:p>
          <w:p w14:paraId="413A9871" w14:textId="77777777" w:rsidR="00F27DE9" w:rsidRPr="007007B0" w:rsidRDefault="00F27DE9" w:rsidP="00697F07">
            <w:pPr>
              <w:spacing w:line="260" w:lineRule="exact"/>
              <w:jc w:val="both"/>
              <w:rPr>
                <w:sz w:val="18"/>
                <w:szCs w:val="18"/>
              </w:rPr>
            </w:pPr>
            <w:r w:rsidRPr="007007B0">
              <w:rPr>
                <w:sz w:val="18"/>
                <w:szCs w:val="18"/>
              </w:rPr>
              <w:t>E2b</w:t>
            </w:r>
          </w:p>
        </w:tc>
        <w:tc>
          <w:tcPr>
            <w:tcW w:w="5382" w:type="dxa"/>
          </w:tcPr>
          <w:p w14:paraId="7FF71006" w14:textId="77777777" w:rsidR="00F27DE9" w:rsidRPr="007007B0" w:rsidRDefault="00F27DE9" w:rsidP="00697F07">
            <w:pPr>
              <w:spacing w:line="260" w:lineRule="exact"/>
              <w:jc w:val="both"/>
              <w:rPr>
                <w:sz w:val="18"/>
                <w:szCs w:val="18"/>
              </w:rPr>
            </w:pPr>
            <w:r w:rsidRPr="007007B0">
              <w:rPr>
                <w:sz w:val="18"/>
                <w:szCs w:val="18"/>
              </w:rPr>
              <w:t>Prenos HTVI</w:t>
            </w:r>
          </w:p>
        </w:tc>
        <w:tc>
          <w:tcPr>
            <w:tcW w:w="2410" w:type="dxa"/>
          </w:tcPr>
          <w:p w14:paraId="442EA260" w14:textId="77777777" w:rsidR="00F27DE9" w:rsidRPr="007007B0" w:rsidRDefault="00F27DE9" w:rsidP="00697F07">
            <w:pPr>
              <w:spacing w:line="260" w:lineRule="exact"/>
              <w:jc w:val="center"/>
              <w:rPr>
                <w:sz w:val="18"/>
                <w:szCs w:val="18"/>
              </w:rPr>
            </w:pPr>
            <w:r w:rsidRPr="007007B0">
              <w:rPr>
                <w:sz w:val="18"/>
                <w:szCs w:val="18"/>
              </w:rPr>
              <w:t>Ne</w:t>
            </w:r>
          </w:p>
        </w:tc>
      </w:tr>
      <w:tr w:rsidR="00F27DE9" w:rsidRPr="007007B0" w14:paraId="207EFDB7" w14:textId="77777777" w:rsidTr="00E702B7">
        <w:trPr>
          <w:trHeight w:val="420"/>
          <w:jc w:val="center"/>
        </w:trPr>
        <w:tc>
          <w:tcPr>
            <w:tcW w:w="1281" w:type="dxa"/>
          </w:tcPr>
          <w:p w14:paraId="54D5A903" w14:textId="77777777" w:rsidR="00F27DE9" w:rsidRPr="007007B0" w:rsidRDefault="00F27DE9" w:rsidP="00697F07">
            <w:pPr>
              <w:spacing w:line="260" w:lineRule="exact"/>
              <w:jc w:val="both"/>
              <w:rPr>
                <w:sz w:val="18"/>
                <w:szCs w:val="18"/>
              </w:rPr>
            </w:pPr>
            <w:r w:rsidRPr="007007B0">
              <w:rPr>
                <w:sz w:val="18"/>
                <w:szCs w:val="18"/>
              </w:rPr>
              <w:t>E3</w:t>
            </w:r>
          </w:p>
        </w:tc>
        <w:tc>
          <w:tcPr>
            <w:tcW w:w="5382" w:type="dxa"/>
          </w:tcPr>
          <w:p w14:paraId="23C1B561" w14:textId="77777777" w:rsidR="00F27DE9" w:rsidRPr="007007B0" w:rsidRDefault="00F27DE9" w:rsidP="007007B0">
            <w:pPr>
              <w:spacing w:line="260" w:lineRule="exact"/>
              <w:jc w:val="both"/>
              <w:rPr>
                <w:sz w:val="18"/>
                <w:szCs w:val="18"/>
              </w:rPr>
            </w:pPr>
            <w:r w:rsidRPr="007007B0">
              <w:rPr>
                <w:sz w:val="18"/>
                <w:szCs w:val="18"/>
              </w:rPr>
              <w:t>prestrukturiranja, ki rezultirajo v več kot 50 % zmanjšanj</w:t>
            </w:r>
            <w:r w:rsidR="007007B0">
              <w:rPr>
                <w:sz w:val="18"/>
                <w:szCs w:val="18"/>
              </w:rPr>
              <w:t>u</w:t>
            </w:r>
            <w:r w:rsidRPr="007007B0">
              <w:rPr>
                <w:sz w:val="18"/>
                <w:szCs w:val="18"/>
              </w:rPr>
              <w:t xml:space="preserve"> EBIT</w:t>
            </w:r>
          </w:p>
        </w:tc>
        <w:tc>
          <w:tcPr>
            <w:tcW w:w="2410" w:type="dxa"/>
          </w:tcPr>
          <w:p w14:paraId="5958032F" w14:textId="77777777" w:rsidR="00F27DE9" w:rsidRPr="007007B0" w:rsidRDefault="00F27DE9" w:rsidP="00697F07">
            <w:pPr>
              <w:spacing w:line="260" w:lineRule="exact"/>
              <w:jc w:val="center"/>
              <w:rPr>
                <w:sz w:val="18"/>
                <w:szCs w:val="18"/>
              </w:rPr>
            </w:pPr>
            <w:r w:rsidRPr="007007B0">
              <w:rPr>
                <w:sz w:val="18"/>
                <w:szCs w:val="18"/>
              </w:rPr>
              <w:t>Ne</w:t>
            </w:r>
          </w:p>
        </w:tc>
      </w:tr>
    </w:tbl>
    <w:p w14:paraId="42D80E93" w14:textId="77777777" w:rsidR="00B66FF4" w:rsidRDefault="00B66FF4" w:rsidP="00697F07">
      <w:pPr>
        <w:pStyle w:val="Default"/>
        <w:spacing w:line="260" w:lineRule="exact"/>
        <w:jc w:val="both"/>
        <w:rPr>
          <w:b/>
          <w:bCs/>
          <w:color w:val="FF0000"/>
          <w:sz w:val="20"/>
          <w:szCs w:val="20"/>
        </w:rPr>
      </w:pPr>
    </w:p>
    <w:p w14:paraId="75B406F9" w14:textId="77777777" w:rsidR="004A6D1D" w:rsidRDefault="004A6D1D" w:rsidP="00697F07">
      <w:pPr>
        <w:pStyle w:val="Brezrazmikov"/>
        <w:spacing w:line="260" w:lineRule="exact"/>
      </w:pPr>
    </w:p>
    <w:p w14:paraId="167C7C0A" w14:textId="77777777" w:rsidR="00A53467" w:rsidRDefault="00BB3DB8" w:rsidP="00697F07">
      <w:pPr>
        <w:pStyle w:val="Default"/>
        <w:spacing w:line="260" w:lineRule="exact"/>
        <w:jc w:val="both"/>
        <w:rPr>
          <w:sz w:val="20"/>
          <w:szCs w:val="20"/>
          <w:lang w:val="sl-SI"/>
        </w:rPr>
      </w:pPr>
      <w:r>
        <w:rPr>
          <w:bCs/>
          <w:color w:val="000000" w:themeColor="text1"/>
          <w:sz w:val="20"/>
          <w:szCs w:val="20"/>
          <w:lang w:val="sl-SI"/>
        </w:rPr>
        <w:t>Naslov poglavja E</w:t>
      </w:r>
      <w:r w:rsidR="00B3452E" w:rsidRPr="00B3452E">
        <w:rPr>
          <w:bCs/>
          <w:color w:val="000000" w:themeColor="text1"/>
          <w:sz w:val="20"/>
          <w:szCs w:val="20"/>
          <w:lang w:val="sl-SI"/>
        </w:rPr>
        <w:t xml:space="preserve"> </w:t>
      </w:r>
      <w:r w:rsidR="00643156">
        <w:rPr>
          <w:bCs/>
          <w:color w:val="000000" w:themeColor="text1"/>
          <w:sz w:val="20"/>
          <w:szCs w:val="20"/>
          <w:lang w:val="sl-SI"/>
        </w:rPr>
        <w:t xml:space="preserve">iz IV. Priloge </w:t>
      </w:r>
      <w:r w:rsidR="00B3452E" w:rsidRPr="00B3452E">
        <w:rPr>
          <w:bCs/>
          <w:color w:val="000000" w:themeColor="text1"/>
          <w:sz w:val="20"/>
          <w:szCs w:val="20"/>
          <w:lang w:val="sl-SI"/>
        </w:rPr>
        <w:t>Direktive o posebnih prepoznavnih značilnostih, povezanih s transfernimi cenami, kaže na to, da so prepoznavne značilnosti v tem poglavju vezane na področje transfernih cen. Na podlagi 11. točke Smernic OECD za določanje transfernih cen za mednarodna podjetja in davčne uprave - Smernice OECD (OECD Transfer Pricing Guidelines for Multinational Enterprises and Tax Administrations, July 2017) so transferne cene tiste cene, po katerih podjetje prenaša povezanim podjetjem stvari in neopredmetena sredstva ali zanje opravlja storitve.</w:t>
      </w:r>
      <w:r w:rsidR="00B3452E" w:rsidRPr="00B3452E">
        <w:rPr>
          <w:sz w:val="20"/>
          <w:szCs w:val="20"/>
          <w:lang w:val="sl-SI"/>
        </w:rPr>
        <w:t xml:space="preserve"> </w:t>
      </w:r>
    </w:p>
    <w:p w14:paraId="40AF4F98" w14:textId="77777777" w:rsidR="00447C1F" w:rsidRDefault="00447C1F" w:rsidP="00697F07">
      <w:pPr>
        <w:pStyle w:val="Default"/>
        <w:spacing w:line="260" w:lineRule="exact"/>
        <w:jc w:val="both"/>
        <w:rPr>
          <w:sz w:val="20"/>
          <w:szCs w:val="20"/>
          <w:lang w:val="sl-SI"/>
        </w:rPr>
      </w:pPr>
    </w:p>
    <w:p w14:paraId="208D4A65" w14:textId="77777777" w:rsidR="00B3452E" w:rsidRPr="00B3452E" w:rsidRDefault="00B3452E" w:rsidP="00697F07">
      <w:pPr>
        <w:pStyle w:val="Default"/>
        <w:spacing w:line="260" w:lineRule="exact"/>
        <w:jc w:val="both"/>
        <w:rPr>
          <w:sz w:val="20"/>
          <w:szCs w:val="20"/>
          <w:lang w:val="sl-SI"/>
        </w:rPr>
      </w:pPr>
      <w:r w:rsidRPr="00B3452E">
        <w:rPr>
          <w:sz w:val="20"/>
          <w:szCs w:val="20"/>
          <w:lang w:val="sl-SI"/>
        </w:rPr>
        <w:t>ZDavP-2 v 10. točki 243.a člena določa, da čezmejni aranžma pomeni aranžma, ki zadeva bodisi več kot eno državo članico EU bodisi državo članico EU in tretjo državo, pri čemer je podan vsaj eden od taksativno naštetih tujih elementov, ki pomenijo, da aranžma zadeva več kot eno državo/jurisdikcijo. Ta tuji element je lahko različn</w:t>
      </w:r>
      <w:r w:rsidR="00AF7E19">
        <w:rPr>
          <w:sz w:val="20"/>
          <w:szCs w:val="20"/>
          <w:lang w:val="sl-SI"/>
        </w:rPr>
        <w:t>o</w:t>
      </w:r>
      <w:r w:rsidRPr="00B3452E">
        <w:rPr>
          <w:sz w:val="20"/>
          <w:szCs w:val="20"/>
          <w:lang w:val="sl-SI"/>
        </w:rPr>
        <w:t xml:space="preserve"> rezidentstvo udeležencev, večkratno rezidentstvo udeležencev, stalna poslovna enota ali druge aktivnosti v tuji jurisdikciji ali več partnerskih jurisdikcij v avtomatični izmenjavi podatkov.</w:t>
      </w:r>
    </w:p>
    <w:p w14:paraId="676BC5CD" w14:textId="77777777" w:rsidR="00B3452E" w:rsidRPr="00B3452E" w:rsidRDefault="00B3452E" w:rsidP="00697F07">
      <w:pPr>
        <w:pStyle w:val="Default"/>
        <w:spacing w:line="260" w:lineRule="exact"/>
        <w:jc w:val="both"/>
        <w:rPr>
          <w:bCs/>
          <w:color w:val="000000" w:themeColor="text1"/>
          <w:sz w:val="20"/>
          <w:szCs w:val="20"/>
          <w:lang w:val="sl-SI"/>
        </w:rPr>
      </w:pPr>
    </w:p>
    <w:p w14:paraId="2C9043C2" w14:textId="77777777" w:rsidR="00B3452E" w:rsidRDefault="00B659E5" w:rsidP="00697F07">
      <w:pPr>
        <w:pStyle w:val="Default"/>
        <w:spacing w:line="260" w:lineRule="exact"/>
        <w:jc w:val="both"/>
        <w:rPr>
          <w:bCs/>
          <w:color w:val="000000" w:themeColor="text1"/>
          <w:sz w:val="20"/>
          <w:szCs w:val="20"/>
          <w:lang w:val="sl-SI"/>
        </w:rPr>
      </w:pPr>
      <w:r>
        <w:rPr>
          <w:bCs/>
          <w:color w:val="000000" w:themeColor="text1"/>
          <w:sz w:val="20"/>
          <w:szCs w:val="20"/>
          <w:lang w:val="sl-SI"/>
        </w:rPr>
        <w:t>Z</w:t>
      </w:r>
      <w:r w:rsidR="00B3452E" w:rsidRPr="00B3452E">
        <w:rPr>
          <w:bCs/>
          <w:color w:val="000000" w:themeColor="text1"/>
          <w:sz w:val="20"/>
          <w:szCs w:val="20"/>
          <w:lang w:val="sl-SI"/>
        </w:rPr>
        <w:t xml:space="preserve">a namene </w:t>
      </w:r>
      <w:r w:rsidR="00BB3DB8">
        <w:rPr>
          <w:bCs/>
          <w:color w:val="000000" w:themeColor="text1"/>
          <w:sz w:val="20"/>
          <w:szCs w:val="20"/>
          <w:lang w:val="sl-SI"/>
        </w:rPr>
        <w:t>DAC</w:t>
      </w:r>
      <w:r>
        <w:rPr>
          <w:bCs/>
          <w:color w:val="000000" w:themeColor="text1"/>
          <w:sz w:val="20"/>
          <w:szCs w:val="20"/>
          <w:lang w:val="sl-SI"/>
        </w:rPr>
        <w:t>6 poročanja</w:t>
      </w:r>
      <w:r w:rsidR="00B3452E" w:rsidRPr="00B3452E">
        <w:rPr>
          <w:bCs/>
          <w:color w:val="000000" w:themeColor="text1"/>
          <w:sz w:val="20"/>
          <w:szCs w:val="20"/>
          <w:lang w:val="sl-SI"/>
        </w:rPr>
        <w:t xml:space="preserve"> povezano podjetje pomeni osebo, ki je povezana z drugo osebo na vsaj enega od naslednjih načinov: (a) oseba je udeležena pri upravljanju druge osebe tako, da je v položaju z znatnim vplivom na to drugo osebo; (b) oseba je udeležena pri nadzoru nad drugo osebo z deležem glasovalnih pravic, ki presega 25 %; (c) oseba je udeležena v kapitalu druge osebe z lastništvom kapitala, ki neposredno ali posredno presega delež 25 %; (d) oseba je upravičena do 25 % ali več dobička druge osebe. </w:t>
      </w:r>
    </w:p>
    <w:p w14:paraId="35842DBD" w14:textId="77777777" w:rsidR="007007B0" w:rsidRPr="00B3452E" w:rsidRDefault="007007B0" w:rsidP="00697F07">
      <w:pPr>
        <w:pStyle w:val="Default"/>
        <w:spacing w:line="260" w:lineRule="exact"/>
        <w:jc w:val="both"/>
        <w:rPr>
          <w:bCs/>
          <w:color w:val="000000" w:themeColor="text1"/>
          <w:sz w:val="20"/>
          <w:szCs w:val="20"/>
          <w:lang w:val="sl-SI"/>
        </w:rPr>
      </w:pPr>
    </w:p>
    <w:p w14:paraId="2ADB7158" w14:textId="77777777" w:rsidR="00077DD6" w:rsidRDefault="00B3452E" w:rsidP="00697F07">
      <w:pPr>
        <w:pStyle w:val="Default"/>
        <w:spacing w:line="260" w:lineRule="exact"/>
        <w:jc w:val="both"/>
        <w:rPr>
          <w:bCs/>
          <w:color w:val="000000" w:themeColor="text1"/>
          <w:sz w:val="20"/>
          <w:szCs w:val="20"/>
          <w:lang w:val="it-IT"/>
        </w:rPr>
      </w:pPr>
      <w:r w:rsidRPr="00B3452E">
        <w:rPr>
          <w:bCs/>
          <w:color w:val="000000" w:themeColor="text1"/>
          <w:sz w:val="20"/>
          <w:szCs w:val="20"/>
          <w:lang w:val="sl-SI"/>
        </w:rPr>
        <w:t xml:space="preserve">Če je pri upravljanju, nadzoru ali v kapitalu oziroma dobičku, kot je navedeno v točkah (a) do (d), iste osebe, udeležena več kot ena oseba, se vse zadevne osebe štejejo za povezana podjetja. Če je pri upravljanju, nadzoru ali v kapitalu oziroma pri dobičku, kot je navedeno v točkah (a) do (d), več kot ene osebe, udeležena ista oseba, se vse zadevne osebe štejejo za povezana podjetja. Za namene te točke se oseba, ki deluje skupaj z drugo osebo v zvezi z glasovalnimi pravicami ali lastništvom kapitala subjekta, obravnava kot udeležena pri vseh glasovalnih pravicah ali lastništvu kapitala tega subjekta, ki jih ima druga oseba. Pri posredni udeležbi se izpolnjevanje zahtev iz točke (c) določi tako, da se pomnožijo deleži po zaporednih stopnjah. Za osebo z več kot 50 % glasovalnih pravic se šteje, da jih ima 100 %. </w:t>
      </w:r>
      <w:r w:rsidRPr="00697128">
        <w:rPr>
          <w:bCs/>
          <w:color w:val="000000" w:themeColor="text1"/>
          <w:sz w:val="20"/>
          <w:szCs w:val="20"/>
          <w:lang w:val="sl-SI"/>
        </w:rPr>
        <w:t>Posameznik, njegov zakonec in predniki ali potomci se štejejo za eno osebo.</w:t>
      </w:r>
      <w:r w:rsidRPr="00B3452E">
        <w:rPr>
          <w:bCs/>
          <w:color w:val="000000" w:themeColor="text1"/>
          <w:sz w:val="20"/>
          <w:szCs w:val="20"/>
          <w:lang w:val="it-IT"/>
        </w:rPr>
        <w:t xml:space="preserve"> </w:t>
      </w:r>
    </w:p>
    <w:p w14:paraId="3F9813F6" w14:textId="77777777" w:rsidR="00077DD6" w:rsidRDefault="00077DD6" w:rsidP="00697F07">
      <w:pPr>
        <w:pStyle w:val="Default"/>
        <w:spacing w:line="260" w:lineRule="exact"/>
        <w:jc w:val="both"/>
        <w:rPr>
          <w:bCs/>
          <w:color w:val="000000" w:themeColor="text1"/>
          <w:sz w:val="20"/>
          <w:szCs w:val="20"/>
          <w:lang w:val="it-IT"/>
        </w:rPr>
      </w:pPr>
    </w:p>
    <w:p w14:paraId="484299C9" w14:textId="77777777" w:rsidR="00001FF0" w:rsidRDefault="00001FF0" w:rsidP="00697F07">
      <w:pPr>
        <w:pStyle w:val="Default"/>
        <w:spacing w:line="260" w:lineRule="exact"/>
        <w:jc w:val="both"/>
        <w:rPr>
          <w:bCs/>
          <w:color w:val="000000" w:themeColor="text1"/>
          <w:sz w:val="20"/>
          <w:szCs w:val="20"/>
          <w:lang w:val="it-IT"/>
        </w:rPr>
      </w:pPr>
    </w:p>
    <w:p w14:paraId="3E12908E" w14:textId="77777777" w:rsidR="00001FF0" w:rsidRPr="00B3452E" w:rsidRDefault="00001FF0" w:rsidP="00697F07">
      <w:pPr>
        <w:spacing w:after="160" w:line="260" w:lineRule="exact"/>
        <w:jc w:val="both"/>
        <w:rPr>
          <w:bCs/>
          <w:color w:val="000000" w:themeColor="text1"/>
          <w:szCs w:val="20"/>
          <w:lang w:val="it-IT"/>
        </w:rPr>
      </w:pPr>
      <w:bookmarkStart w:id="62" w:name="_Toc75160045"/>
      <w:r>
        <w:rPr>
          <w:rStyle w:val="Naslov3Znak"/>
          <w:rFonts w:eastAsia="Calibri"/>
        </w:rPr>
        <w:t>E1</w:t>
      </w:r>
      <w:r w:rsidRPr="0068128B">
        <w:rPr>
          <w:rStyle w:val="Naslov3Znak"/>
          <w:rFonts w:eastAsia="Calibri"/>
        </w:rPr>
        <w:t xml:space="preserve">. Aranžma, ki vključuje </w:t>
      </w:r>
      <w:r>
        <w:rPr>
          <w:rStyle w:val="Naslov3Znak"/>
          <w:rFonts w:eastAsia="Calibri"/>
        </w:rPr>
        <w:t>uporabo enostranskih pravil izjeme »varnega pristana«</w:t>
      </w:r>
      <w:bookmarkEnd w:id="62"/>
      <w:r>
        <w:rPr>
          <w:rStyle w:val="Naslov3Znak"/>
          <w:rFonts w:eastAsia="Calibri"/>
        </w:rPr>
        <w:t xml:space="preserve"> </w:t>
      </w:r>
    </w:p>
    <w:p w14:paraId="69407DF0" w14:textId="77777777" w:rsidR="005C00E2" w:rsidRDefault="00E03330" w:rsidP="00697F07">
      <w:pPr>
        <w:pStyle w:val="Default"/>
        <w:spacing w:line="260" w:lineRule="exact"/>
        <w:jc w:val="both"/>
        <w:rPr>
          <w:bCs/>
          <w:color w:val="000000" w:themeColor="text1"/>
          <w:sz w:val="20"/>
          <w:szCs w:val="20"/>
          <w:lang w:val="sl-SI"/>
        </w:rPr>
      </w:pPr>
      <w:r>
        <w:rPr>
          <w:bCs/>
          <w:color w:val="000000" w:themeColor="text1"/>
          <w:sz w:val="20"/>
          <w:szCs w:val="20"/>
          <w:lang w:val="sl-SI"/>
        </w:rPr>
        <w:t xml:space="preserve">Prepoznavna značilnost E1 </w:t>
      </w:r>
      <w:r w:rsidR="005C00E2" w:rsidRPr="005C00E2">
        <w:rPr>
          <w:bCs/>
          <w:color w:val="000000" w:themeColor="text1"/>
          <w:sz w:val="20"/>
          <w:szCs w:val="20"/>
          <w:lang w:val="sl-SI"/>
        </w:rPr>
        <w:t xml:space="preserve">določa, da morajo </w:t>
      </w:r>
      <w:r>
        <w:rPr>
          <w:bCs/>
          <w:color w:val="000000" w:themeColor="text1"/>
          <w:sz w:val="20"/>
          <w:szCs w:val="20"/>
          <w:lang w:val="sl-SI"/>
        </w:rPr>
        <w:t>posredniki in zadevni davčni zavezanci</w:t>
      </w:r>
      <w:r w:rsidR="005C00E2" w:rsidRPr="005C00E2">
        <w:rPr>
          <w:bCs/>
          <w:color w:val="000000" w:themeColor="text1"/>
          <w:sz w:val="20"/>
          <w:szCs w:val="20"/>
          <w:lang w:val="sl-SI"/>
        </w:rPr>
        <w:t xml:space="preserve"> poročati o čezmejnih aranžmajih, ki vključujejo uporabo enostranskih varnih pristanov, in sicer brez preskusa glavne koristi</w:t>
      </w:r>
      <w:r w:rsidR="005C00E2">
        <w:rPr>
          <w:bCs/>
          <w:color w:val="000000" w:themeColor="text1"/>
          <w:sz w:val="20"/>
          <w:szCs w:val="20"/>
          <w:lang w:val="sl-SI"/>
        </w:rPr>
        <w:t>.</w:t>
      </w:r>
    </w:p>
    <w:p w14:paraId="6A2C3EAB" w14:textId="77777777" w:rsidR="005C00E2" w:rsidRDefault="005C00E2" w:rsidP="00697F07">
      <w:pPr>
        <w:pStyle w:val="Default"/>
        <w:spacing w:line="260" w:lineRule="exact"/>
        <w:jc w:val="both"/>
        <w:rPr>
          <w:bCs/>
          <w:color w:val="000000" w:themeColor="text1"/>
          <w:sz w:val="20"/>
          <w:szCs w:val="20"/>
          <w:lang w:val="sl-SI"/>
        </w:rPr>
      </w:pPr>
    </w:p>
    <w:p w14:paraId="3E6D2832" w14:textId="77777777" w:rsidR="00B3452E" w:rsidRPr="00063634" w:rsidRDefault="00B3452E" w:rsidP="00697F07">
      <w:pPr>
        <w:pStyle w:val="Default"/>
        <w:spacing w:line="260" w:lineRule="exact"/>
        <w:jc w:val="both"/>
        <w:rPr>
          <w:bCs/>
          <w:color w:val="000000" w:themeColor="text1"/>
          <w:sz w:val="20"/>
          <w:szCs w:val="20"/>
          <w:lang w:val="sl-SI"/>
        </w:rPr>
      </w:pPr>
      <w:r w:rsidRPr="00063634">
        <w:rPr>
          <w:bCs/>
          <w:color w:val="000000" w:themeColor="text1"/>
          <w:sz w:val="20"/>
          <w:szCs w:val="20"/>
          <w:lang w:val="sl-SI"/>
        </w:rPr>
        <w:lastRenderedPageBreak/>
        <w:t xml:space="preserve">Smernice OECD v točki 4.94 določajo, da so varni prstani preprosta pravila, po katerih davčne uprave posameznih držav samodejno sprejemajo transferne cene. Uradno bi bila v zvezi z obdavčevanjem varni pristan zakonska določba, ki bi se uporabljala za določeno vrsto davčnih zavezancev in bi upravičene davčne zavezance odvezovala nekaterih obveznosti, ki jih sicer nalaga davčna zakonodaja; nadomeščene bi bile z izjemnimi, navadno enostavnejšimi obveznostmi. V posebnem primeru določanja transfernih cen bi bile upravne zahteve varnega pristana lahko različne: od popolne oprostitve ciljnih davčnih zavezancev vsake obveznosti, da ravnajo v skladu z zakonodajo in predpisi te države za določanje transfernih cen, do obveznosti, da ravnajo v skladu z različnimi postopkovnimi pravili, ki so pogoj za uvrstitev v varni pristan. Ta pravila bi na primer lahko zahtevala, da davčni zavezanci določajo transferne cene ali izide poslovanja na nek poseben način, na primer z uporabo poenostavljene metode za določanje transfernih cen, ki jo določi davčna uprava, ali da izpolnjujejo posebne določbe o poročanju in vodenju evidenc za povezane transakcije. </w:t>
      </w:r>
    </w:p>
    <w:p w14:paraId="7CABEC96" w14:textId="77777777" w:rsidR="00B3452E" w:rsidRDefault="00B3452E" w:rsidP="00697F07">
      <w:pPr>
        <w:pStyle w:val="Default"/>
        <w:spacing w:line="260" w:lineRule="exact"/>
        <w:jc w:val="both"/>
        <w:rPr>
          <w:b/>
          <w:bCs/>
          <w:color w:val="FF0000"/>
          <w:sz w:val="20"/>
          <w:szCs w:val="20"/>
          <w:lang w:val="sl-SI"/>
        </w:rPr>
      </w:pPr>
    </w:p>
    <w:p w14:paraId="6AA0424E" w14:textId="14026E29" w:rsidR="005D7E82" w:rsidRPr="003D5F27" w:rsidRDefault="005D7E82" w:rsidP="00697F07">
      <w:pPr>
        <w:pStyle w:val="Default"/>
        <w:spacing w:line="260" w:lineRule="exact"/>
        <w:jc w:val="both"/>
        <w:rPr>
          <w:bCs/>
          <w:color w:val="000000" w:themeColor="text1"/>
          <w:sz w:val="20"/>
          <w:szCs w:val="20"/>
          <w:lang w:val="sl-SI"/>
        </w:rPr>
      </w:pPr>
      <w:r>
        <w:rPr>
          <w:bCs/>
          <w:color w:val="000000" w:themeColor="text1"/>
          <w:sz w:val="20"/>
          <w:szCs w:val="20"/>
          <w:lang w:val="sl-SI"/>
        </w:rPr>
        <w:t xml:space="preserve">Čezmejni aranžmaji, pri katerih se </w:t>
      </w:r>
      <w:r w:rsidRPr="005D7E82">
        <w:rPr>
          <w:bCs/>
          <w:color w:val="000000" w:themeColor="text1"/>
          <w:sz w:val="20"/>
          <w:szCs w:val="20"/>
          <w:lang w:val="sl-SI"/>
        </w:rPr>
        <w:t>u</w:t>
      </w:r>
      <w:r w:rsidRPr="003D5F27">
        <w:rPr>
          <w:bCs/>
          <w:color w:val="000000" w:themeColor="text1"/>
          <w:sz w:val="20"/>
          <w:szCs w:val="20"/>
          <w:lang w:val="sl-SI"/>
        </w:rPr>
        <w:t>porab</w:t>
      </w:r>
      <w:r>
        <w:rPr>
          <w:bCs/>
          <w:color w:val="000000" w:themeColor="text1"/>
          <w:sz w:val="20"/>
          <w:szCs w:val="20"/>
          <w:lang w:val="sl-SI"/>
        </w:rPr>
        <w:t>i pravila o enostranskih varnih pristanih iz</w:t>
      </w:r>
      <w:r w:rsidRPr="003D5F27">
        <w:rPr>
          <w:bCs/>
          <w:color w:val="000000" w:themeColor="text1"/>
          <w:sz w:val="20"/>
          <w:szCs w:val="20"/>
          <w:lang w:val="sl-SI"/>
        </w:rPr>
        <w:t xml:space="preserve"> 19. člena ZDDPO-2 o priznani obrestn</w:t>
      </w:r>
      <w:r w:rsidRPr="005D7E82">
        <w:rPr>
          <w:bCs/>
          <w:color w:val="000000" w:themeColor="text1"/>
          <w:sz w:val="20"/>
          <w:szCs w:val="20"/>
          <w:lang w:val="sl-SI"/>
        </w:rPr>
        <w:t>i meri med povezanimi osebami ali iz</w:t>
      </w:r>
      <w:r w:rsidRPr="003D5F27">
        <w:rPr>
          <w:bCs/>
          <w:color w:val="000000" w:themeColor="text1"/>
          <w:sz w:val="20"/>
          <w:szCs w:val="20"/>
          <w:lang w:val="sl-SI"/>
        </w:rPr>
        <w:t xml:space="preserve"> 32. člena ZDDPO-2 o obrestih od presežka posojil (t.</w:t>
      </w:r>
      <w:r w:rsidR="008E6EDD">
        <w:rPr>
          <w:bCs/>
          <w:color w:val="000000" w:themeColor="text1"/>
          <w:sz w:val="20"/>
          <w:szCs w:val="20"/>
          <w:lang w:val="sl-SI"/>
        </w:rPr>
        <w:t xml:space="preserve"> </w:t>
      </w:r>
      <w:r w:rsidRPr="003D5F27">
        <w:rPr>
          <w:bCs/>
          <w:color w:val="000000" w:themeColor="text1"/>
          <w:sz w:val="20"/>
          <w:szCs w:val="20"/>
          <w:lang w:val="sl-SI"/>
        </w:rPr>
        <w:t>i. tanka kapitalizacija)</w:t>
      </w:r>
      <w:r w:rsidRPr="005D7E82">
        <w:rPr>
          <w:bCs/>
          <w:color w:val="000000" w:themeColor="text1"/>
          <w:sz w:val="20"/>
          <w:szCs w:val="20"/>
          <w:lang w:val="sl-SI"/>
        </w:rPr>
        <w:t xml:space="preserve">, </w:t>
      </w:r>
      <w:r w:rsidRPr="003D5F27">
        <w:rPr>
          <w:bCs/>
          <w:color w:val="000000" w:themeColor="text1"/>
          <w:sz w:val="20"/>
          <w:szCs w:val="20"/>
          <w:lang w:val="sl-SI"/>
        </w:rPr>
        <w:t xml:space="preserve">niso predmet poročanja po </w:t>
      </w:r>
      <w:r w:rsidR="00E03330">
        <w:rPr>
          <w:bCs/>
          <w:color w:val="000000" w:themeColor="text1"/>
          <w:sz w:val="20"/>
          <w:szCs w:val="20"/>
          <w:lang w:val="sl-SI"/>
        </w:rPr>
        <w:t>prepoznavni značilnosti E1</w:t>
      </w:r>
      <w:r w:rsidRPr="003D5F27">
        <w:rPr>
          <w:bCs/>
          <w:color w:val="000000" w:themeColor="text1"/>
          <w:sz w:val="20"/>
          <w:szCs w:val="20"/>
          <w:lang w:val="sl-SI"/>
        </w:rPr>
        <w:t>.</w:t>
      </w:r>
      <w:r w:rsidR="00E03330">
        <w:rPr>
          <w:bCs/>
          <w:color w:val="000000" w:themeColor="text1"/>
          <w:sz w:val="20"/>
          <w:szCs w:val="20"/>
          <w:lang w:val="sl-SI"/>
        </w:rPr>
        <w:t xml:space="preserve"> Obveznost poročanja po Direktivi pa obstaja glede čezmejnih aranžmajev</w:t>
      </w:r>
      <w:r w:rsidR="00A66722">
        <w:rPr>
          <w:bCs/>
          <w:color w:val="000000" w:themeColor="text1"/>
          <w:sz w:val="20"/>
          <w:szCs w:val="20"/>
          <w:lang w:val="sl-SI"/>
        </w:rPr>
        <w:t>, pri</w:t>
      </w:r>
      <w:r w:rsidR="009F174D">
        <w:rPr>
          <w:bCs/>
          <w:color w:val="000000" w:themeColor="text1"/>
          <w:sz w:val="20"/>
          <w:szCs w:val="20"/>
          <w:lang w:val="sl-SI"/>
        </w:rPr>
        <w:t xml:space="preserve"> katerih </w:t>
      </w:r>
      <w:r w:rsidR="008A002A">
        <w:rPr>
          <w:bCs/>
          <w:color w:val="000000" w:themeColor="text1"/>
          <w:sz w:val="20"/>
          <w:szCs w:val="20"/>
          <w:lang w:val="sl-SI"/>
        </w:rPr>
        <w:t>pride</w:t>
      </w:r>
      <w:r w:rsidR="009F174D">
        <w:rPr>
          <w:bCs/>
          <w:color w:val="000000" w:themeColor="text1"/>
          <w:sz w:val="20"/>
          <w:szCs w:val="20"/>
          <w:lang w:val="sl-SI"/>
        </w:rPr>
        <w:t xml:space="preserve"> do uporabe določb o enostranskih varnih pristanih z namenom izogibanja plačevanju davkov</w:t>
      </w:r>
      <w:r w:rsidR="00EF402C">
        <w:rPr>
          <w:bCs/>
          <w:color w:val="000000" w:themeColor="text1"/>
          <w:sz w:val="20"/>
          <w:szCs w:val="20"/>
          <w:lang w:val="sl-SI"/>
        </w:rPr>
        <w:t>.</w:t>
      </w:r>
    </w:p>
    <w:p w14:paraId="211CA871" w14:textId="77777777" w:rsidR="005D7E82" w:rsidRPr="00063634" w:rsidRDefault="005D7E82" w:rsidP="00697F07">
      <w:pPr>
        <w:pStyle w:val="Default"/>
        <w:spacing w:line="260" w:lineRule="exact"/>
        <w:jc w:val="both"/>
        <w:rPr>
          <w:b/>
          <w:bCs/>
          <w:color w:val="FF0000"/>
          <w:sz w:val="20"/>
          <w:szCs w:val="20"/>
          <w:lang w:val="sl-SI"/>
        </w:rPr>
      </w:pPr>
    </w:p>
    <w:p w14:paraId="6376C56D" w14:textId="77777777" w:rsidR="00B3452E" w:rsidRPr="00063634" w:rsidRDefault="00B3452E" w:rsidP="00697F07">
      <w:pPr>
        <w:pStyle w:val="Default"/>
        <w:spacing w:line="260" w:lineRule="exact"/>
        <w:jc w:val="both"/>
        <w:rPr>
          <w:lang w:val="sl-SI"/>
        </w:rPr>
      </w:pPr>
      <w:r w:rsidRPr="00063634">
        <w:rPr>
          <w:sz w:val="20"/>
          <w:szCs w:val="20"/>
          <w:lang w:val="sl-SI"/>
        </w:rPr>
        <w:t>Poenostavljen pristop v zvezi z določanje</w:t>
      </w:r>
      <w:r w:rsidR="00DB070D">
        <w:rPr>
          <w:sz w:val="20"/>
          <w:szCs w:val="20"/>
          <w:lang w:val="sl-SI"/>
        </w:rPr>
        <w:t>m</w:t>
      </w:r>
      <w:r w:rsidRPr="00063634">
        <w:rPr>
          <w:sz w:val="20"/>
          <w:szCs w:val="20"/>
          <w:lang w:val="sl-SI"/>
        </w:rPr>
        <w:t xml:space="preserve"> transferne cene opravljeni</w:t>
      </w:r>
      <w:r w:rsidR="00DB070D">
        <w:rPr>
          <w:sz w:val="20"/>
          <w:szCs w:val="20"/>
          <w:lang w:val="sl-SI"/>
        </w:rPr>
        <w:t>h</w:t>
      </w:r>
      <w:r w:rsidRPr="00063634">
        <w:rPr>
          <w:sz w:val="20"/>
          <w:szCs w:val="20"/>
          <w:lang w:val="sl-SI"/>
        </w:rPr>
        <w:t xml:space="preserve"> storit</w:t>
      </w:r>
      <w:r w:rsidR="00DB070D">
        <w:rPr>
          <w:sz w:val="20"/>
          <w:szCs w:val="20"/>
          <w:lang w:val="sl-SI"/>
        </w:rPr>
        <w:t>ev</w:t>
      </w:r>
      <w:r w:rsidRPr="00063634">
        <w:rPr>
          <w:sz w:val="20"/>
          <w:szCs w:val="20"/>
          <w:lang w:val="sl-SI"/>
        </w:rPr>
        <w:t xml:space="preserve"> med povezanimi osebami z nizko dodano vrednostjo se šteje za </w:t>
      </w:r>
      <w:r w:rsidR="00360233">
        <w:rPr>
          <w:sz w:val="20"/>
          <w:szCs w:val="20"/>
          <w:lang w:val="sl-SI"/>
        </w:rPr>
        <w:t xml:space="preserve">večstranski </w:t>
      </w:r>
      <w:r w:rsidRPr="00063634">
        <w:rPr>
          <w:sz w:val="20"/>
          <w:szCs w:val="20"/>
          <w:lang w:val="sl-SI"/>
        </w:rPr>
        <w:t>varni pristan</w:t>
      </w:r>
      <w:r w:rsidR="00274544">
        <w:rPr>
          <w:sz w:val="20"/>
          <w:szCs w:val="20"/>
          <w:lang w:val="sl-SI"/>
        </w:rPr>
        <w:t xml:space="preserve">, zato uporaba tega pristopa ni predmet poročanja po </w:t>
      </w:r>
      <w:r w:rsidR="00E03330">
        <w:rPr>
          <w:sz w:val="20"/>
          <w:szCs w:val="20"/>
          <w:lang w:val="sl-SI"/>
        </w:rPr>
        <w:t>D</w:t>
      </w:r>
      <w:r w:rsidR="00274544">
        <w:rPr>
          <w:sz w:val="20"/>
          <w:szCs w:val="20"/>
          <w:lang w:val="sl-SI"/>
        </w:rPr>
        <w:t>irektivi</w:t>
      </w:r>
      <w:r w:rsidRPr="00063634">
        <w:rPr>
          <w:sz w:val="20"/>
          <w:szCs w:val="20"/>
          <w:lang w:val="sl-SI"/>
        </w:rPr>
        <w:t>. Možnost tega pristopa še ni bila uzakonjena v Republiki Sloveniji.</w:t>
      </w:r>
      <w:r w:rsidRPr="00063634">
        <w:rPr>
          <w:lang w:val="sl-SI"/>
        </w:rPr>
        <w:t xml:space="preserve"> </w:t>
      </w:r>
    </w:p>
    <w:p w14:paraId="5E80C049" w14:textId="77777777" w:rsidR="00B3452E" w:rsidRPr="00063634" w:rsidRDefault="00B3452E" w:rsidP="00697F07">
      <w:pPr>
        <w:pStyle w:val="Default"/>
        <w:spacing w:line="260" w:lineRule="exact"/>
        <w:jc w:val="both"/>
        <w:rPr>
          <w:sz w:val="20"/>
          <w:lang w:val="sl-SI"/>
        </w:rPr>
      </w:pPr>
    </w:p>
    <w:p w14:paraId="0C5D9A9F" w14:textId="77777777" w:rsidR="00B3452E" w:rsidRPr="00063634" w:rsidRDefault="00B3452E" w:rsidP="00697F07">
      <w:pPr>
        <w:pStyle w:val="Default"/>
        <w:spacing w:line="260" w:lineRule="exact"/>
        <w:jc w:val="both"/>
        <w:rPr>
          <w:sz w:val="20"/>
          <w:szCs w:val="20"/>
          <w:lang w:val="sl-SI"/>
        </w:rPr>
      </w:pPr>
      <w:r w:rsidRPr="00063634">
        <w:rPr>
          <w:sz w:val="20"/>
          <w:szCs w:val="20"/>
          <w:lang w:val="sl-SI"/>
        </w:rPr>
        <w:t>Izpodbojne domneve, na podlagi katerih je transferna cena določena vnaprej s strani držav in se nanaša na vse davčne zavezance v določenih situacijah, sicer nimajo značilnosti varnih pristanov, da se davčni zavezan</w:t>
      </w:r>
      <w:r w:rsidR="00DB070D">
        <w:rPr>
          <w:sz w:val="20"/>
          <w:szCs w:val="20"/>
          <w:lang w:val="sl-SI"/>
        </w:rPr>
        <w:t>ci</w:t>
      </w:r>
      <w:r w:rsidRPr="00063634">
        <w:rPr>
          <w:sz w:val="20"/>
          <w:szCs w:val="20"/>
          <w:lang w:val="sl-SI"/>
        </w:rPr>
        <w:t xml:space="preserve"> sami odloči</w:t>
      </w:r>
      <w:r w:rsidR="00DB070D">
        <w:rPr>
          <w:sz w:val="20"/>
          <w:szCs w:val="20"/>
          <w:lang w:val="sl-SI"/>
        </w:rPr>
        <w:t>jo</w:t>
      </w:r>
      <w:r w:rsidRPr="00063634">
        <w:rPr>
          <w:sz w:val="20"/>
          <w:szCs w:val="20"/>
          <w:lang w:val="sl-SI"/>
        </w:rPr>
        <w:t xml:space="preserve"> za uporabo, vendar so po lastnostih dovolj blizu, da jih lahko obravnavamo kot varne pristane.</w:t>
      </w:r>
    </w:p>
    <w:p w14:paraId="7E018107" w14:textId="77777777" w:rsidR="00B3452E" w:rsidRPr="00063634" w:rsidRDefault="00B3452E" w:rsidP="00697F07">
      <w:pPr>
        <w:pStyle w:val="Default"/>
        <w:spacing w:line="260" w:lineRule="exact"/>
        <w:jc w:val="both"/>
        <w:rPr>
          <w:sz w:val="20"/>
          <w:szCs w:val="20"/>
          <w:lang w:val="sl-SI"/>
        </w:rPr>
      </w:pPr>
    </w:p>
    <w:p w14:paraId="1ABFDD62" w14:textId="77777777" w:rsidR="000B1043" w:rsidRPr="00582270" w:rsidRDefault="00B3452E" w:rsidP="00697F07">
      <w:pPr>
        <w:pStyle w:val="Default"/>
        <w:spacing w:line="260" w:lineRule="exact"/>
        <w:jc w:val="both"/>
        <w:rPr>
          <w:lang w:val="sl-SI"/>
        </w:rPr>
      </w:pPr>
      <w:r w:rsidRPr="00063634">
        <w:rPr>
          <w:bCs/>
          <w:color w:val="000000" w:themeColor="text1"/>
          <w:sz w:val="20"/>
          <w:szCs w:val="20"/>
          <w:lang w:val="sl-SI"/>
        </w:rPr>
        <w:t xml:space="preserve">V primerih čezmejnih aranžmajev, ki padejo pod značilnosti varnih pristanov, so banke zavezane poročati o aranžmaju, kadar imajo v aranžmaju same vlogo davčnega zavezanca, ali pa kadar zapadejo pod določbe </w:t>
      </w:r>
      <w:r w:rsidR="00577F4D">
        <w:rPr>
          <w:bCs/>
          <w:color w:val="000000" w:themeColor="text1"/>
          <w:sz w:val="20"/>
          <w:szCs w:val="20"/>
          <w:lang w:val="sl-SI"/>
        </w:rPr>
        <w:t>255.o</w:t>
      </w:r>
      <w:r w:rsidRPr="00063634">
        <w:rPr>
          <w:bCs/>
          <w:color w:val="000000" w:themeColor="text1"/>
          <w:sz w:val="20"/>
          <w:szCs w:val="20"/>
          <w:lang w:val="sl-SI"/>
        </w:rPr>
        <w:t xml:space="preserve"> člena ZDavP-2 o posrednikih, ki morajo poročati.</w:t>
      </w:r>
    </w:p>
    <w:p w14:paraId="4D9CCB8C" w14:textId="77777777" w:rsidR="00890FE1" w:rsidRPr="003D5F27" w:rsidRDefault="00890FE1" w:rsidP="00697F07">
      <w:pPr>
        <w:pStyle w:val="Brezrazmikov"/>
        <w:spacing w:line="260" w:lineRule="exact"/>
        <w:rPr>
          <w:sz w:val="20"/>
        </w:rPr>
      </w:pPr>
    </w:p>
    <w:p w14:paraId="133996A0" w14:textId="77777777" w:rsidR="00077DD6" w:rsidRDefault="00077DD6" w:rsidP="00697F07">
      <w:pPr>
        <w:spacing w:line="260" w:lineRule="exact"/>
      </w:pPr>
      <w:bookmarkStart w:id="63" w:name="_Toc75160046"/>
      <w:r w:rsidRPr="00077DD6">
        <w:rPr>
          <w:rStyle w:val="Naslov3Znak"/>
        </w:rPr>
        <w:t>Primeri: E1</w:t>
      </w:r>
      <w:bookmarkEnd w:id="63"/>
      <w:r>
        <w:t xml:space="preserve"> </w:t>
      </w:r>
      <w:r w:rsidRPr="00077DD6">
        <w:rPr>
          <w:b/>
        </w:rPr>
        <w:t>– uporaba enostranskih pravil izjeme varnega pristana</w:t>
      </w:r>
    </w:p>
    <w:p w14:paraId="235426A8" w14:textId="77777777" w:rsidR="00077DD6" w:rsidRDefault="00077DD6" w:rsidP="00697F07">
      <w:pPr>
        <w:spacing w:line="260" w:lineRule="exact"/>
      </w:pPr>
    </w:p>
    <w:p w14:paraId="6E5BCD26" w14:textId="77777777" w:rsidR="00E702B7" w:rsidRPr="00E702B7" w:rsidRDefault="000B1043" w:rsidP="00E702B7">
      <w:pPr>
        <w:pStyle w:val="Odstavekseznama"/>
        <w:numPr>
          <w:ilvl w:val="0"/>
          <w:numId w:val="58"/>
        </w:numPr>
        <w:spacing w:line="260" w:lineRule="exact"/>
        <w:jc w:val="both"/>
        <w:rPr>
          <w:i/>
        </w:rPr>
      </w:pPr>
      <w:r w:rsidRPr="00E702B7">
        <w:rPr>
          <w:i/>
        </w:rPr>
        <w:t>Kot svetovalec zavezanec za stranko pripravlja ali pregleduje davčni obračun. V okviru projekta dobi jasno informacijo, da se za priznavanje obresti upošteva POM, vendar v zvezi s tem ni stranki ničesar svetova</w:t>
      </w:r>
      <w:r w:rsidR="007007B0" w:rsidRPr="00E702B7">
        <w:rPr>
          <w:i/>
        </w:rPr>
        <w:t>l, ali dajal mnenj, analiz itd.</w:t>
      </w:r>
      <w:r w:rsidRPr="00E702B7">
        <w:rPr>
          <w:i/>
        </w:rPr>
        <w:t xml:space="preserve"> </w:t>
      </w:r>
    </w:p>
    <w:p w14:paraId="52DA2E01" w14:textId="77777777" w:rsidR="00E702B7" w:rsidRDefault="00E702B7" w:rsidP="00E702B7">
      <w:pPr>
        <w:spacing w:line="260" w:lineRule="exact"/>
        <w:jc w:val="both"/>
        <w:rPr>
          <w:i/>
        </w:rPr>
      </w:pPr>
    </w:p>
    <w:p w14:paraId="1723B84E" w14:textId="77777777" w:rsidR="00E702B7" w:rsidRPr="00697128" w:rsidRDefault="000B1043" w:rsidP="00E702B7">
      <w:pPr>
        <w:pStyle w:val="Odstavekseznama"/>
        <w:spacing w:line="260" w:lineRule="exact"/>
        <w:jc w:val="both"/>
        <w:rPr>
          <w:i/>
        </w:rPr>
      </w:pPr>
      <w:r w:rsidRPr="006A6FAF">
        <w:rPr>
          <w:i/>
        </w:rPr>
        <w:t xml:space="preserve">V sklopu skrbnega pregleda zavezanec pri tarči zazna uporabo POM oziroma pravil tanke kapitalizacije. </w:t>
      </w:r>
      <w:r w:rsidRPr="00697128">
        <w:rPr>
          <w:i/>
        </w:rPr>
        <w:t xml:space="preserve">Ne svetuje stranki ali tarči, temveč samo povzame ugotovitve in morebitna tveganja. </w:t>
      </w:r>
    </w:p>
    <w:p w14:paraId="506236F1" w14:textId="77777777" w:rsidR="00E702B7" w:rsidRPr="00697128" w:rsidRDefault="00E702B7" w:rsidP="00E702B7">
      <w:pPr>
        <w:spacing w:line="260" w:lineRule="exact"/>
        <w:jc w:val="both"/>
        <w:rPr>
          <w:i/>
        </w:rPr>
      </w:pPr>
    </w:p>
    <w:p w14:paraId="62E294A4" w14:textId="77777777" w:rsidR="00E702B7" w:rsidRPr="00697128" w:rsidRDefault="000B1043" w:rsidP="00E702B7">
      <w:pPr>
        <w:pStyle w:val="Odstavekseznama"/>
        <w:spacing w:line="260" w:lineRule="exact"/>
        <w:jc w:val="both"/>
        <w:rPr>
          <w:i/>
        </w:rPr>
      </w:pPr>
      <w:r w:rsidRPr="00697128">
        <w:rPr>
          <w:i/>
        </w:rPr>
        <w:t>Zavezanec v sklopu revizije pregleda davčni obračun in posamezne transakcije in ne svetuje strankam.</w:t>
      </w:r>
    </w:p>
    <w:p w14:paraId="296D304C" w14:textId="77777777" w:rsidR="00E702B7" w:rsidRPr="00697128" w:rsidRDefault="00E702B7" w:rsidP="00E702B7">
      <w:pPr>
        <w:pStyle w:val="Odstavekseznama"/>
        <w:spacing w:line="260" w:lineRule="exact"/>
        <w:jc w:val="both"/>
        <w:rPr>
          <w:i/>
        </w:rPr>
      </w:pPr>
    </w:p>
    <w:p w14:paraId="5CE2897B" w14:textId="77777777" w:rsidR="000B1043" w:rsidRPr="00697128" w:rsidRDefault="000B1043" w:rsidP="00E702B7">
      <w:pPr>
        <w:pStyle w:val="Odstavekseznama"/>
        <w:spacing w:line="260" w:lineRule="exact"/>
        <w:jc w:val="both"/>
        <w:rPr>
          <w:i/>
        </w:rPr>
      </w:pPr>
      <w:r w:rsidRPr="00697128">
        <w:rPr>
          <w:i/>
        </w:rPr>
        <w:t>Ali v teh primerih zavezanec zapade pod poročanje po Direktivi?</w:t>
      </w:r>
    </w:p>
    <w:p w14:paraId="79C12486" w14:textId="77777777" w:rsidR="000B1043" w:rsidRPr="00697128" w:rsidRDefault="000B1043" w:rsidP="00E702B7">
      <w:pPr>
        <w:pStyle w:val="Default"/>
        <w:spacing w:line="260" w:lineRule="exact"/>
        <w:jc w:val="both"/>
        <w:rPr>
          <w:rFonts w:eastAsia="Times New Roman" w:cs="Times New Roman"/>
          <w:b/>
          <w:color w:val="auto"/>
          <w:sz w:val="20"/>
          <w:lang w:val="sl-SI"/>
        </w:rPr>
      </w:pPr>
    </w:p>
    <w:p w14:paraId="01A317A7" w14:textId="77777777" w:rsidR="000B1043" w:rsidRPr="00697128" w:rsidRDefault="00BD50DB" w:rsidP="00E702B7">
      <w:pPr>
        <w:pStyle w:val="Default"/>
        <w:spacing w:line="260" w:lineRule="exact"/>
        <w:ind w:left="720"/>
        <w:jc w:val="both"/>
        <w:rPr>
          <w:rFonts w:eastAsia="Times New Roman" w:cs="Times New Roman"/>
          <w:b/>
          <w:color w:val="auto"/>
          <w:sz w:val="20"/>
          <w:lang w:val="sl-SI"/>
        </w:rPr>
      </w:pPr>
      <w:r w:rsidRPr="00697128">
        <w:rPr>
          <w:rFonts w:eastAsia="Times New Roman" w:cs="Times New Roman"/>
          <w:color w:val="auto"/>
          <w:sz w:val="20"/>
          <w:lang w:val="sl-SI"/>
        </w:rPr>
        <w:t>V</w:t>
      </w:r>
      <w:r w:rsidR="000B1043" w:rsidRPr="00697128">
        <w:rPr>
          <w:rFonts w:eastAsia="Times New Roman" w:cs="Times New Roman"/>
          <w:color w:val="auto"/>
          <w:sz w:val="20"/>
          <w:lang w:val="sl-SI"/>
        </w:rPr>
        <w:t xml:space="preserve"> </w:t>
      </w:r>
      <w:r w:rsidR="008955D7" w:rsidRPr="00697128">
        <w:rPr>
          <w:rFonts w:eastAsia="Times New Roman" w:cs="Times New Roman"/>
          <w:color w:val="auto"/>
          <w:sz w:val="20"/>
          <w:lang w:val="sl-SI"/>
        </w:rPr>
        <w:t xml:space="preserve">teh </w:t>
      </w:r>
      <w:r w:rsidR="000B1043" w:rsidRPr="00697128">
        <w:rPr>
          <w:rFonts w:eastAsia="Times New Roman" w:cs="Times New Roman"/>
          <w:color w:val="auto"/>
          <w:sz w:val="20"/>
          <w:lang w:val="sl-SI"/>
        </w:rPr>
        <w:t xml:space="preserve">primerih, ko </w:t>
      </w:r>
      <w:r w:rsidR="008955D7" w:rsidRPr="00697128">
        <w:rPr>
          <w:rFonts w:eastAsia="Times New Roman" w:cs="Times New Roman"/>
          <w:color w:val="auto"/>
          <w:sz w:val="20"/>
          <w:lang w:val="sl-SI"/>
        </w:rPr>
        <w:t>zavezanec</w:t>
      </w:r>
      <w:r w:rsidR="000B1043" w:rsidRPr="00697128">
        <w:rPr>
          <w:rFonts w:eastAsia="Times New Roman" w:cs="Times New Roman"/>
          <w:color w:val="auto"/>
          <w:sz w:val="20"/>
          <w:lang w:val="sl-SI"/>
        </w:rPr>
        <w:t xml:space="preserve"> naknadno ugotovi obstoj čezmejnega aranžmaja, o katerem se poroča, obveznost poročanja ne nastopi</w:t>
      </w:r>
      <w:r w:rsidR="00447C1F" w:rsidRPr="00697128">
        <w:rPr>
          <w:rFonts w:eastAsia="Times New Roman" w:cs="Times New Roman"/>
          <w:color w:val="auto"/>
          <w:sz w:val="20"/>
          <w:lang w:val="sl-SI"/>
        </w:rPr>
        <w:t>. V</w:t>
      </w:r>
      <w:r w:rsidR="000B1043" w:rsidRPr="00697128">
        <w:rPr>
          <w:rFonts w:eastAsia="Times New Roman" w:cs="Times New Roman"/>
          <w:color w:val="auto"/>
          <w:sz w:val="20"/>
          <w:lang w:val="sl-SI"/>
        </w:rPr>
        <w:t xml:space="preserve"> kolikor</w:t>
      </w:r>
      <w:r w:rsidRPr="00697128">
        <w:rPr>
          <w:rFonts w:eastAsia="Times New Roman" w:cs="Times New Roman"/>
          <w:color w:val="auto"/>
          <w:sz w:val="20"/>
          <w:lang w:val="sl-SI"/>
        </w:rPr>
        <w:t xml:space="preserve"> zavezanec kot posrednik</w:t>
      </w:r>
      <w:r w:rsidR="000B1043" w:rsidRPr="00697128">
        <w:rPr>
          <w:rFonts w:eastAsia="Times New Roman" w:cs="Times New Roman"/>
          <w:color w:val="auto"/>
          <w:sz w:val="20"/>
          <w:lang w:val="sl-SI"/>
        </w:rPr>
        <w:t xml:space="preserve"> ni nudil pomoči pri oblikovanju in trženju aranžmaja, temveč je zgolj naknadno zaznal to transakcijo</w:t>
      </w:r>
      <w:r w:rsidRPr="00697128">
        <w:rPr>
          <w:rFonts w:eastAsia="Times New Roman" w:cs="Times New Roman"/>
          <w:color w:val="auto"/>
          <w:sz w:val="20"/>
          <w:lang w:val="sl-SI"/>
        </w:rPr>
        <w:t>, ni zavezan k poročanju</w:t>
      </w:r>
      <w:r w:rsidR="000B1043" w:rsidRPr="00697128">
        <w:rPr>
          <w:rFonts w:eastAsia="Times New Roman" w:cs="Times New Roman"/>
          <w:color w:val="auto"/>
          <w:sz w:val="20"/>
          <w:lang w:val="sl-SI"/>
        </w:rPr>
        <w:t>.</w:t>
      </w:r>
    </w:p>
    <w:p w14:paraId="68CF1597" w14:textId="77777777" w:rsidR="00441B30" w:rsidRPr="00697128" w:rsidRDefault="00441B30" w:rsidP="00E702B7">
      <w:pPr>
        <w:pStyle w:val="Default"/>
        <w:spacing w:line="260" w:lineRule="exact"/>
        <w:ind w:left="709" w:hanging="283"/>
        <w:jc w:val="both"/>
        <w:rPr>
          <w:rFonts w:eastAsia="Times New Roman" w:cs="Times New Roman"/>
          <w:color w:val="auto"/>
          <w:sz w:val="20"/>
          <w:lang w:val="sl-SI"/>
        </w:rPr>
      </w:pPr>
    </w:p>
    <w:p w14:paraId="6B7C3D56" w14:textId="77777777" w:rsidR="000B1043" w:rsidRPr="00697128" w:rsidRDefault="000B1043" w:rsidP="00E702B7">
      <w:pPr>
        <w:pStyle w:val="Default"/>
        <w:numPr>
          <w:ilvl w:val="0"/>
          <w:numId w:val="58"/>
        </w:numPr>
        <w:spacing w:line="260" w:lineRule="exact"/>
        <w:jc w:val="both"/>
        <w:rPr>
          <w:i/>
          <w:sz w:val="20"/>
          <w:szCs w:val="20"/>
          <w:lang w:val="sl-SI"/>
        </w:rPr>
      </w:pPr>
      <w:r w:rsidRPr="00697128">
        <w:rPr>
          <w:i/>
          <w:sz w:val="20"/>
          <w:szCs w:val="20"/>
          <w:lang w:val="sl-SI"/>
        </w:rPr>
        <w:lastRenderedPageBreak/>
        <w:t xml:space="preserve">V okviru projekta </w:t>
      </w:r>
      <w:r w:rsidR="002D4764" w:rsidRPr="00697128">
        <w:rPr>
          <w:i/>
          <w:sz w:val="20"/>
          <w:szCs w:val="20"/>
          <w:lang w:val="sl-SI"/>
        </w:rPr>
        <w:t>davčni svetovalec</w:t>
      </w:r>
      <w:r w:rsidRPr="00697128">
        <w:rPr>
          <w:i/>
          <w:sz w:val="20"/>
          <w:szCs w:val="20"/>
          <w:lang w:val="sl-SI"/>
        </w:rPr>
        <w:t xml:space="preserve"> posreduje stranki splošni opis davčne zakonodaje glede priznavanja obresti. Pri tem ne gre za svetovanje stranki, kaj in kako naj postavi finančno strukturo. Stranka na podlagi povzetka sama sprejme odločitev in sistem financiranja, o katerem kot svetoval</w:t>
      </w:r>
      <w:r w:rsidR="002D4764" w:rsidRPr="00697128">
        <w:rPr>
          <w:i/>
          <w:sz w:val="20"/>
          <w:szCs w:val="20"/>
          <w:lang w:val="sl-SI"/>
        </w:rPr>
        <w:t>e</w:t>
      </w:r>
      <w:r w:rsidRPr="00697128">
        <w:rPr>
          <w:i/>
          <w:sz w:val="20"/>
          <w:szCs w:val="20"/>
          <w:lang w:val="sl-SI"/>
        </w:rPr>
        <w:t>c kasneje nič</w:t>
      </w:r>
      <w:r w:rsidR="002D4764" w:rsidRPr="00697128">
        <w:rPr>
          <w:i/>
          <w:sz w:val="20"/>
          <w:szCs w:val="20"/>
          <w:lang w:val="sl-SI"/>
        </w:rPr>
        <w:t>esar ne izve</w:t>
      </w:r>
      <w:r w:rsidRPr="00697128">
        <w:rPr>
          <w:i/>
          <w:sz w:val="20"/>
          <w:szCs w:val="20"/>
          <w:lang w:val="sl-SI"/>
        </w:rPr>
        <w:t xml:space="preserve">. Ali v tem primeru </w:t>
      </w:r>
      <w:r w:rsidR="002D4764" w:rsidRPr="00697128">
        <w:rPr>
          <w:i/>
          <w:sz w:val="20"/>
          <w:szCs w:val="20"/>
          <w:lang w:val="sl-SI"/>
        </w:rPr>
        <w:t>davč</w:t>
      </w:r>
      <w:r w:rsidR="00E03330" w:rsidRPr="00697128">
        <w:rPr>
          <w:i/>
          <w:sz w:val="20"/>
          <w:szCs w:val="20"/>
          <w:lang w:val="sl-SI"/>
        </w:rPr>
        <w:t>n</w:t>
      </w:r>
      <w:r w:rsidR="002D4764" w:rsidRPr="00697128">
        <w:rPr>
          <w:i/>
          <w:sz w:val="20"/>
          <w:szCs w:val="20"/>
          <w:lang w:val="sl-SI"/>
        </w:rPr>
        <w:t>i svetovalec</w:t>
      </w:r>
      <w:r w:rsidRPr="00697128">
        <w:rPr>
          <w:i/>
          <w:sz w:val="20"/>
          <w:szCs w:val="20"/>
          <w:lang w:val="sl-SI"/>
        </w:rPr>
        <w:t xml:space="preserve"> zapade pod poročanje po Direktivi?</w:t>
      </w:r>
    </w:p>
    <w:p w14:paraId="1849FEBC" w14:textId="77777777" w:rsidR="000B1043" w:rsidRPr="00697128" w:rsidRDefault="000B1043" w:rsidP="00E702B7">
      <w:pPr>
        <w:pStyle w:val="Default"/>
        <w:spacing w:line="260" w:lineRule="exact"/>
        <w:ind w:left="709" w:hanging="283"/>
        <w:jc w:val="both"/>
        <w:rPr>
          <w:sz w:val="20"/>
          <w:szCs w:val="20"/>
          <w:lang w:val="sl-SI"/>
        </w:rPr>
      </w:pPr>
    </w:p>
    <w:p w14:paraId="69BE3AC0" w14:textId="77777777" w:rsidR="00653311" w:rsidRPr="00697128" w:rsidRDefault="00653311" w:rsidP="00E702B7">
      <w:pPr>
        <w:pStyle w:val="Default"/>
        <w:spacing w:line="260" w:lineRule="exact"/>
        <w:ind w:left="720"/>
        <w:jc w:val="both"/>
        <w:rPr>
          <w:color w:val="auto"/>
          <w:sz w:val="20"/>
          <w:szCs w:val="20"/>
          <w:lang w:val="sl-SI"/>
        </w:rPr>
      </w:pPr>
      <w:r w:rsidRPr="00697128">
        <w:rPr>
          <w:color w:val="auto"/>
          <w:sz w:val="20"/>
          <w:szCs w:val="20"/>
          <w:lang w:val="sl-SI"/>
        </w:rPr>
        <w:t>Pri zavezancu, ki posreduje stranki splošen opis davčne zakonodaje, je potrebno prvo presoditi, ali gre pri splošnem opisu davčne zakonodaje za čezmejni aranžma, ki izpolnjuje pogoje za poročanje.</w:t>
      </w:r>
    </w:p>
    <w:p w14:paraId="41E0CA64" w14:textId="77777777" w:rsidR="00653311" w:rsidRPr="00697128" w:rsidRDefault="00653311" w:rsidP="00E702B7">
      <w:pPr>
        <w:pStyle w:val="Default"/>
        <w:spacing w:line="260" w:lineRule="exact"/>
        <w:ind w:left="709" w:hanging="283"/>
        <w:jc w:val="both"/>
        <w:rPr>
          <w:color w:val="auto"/>
          <w:sz w:val="20"/>
          <w:szCs w:val="20"/>
          <w:lang w:val="sl-SI"/>
        </w:rPr>
      </w:pPr>
    </w:p>
    <w:p w14:paraId="67C134B8" w14:textId="77777777" w:rsidR="00653311" w:rsidRPr="00697128" w:rsidRDefault="00653311" w:rsidP="00E702B7">
      <w:pPr>
        <w:pStyle w:val="Default"/>
        <w:spacing w:line="260" w:lineRule="exact"/>
        <w:ind w:left="709"/>
        <w:jc w:val="both"/>
        <w:rPr>
          <w:color w:val="auto"/>
          <w:sz w:val="20"/>
          <w:szCs w:val="20"/>
          <w:lang w:val="sl-SI"/>
        </w:rPr>
      </w:pPr>
      <w:r w:rsidRPr="00697128">
        <w:rPr>
          <w:color w:val="auto"/>
          <w:sz w:val="20"/>
          <w:szCs w:val="20"/>
          <w:lang w:val="sl-SI"/>
        </w:rPr>
        <w:t>V prvem koraku mora zavezanec – torej posrednik, ki pripravlja splošni opis davčne zakonodaje, z vso dolžno skrbnostjo presoditi, ali ta opis zajema pripravo aranžmaja, ali samo en del in nato v nas</w:t>
      </w:r>
      <w:r w:rsidR="0095272B" w:rsidRPr="00697128">
        <w:rPr>
          <w:color w:val="auto"/>
          <w:sz w:val="20"/>
          <w:szCs w:val="20"/>
          <w:lang w:val="sl-SI"/>
        </w:rPr>
        <w:t>l</w:t>
      </w:r>
      <w:r w:rsidRPr="00697128">
        <w:rPr>
          <w:color w:val="auto"/>
          <w:sz w:val="20"/>
          <w:szCs w:val="20"/>
          <w:lang w:val="sl-SI"/>
        </w:rPr>
        <w:t>ednjem koraku presoditi, ali je izpolnjena katera izmed prepoznavnih značilnosti. Kot je bilo v tem dokumentu poudarjeno že na več mestih, je potrebno pri tem izvesti vse postopke in p</w:t>
      </w:r>
      <w:r w:rsidR="007007B0" w:rsidRPr="00697128">
        <w:rPr>
          <w:color w:val="auto"/>
          <w:sz w:val="20"/>
          <w:szCs w:val="20"/>
          <w:lang w:val="sl-SI"/>
        </w:rPr>
        <w:t xml:space="preserve">ridobiti vse informacije, ki </w:t>
      </w:r>
      <w:r w:rsidRPr="00697128">
        <w:rPr>
          <w:color w:val="auto"/>
          <w:sz w:val="20"/>
          <w:szCs w:val="20"/>
          <w:lang w:val="sl-SI"/>
        </w:rPr>
        <w:t xml:space="preserve">tudi sicer veljajo za tovrstne storitve. </w:t>
      </w:r>
    </w:p>
    <w:p w14:paraId="7A10613D" w14:textId="77777777" w:rsidR="00653311" w:rsidRPr="00697128" w:rsidRDefault="00653311" w:rsidP="00E702B7">
      <w:pPr>
        <w:pStyle w:val="Default"/>
        <w:spacing w:line="260" w:lineRule="exact"/>
        <w:ind w:left="709" w:hanging="283"/>
        <w:jc w:val="both"/>
        <w:rPr>
          <w:color w:val="auto"/>
          <w:sz w:val="20"/>
          <w:szCs w:val="20"/>
          <w:lang w:val="sl-SI"/>
        </w:rPr>
      </w:pPr>
    </w:p>
    <w:p w14:paraId="616F5EAA" w14:textId="77777777" w:rsidR="00653311" w:rsidRPr="00697128" w:rsidRDefault="00653311" w:rsidP="00E702B7">
      <w:pPr>
        <w:pStyle w:val="Default"/>
        <w:spacing w:line="260" w:lineRule="exact"/>
        <w:ind w:left="709"/>
        <w:jc w:val="both"/>
        <w:rPr>
          <w:color w:val="auto"/>
          <w:sz w:val="20"/>
          <w:szCs w:val="20"/>
          <w:lang w:val="sl-SI"/>
        </w:rPr>
      </w:pPr>
      <w:r w:rsidRPr="00697128">
        <w:rPr>
          <w:color w:val="auto"/>
          <w:sz w:val="20"/>
          <w:szCs w:val="20"/>
          <w:lang w:val="sl-SI"/>
        </w:rPr>
        <w:t xml:space="preserve">Gre za presojo, ki jo v prvi vrsti opravi posrednik – potencialni poročevalec (kot promotor ali kot service provider) in ki je vedno odvisna od celotnega spleta okoliščin posameznega primera. Zato ni mogoče vnaprej razmejiti ali podrobneje določiti, v katerih primerih bo pri posredniku nastala obveznost poročanja, ker bo odločitev vedno odvisna od konkretne zadeve. </w:t>
      </w:r>
    </w:p>
    <w:p w14:paraId="088F8331" w14:textId="77777777" w:rsidR="00653311" w:rsidRPr="00697128" w:rsidRDefault="00653311" w:rsidP="00E702B7">
      <w:pPr>
        <w:pStyle w:val="Default"/>
        <w:spacing w:line="260" w:lineRule="exact"/>
        <w:ind w:left="709" w:hanging="283"/>
        <w:jc w:val="both"/>
        <w:rPr>
          <w:color w:val="auto"/>
          <w:sz w:val="20"/>
          <w:szCs w:val="20"/>
          <w:lang w:val="sl-SI"/>
        </w:rPr>
      </w:pPr>
    </w:p>
    <w:p w14:paraId="04A8A3B4" w14:textId="77777777" w:rsidR="00653311" w:rsidRPr="00697128" w:rsidRDefault="00653311" w:rsidP="00E702B7">
      <w:pPr>
        <w:pStyle w:val="Default"/>
        <w:spacing w:line="260" w:lineRule="exact"/>
        <w:ind w:left="709"/>
        <w:jc w:val="both"/>
        <w:rPr>
          <w:color w:val="auto"/>
          <w:sz w:val="20"/>
          <w:szCs w:val="20"/>
          <w:lang w:val="sl-SI"/>
        </w:rPr>
      </w:pPr>
      <w:r w:rsidRPr="00697128">
        <w:rPr>
          <w:color w:val="auto"/>
          <w:sz w:val="20"/>
          <w:szCs w:val="20"/>
          <w:lang w:val="sl-SI"/>
        </w:rPr>
        <w:t>V zgoraj opisanem primeru (na podlagi podanih informacij) se šteje, da bi bil posrednik lahko v vlogi service providerja, ki pa stranki ni svetoval glede posla in s tem sodeloval pri izvedbi aranžmaja, temveč zgolj pripravil opis stanja. Zato o</w:t>
      </w:r>
      <w:r w:rsidR="00E93A1F" w:rsidRPr="00697128">
        <w:rPr>
          <w:color w:val="auto"/>
          <w:sz w:val="20"/>
          <w:szCs w:val="20"/>
          <w:lang w:val="sl-SI"/>
        </w:rPr>
        <w:t>bveznost poročanja ne nastopi. N</w:t>
      </w:r>
      <w:r w:rsidRPr="00697128">
        <w:rPr>
          <w:color w:val="auto"/>
          <w:sz w:val="20"/>
          <w:szCs w:val="20"/>
          <w:lang w:val="sl-SI"/>
        </w:rPr>
        <w:t xml:space="preserve">e glede na to pa ni izključeno, da bi obveznost poročanja nastopila v kakšnem drugem, podobnem primeru.  </w:t>
      </w:r>
    </w:p>
    <w:p w14:paraId="549CED02" w14:textId="77777777" w:rsidR="000B1043" w:rsidRPr="00697128" w:rsidRDefault="000B1043" w:rsidP="00E702B7">
      <w:pPr>
        <w:pStyle w:val="Default"/>
        <w:spacing w:line="260" w:lineRule="exact"/>
        <w:ind w:left="709" w:hanging="283"/>
        <w:jc w:val="both"/>
        <w:rPr>
          <w:b/>
          <w:sz w:val="20"/>
          <w:szCs w:val="20"/>
          <w:lang w:val="sl-SI"/>
        </w:rPr>
      </w:pPr>
      <w:r w:rsidRPr="00697128">
        <w:rPr>
          <w:color w:val="auto"/>
          <w:sz w:val="20"/>
          <w:szCs w:val="20"/>
          <w:lang w:val="sl-SI"/>
        </w:rPr>
        <w:t xml:space="preserve">  </w:t>
      </w:r>
    </w:p>
    <w:p w14:paraId="233D3D8B" w14:textId="77777777" w:rsidR="000B1043" w:rsidRPr="00697128" w:rsidRDefault="000B1043" w:rsidP="00E702B7">
      <w:pPr>
        <w:pStyle w:val="Default"/>
        <w:numPr>
          <w:ilvl w:val="0"/>
          <w:numId w:val="58"/>
        </w:numPr>
        <w:spacing w:line="260" w:lineRule="exact"/>
        <w:jc w:val="both"/>
        <w:rPr>
          <w:i/>
          <w:sz w:val="20"/>
          <w:szCs w:val="20"/>
          <w:lang w:val="sl-SI"/>
        </w:rPr>
      </w:pPr>
      <w:r w:rsidRPr="00697128">
        <w:rPr>
          <w:i/>
          <w:sz w:val="20"/>
          <w:szCs w:val="20"/>
          <w:lang w:val="sl-SI"/>
        </w:rPr>
        <w:t xml:space="preserve">Slovenska pravna oseba ima račun pri slovenski banki in na račun prejme posojilo tuje povezane osebe. Pri tem slovenska banka ne more ugotavljati razmerja prejetega posojila glede na knjigovodsko vrednost kapitala, ki ga ima posojilodajalec v posojilojemalcu. Slovenska banka tako ni seznanjena, ali podjetje uporablja varni pristan 1:4 ali druge možnosti za dokazovanje, da so posojila skladna z 32. členom ZDDPO-2. Ali v tem primeru </w:t>
      </w:r>
      <w:r w:rsidR="002D4764" w:rsidRPr="00697128">
        <w:rPr>
          <w:i/>
          <w:sz w:val="20"/>
          <w:szCs w:val="20"/>
          <w:lang w:val="sl-SI"/>
        </w:rPr>
        <w:t>banka kot posrednik</w:t>
      </w:r>
      <w:r w:rsidRPr="00697128">
        <w:rPr>
          <w:i/>
          <w:sz w:val="20"/>
          <w:szCs w:val="20"/>
          <w:lang w:val="sl-SI"/>
        </w:rPr>
        <w:t xml:space="preserve"> zapade pod poročanje po Direktivi?</w:t>
      </w:r>
    </w:p>
    <w:p w14:paraId="7F6ED2D6" w14:textId="77777777" w:rsidR="000B1043" w:rsidRPr="00697128" w:rsidRDefault="000B1043" w:rsidP="00E702B7">
      <w:pPr>
        <w:pStyle w:val="Default"/>
        <w:spacing w:line="260" w:lineRule="exact"/>
        <w:ind w:left="709" w:hanging="283"/>
        <w:jc w:val="both"/>
        <w:rPr>
          <w:sz w:val="20"/>
          <w:szCs w:val="20"/>
          <w:lang w:val="sl-SI"/>
        </w:rPr>
      </w:pPr>
    </w:p>
    <w:p w14:paraId="599B57AC" w14:textId="77777777" w:rsidR="00736DF8" w:rsidRPr="00697128" w:rsidRDefault="00736DF8" w:rsidP="00E702B7">
      <w:pPr>
        <w:pStyle w:val="Default"/>
        <w:spacing w:line="260" w:lineRule="exact"/>
        <w:ind w:left="720"/>
        <w:jc w:val="both"/>
        <w:rPr>
          <w:rFonts w:eastAsia="Times New Roman" w:cs="Times New Roman"/>
          <w:b/>
          <w:color w:val="auto"/>
          <w:sz w:val="20"/>
          <w:lang w:val="sl-SI"/>
        </w:rPr>
      </w:pPr>
      <w:r w:rsidRPr="00697128">
        <w:rPr>
          <w:rFonts w:eastAsia="Times New Roman" w:cs="Times New Roman"/>
          <w:color w:val="000000" w:themeColor="text1"/>
          <w:sz w:val="20"/>
          <w:lang w:val="sl-SI"/>
        </w:rPr>
        <w:t>Posrednik – potencialni poročevalec ni zavezan aktivno raziskovati in pridobivati podatk</w:t>
      </w:r>
      <w:r w:rsidR="007007B0" w:rsidRPr="00697128">
        <w:rPr>
          <w:rFonts w:eastAsia="Times New Roman" w:cs="Times New Roman"/>
          <w:color w:val="000000" w:themeColor="text1"/>
          <w:sz w:val="20"/>
          <w:lang w:val="sl-SI"/>
        </w:rPr>
        <w:t>ov</w:t>
      </w:r>
      <w:r w:rsidRPr="00697128">
        <w:rPr>
          <w:rFonts w:eastAsia="Times New Roman" w:cs="Times New Roman"/>
          <w:color w:val="000000" w:themeColor="text1"/>
          <w:sz w:val="20"/>
          <w:lang w:val="sl-SI"/>
        </w:rPr>
        <w:t xml:space="preserve"> od strank, če le teh že nima v svoji posesti, mora pa izvesti vse postopke in pridobiti vse informacije, ki tudi sicer veljajo za posamezno storitev. V zgoraj opisanem primeru torej posrednik ne zapade pod poročanje po Direktivi, v kolikor mu pri </w:t>
      </w:r>
      <w:r w:rsidR="00455B80" w:rsidRPr="00697128">
        <w:rPr>
          <w:rFonts w:eastAsia="Times New Roman" w:cs="Times New Roman"/>
          <w:color w:val="000000" w:themeColor="text1"/>
          <w:sz w:val="20"/>
          <w:lang w:val="sl-SI"/>
        </w:rPr>
        <w:t>opravljanju posrednišk</w:t>
      </w:r>
      <w:r w:rsidR="00A77474">
        <w:rPr>
          <w:rFonts w:eastAsia="Times New Roman" w:cs="Times New Roman"/>
          <w:color w:val="000000" w:themeColor="text1"/>
          <w:sz w:val="20"/>
          <w:lang w:val="sl-SI"/>
        </w:rPr>
        <w:t>ih</w:t>
      </w:r>
      <w:r w:rsidR="00455B80" w:rsidRPr="00697128">
        <w:rPr>
          <w:rFonts w:eastAsia="Times New Roman" w:cs="Times New Roman"/>
          <w:color w:val="000000" w:themeColor="text1"/>
          <w:sz w:val="20"/>
          <w:lang w:val="sl-SI"/>
        </w:rPr>
        <w:t xml:space="preserve"> storit</w:t>
      </w:r>
      <w:r w:rsidR="00A77474">
        <w:rPr>
          <w:rFonts w:eastAsia="Times New Roman" w:cs="Times New Roman"/>
          <w:color w:val="000000" w:themeColor="text1"/>
          <w:sz w:val="20"/>
          <w:lang w:val="sl-SI"/>
        </w:rPr>
        <w:t>ev</w:t>
      </w:r>
      <w:r w:rsidR="00455B80" w:rsidRPr="00697128">
        <w:rPr>
          <w:rFonts w:eastAsia="Times New Roman" w:cs="Times New Roman"/>
          <w:color w:val="000000" w:themeColor="text1"/>
          <w:sz w:val="20"/>
          <w:lang w:val="sl-SI"/>
        </w:rPr>
        <w:t xml:space="preserve"> </w:t>
      </w:r>
      <w:r w:rsidRPr="00697128">
        <w:rPr>
          <w:rFonts w:eastAsia="Times New Roman" w:cs="Times New Roman"/>
          <w:color w:val="000000" w:themeColor="text1"/>
          <w:sz w:val="20"/>
          <w:lang w:val="sl-SI"/>
        </w:rPr>
        <w:t>v zvezi s</w:t>
      </w:r>
      <w:r w:rsidR="00455B80" w:rsidRPr="00697128">
        <w:rPr>
          <w:rFonts w:eastAsia="Times New Roman" w:cs="Times New Roman"/>
          <w:color w:val="000000" w:themeColor="text1"/>
          <w:sz w:val="20"/>
          <w:lang w:val="sl-SI"/>
        </w:rPr>
        <w:t xml:space="preserve"> samo transakcijo</w:t>
      </w:r>
      <w:r w:rsidRPr="00697128">
        <w:rPr>
          <w:rFonts w:eastAsia="Times New Roman" w:cs="Times New Roman"/>
          <w:color w:val="000000" w:themeColor="text1"/>
          <w:sz w:val="20"/>
          <w:lang w:val="sl-SI"/>
        </w:rPr>
        <w:t xml:space="preserve"> niso na voljo podatki o razmerju prejetega posojila glede na knjigovodsko vrednost kapitala</w:t>
      </w:r>
      <w:r w:rsidR="00455B80" w:rsidRPr="00697128">
        <w:rPr>
          <w:rFonts w:eastAsia="Times New Roman" w:cs="Times New Roman"/>
          <w:color w:val="000000" w:themeColor="text1"/>
          <w:sz w:val="20"/>
          <w:lang w:val="sl-SI"/>
        </w:rPr>
        <w:t xml:space="preserve"> oziroma tega ni zavezan ugotavljati pri opravljanju storitve.</w:t>
      </w:r>
      <w:r w:rsidRPr="00697128">
        <w:rPr>
          <w:rFonts w:eastAsia="Times New Roman" w:cs="Times New Roman"/>
          <w:color w:val="000000" w:themeColor="text1"/>
          <w:sz w:val="20"/>
          <w:lang w:val="sl-SI"/>
        </w:rPr>
        <w:t xml:space="preserve">  </w:t>
      </w:r>
    </w:p>
    <w:p w14:paraId="377F4C1C" w14:textId="77777777" w:rsidR="002257AC" w:rsidRPr="00697128" w:rsidRDefault="002257AC" w:rsidP="00E702B7">
      <w:pPr>
        <w:pStyle w:val="Default"/>
        <w:spacing w:line="260" w:lineRule="exact"/>
        <w:ind w:left="709" w:hanging="283"/>
        <w:jc w:val="both"/>
        <w:rPr>
          <w:rFonts w:eastAsia="Times New Roman" w:cs="Times New Roman"/>
          <w:color w:val="FF0000"/>
          <w:sz w:val="20"/>
          <w:lang w:val="sl-SI"/>
        </w:rPr>
      </w:pPr>
    </w:p>
    <w:p w14:paraId="299793DB" w14:textId="77777777" w:rsidR="00890FE1" w:rsidRPr="00697128" w:rsidRDefault="00890FE1" w:rsidP="00697F07">
      <w:pPr>
        <w:pStyle w:val="Default"/>
        <w:spacing w:line="260" w:lineRule="exact"/>
        <w:ind w:left="284"/>
        <w:jc w:val="both"/>
        <w:rPr>
          <w:rFonts w:eastAsia="Times New Roman" w:cs="Times New Roman"/>
          <w:color w:val="FF0000"/>
          <w:sz w:val="20"/>
          <w:lang w:val="sl-SI"/>
        </w:rPr>
      </w:pPr>
    </w:p>
    <w:p w14:paraId="37100F8D" w14:textId="77777777" w:rsidR="002E70B0" w:rsidRDefault="002257AC" w:rsidP="00697F07">
      <w:pPr>
        <w:spacing w:line="260" w:lineRule="exact"/>
        <w:rPr>
          <w:rStyle w:val="Naslov3Znak"/>
          <w:rFonts w:eastAsia="Calibri"/>
        </w:rPr>
      </w:pPr>
      <w:bookmarkStart w:id="64" w:name="_Toc75160047"/>
      <w:r>
        <w:rPr>
          <w:rStyle w:val="Naslov3Znak"/>
          <w:rFonts w:eastAsia="Calibri"/>
        </w:rPr>
        <w:t>E</w:t>
      </w:r>
      <w:r w:rsidRPr="0068128B">
        <w:rPr>
          <w:rStyle w:val="Naslov3Znak"/>
          <w:rFonts w:eastAsia="Calibri"/>
        </w:rPr>
        <w:t xml:space="preserve">2. Aranžma, ki vključuje </w:t>
      </w:r>
      <w:r>
        <w:rPr>
          <w:rStyle w:val="Naslov3Znak"/>
          <w:rFonts w:eastAsia="Calibri"/>
        </w:rPr>
        <w:t>prenos neopredmet</w:t>
      </w:r>
      <w:r w:rsidR="00FF7D64">
        <w:rPr>
          <w:rStyle w:val="Naslov3Znak"/>
          <w:rFonts w:eastAsia="Calibri"/>
        </w:rPr>
        <w:t>e</w:t>
      </w:r>
      <w:r>
        <w:rPr>
          <w:rStyle w:val="Naslov3Znak"/>
          <w:rFonts w:eastAsia="Calibri"/>
        </w:rPr>
        <w:t>nih sredstev, ki jih je težko ovrednotiti.</w:t>
      </w:r>
      <w:bookmarkEnd w:id="64"/>
      <w:r>
        <w:rPr>
          <w:rStyle w:val="Naslov3Znak"/>
          <w:rFonts w:eastAsia="Calibri"/>
        </w:rPr>
        <w:t xml:space="preserve"> </w:t>
      </w:r>
    </w:p>
    <w:p w14:paraId="7E3169A3" w14:textId="77777777" w:rsidR="002E70B0" w:rsidRDefault="002E70B0" w:rsidP="00697F07">
      <w:pPr>
        <w:spacing w:line="260" w:lineRule="exact"/>
        <w:rPr>
          <w:rStyle w:val="Naslov3Znak"/>
          <w:rFonts w:eastAsia="Calibri"/>
        </w:rPr>
      </w:pPr>
    </w:p>
    <w:p w14:paraId="48AE951D" w14:textId="77777777" w:rsidR="002257AC" w:rsidRDefault="002257AC" w:rsidP="00697128">
      <w:pPr>
        <w:spacing w:line="260" w:lineRule="exact"/>
        <w:jc w:val="both"/>
        <w:rPr>
          <w:rFonts w:cs="Arial"/>
          <w:szCs w:val="20"/>
        </w:rPr>
      </w:pPr>
      <w:r w:rsidRPr="00BB35E1">
        <w:rPr>
          <w:rFonts w:cs="Arial"/>
          <w:szCs w:val="20"/>
        </w:rPr>
        <w:t>Pojem neopredmetena sr</w:t>
      </w:r>
      <w:r>
        <w:rPr>
          <w:rFonts w:cs="Arial"/>
          <w:szCs w:val="20"/>
        </w:rPr>
        <w:t>edstva, ki jih je težko ovredn</w:t>
      </w:r>
      <w:r w:rsidR="00563550">
        <w:rPr>
          <w:rFonts w:cs="Arial"/>
          <w:szCs w:val="20"/>
        </w:rPr>
        <w:t>o</w:t>
      </w:r>
      <w:r w:rsidRPr="00BB35E1">
        <w:rPr>
          <w:rFonts w:cs="Arial"/>
          <w:szCs w:val="20"/>
        </w:rPr>
        <w:t>titi, zajema neopredmetena sredstva ali pravice na neopredmetenih sredstvih, za katere ob njihovem prenosu med povezanimi podjetji:</w:t>
      </w:r>
    </w:p>
    <w:p w14:paraId="6C9B5FF6" w14:textId="77777777" w:rsidR="001C1F7B" w:rsidRPr="002257AC" w:rsidRDefault="001C1F7B" w:rsidP="00697128">
      <w:pPr>
        <w:spacing w:line="260" w:lineRule="exact"/>
        <w:jc w:val="both"/>
        <w:rPr>
          <w:rFonts w:eastAsia="Calibri" w:cs="Arial"/>
          <w:b/>
          <w:bCs/>
        </w:rPr>
      </w:pPr>
    </w:p>
    <w:p w14:paraId="1FBD45D3" w14:textId="77777777" w:rsidR="002257AC" w:rsidRPr="00BB35E1" w:rsidRDefault="002257AC" w:rsidP="00697128">
      <w:pPr>
        <w:pStyle w:val="Odstavekseznama"/>
        <w:numPr>
          <w:ilvl w:val="0"/>
          <w:numId w:val="52"/>
        </w:numPr>
        <w:spacing w:after="160" w:line="260" w:lineRule="exact"/>
        <w:jc w:val="both"/>
      </w:pPr>
      <w:r w:rsidRPr="00BB35E1">
        <w:t>ne obstajajo zanesljive primerljive vrednosti; in</w:t>
      </w:r>
    </w:p>
    <w:p w14:paraId="3B2C6108" w14:textId="77777777" w:rsidR="002257AC" w:rsidRPr="00BB35E1" w:rsidRDefault="002257AC" w:rsidP="00697128">
      <w:pPr>
        <w:pStyle w:val="Odstavekseznama"/>
        <w:numPr>
          <w:ilvl w:val="0"/>
          <w:numId w:val="52"/>
        </w:numPr>
        <w:spacing w:after="160" w:line="260" w:lineRule="exact"/>
        <w:jc w:val="both"/>
      </w:pPr>
      <w:r w:rsidRPr="00BB35E1">
        <w:t>ob sklenitvi transakcije so napovedi prihodnjih denarnih tokov ali prihodka, ki naj bi se pridobil iz prenesenega opredmetenega sredstva, ali predpostavke, uporabljene pri vrednotenju neopred</w:t>
      </w:r>
      <w:r w:rsidR="00563550">
        <w:t>m</w:t>
      </w:r>
      <w:r w:rsidRPr="00BB35E1">
        <w:t xml:space="preserve">etenega sredstva ob prenosu. </w:t>
      </w:r>
    </w:p>
    <w:p w14:paraId="30933E48" w14:textId="77777777" w:rsidR="00B3452E" w:rsidRPr="00697128" w:rsidRDefault="007D6B80" w:rsidP="00697128">
      <w:pPr>
        <w:spacing w:line="260" w:lineRule="exact"/>
        <w:jc w:val="both"/>
        <w:rPr>
          <w:rFonts w:eastAsia="Calibri" w:cs="Arial"/>
          <w:szCs w:val="20"/>
        </w:rPr>
      </w:pPr>
      <w:r w:rsidRPr="00697128">
        <w:rPr>
          <w:rFonts w:eastAsia="Calibri" w:cs="Arial"/>
          <w:szCs w:val="20"/>
        </w:rPr>
        <w:t>Oba pogoja  oziroma prepoznavni značilnosti, navedene v točkah a in b morata biti izpolnjeni kumulativno, da je izpolnjen test po hallmarku E2.</w:t>
      </w:r>
    </w:p>
    <w:p w14:paraId="1BC929D9" w14:textId="77777777" w:rsidR="007D6B80" w:rsidRPr="002257AC" w:rsidRDefault="007D6B80" w:rsidP="00697F07">
      <w:pPr>
        <w:spacing w:line="260" w:lineRule="exact"/>
      </w:pPr>
    </w:p>
    <w:p w14:paraId="0F572D92" w14:textId="77777777" w:rsidR="00B3452E" w:rsidRPr="00063634" w:rsidRDefault="00B3452E" w:rsidP="00697F07">
      <w:pPr>
        <w:pStyle w:val="Default"/>
        <w:spacing w:line="260" w:lineRule="exact"/>
        <w:jc w:val="both"/>
        <w:rPr>
          <w:bCs/>
          <w:sz w:val="20"/>
          <w:szCs w:val="20"/>
          <w:lang w:val="sl-SI"/>
        </w:rPr>
      </w:pPr>
      <w:r w:rsidRPr="00063634">
        <w:rPr>
          <w:bCs/>
          <w:sz w:val="20"/>
          <w:szCs w:val="20"/>
          <w:lang w:val="sl-SI"/>
        </w:rPr>
        <w:t>Direktiva določa pojem neopredmetenih sredstev, ki jih je težko ovrednotiti, in sicer so to neopredmetena sredstva ali pravice na neopredmetenih sredstvih, za katere ob njihovem prenosu med povezanimi podjetji ne obstajajo zanesljive primerljive vrednosti in so ob sklenitvi transakcije napovedi prihodnjih denarnih tokov ali prihodka, ki naj bi se pridobil iz prenesenega neopredmetenega sredstva ali predpostavke, uporabljene pri vrednotenju neopredmetenega sredstva, zelo negotove, zaradi česar je težko predvideti raven končnega uspeha neopredmetenega sredstva ob prenosu. Pojem neopredmetenih sredstev na podlagi te definicije vključuje tudi prenos pravic na neopredmetenih sredstvih kot so licenciranje neopredmetenih sredstev, ki se težko vrednotijo.</w:t>
      </w:r>
    </w:p>
    <w:p w14:paraId="1E7BF54F" w14:textId="77777777" w:rsidR="00B3452E" w:rsidRPr="00063634" w:rsidRDefault="00B3452E" w:rsidP="00697F07">
      <w:pPr>
        <w:pStyle w:val="Default"/>
        <w:spacing w:line="260" w:lineRule="exact"/>
        <w:jc w:val="both"/>
        <w:rPr>
          <w:bCs/>
          <w:sz w:val="20"/>
          <w:szCs w:val="20"/>
          <w:lang w:val="sl-SI"/>
        </w:rPr>
      </w:pPr>
    </w:p>
    <w:p w14:paraId="147EA52E" w14:textId="77777777" w:rsidR="00B3452E" w:rsidRDefault="00B3452E" w:rsidP="00697F07">
      <w:pPr>
        <w:pStyle w:val="Default"/>
        <w:spacing w:line="260" w:lineRule="exact"/>
        <w:jc w:val="both"/>
        <w:rPr>
          <w:bCs/>
          <w:sz w:val="20"/>
          <w:szCs w:val="20"/>
          <w:lang w:val="sl-SI"/>
        </w:rPr>
      </w:pPr>
      <w:r w:rsidRPr="00063634">
        <w:rPr>
          <w:bCs/>
          <w:sz w:val="20"/>
          <w:szCs w:val="20"/>
          <w:lang w:val="sl-SI"/>
        </w:rPr>
        <w:t xml:space="preserve">Podobno kot izraz »zanesljive primerljive vrednosti« je tudi izraz »zelo negotove« subjektiven in temelji na hipotetični oceni, ali bi neodvisne stranke zahtevale mehanizme za prilagoditev cen ali podobno, če bi sklepale pogodbe, ki vključujejo neopredmetena sredstva, in sicer zaradi negotovosti povezane s prihodnjo vrednostjo neopredmetenega sredstva ali pravic na neopredmetenih sredstvih. </w:t>
      </w:r>
    </w:p>
    <w:p w14:paraId="59938224" w14:textId="77777777" w:rsidR="00FB1A92" w:rsidRDefault="00FB1A92" w:rsidP="00697F07">
      <w:pPr>
        <w:spacing w:line="260" w:lineRule="exact"/>
      </w:pPr>
    </w:p>
    <w:p w14:paraId="63E8D1D6" w14:textId="77777777" w:rsidR="00963EF2" w:rsidRDefault="00963EF2" w:rsidP="00697F07">
      <w:pPr>
        <w:spacing w:line="260" w:lineRule="exact"/>
      </w:pPr>
    </w:p>
    <w:p w14:paraId="75C6F67A" w14:textId="77777777" w:rsidR="002257AC" w:rsidRDefault="002257AC" w:rsidP="00697F07">
      <w:pPr>
        <w:spacing w:line="260" w:lineRule="exact"/>
        <w:rPr>
          <w:b/>
        </w:rPr>
      </w:pPr>
      <w:bookmarkStart w:id="65" w:name="_Toc75160048"/>
      <w:r w:rsidRPr="001C1F7B">
        <w:rPr>
          <w:rStyle w:val="Naslov3Znak"/>
        </w:rPr>
        <w:t>E3. Aranžma, ki vključuje čezmejni prenos funkcij in/ali t</w:t>
      </w:r>
      <w:r w:rsidR="001A7B95" w:rsidRPr="001C1F7B">
        <w:rPr>
          <w:rStyle w:val="Naslov3Znak"/>
        </w:rPr>
        <w:t xml:space="preserve">veganj in/ali sredstev znotraj </w:t>
      </w:r>
      <w:r w:rsidRPr="001C1F7B">
        <w:rPr>
          <w:rStyle w:val="Naslov3Znak"/>
        </w:rPr>
        <w:t>s</w:t>
      </w:r>
      <w:r w:rsidR="001A7B95" w:rsidRPr="001C1F7B">
        <w:rPr>
          <w:rStyle w:val="Naslov3Znak"/>
        </w:rPr>
        <w:t>k</w:t>
      </w:r>
      <w:r w:rsidRPr="001C1F7B">
        <w:rPr>
          <w:rStyle w:val="Naslov3Znak"/>
        </w:rPr>
        <w:t>upine</w:t>
      </w:r>
      <w:bookmarkEnd w:id="65"/>
      <w:r w:rsidRPr="002257AC">
        <w:rPr>
          <w:b/>
        </w:rPr>
        <w:t>, če so načrtovani letni dobički pred obrestmi in davki (EBIT) prenosnika ali prenosnikov v treh letih po prenosu manjši od 50% načrtovanega let</w:t>
      </w:r>
      <w:r w:rsidR="00563550">
        <w:rPr>
          <w:b/>
        </w:rPr>
        <w:t>n</w:t>
      </w:r>
      <w:r w:rsidRPr="002257AC">
        <w:rPr>
          <w:b/>
        </w:rPr>
        <w:t>ega EBIT tega prenosnika ali prenosnikov, kot bi bil, če prenos ne bi bil izveden</w:t>
      </w:r>
    </w:p>
    <w:p w14:paraId="6CEA8A33" w14:textId="77777777" w:rsidR="00B3452E" w:rsidRPr="00063634" w:rsidRDefault="00B3452E" w:rsidP="00697F07">
      <w:pPr>
        <w:spacing w:line="260" w:lineRule="exact"/>
        <w:rPr>
          <w:b/>
        </w:rPr>
      </w:pPr>
    </w:p>
    <w:p w14:paraId="7CC4A54F" w14:textId="77777777" w:rsidR="00B3452E" w:rsidRPr="00063634" w:rsidRDefault="00B3452E" w:rsidP="00697F07">
      <w:pPr>
        <w:pStyle w:val="Default"/>
        <w:spacing w:line="260" w:lineRule="exact"/>
        <w:jc w:val="both"/>
        <w:rPr>
          <w:sz w:val="20"/>
          <w:szCs w:val="20"/>
          <w:lang w:val="sl-SI"/>
        </w:rPr>
      </w:pPr>
      <w:r w:rsidRPr="00063634">
        <w:rPr>
          <w:sz w:val="20"/>
          <w:szCs w:val="20"/>
          <w:lang w:val="sl-SI"/>
        </w:rPr>
        <w:t>Direktiva kot prepoznavno značilnost, povezano s transfernimi cenami, določa tudi aranžma, ki vključuje prenos funkcij in/ali tveganj in/ali sredstev znotraj skupine, če so načrtovani letni dobički pred obrestmi in davki (EBIT) prenosnika ali prenosnikov v treh letih po prenosu manjši od 50</w:t>
      </w:r>
      <w:r w:rsidR="00A77474">
        <w:rPr>
          <w:sz w:val="20"/>
          <w:szCs w:val="20"/>
          <w:lang w:val="sl-SI"/>
        </w:rPr>
        <w:t xml:space="preserve"> </w:t>
      </w:r>
      <w:r w:rsidRPr="00063634">
        <w:rPr>
          <w:sz w:val="20"/>
          <w:szCs w:val="20"/>
          <w:lang w:val="sl-SI"/>
        </w:rPr>
        <w:t xml:space="preserve">% načrtovanega letnega EBIT tega prenosnika ali prenosnikov, kot bi bil, če prenos ne bi bil izveden. </w:t>
      </w:r>
    </w:p>
    <w:p w14:paraId="1F06BF5D" w14:textId="77777777" w:rsidR="007007B0" w:rsidRDefault="007007B0" w:rsidP="00697F07">
      <w:pPr>
        <w:pStyle w:val="Default"/>
        <w:spacing w:line="260" w:lineRule="exact"/>
        <w:jc w:val="both"/>
        <w:rPr>
          <w:sz w:val="20"/>
          <w:szCs w:val="20"/>
          <w:lang w:val="sl-SI"/>
        </w:rPr>
      </w:pPr>
    </w:p>
    <w:p w14:paraId="60E80968" w14:textId="77777777" w:rsidR="00B3452E" w:rsidRPr="00063634" w:rsidRDefault="00B3452E" w:rsidP="00697F07">
      <w:pPr>
        <w:pStyle w:val="Default"/>
        <w:spacing w:line="260" w:lineRule="exact"/>
        <w:jc w:val="both"/>
        <w:rPr>
          <w:sz w:val="20"/>
          <w:szCs w:val="20"/>
          <w:lang w:val="sl-SI"/>
        </w:rPr>
      </w:pPr>
      <w:r w:rsidRPr="00063634">
        <w:rPr>
          <w:sz w:val="20"/>
          <w:szCs w:val="20"/>
          <w:lang w:val="sl-SI"/>
        </w:rPr>
        <w:t>Beseda skupina se nanaša na povezane osebe, in sice</w:t>
      </w:r>
      <w:r w:rsidR="00E03330">
        <w:rPr>
          <w:sz w:val="20"/>
          <w:szCs w:val="20"/>
          <w:lang w:val="sl-SI"/>
        </w:rPr>
        <w:t>r v skladu z vsebino poglavja E</w:t>
      </w:r>
      <w:r w:rsidRPr="00063634">
        <w:rPr>
          <w:sz w:val="20"/>
          <w:szCs w:val="20"/>
          <w:lang w:val="sl-SI"/>
        </w:rPr>
        <w:t xml:space="preserve"> Direktive o posebnih prepoznavnih značilnostih, povezanih s transfernimi cenami, ki kaže na to, da so prepoznavne značilnosti v tem poglavju vezane na področje transfernih cen. Na podlagi 11. točke Smernic so transferne cene tiste cene, po katerih podjetje prenaša povezanim podjetjem stvari in neopredmetena sredstva ali zan</w:t>
      </w:r>
      <w:r w:rsidR="001959BF">
        <w:rPr>
          <w:sz w:val="20"/>
          <w:szCs w:val="20"/>
          <w:lang w:val="sl-SI"/>
        </w:rPr>
        <w:t>je opravlja storitve. Definicija</w:t>
      </w:r>
      <w:r w:rsidRPr="00063634">
        <w:rPr>
          <w:sz w:val="20"/>
          <w:szCs w:val="20"/>
          <w:lang w:val="sl-SI"/>
        </w:rPr>
        <w:t xml:space="preserve"> povezanih oseb se nahaja v 23. točki 3. člena Direktive, ki je bila določena za namene 8ab. člena Direktive</w:t>
      </w:r>
      <w:r w:rsidR="001959BF">
        <w:rPr>
          <w:sz w:val="20"/>
          <w:szCs w:val="20"/>
          <w:lang w:val="sl-SI"/>
        </w:rPr>
        <w:t xml:space="preserve"> o obvezni avtomatični izmenjavi podatkov o čezmejnih aranžmajih.</w:t>
      </w:r>
    </w:p>
    <w:p w14:paraId="40BDC495" w14:textId="77777777" w:rsidR="007B7D78" w:rsidRPr="00063634" w:rsidRDefault="007B7D78" w:rsidP="00697F07">
      <w:pPr>
        <w:pStyle w:val="Default"/>
        <w:spacing w:line="260" w:lineRule="exact"/>
        <w:jc w:val="both"/>
        <w:rPr>
          <w:sz w:val="20"/>
          <w:szCs w:val="20"/>
          <w:lang w:val="sl-SI"/>
        </w:rPr>
      </w:pPr>
    </w:p>
    <w:p w14:paraId="4B2B4DE3" w14:textId="77777777" w:rsidR="007B7D78" w:rsidRPr="00063634" w:rsidRDefault="007B7D78" w:rsidP="00697F07">
      <w:pPr>
        <w:pStyle w:val="Default"/>
        <w:spacing w:line="260" w:lineRule="exact"/>
        <w:jc w:val="both"/>
        <w:rPr>
          <w:bCs/>
          <w:color w:val="000000" w:themeColor="text1"/>
          <w:sz w:val="20"/>
          <w:szCs w:val="20"/>
          <w:lang w:val="sl-SI"/>
        </w:rPr>
      </w:pPr>
      <w:r w:rsidRPr="00063634">
        <w:rPr>
          <w:bCs/>
          <w:color w:val="000000" w:themeColor="text1"/>
          <w:sz w:val="20"/>
          <w:szCs w:val="20"/>
          <w:lang w:val="sl-SI"/>
        </w:rPr>
        <w:t>Direktiva EU ne definira prenosa funkcij, tveganj in sredstev, na katere se nanaša prepoznavna značilnost E3. Določbe Smernic OECD lahko pomagajo pri definiranju prenosa funkcij, tveganj in sredstev, in sicer v poglavjih VII. o storitvah v skupini in IX. o preoblikovanju poslovanja. Bistveno za določanje, ali se transakcija dvigne na raven, da jo je treba poročati, je, da se specifično opredelijo ustrezne funkcije, tveganja, opredmetena osnovna sredstva ali neopredmetena sredstva (ali pravice do neopredmetenih sredstev) z namenom da se oceni, ali so bila prenesena. Na splošno pride do čezmejnega prenosa, kadar nekaj dragocenega spremeni lastništvo bodisi iz ene do druge osebe ali jurisdikcijo. Če se želi presoditi, ali je prišlo do prenosa, je pomembno, da se ne pogleda samo prestrukturiranje in sprememba lastništva (prek pravnega naslova, pogodbe ali sicer) sredstev in funkcij ter tveganj kot takih, ampak opravi tudi funkcionalna analiza pred in po transakciji. Pri tem prepoznavna značilnost pod E3 predvideva čezmejni prenos funkcij, tveganj ali sredstev bodisi v drugo državo članico EU bodisi v tretjo državo ali obratno.</w:t>
      </w:r>
      <w:r w:rsidRPr="00063634">
        <w:rPr>
          <w:lang w:val="sl-SI"/>
        </w:rPr>
        <w:t xml:space="preserve"> </w:t>
      </w:r>
      <w:r w:rsidRPr="00063634">
        <w:rPr>
          <w:bCs/>
          <w:color w:val="000000" w:themeColor="text1"/>
          <w:sz w:val="20"/>
          <w:szCs w:val="20"/>
          <w:lang w:val="sl-SI"/>
        </w:rPr>
        <w:t xml:space="preserve">ZDavP-2 v 10. točki 243.a člena določa, da čezmejni aranžma pomeni aranžma, ki zadeva bodisi več kot eno državo članico EU bodisi državo članico EU in tretjo državo, pri čemer je podan vsaj eden od taksativno naštetih tujih elementov, ki pomenijo, da aranžma zadeva več kot </w:t>
      </w:r>
      <w:r w:rsidR="001959BF">
        <w:rPr>
          <w:bCs/>
          <w:color w:val="000000" w:themeColor="text1"/>
          <w:sz w:val="20"/>
          <w:szCs w:val="20"/>
          <w:lang w:val="sl-SI"/>
        </w:rPr>
        <w:t>eno državo/jurisdikcijo. Ta tuj element je lahko različno</w:t>
      </w:r>
      <w:r w:rsidRPr="00063634">
        <w:rPr>
          <w:bCs/>
          <w:color w:val="000000" w:themeColor="text1"/>
          <w:sz w:val="20"/>
          <w:szCs w:val="20"/>
          <w:lang w:val="sl-SI"/>
        </w:rPr>
        <w:t xml:space="preserve"> rezidentstvo udeležencev, večkratno rezidentstvo udeležencev, stalna poslovna enota ali druge aktivnosti v tuji jurisdikciji ali več partnerskih jurisdikcij v avtomatični izmenjavi podatkov.</w:t>
      </w:r>
    </w:p>
    <w:p w14:paraId="5757DB6C" w14:textId="77777777" w:rsidR="001D787A" w:rsidRDefault="001D787A" w:rsidP="00697F07">
      <w:pPr>
        <w:spacing w:line="260" w:lineRule="exact"/>
        <w:rPr>
          <w:rFonts w:eastAsiaTheme="minorHAnsi"/>
          <w:lang w:eastAsia="sl-SI"/>
        </w:rPr>
      </w:pPr>
    </w:p>
    <w:p w14:paraId="6089B5E5" w14:textId="77777777" w:rsidR="00614E85" w:rsidRDefault="00614E85" w:rsidP="00697F07">
      <w:pPr>
        <w:spacing w:line="260" w:lineRule="exact"/>
        <w:jc w:val="both"/>
        <w:rPr>
          <w:rFonts w:eastAsiaTheme="minorHAnsi"/>
          <w:lang w:eastAsia="sl-SI"/>
        </w:rPr>
      </w:pPr>
      <w:r>
        <w:rPr>
          <w:rFonts w:eastAsiaTheme="minorHAnsi"/>
          <w:lang w:eastAsia="sl-SI"/>
        </w:rPr>
        <w:lastRenderedPageBreak/>
        <w:t xml:space="preserve">Za obdobje treh let po prenosu se šteje obdobje treh poslovnih let po končanju leta, v katerem je prišlo do prenosa </w:t>
      </w:r>
      <w:r w:rsidRPr="00614E85">
        <w:rPr>
          <w:rFonts w:eastAsiaTheme="minorHAnsi"/>
          <w:lang w:eastAsia="sl-SI"/>
        </w:rPr>
        <w:t>funkcij in/ali tveganj in/ali sredstev znotraj skupine</w:t>
      </w:r>
      <w:r>
        <w:rPr>
          <w:rFonts w:eastAsiaTheme="minorHAnsi"/>
          <w:lang w:eastAsia="sl-SI"/>
        </w:rPr>
        <w:t>.</w:t>
      </w:r>
    </w:p>
    <w:p w14:paraId="1E13EF1B" w14:textId="77777777" w:rsidR="00614E85" w:rsidRPr="001959BF" w:rsidRDefault="00614E85" w:rsidP="00697F07">
      <w:pPr>
        <w:spacing w:line="260" w:lineRule="exact"/>
        <w:rPr>
          <w:rFonts w:eastAsiaTheme="minorHAnsi"/>
          <w:lang w:eastAsia="sl-SI"/>
        </w:rPr>
      </w:pPr>
    </w:p>
    <w:p w14:paraId="7DC89B46" w14:textId="77777777" w:rsidR="00DC4738" w:rsidRDefault="00102470" w:rsidP="00697F07">
      <w:pPr>
        <w:pStyle w:val="Naslov1"/>
        <w:spacing w:line="260" w:lineRule="exact"/>
      </w:pPr>
      <w:bookmarkStart w:id="66" w:name="_Toc75160049"/>
      <w:r>
        <w:t>DODATNE INFORMACIJE</w:t>
      </w:r>
      <w:bookmarkEnd w:id="66"/>
    </w:p>
    <w:p w14:paraId="13F9BCAD" w14:textId="77777777" w:rsidR="00102470" w:rsidRPr="009D12D5" w:rsidRDefault="00102470" w:rsidP="00697F07">
      <w:pPr>
        <w:pStyle w:val="Naslov2"/>
      </w:pPr>
      <w:bookmarkStart w:id="67" w:name="_Toc75160050"/>
      <w:r w:rsidRPr="009D12D5">
        <w:t>Kje so na voljo dodatne informacije?</w:t>
      </w:r>
      <w:bookmarkEnd w:id="67"/>
      <w:r w:rsidRPr="009D12D5">
        <w:t xml:space="preserve">  </w:t>
      </w:r>
    </w:p>
    <w:p w14:paraId="6EC7F038" w14:textId="77777777" w:rsidR="006E5752" w:rsidRDefault="006E5752" w:rsidP="00697F07">
      <w:pPr>
        <w:spacing w:line="260" w:lineRule="exact"/>
      </w:pPr>
      <w:r>
        <w:t>Bistvene informacije in novosti glede DAC6 poročanja so na voljo na spletni strani Finančne uprave RS</w:t>
      </w:r>
      <w:r w:rsidR="00697128">
        <w:t xml:space="preserve">, </w:t>
      </w:r>
      <w:hyperlink r:id="rId19" w:anchor="c7824" w:history="1">
        <w:r w:rsidR="00697128" w:rsidRPr="00697128">
          <w:rPr>
            <w:rStyle w:val="Hiperpovezava"/>
          </w:rPr>
          <w:t>Izmenjava informacij o čezmejnih aranžmajih</w:t>
        </w:r>
      </w:hyperlink>
      <w:r w:rsidR="00697128">
        <w:t xml:space="preserve">. </w:t>
      </w:r>
      <w:r>
        <w:t xml:space="preserve">Za dodatna vprašanja je na voljo e-poštni naslov: </w:t>
      </w:r>
      <w:hyperlink r:id="rId20" w:history="1">
        <w:r w:rsidR="00801AA1" w:rsidRPr="00051EE1">
          <w:rPr>
            <w:rStyle w:val="Hiperpovezava"/>
          </w:rPr>
          <w:t>dac6.fu@gov.si</w:t>
        </w:r>
      </w:hyperlink>
      <w:r>
        <w:t>.</w:t>
      </w:r>
    </w:p>
    <w:p w14:paraId="0757771A" w14:textId="77777777" w:rsidR="006E5752" w:rsidRDefault="006E5752" w:rsidP="00697F07">
      <w:pPr>
        <w:spacing w:line="260" w:lineRule="exact"/>
      </w:pPr>
    </w:p>
    <w:p w14:paraId="4180E382" w14:textId="77777777" w:rsidR="006E5752" w:rsidRDefault="006E5752" w:rsidP="00697F07">
      <w:pPr>
        <w:spacing w:line="260" w:lineRule="exact"/>
      </w:pPr>
    </w:p>
    <w:p w14:paraId="08A4BB83" w14:textId="77777777" w:rsidR="006E5752" w:rsidRDefault="0007526E" w:rsidP="0007526E">
      <w:pPr>
        <w:pStyle w:val="Naslov1"/>
      </w:pPr>
      <w:bookmarkStart w:id="68" w:name="_Toc75160051"/>
      <w:r>
        <w:t>POGOSTA VPRAŠANJA</w:t>
      </w:r>
      <w:bookmarkEnd w:id="68"/>
    </w:p>
    <w:p w14:paraId="32BA366E" w14:textId="77777777" w:rsidR="0007526E" w:rsidRDefault="0007526E" w:rsidP="0007526E">
      <w:pPr>
        <w:rPr>
          <w:lang w:val="it-IT" w:eastAsia="sl-SI"/>
        </w:rPr>
      </w:pPr>
    </w:p>
    <w:p w14:paraId="2CC6E963" w14:textId="77777777" w:rsidR="006B665D" w:rsidRDefault="0007526E" w:rsidP="008713F9">
      <w:pPr>
        <w:pStyle w:val="Napis2"/>
        <w:spacing w:line="260" w:lineRule="exact"/>
      </w:pPr>
      <w:bookmarkStart w:id="69" w:name="_Toc62032520"/>
      <w:r w:rsidRPr="008B3232">
        <w:t xml:space="preserve">Vprašanje </w:t>
      </w:r>
      <w:r w:rsidR="006B665D">
        <w:fldChar w:fldCharType="begin"/>
      </w:r>
      <w:r w:rsidR="006B665D">
        <w:instrText xml:space="preserve"> SEQ Vprašanje \* ARABIC </w:instrText>
      </w:r>
      <w:r w:rsidR="006B665D">
        <w:fldChar w:fldCharType="separate"/>
      </w:r>
      <w:r w:rsidR="000262B5">
        <w:rPr>
          <w:noProof/>
        </w:rPr>
        <w:t>1</w:t>
      </w:r>
      <w:r w:rsidR="006B665D">
        <w:fldChar w:fldCharType="end"/>
      </w:r>
      <w:r w:rsidRPr="008B3232">
        <w:t xml:space="preserve">: </w:t>
      </w:r>
    </w:p>
    <w:p w14:paraId="65F4431E" w14:textId="77777777" w:rsidR="0007526E" w:rsidRPr="006B665D" w:rsidRDefault="0007526E" w:rsidP="008713F9">
      <w:pPr>
        <w:spacing w:line="260" w:lineRule="exact"/>
        <w:jc w:val="both"/>
        <w:rPr>
          <w:b/>
        </w:rPr>
      </w:pPr>
      <w:r w:rsidRPr="006B665D">
        <w:rPr>
          <w:b/>
        </w:rPr>
        <w:t>Kako pogosto in kdaj se poroča o aranžmajih, ki so v uporabi v obdobju, daljšem od enega leta?</w:t>
      </w:r>
      <w:bookmarkEnd w:id="69"/>
      <w:r w:rsidR="006B665D" w:rsidRPr="006B665D">
        <w:rPr>
          <w:b/>
        </w:rPr>
        <w:t xml:space="preserve"> </w:t>
      </w:r>
      <w:r w:rsidRPr="006B665D">
        <w:rPr>
          <w:b/>
        </w:rPr>
        <w:t>Aranžma se je začel uporabljati v letu 2020, zato je posrednik o aranžmaju prvič poročal v januarju 2021. Kdaj mora posrednik ponovno poročati o tem aranžmaju?</w:t>
      </w:r>
    </w:p>
    <w:p w14:paraId="66BFD307" w14:textId="77777777" w:rsidR="0007526E" w:rsidRPr="00697128" w:rsidRDefault="0007526E" w:rsidP="008713F9">
      <w:pPr>
        <w:pStyle w:val="Napis2"/>
        <w:spacing w:line="260" w:lineRule="exact"/>
        <w:rPr>
          <w:lang w:val="sl-SI"/>
        </w:rPr>
      </w:pPr>
    </w:p>
    <w:p w14:paraId="680F9A6B" w14:textId="77777777" w:rsidR="008713F9" w:rsidRPr="008713F9" w:rsidRDefault="008713F9" w:rsidP="008713F9">
      <w:pPr>
        <w:spacing w:line="260" w:lineRule="exact"/>
        <w:rPr>
          <w:rFonts w:ascii="Calibri" w:hAnsi="Calibri"/>
          <w:i/>
          <w:iCs/>
          <w:szCs w:val="22"/>
        </w:rPr>
      </w:pPr>
      <w:r w:rsidRPr="008713F9">
        <w:rPr>
          <w:i/>
          <w:iCs/>
        </w:rPr>
        <w:t xml:space="preserve">V skladu </w:t>
      </w:r>
      <w:r w:rsidRPr="008713F9">
        <w:rPr>
          <w:i/>
          <w:iCs/>
          <w:color w:val="1F497D"/>
        </w:rPr>
        <w:t>z</w:t>
      </w:r>
      <w:r w:rsidRPr="008713F9">
        <w:rPr>
          <w:i/>
          <w:iCs/>
        </w:rPr>
        <w:t xml:space="preserve"> določbo 85.h člena Pravilnika o izvajanju ZDavP-2 mora zadevni davčni zavezanec o uporabi aranžmaja poročati prvo leto, ko začne uporabljati aranžma in vsako nadaljnje leto, ko ga uporablja. Podatke sporoči najkasneje v treh mesecih po koncu koledarskega leta.</w:t>
      </w:r>
    </w:p>
    <w:p w14:paraId="39A3E3C5" w14:textId="77777777" w:rsidR="008713F9" w:rsidRDefault="008713F9" w:rsidP="008713F9">
      <w:pPr>
        <w:pStyle w:val="Odstavekseznama"/>
        <w:spacing w:line="260" w:lineRule="exact"/>
        <w:rPr>
          <w:i/>
          <w:iCs/>
        </w:rPr>
      </w:pPr>
    </w:p>
    <w:p w14:paraId="5F65E1CB" w14:textId="77777777" w:rsidR="008713F9" w:rsidRPr="008713F9" w:rsidRDefault="00A77474" w:rsidP="00511B34">
      <w:pPr>
        <w:spacing w:line="260" w:lineRule="exact"/>
        <w:jc w:val="both"/>
        <w:rPr>
          <w:i/>
          <w:iCs/>
        </w:rPr>
      </w:pPr>
      <w:r>
        <w:t xml:space="preserve">Odgovor: </w:t>
      </w:r>
      <w:r w:rsidR="008713F9" w:rsidRPr="008713F9">
        <w:rPr>
          <w:i/>
          <w:iCs/>
        </w:rPr>
        <w:t>Glede na podan primer bo zavezanec o uporabi aranžmaja prvič poročal:</w:t>
      </w:r>
    </w:p>
    <w:p w14:paraId="629411CB" w14:textId="77777777" w:rsidR="008713F9" w:rsidRDefault="008713F9" w:rsidP="00511B34">
      <w:pPr>
        <w:pStyle w:val="Odstavekseznama"/>
        <w:spacing w:line="260" w:lineRule="exact"/>
        <w:jc w:val="both"/>
        <w:rPr>
          <w:i/>
          <w:iCs/>
        </w:rPr>
      </w:pPr>
    </w:p>
    <w:p w14:paraId="657B8BE9" w14:textId="77777777" w:rsidR="008713F9" w:rsidRDefault="008713F9" w:rsidP="00511B34">
      <w:pPr>
        <w:pStyle w:val="Odstavekseznama"/>
        <w:numPr>
          <w:ilvl w:val="0"/>
          <w:numId w:val="62"/>
        </w:numPr>
        <w:spacing w:line="260" w:lineRule="exact"/>
        <w:ind w:left="851" w:hanging="284"/>
        <w:contextualSpacing w:val="0"/>
        <w:jc w:val="both"/>
        <w:rPr>
          <w:i/>
          <w:iCs/>
        </w:rPr>
      </w:pPr>
      <w:r>
        <w:rPr>
          <w:i/>
          <w:iCs/>
        </w:rPr>
        <w:t>če se je aranžma začel uporabljati v obdobju od 1. 1. 2020 do 30. 6. 2020, poroča najkasneje do 28. 2. 2021,</w:t>
      </w:r>
    </w:p>
    <w:p w14:paraId="2C3C11B1" w14:textId="75C6CA78" w:rsidR="008713F9" w:rsidRPr="00B2036E" w:rsidRDefault="008713F9" w:rsidP="00447597">
      <w:pPr>
        <w:pStyle w:val="Odstavekseznama"/>
        <w:numPr>
          <w:ilvl w:val="0"/>
          <w:numId w:val="62"/>
        </w:numPr>
        <w:spacing w:line="260" w:lineRule="exact"/>
        <w:ind w:left="851" w:hanging="284"/>
        <w:contextualSpacing w:val="0"/>
        <w:jc w:val="both"/>
      </w:pPr>
      <w:r>
        <w:rPr>
          <w:i/>
          <w:iCs/>
        </w:rPr>
        <w:t>če se aranžma uporablja v letu 2021, poroča najkasneje do 31. 3. 2022 in tako vsako leto, dokler zavezanec uporablja aranžma.</w:t>
      </w:r>
    </w:p>
    <w:p w14:paraId="177F8D11" w14:textId="77777777" w:rsidR="0007526E" w:rsidRDefault="0007526E" w:rsidP="008713F9">
      <w:pPr>
        <w:spacing w:line="260" w:lineRule="exact"/>
      </w:pPr>
    </w:p>
    <w:p w14:paraId="13538FE2" w14:textId="77777777" w:rsidR="006B665D" w:rsidRPr="00E01194" w:rsidRDefault="0007526E" w:rsidP="008713F9">
      <w:pPr>
        <w:pStyle w:val="Napis2"/>
        <w:spacing w:line="260" w:lineRule="exact"/>
        <w:rPr>
          <w:lang w:val="sl-SI"/>
        </w:rPr>
      </w:pPr>
      <w:bookmarkStart w:id="70" w:name="_Toc62032521"/>
      <w:r w:rsidRPr="00E01194">
        <w:rPr>
          <w:lang w:val="sl-SI"/>
        </w:rPr>
        <w:t xml:space="preserve">Vprašanje </w:t>
      </w:r>
      <w:r>
        <w:fldChar w:fldCharType="begin"/>
      </w:r>
      <w:r w:rsidRPr="00E01194">
        <w:rPr>
          <w:lang w:val="sl-SI"/>
        </w:rPr>
        <w:instrText xml:space="preserve"> SEQ Vprašanje \* ARABIC </w:instrText>
      </w:r>
      <w:r>
        <w:fldChar w:fldCharType="separate"/>
      </w:r>
      <w:r w:rsidR="000262B5">
        <w:rPr>
          <w:noProof/>
          <w:lang w:val="sl-SI"/>
        </w:rPr>
        <w:t>2</w:t>
      </w:r>
      <w:r>
        <w:rPr>
          <w:noProof/>
        </w:rPr>
        <w:fldChar w:fldCharType="end"/>
      </w:r>
      <w:r w:rsidR="006B665D" w:rsidRPr="00E01194">
        <w:rPr>
          <w:lang w:val="sl-SI"/>
        </w:rPr>
        <w:t xml:space="preserve">: </w:t>
      </w:r>
    </w:p>
    <w:p w14:paraId="734ECD19" w14:textId="66525ACC" w:rsidR="0007526E" w:rsidRPr="00447597" w:rsidRDefault="006B665D" w:rsidP="00447597">
      <w:pPr>
        <w:pStyle w:val="Napis2"/>
        <w:spacing w:line="260" w:lineRule="exact"/>
      </w:pPr>
      <w:r w:rsidRPr="00E01194">
        <w:rPr>
          <w:lang w:val="sl-SI"/>
        </w:rPr>
        <w:t>K</w:t>
      </w:r>
      <w:r w:rsidR="0007526E" w:rsidRPr="00E01194">
        <w:rPr>
          <w:lang w:val="sl-SI"/>
        </w:rPr>
        <w:t>ako se poroča o ara</w:t>
      </w:r>
      <w:r w:rsidR="008713F9" w:rsidRPr="00E01194">
        <w:rPr>
          <w:lang w:val="sl-SI"/>
        </w:rPr>
        <w:t>n</w:t>
      </w:r>
      <w:r w:rsidR="0007526E" w:rsidRPr="00E01194">
        <w:rPr>
          <w:lang w:val="sl-SI"/>
        </w:rPr>
        <w:t>žmajih, povezanih z Združenim Kraljestvom?</w:t>
      </w:r>
      <w:bookmarkEnd w:id="70"/>
      <w:r w:rsidRPr="00E01194">
        <w:rPr>
          <w:lang w:val="sl-SI"/>
        </w:rPr>
        <w:t xml:space="preserve"> </w:t>
      </w:r>
      <w:r w:rsidR="0007526E" w:rsidRPr="00E01194">
        <w:rPr>
          <w:lang w:val="sl-SI"/>
        </w:rPr>
        <w:t>Ali so domači por</w:t>
      </w:r>
      <w:r w:rsidRPr="00E01194">
        <w:rPr>
          <w:lang w:val="sl-SI"/>
        </w:rPr>
        <w:t>očevalci po 1. 1. 2021, ko je Zd</w:t>
      </w:r>
      <w:r w:rsidR="0007526E" w:rsidRPr="00E01194">
        <w:rPr>
          <w:lang w:val="sl-SI"/>
        </w:rPr>
        <w:t xml:space="preserve">ruženo Kraljestvo dokončno izstopilo iz Evropske Unije, oproščeni poročanja v Sloveniji, če so podatki o aranžmaju </w:t>
      </w:r>
      <w:r w:rsidR="00511B34">
        <w:rPr>
          <w:lang w:val="sl-SI"/>
        </w:rPr>
        <w:t xml:space="preserve">predhodno </w:t>
      </w:r>
      <w:r w:rsidR="0007526E" w:rsidRPr="00E01194">
        <w:rPr>
          <w:lang w:val="sl-SI"/>
        </w:rPr>
        <w:t xml:space="preserve">že </w:t>
      </w:r>
      <w:r w:rsidR="00511B34">
        <w:rPr>
          <w:lang w:val="sl-SI"/>
        </w:rPr>
        <w:t xml:space="preserve">bili </w:t>
      </w:r>
      <w:r w:rsidR="0007526E" w:rsidRPr="00E01194">
        <w:rPr>
          <w:lang w:val="sl-SI"/>
        </w:rPr>
        <w:t>predloženi v Združenem Kraljestvu?</w:t>
      </w:r>
    </w:p>
    <w:p w14:paraId="311F2DB8" w14:textId="77777777" w:rsidR="0007526E" w:rsidRPr="000E0611" w:rsidRDefault="0007526E" w:rsidP="008713F9">
      <w:pPr>
        <w:spacing w:line="260" w:lineRule="exact"/>
        <w:jc w:val="both"/>
        <w:rPr>
          <w:szCs w:val="20"/>
        </w:rPr>
      </w:pPr>
      <w:r w:rsidRPr="003F77AE">
        <w:t>Odgovor:</w:t>
      </w:r>
      <w:r>
        <w:rPr>
          <w:i/>
        </w:rPr>
        <w:t xml:space="preserve"> </w:t>
      </w:r>
      <w:r w:rsidR="00511B34">
        <w:rPr>
          <w:szCs w:val="20"/>
        </w:rPr>
        <w:t>Podatki, ki so bili pred 1. 1. 2021 predhodno že poročani v združenem Kraljestvu, se obravnavajo kot podatki</w:t>
      </w:r>
      <w:r w:rsidR="00511B34" w:rsidRPr="000E0611">
        <w:rPr>
          <w:szCs w:val="20"/>
        </w:rPr>
        <w:t>, oddan</w:t>
      </w:r>
      <w:r w:rsidR="00511B34">
        <w:rPr>
          <w:szCs w:val="20"/>
        </w:rPr>
        <w:t>i</w:t>
      </w:r>
      <w:r w:rsidR="00511B34" w:rsidRPr="000E0611">
        <w:rPr>
          <w:szCs w:val="20"/>
        </w:rPr>
        <w:t xml:space="preserve"> v drugi državi članici. </w:t>
      </w:r>
      <w:r w:rsidR="00511B34">
        <w:t xml:space="preserve">Po </w:t>
      </w:r>
      <w:r w:rsidRPr="000E0611">
        <w:rPr>
          <w:szCs w:val="20"/>
        </w:rPr>
        <w:t>1. 1. 202</w:t>
      </w:r>
      <w:r>
        <w:rPr>
          <w:szCs w:val="20"/>
        </w:rPr>
        <w:t>1</w:t>
      </w:r>
      <w:r w:rsidRPr="000E0611">
        <w:rPr>
          <w:szCs w:val="20"/>
        </w:rPr>
        <w:t xml:space="preserve"> </w:t>
      </w:r>
      <w:r w:rsidR="00511B34">
        <w:rPr>
          <w:szCs w:val="20"/>
        </w:rPr>
        <w:t xml:space="preserve">se Združeno Kraljestvo ne šteje več za državo članico, zato se po tem datumu v Sloveniji poroča neodvisno od situacije v Združenem Kraljestvu. </w:t>
      </w:r>
      <w:r w:rsidRPr="000E0611">
        <w:rPr>
          <w:szCs w:val="20"/>
        </w:rPr>
        <w:t>Navedeno velja tako za primere iz 255</w:t>
      </w:r>
      <w:r w:rsidR="00153AB7">
        <w:rPr>
          <w:szCs w:val="20"/>
        </w:rPr>
        <w:t>.</w:t>
      </w:r>
      <w:r w:rsidRPr="000E0611">
        <w:rPr>
          <w:szCs w:val="20"/>
        </w:rPr>
        <w:t>t člena ZDavP-2 (poročanje več posrednikov), kot za tiste iz 255</w:t>
      </w:r>
      <w:r w:rsidR="00153AB7">
        <w:rPr>
          <w:szCs w:val="20"/>
        </w:rPr>
        <w:t>.</w:t>
      </w:r>
      <w:r w:rsidRPr="000E0611">
        <w:rPr>
          <w:szCs w:val="20"/>
        </w:rPr>
        <w:t xml:space="preserve">r člena ZDavP-2 (večkratno poročanje istega posrednika). </w:t>
      </w:r>
    </w:p>
    <w:p w14:paraId="1429CC94" w14:textId="77777777" w:rsidR="0007526E" w:rsidRPr="000E0611" w:rsidRDefault="0007526E" w:rsidP="008713F9">
      <w:pPr>
        <w:spacing w:line="260" w:lineRule="exact"/>
        <w:jc w:val="both"/>
        <w:rPr>
          <w:szCs w:val="20"/>
        </w:rPr>
      </w:pPr>
    </w:p>
    <w:p w14:paraId="229A105A" w14:textId="77777777" w:rsidR="0007526E" w:rsidRPr="000E0611" w:rsidRDefault="0007526E" w:rsidP="008713F9">
      <w:pPr>
        <w:spacing w:line="260" w:lineRule="exact"/>
        <w:jc w:val="both"/>
        <w:rPr>
          <w:szCs w:val="20"/>
        </w:rPr>
      </w:pPr>
      <w:r w:rsidRPr="000E0611">
        <w:rPr>
          <w:szCs w:val="20"/>
        </w:rPr>
        <w:t>Povedano drugače: če podatki zaradi narave in značilnosti konkretnega čezmejnega aranžmaja</w:t>
      </w:r>
      <w:r w:rsidRPr="000E0611">
        <w:rPr>
          <w:rStyle w:val="Sprotnaopomba-sklic"/>
          <w:szCs w:val="20"/>
        </w:rPr>
        <w:footnoteReference w:id="30"/>
      </w:r>
      <w:r w:rsidRPr="000E0611">
        <w:rPr>
          <w:szCs w:val="20"/>
        </w:rPr>
        <w:t xml:space="preserve"> ne bodo predloženi v kateri koli drugi </w:t>
      </w:r>
      <w:r>
        <w:rPr>
          <w:szCs w:val="20"/>
        </w:rPr>
        <w:t xml:space="preserve">državi </w:t>
      </w:r>
      <w:r w:rsidRPr="000E0611">
        <w:rPr>
          <w:szCs w:val="20"/>
        </w:rPr>
        <w:t>članici EU, potem pogoj za oprostitev poročanja v Sloveniji ni izpolnjen.</w:t>
      </w:r>
    </w:p>
    <w:p w14:paraId="0B720439" w14:textId="77777777" w:rsidR="0007526E" w:rsidRDefault="0007526E" w:rsidP="008713F9">
      <w:pPr>
        <w:spacing w:line="260" w:lineRule="exact"/>
        <w:jc w:val="both"/>
        <w:rPr>
          <w:i/>
        </w:rPr>
      </w:pPr>
    </w:p>
    <w:p w14:paraId="3018A2AD" w14:textId="77777777" w:rsidR="00E32DCB" w:rsidRPr="00B2036E" w:rsidRDefault="00E32DCB" w:rsidP="002E133C">
      <w:pPr>
        <w:pStyle w:val="Napis2"/>
        <w:rPr>
          <w:i/>
          <w:lang w:val="sl-SI"/>
        </w:rPr>
      </w:pPr>
      <w:r w:rsidRPr="00E67CEE">
        <w:rPr>
          <w:lang w:val="sl-SI"/>
        </w:rPr>
        <w:lastRenderedPageBreak/>
        <w:t xml:space="preserve">Vprašanje </w:t>
      </w:r>
      <w:r>
        <w:fldChar w:fldCharType="begin"/>
      </w:r>
      <w:r w:rsidRPr="00B2036E">
        <w:rPr>
          <w:lang w:val="sl-SI"/>
        </w:rPr>
        <w:instrText xml:space="preserve"> SEQ Vprašanje \* ARABIC </w:instrText>
      </w:r>
      <w:r>
        <w:fldChar w:fldCharType="separate"/>
      </w:r>
      <w:r w:rsidRPr="00B2036E">
        <w:rPr>
          <w:noProof/>
          <w:lang w:val="sl-SI"/>
        </w:rPr>
        <w:t>3</w:t>
      </w:r>
      <w:r>
        <w:rPr>
          <w:noProof/>
        </w:rPr>
        <w:fldChar w:fldCharType="end"/>
      </w:r>
      <w:r w:rsidRPr="00B2036E">
        <w:rPr>
          <w:noProof/>
          <w:lang w:val="sl-SI"/>
        </w:rPr>
        <w:t>:</w:t>
      </w:r>
    </w:p>
    <w:p w14:paraId="3C258184" w14:textId="77777777" w:rsidR="00E32DCB" w:rsidRPr="002E133C" w:rsidRDefault="00E32DCB" w:rsidP="00E32DCB">
      <w:pPr>
        <w:keepNext/>
        <w:spacing w:beforeLines="60" w:before="144" w:afterLines="60" w:after="144" w:line="260" w:lineRule="exact"/>
        <w:jc w:val="both"/>
        <w:rPr>
          <w:b/>
        </w:rPr>
      </w:pPr>
      <w:r w:rsidRPr="002E133C">
        <w:rPr>
          <w:b/>
        </w:rPr>
        <w:t>Vprašanje: Kako dolgo morajo poročevalci zagotavljati revizijsko sled o tem, kako so ugotavljali, ali je potrebno poročanje?</w:t>
      </w:r>
    </w:p>
    <w:p w14:paraId="05E6876A" w14:textId="77777777" w:rsidR="00E32DCB" w:rsidRDefault="00E32DCB" w:rsidP="00E32DCB">
      <w:pPr>
        <w:spacing w:line="260" w:lineRule="exact"/>
        <w:jc w:val="both"/>
      </w:pPr>
      <w:r>
        <w:t>Izdajanje in hramba dokumentacije za namene DAC6 poročanja  v ZDavP-2 nista posebej urejeni, zato se uporabijo splošne določbe o obveznosti dokumentiranja in hrambi dokumentacije iz 31. in 32. člena ZDavP-2, v povezavi s 125. členom ZDavP-2. Dokumenti in evidence se morajo hraniti do poteka absolutnega zastaralnega roka pravice do izterjave davka, na katerega se nanašajo, torej 10 let.</w:t>
      </w:r>
    </w:p>
    <w:p w14:paraId="3D808AB0" w14:textId="77777777" w:rsidR="0007526E" w:rsidRDefault="0007526E" w:rsidP="008713F9">
      <w:pPr>
        <w:spacing w:line="260" w:lineRule="exact"/>
      </w:pPr>
    </w:p>
    <w:p w14:paraId="075554E3" w14:textId="77777777" w:rsidR="006B665D" w:rsidRDefault="0007526E" w:rsidP="008713F9">
      <w:pPr>
        <w:pStyle w:val="Napis2"/>
        <w:spacing w:line="260" w:lineRule="exact"/>
      </w:pPr>
      <w:bookmarkStart w:id="71" w:name="_Toc62032522"/>
      <w:r w:rsidRPr="00E01194">
        <w:rPr>
          <w:lang w:val="sl-SI"/>
        </w:rPr>
        <w:t xml:space="preserve">Vprašanje </w:t>
      </w:r>
      <w:r>
        <w:fldChar w:fldCharType="begin"/>
      </w:r>
      <w:r>
        <w:instrText xml:space="preserve"> SEQ Vprašanje \* ARABIC </w:instrText>
      </w:r>
      <w:r>
        <w:fldChar w:fldCharType="separate"/>
      </w:r>
      <w:r w:rsidR="00E32DCB">
        <w:rPr>
          <w:noProof/>
        </w:rPr>
        <w:t>4</w:t>
      </w:r>
      <w:r>
        <w:rPr>
          <w:noProof/>
        </w:rPr>
        <w:fldChar w:fldCharType="end"/>
      </w:r>
      <w:r>
        <w:t xml:space="preserve">: </w:t>
      </w:r>
    </w:p>
    <w:p w14:paraId="6FA63EDC" w14:textId="77777777" w:rsidR="0007526E" w:rsidRPr="00511B34" w:rsidRDefault="0007526E" w:rsidP="008713F9">
      <w:pPr>
        <w:spacing w:line="260" w:lineRule="exact"/>
        <w:jc w:val="both"/>
      </w:pPr>
      <w:r w:rsidRPr="006B665D">
        <w:rPr>
          <w:b/>
        </w:rPr>
        <w:t>Ali se poroča tudi o nesklenjenih poslih?</w:t>
      </w:r>
      <w:bookmarkEnd w:id="71"/>
      <w:r w:rsidR="006B665D">
        <w:rPr>
          <w:b/>
        </w:rPr>
        <w:t xml:space="preserve"> </w:t>
      </w:r>
      <w:r w:rsidRPr="001D1F07">
        <w:t>Banka pripravi ponudbo (npr. izračun kredita) na poizvedbo stranke, vendar v nadaljevanju posel ni sklenjen (banka zavrne zahtevek za kredit ali stranka odstopi od posla). Davčni svetovalec pripravi nasvet v obliki ponudbe, posel v n</w:t>
      </w:r>
      <w:r w:rsidR="006B665D" w:rsidRPr="001D1F07">
        <w:t>a</w:t>
      </w:r>
      <w:r w:rsidRPr="001D1F07">
        <w:t>da</w:t>
      </w:r>
      <w:r w:rsidR="006B665D" w:rsidRPr="001D1F07">
        <w:t>l</w:t>
      </w:r>
      <w:r w:rsidRPr="001D1F07">
        <w:t>jevanju ni sklenjen. V obeh primerih potencialni poročevalec razpolaga z določenim obsegom podatkov, ravno tako so opravljene določene pripravljalne aktivnosti, kar bi lahko sprožilo obveznost poročanja.</w:t>
      </w:r>
      <w:r w:rsidRPr="006B665D">
        <w:rPr>
          <w:b/>
        </w:rPr>
        <w:t xml:space="preserve"> </w:t>
      </w:r>
      <w:r w:rsidRPr="00511B34">
        <w:t xml:space="preserve">Ali je </w:t>
      </w:r>
      <w:r w:rsidR="002E133C" w:rsidRPr="00511B34">
        <w:t xml:space="preserve">v teh primerih </w:t>
      </w:r>
      <w:r w:rsidRPr="00511B34">
        <w:t xml:space="preserve"> potrebno poročati?</w:t>
      </w:r>
    </w:p>
    <w:p w14:paraId="57C6792E" w14:textId="77777777" w:rsidR="0007526E" w:rsidRPr="006B665D" w:rsidRDefault="0007526E" w:rsidP="008713F9">
      <w:pPr>
        <w:spacing w:line="260" w:lineRule="exact"/>
        <w:rPr>
          <w:b/>
        </w:rPr>
      </w:pPr>
    </w:p>
    <w:p w14:paraId="7423ABE8" w14:textId="77777777" w:rsidR="0007526E" w:rsidRDefault="00A77474" w:rsidP="001D1F07">
      <w:pPr>
        <w:spacing w:line="260" w:lineRule="exact"/>
        <w:jc w:val="both"/>
      </w:pPr>
      <w:r>
        <w:t xml:space="preserve">Odgovor: </w:t>
      </w:r>
      <w:r w:rsidR="001D1F07">
        <w:t>V kolikor se banka ali davčni svetovalec štejeta za posrednika, potem se o</w:t>
      </w:r>
      <w:r w:rsidR="0007526E">
        <w:t xml:space="preserve"> aranžmaju  poroča takrat, ko je ta zasnovan v zadostni meri, da se lahko uporablja. </w:t>
      </w:r>
      <w:r w:rsidR="001D1F07">
        <w:t xml:space="preserve">Če </w:t>
      </w:r>
      <w:r w:rsidR="001D1F07" w:rsidRPr="004131F9">
        <w:t xml:space="preserve">storitve v obliki pomoči ali svetovanja s strani banke niso bile opravljene, in bi neizvršitev te storitve (npr. nakazilo kredita) pomenila, da aranžma ni zasnovan do te mere, da ga je mogoče izvesti, potem </w:t>
      </w:r>
      <w:r w:rsidR="001D1F07">
        <w:t xml:space="preserve">v splošnem velja, </w:t>
      </w:r>
      <w:r w:rsidR="00511B34">
        <w:t xml:space="preserve">da </w:t>
      </w:r>
      <w:r w:rsidR="001D1F07" w:rsidRPr="004131F9">
        <w:t>obveznosti</w:t>
      </w:r>
      <w:r w:rsidR="001D1F07">
        <w:t xml:space="preserve"> poročanja ni podana.   </w:t>
      </w:r>
    </w:p>
    <w:p w14:paraId="1786C717" w14:textId="77777777" w:rsidR="0007526E" w:rsidRDefault="0007526E" w:rsidP="008713F9">
      <w:pPr>
        <w:spacing w:line="260" w:lineRule="exact"/>
      </w:pPr>
    </w:p>
    <w:p w14:paraId="28906EBC" w14:textId="00723209" w:rsidR="006B665D" w:rsidRPr="00E01194" w:rsidRDefault="0007526E" w:rsidP="008713F9">
      <w:pPr>
        <w:pStyle w:val="Napis2"/>
        <w:spacing w:line="260" w:lineRule="exact"/>
        <w:rPr>
          <w:lang w:val="sl-SI"/>
        </w:rPr>
      </w:pPr>
      <w:r w:rsidRPr="00E01194">
        <w:rPr>
          <w:lang w:val="sl-SI"/>
        </w:rPr>
        <w:t xml:space="preserve">Vprašanje </w:t>
      </w:r>
      <w:r w:rsidR="00B2036E" w:rsidRPr="00447597">
        <w:rPr>
          <w:lang w:val="sl-SI"/>
        </w:rPr>
        <w:t>5</w:t>
      </w:r>
      <w:r w:rsidRPr="00E01194">
        <w:rPr>
          <w:lang w:val="sl-SI"/>
        </w:rPr>
        <w:t xml:space="preserve">: </w:t>
      </w:r>
    </w:p>
    <w:p w14:paraId="47F4F0AC" w14:textId="77777777" w:rsidR="0007526E" w:rsidRDefault="0007526E" w:rsidP="008713F9">
      <w:pPr>
        <w:spacing w:line="260" w:lineRule="exact"/>
        <w:jc w:val="both"/>
        <w:rPr>
          <w:b/>
        </w:rPr>
      </w:pPr>
      <w:r w:rsidRPr="006B665D">
        <w:rPr>
          <w:b/>
        </w:rPr>
        <w:t>Ali je potrebno poročati o aranžmaju, če je prepoznavna značilnost zaznana naknadno?</w:t>
      </w:r>
    </w:p>
    <w:p w14:paraId="1AC1D02D" w14:textId="77777777" w:rsidR="006B665D" w:rsidRPr="006B665D" w:rsidRDefault="006B665D" w:rsidP="008713F9">
      <w:pPr>
        <w:spacing w:line="260" w:lineRule="exact"/>
        <w:jc w:val="both"/>
        <w:rPr>
          <w:b/>
        </w:rPr>
      </w:pPr>
    </w:p>
    <w:p w14:paraId="185C1216" w14:textId="77777777" w:rsidR="0007526E" w:rsidRDefault="0007526E" w:rsidP="008713F9">
      <w:pPr>
        <w:spacing w:line="260" w:lineRule="exact"/>
        <w:jc w:val="both"/>
      </w:pPr>
      <w:r>
        <w:t>Odgovor: V primerih, ko posrednik po 2. odstavku 255</w:t>
      </w:r>
      <w:r w:rsidR="00153AB7">
        <w:t>.</w:t>
      </w:r>
      <w:r>
        <w:t>o č</w:t>
      </w:r>
      <w:r w:rsidR="00A77474">
        <w:t>l</w:t>
      </w:r>
      <w:r>
        <w:t>ena ZDavP-2 naknadno ugotovi, da je sodeloval v aranžmaju, o katerem se poroča, (na primer, če revizor v postopku revidiranja identificira transakcijo, o kateri se poroča ali če banka to zazna šele v kasnejših obdobjih o</w:t>
      </w:r>
      <w:r w:rsidR="00A77474">
        <w:t>d</w:t>
      </w:r>
      <w:r>
        <w:t>plačevanja kredita), obveznost poročanja ne nastopi, saj revizor oziroma banka nista nudila pomoči pri oblikovanju in trženju aranžmaja, temveč sta zgolj naknadno zaznala to transakcijo.</w:t>
      </w:r>
    </w:p>
    <w:p w14:paraId="1F2E9143" w14:textId="77777777" w:rsidR="0007526E" w:rsidRDefault="0007526E" w:rsidP="008713F9">
      <w:pPr>
        <w:spacing w:line="260" w:lineRule="exact"/>
        <w:jc w:val="both"/>
      </w:pPr>
    </w:p>
    <w:p w14:paraId="588784D1" w14:textId="37F6224A" w:rsidR="008713F9" w:rsidRPr="00E01194" w:rsidRDefault="0007526E" w:rsidP="008713F9">
      <w:pPr>
        <w:pStyle w:val="Napis2"/>
        <w:spacing w:line="260" w:lineRule="exact"/>
        <w:rPr>
          <w:lang w:val="sl-SI"/>
        </w:rPr>
      </w:pPr>
      <w:r w:rsidRPr="00E01194">
        <w:rPr>
          <w:lang w:val="sl-SI"/>
        </w:rPr>
        <w:t xml:space="preserve">Vprašanje </w:t>
      </w:r>
      <w:r w:rsidR="00B2036E" w:rsidRPr="00447597">
        <w:rPr>
          <w:lang w:val="sl-SI"/>
        </w:rPr>
        <w:t>6</w:t>
      </w:r>
      <w:r w:rsidRPr="00E01194">
        <w:rPr>
          <w:lang w:val="sl-SI"/>
        </w:rPr>
        <w:t xml:space="preserve">: </w:t>
      </w:r>
    </w:p>
    <w:p w14:paraId="61FF18B8" w14:textId="77777777" w:rsidR="0007526E" w:rsidRPr="00E01194" w:rsidRDefault="0007526E" w:rsidP="008713F9">
      <w:pPr>
        <w:pStyle w:val="Napis2"/>
        <w:spacing w:line="260" w:lineRule="exact"/>
        <w:rPr>
          <w:lang w:val="sl-SI"/>
        </w:rPr>
      </w:pPr>
      <w:r w:rsidRPr="00E01194">
        <w:rPr>
          <w:lang w:val="sl-SI"/>
        </w:rPr>
        <w:t>Ali se davčni svetovalec, ki pregleda čezmejni aranžma, vzpostavljenega s strani drugega posrednika, torej poda drugo mnenje o čezmejnem aranžmaju, opredeli kot posrednik?</w:t>
      </w:r>
    </w:p>
    <w:p w14:paraId="12644009" w14:textId="77777777" w:rsidR="0007526E" w:rsidRDefault="0007526E" w:rsidP="00E01194">
      <w:pPr>
        <w:spacing w:line="260" w:lineRule="exact"/>
        <w:jc w:val="both"/>
      </w:pPr>
      <w:r>
        <w:t>Odgovor:</w:t>
      </w:r>
      <w:r w:rsidR="00153AB7">
        <w:t xml:space="preserve"> V primeru, ko drug davčni svetovalec pregleda čezmejni aranžma in v zvezi z njim poda drugo mnenje gre za nudenje pomoči oziroma storitev, zato se posrednik obravnava kot </w:t>
      </w:r>
      <w:r w:rsidR="00511B34">
        <w:t>posrednik po drugem odstavku 255.o člena ZDavP-2.</w:t>
      </w:r>
      <w:r w:rsidR="00153AB7">
        <w:t xml:space="preserve"> </w:t>
      </w:r>
      <w:r w:rsidR="00284D25">
        <w:t xml:space="preserve">V tem primeru je namreč ob upoštevanju ustreznih dejstev in okoliščin ter na podlagi razpoložljivih informacij in ustreznega strokovnega znanja in razumevanja pričakovati ali bi bilo upravičeno pričakovati, da se zaveda, da s svojim pregledom in drugim mnenjem nudi pomoč  oziroma svetovanje glede čezmejnega aranžmaja o katerem se poroča. Šteje se namreč, da pregled aranžmaja in podano drugo mnenje o čezmejnem aranžmaju ni zgolj »naključna« seznanitev z aranžmajem pač pa gre za neko aktivnost, ki v odnosu do aranžmaja pomeni nudenje pomoči oziroma svetovanje. </w:t>
      </w:r>
    </w:p>
    <w:p w14:paraId="2AF9500B" w14:textId="77777777" w:rsidR="0007526E" w:rsidRPr="00912B22" w:rsidRDefault="0007526E" w:rsidP="008713F9">
      <w:pPr>
        <w:spacing w:line="260" w:lineRule="exact"/>
      </w:pPr>
    </w:p>
    <w:p w14:paraId="3980875E" w14:textId="5984CA43" w:rsidR="008713F9" w:rsidRPr="00E01194" w:rsidRDefault="008713F9" w:rsidP="008713F9">
      <w:pPr>
        <w:pStyle w:val="Napis"/>
        <w:spacing w:line="260" w:lineRule="exact"/>
        <w:rPr>
          <w:lang w:val="sl-SI"/>
        </w:rPr>
      </w:pPr>
      <w:r w:rsidRPr="00E01194">
        <w:rPr>
          <w:lang w:val="sl-SI"/>
        </w:rPr>
        <w:t xml:space="preserve">Vprašanje </w:t>
      </w:r>
      <w:r w:rsidR="00B2036E" w:rsidRPr="00447597">
        <w:rPr>
          <w:lang w:val="sl-SI"/>
        </w:rPr>
        <w:t>7</w:t>
      </w:r>
      <w:r w:rsidR="00447597">
        <w:rPr>
          <w:lang w:val="sl-SI"/>
        </w:rPr>
        <w:t>:</w:t>
      </w:r>
    </w:p>
    <w:p w14:paraId="12D60508" w14:textId="77777777" w:rsidR="008713F9" w:rsidRPr="008713F9" w:rsidRDefault="008713F9" w:rsidP="008713F9">
      <w:pPr>
        <w:spacing w:line="260" w:lineRule="exact"/>
        <w:jc w:val="both"/>
        <w:rPr>
          <w:rFonts w:ascii="Calibri" w:hAnsi="Calibri"/>
          <w:b/>
          <w:szCs w:val="22"/>
        </w:rPr>
      </w:pPr>
      <w:r w:rsidRPr="00E01194">
        <w:rPr>
          <w:b/>
          <w:lang w:eastAsia="sl-SI"/>
        </w:rPr>
        <w:t xml:space="preserve">Ali je pri prepoznavni značilnosti C2 potrebno </w:t>
      </w:r>
      <w:r w:rsidRPr="008713F9">
        <w:rPr>
          <w:b/>
        </w:rPr>
        <w:t xml:space="preserve">računovodski vidik nakupa licence preverjati tudi v kolikor gre za nakup s strani nepovezane osebe? Namreč v tem primeru moramo dejansko </w:t>
      </w:r>
      <w:r w:rsidRPr="008713F9">
        <w:rPr>
          <w:b/>
        </w:rPr>
        <w:lastRenderedPageBreak/>
        <w:t>kontaktirati dobavitelja in ga vprašati o računovodskem pripoznavanju posameznega sredstva in kaj storiti v kolikor dobavitelj ne poda odgovora?</w:t>
      </w:r>
    </w:p>
    <w:p w14:paraId="378BBC41" w14:textId="77777777" w:rsidR="008713F9" w:rsidRDefault="008713F9" w:rsidP="008713F9">
      <w:pPr>
        <w:spacing w:line="260" w:lineRule="exact"/>
      </w:pPr>
      <w:r>
        <w:t> </w:t>
      </w:r>
    </w:p>
    <w:p w14:paraId="06C1D3DF" w14:textId="77777777" w:rsidR="008713F9" w:rsidRPr="002E133C" w:rsidRDefault="008713F9" w:rsidP="008713F9">
      <w:pPr>
        <w:spacing w:line="260" w:lineRule="exact"/>
        <w:jc w:val="both"/>
      </w:pPr>
      <w:r w:rsidRPr="002E133C">
        <w:rPr>
          <w:iCs/>
        </w:rPr>
        <w:t>V kolikor slovenski rezident (kupec licence) sklene licenčno pogodbo z nepovezanim tujim davčnim rezidentom, slovenskemu davčnemu zavezancu ni potrebno poročati o tej transakciji slovenskemu davčnemu organu na podlagi posebne prepoznavne značilnosti, povezane s čezmejnimi transakcijami (C2) – odbitki za isto amortizacijo sredstev se uveljavljajo v več kot eni jurisdikciji. Poročanje je v primeru različnih pravnih oseb pogojeno z obstojem povezanosti med njimi in z obstojem istega sredstva v poslovnih knjigah več kot ene povezane osebe.</w:t>
      </w:r>
    </w:p>
    <w:p w14:paraId="54E9C5B6" w14:textId="77777777" w:rsidR="008713F9" w:rsidRPr="002E133C" w:rsidRDefault="008713F9" w:rsidP="008713F9">
      <w:pPr>
        <w:spacing w:line="260" w:lineRule="exact"/>
      </w:pPr>
      <w:r w:rsidRPr="002E133C">
        <w:t> </w:t>
      </w:r>
    </w:p>
    <w:p w14:paraId="2752BDB2" w14:textId="06FAAB28" w:rsidR="00767E2E" w:rsidRPr="00E01194" w:rsidRDefault="00767E2E" w:rsidP="00767E2E">
      <w:pPr>
        <w:pStyle w:val="Napis"/>
        <w:rPr>
          <w:lang w:val="sl-SI"/>
        </w:rPr>
      </w:pPr>
      <w:r w:rsidRPr="00E01194">
        <w:rPr>
          <w:lang w:val="sl-SI"/>
        </w:rPr>
        <w:t xml:space="preserve">Vprašanje </w:t>
      </w:r>
      <w:r w:rsidR="00B2036E" w:rsidRPr="00447597">
        <w:rPr>
          <w:lang w:val="sl-SI"/>
        </w:rPr>
        <w:t>8</w:t>
      </w:r>
      <w:r w:rsidRPr="00E01194">
        <w:rPr>
          <w:lang w:val="sl-SI"/>
        </w:rPr>
        <w:t>:</w:t>
      </w:r>
    </w:p>
    <w:p w14:paraId="2C4422B1" w14:textId="77777777" w:rsidR="00767E2E" w:rsidRPr="00E01194" w:rsidRDefault="00767E2E" w:rsidP="00767E2E">
      <w:pPr>
        <w:rPr>
          <w:b/>
          <w:lang w:eastAsia="sl-SI"/>
        </w:rPr>
      </w:pPr>
      <w:r w:rsidRPr="00E01194">
        <w:rPr>
          <w:b/>
          <w:lang w:eastAsia="sl-SI"/>
        </w:rPr>
        <w:t>Ali se poročajo prazni oziroma ničelni obrazci, brez podatkov?</w:t>
      </w:r>
    </w:p>
    <w:p w14:paraId="4CF3AFA6" w14:textId="77777777" w:rsidR="00767E2E" w:rsidRPr="00E01194" w:rsidRDefault="00767E2E" w:rsidP="00767E2E">
      <w:pPr>
        <w:rPr>
          <w:lang w:eastAsia="sl-SI"/>
        </w:rPr>
      </w:pPr>
    </w:p>
    <w:p w14:paraId="3BA65ADB" w14:textId="77777777" w:rsidR="00767E2E" w:rsidRPr="002E133C" w:rsidRDefault="00767E2E" w:rsidP="008713F9">
      <w:pPr>
        <w:spacing w:line="260" w:lineRule="exact"/>
        <w:rPr>
          <w:lang w:eastAsia="sl-SI"/>
        </w:rPr>
      </w:pPr>
      <w:r w:rsidRPr="00E01194">
        <w:rPr>
          <w:lang w:eastAsia="sl-SI"/>
        </w:rPr>
        <w:t>Odgovor:</w:t>
      </w:r>
      <w:r w:rsidR="008966AD">
        <w:rPr>
          <w:lang w:eastAsia="sl-SI"/>
        </w:rPr>
        <w:t xml:space="preserve"> </w:t>
      </w:r>
      <w:r w:rsidRPr="00E01194">
        <w:rPr>
          <w:lang w:eastAsia="sl-SI"/>
        </w:rPr>
        <w:t xml:space="preserve">Ne, poročevalci </w:t>
      </w:r>
      <w:r w:rsidR="00C7585E">
        <w:rPr>
          <w:lang w:eastAsia="sl-SI"/>
        </w:rPr>
        <w:t xml:space="preserve">oddajajo le </w:t>
      </w:r>
      <w:r w:rsidRPr="00E01194">
        <w:rPr>
          <w:lang w:eastAsia="sl-SI"/>
        </w:rPr>
        <w:t>poročil</w:t>
      </w:r>
      <w:r w:rsidR="00C7585E">
        <w:rPr>
          <w:lang w:eastAsia="sl-SI"/>
        </w:rPr>
        <w:t xml:space="preserve">a, ki vsebujejo podatke. </w:t>
      </w:r>
      <w:r w:rsidRPr="00E01194">
        <w:rPr>
          <w:lang w:eastAsia="sl-SI"/>
        </w:rPr>
        <w:t xml:space="preserve"> </w:t>
      </w:r>
    </w:p>
    <w:sectPr w:rsidR="00767E2E" w:rsidRPr="002E133C" w:rsidSect="00697F07">
      <w:headerReference w:type="default" r:id="rId21"/>
      <w:footerReference w:type="default" r:id="rId22"/>
      <w:headerReference w:type="first" r:id="rId23"/>
      <w:footerReference w:type="first" r:id="rId24"/>
      <w:pgSz w:w="11900" w:h="16840" w:code="9"/>
      <w:pgMar w:top="1418" w:right="1418" w:bottom="1418" w:left="1418" w:header="964"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14DF6" w14:textId="77777777" w:rsidR="00451C90" w:rsidRDefault="00451C90">
      <w:r>
        <w:separator/>
      </w:r>
    </w:p>
  </w:endnote>
  <w:endnote w:type="continuationSeparator" w:id="0">
    <w:p w14:paraId="08B10E16" w14:textId="77777777" w:rsidR="00451C90" w:rsidRDefault="00451C90">
      <w:r>
        <w:continuationSeparator/>
      </w:r>
    </w:p>
  </w:endnote>
  <w:endnote w:type="continuationNotice" w:id="1">
    <w:p w14:paraId="4F474A0E" w14:textId="77777777" w:rsidR="00451C90" w:rsidRDefault="00451C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EUAlbertina-Regu">
    <w:panose1 w:val="00000000000000000000"/>
    <w:charset w:val="EE"/>
    <w:family w:val="auto"/>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B6EAD" w14:textId="5CE00FF7" w:rsidR="006E3873" w:rsidRDefault="006E3873" w:rsidP="009F30FB">
    <w:pPr>
      <w:pStyle w:val="Noga"/>
      <w:jc w:val="right"/>
    </w:pPr>
    <w:r>
      <w:rPr>
        <w:lang w:val="en-US"/>
      </w:rPr>
      <w:fldChar w:fldCharType="begin"/>
    </w:r>
    <w:r>
      <w:instrText>PAGE   \* MERGEFORMAT</w:instrText>
    </w:r>
    <w:r>
      <w:rPr>
        <w:lang w:val="en-US"/>
      </w:rPr>
      <w:fldChar w:fldCharType="separate"/>
    </w:r>
    <w:r w:rsidR="008722F8">
      <w:rPr>
        <w:noProof/>
      </w:rPr>
      <w:t>19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18D67" w14:textId="77777777" w:rsidR="006E3873" w:rsidRDefault="006E3873" w:rsidP="00751D38">
    <w:pPr>
      <w:pStyle w:val="Nog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F7243" w14:textId="77777777" w:rsidR="00451C90" w:rsidRDefault="00451C90">
      <w:r>
        <w:separator/>
      </w:r>
    </w:p>
  </w:footnote>
  <w:footnote w:type="continuationSeparator" w:id="0">
    <w:p w14:paraId="13FD655D" w14:textId="77777777" w:rsidR="00451C90" w:rsidRDefault="00451C90">
      <w:r>
        <w:continuationSeparator/>
      </w:r>
    </w:p>
  </w:footnote>
  <w:footnote w:type="continuationNotice" w:id="1">
    <w:p w14:paraId="07E02700" w14:textId="77777777" w:rsidR="00451C90" w:rsidRDefault="00451C90">
      <w:pPr>
        <w:spacing w:line="240" w:lineRule="auto"/>
      </w:pPr>
    </w:p>
  </w:footnote>
  <w:footnote w:id="2">
    <w:p w14:paraId="7805BBDF" w14:textId="77777777" w:rsidR="006E3873" w:rsidRPr="00702CDB" w:rsidRDefault="006E3873" w:rsidP="00E23D31">
      <w:pPr>
        <w:pStyle w:val="Sprotnaopomba-besedilo"/>
      </w:pPr>
      <w:r w:rsidRPr="00702CDB">
        <w:rPr>
          <w:rStyle w:val="Sprotnaopomba-sklic"/>
          <w:rFonts w:cs="Arial"/>
        </w:rPr>
        <w:footnoteRef/>
      </w:r>
      <w:r w:rsidRPr="00702CDB">
        <w:t xml:space="preserve"> BEPS Ukrep 12 je del Poročila o Akcijskem načrtu BEPS. </w:t>
      </w:r>
      <w:r w:rsidRPr="00702CDB">
        <w:rPr>
          <w:rStyle w:val="Krepko"/>
          <w:rFonts w:cs="Arial"/>
          <w:b w:val="0"/>
        </w:rPr>
        <w:t>OECD</w:t>
      </w:r>
      <w:r>
        <w:rPr>
          <w:rStyle w:val="Krepko"/>
          <w:rFonts w:cs="Arial"/>
          <w:b w:val="0"/>
        </w:rPr>
        <w:t xml:space="preserve"> je</w:t>
      </w:r>
      <w:r w:rsidRPr="00702CDB">
        <w:t xml:space="preserve"> leta 2013 sprejel Akcijski načrt v zvezi z BEPS in v njem predstavil </w:t>
      </w:r>
      <w:r w:rsidRPr="00702CDB">
        <w:rPr>
          <w:rStyle w:val="Krepko"/>
          <w:rFonts w:cs="Arial"/>
          <w:b w:val="0"/>
        </w:rPr>
        <w:t>15 ukrepov</w:t>
      </w:r>
      <w:r w:rsidRPr="00702CDB">
        <w:t xml:space="preserve"> - BEPS ukrepov. Kot rezultat skupnega dela držav G20 in držav OECD ter široke vključenosti držav v razvoju in sodelovanja mednarodnih integracij, vključno z Evropsko unijo, so bila oktobra </w:t>
      </w:r>
      <w:r w:rsidRPr="00702CDB">
        <w:rPr>
          <w:rStyle w:val="Krepko"/>
          <w:rFonts w:cs="Arial"/>
          <w:b w:val="0"/>
        </w:rPr>
        <w:t xml:space="preserve">2015 predstavljena in sprejeta Končna poročila 15 ukrepov zoper BEPS </w:t>
      </w:r>
      <w:r>
        <w:rPr>
          <w:rStyle w:val="Krepko"/>
          <w:rFonts w:cs="Arial"/>
          <w:b w:val="0"/>
          <w:i/>
        </w:rPr>
        <w:t>(Base Erosion and P</w:t>
      </w:r>
      <w:r w:rsidRPr="00702CDB">
        <w:rPr>
          <w:rStyle w:val="Krepko"/>
          <w:rFonts w:cs="Arial"/>
          <w:b w:val="0"/>
          <w:i/>
        </w:rPr>
        <w:t xml:space="preserve">rofit </w:t>
      </w:r>
      <w:r>
        <w:rPr>
          <w:rStyle w:val="Krepko"/>
          <w:rFonts w:cs="Arial"/>
          <w:b w:val="0"/>
          <w:i/>
        </w:rPr>
        <w:t>S</w:t>
      </w:r>
      <w:r w:rsidRPr="00702CDB">
        <w:rPr>
          <w:rStyle w:val="Krepko"/>
          <w:rFonts w:cs="Arial"/>
          <w:b w:val="0"/>
          <w:i/>
        </w:rPr>
        <w:t>hifting),</w:t>
      </w:r>
      <w:r w:rsidRPr="00702CDB">
        <w:rPr>
          <w:rStyle w:val="Krepko"/>
          <w:rFonts w:cs="Arial"/>
          <w:b w:val="0"/>
        </w:rPr>
        <w:t xml:space="preserve"> ki so objavljena na spletni strani OECD.</w:t>
      </w:r>
    </w:p>
  </w:footnote>
  <w:footnote w:id="3">
    <w:p w14:paraId="0F055C64" w14:textId="77777777" w:rsidR="006E3873" w:rsidRDefault="006E3873" w:rsidP="00E23D31">
      <w:pPr>
        <w:pStyle w:val="Sprotnaopomba-besedilo"/>
      </w:pPr>
      <w:r>
        <w:rPr>
          <w:rStyle w:val="Sprotnaopomba-sklic"/>
        </w:rPr>
        <w:footnoteRef/>
      </w:r>
      <w:r>
        <w:t xml:space="preserve"> </w:t>
      </w:r>
      <w:r>
        <w:t>Č</w:t>
      </w:r>
      <w:r w:rsidRPr="00C666E9">
        <w:t xml:space="preserve">ezmejni aranžma, o katerem se poroča, pomeni vsak čezmejni aranžma, ki ima vsaj eno od prepoznavnih značilnosti iz Priloge IV Direktive 2011/16/EU. </w:t>
      </w:r>
    </w:p>
  </w:footnote>
  <w:footnote w:id="4">
    <w:p w14:paraId="5BB61DE7" w14:textId="77777777" w:rsidR="006E3873" w:rsidRDefault="006E3873" w:rsidP="00B70FFD">
      <w:pPr>
        <w:pStyle w:val="Sprotnaopomba-besedilo"/>
      </w:pPr>
      <w:r>
        <w:rPr>
          <w:rStyle w:val="Sprotnaopomba-sklic"/>
        </w:rPr>
        <w:footnoteRef/>
      </w:r>
      <w:r>
        <w:t xml:space="preserve"> </w:t>
      </w:r>
      <w:r>
        <w:t>Upoštevajoč definicijo tržnega aranžmaja iz 14. točke 243a. člena ZDavP-2.</w:t>
      </w:r>
    </w:p>
  </w:footnote>
  <w:footnote w:id="5">
    <w:p w14:paraId="74A5FBE2" w14:textId="77777777" w:rsidR="006E3873" w:rsidRDefault="006E3873" w:rsidP="00E23D31">
      <w:pPr>
        <w:pStyle w:val="Sprotnaopomba-besedilo"/>
      </w:pPr>
      <w:r>
        <w:rPr>
          <w:rStyle w:val="Sprotnaopomba-sklic"/>
        </w:rPr>
        <w:footnoteRef/>
      </w:r>
      <w:r>
        <w:t xml:space="preserve"> </w:t>
      </w:r>
      <w:r w:rsidRPr="00680F12">
        <w:t>Med nacionalne določbe, o katerih poroča pristojni organ, štejejo tudi sporazumi, ki jih ima Slovenija sklenjene z drugimi državami, sem spadajo torej tudi relevantne določbe konvencij o izogibanju dvojnega obdavčevanja, sklenjene s</w:t>
      </w:r>
      <w:r>
        <w:t xml:space="preserve"> konkretno drugo državo. Navadno</w:t>
      </w:r>
      <w:r w:rsidRPr="00680F12">
        <w:t xml:space="preserve"> se aranžma nanaša na nacionalne določbe več kot ene države članice EU/jurisdikcije, saj gre za čezmejne aranžmaje, tako da je treba poročati tudi o teh.</w:t>
      </w:r>
      <w:r>
        <w:t xml:space="preserve"> </w:t>
      </w:r>
    </w:p>
  </w:footnote>
  <w:footnote w:id="6">
    <w:p w14:paraId="1EBD0C8F" w14:textId="77777777" w:rsidR="006E3873" w:rsidRDefault="006E3873" w:rsidP="00C666E9">
      <w:pPr>
        <w:spacing w:line="260" w:lineRule="exact"/>
        <w:jc w:val="both"/>
      </w:pPr>
      <w:r w:rsidRPr="00C666E9">
        <w:rPr>
          <w:rStyle w:val="Sprotnaopomba-sklic"/>
          <w:sz w:val="16"/>
          <w:szCs w:val="16"/>
        </w:rPr>
        <w:footnoteRef/>
      </w:r>
      <w:r w:rsidRPr="00C666E9">
        <w:rPr>
          <w:sz w:val="16"/>
          <w:szCs w:val="16"/>
        </w:rPr>
        <w:t xml:space="preserve"> </w:t>
      </w:r>
      <w:r w:rsidRPr="00C666E9">
        <w:rPr>
          <w:rFonts w:cs="Arial"/>
          <w:sz w:val="16"/>
          <w:szCs w:val="16"/>
          <w:lang w:eastAsia="sl-SI"/>
        </w:rPr>
        <w:t>Kaj predstavlja vrednost aranžmaja, je odvisno od okoliščin primera, najpogosteje bo to vrednost transakcije. Vrednosti aranžmaja pa ne smemo enačiti ali zamenjati z višino davčne koristi, ta bo le izjemoma predstavljala vrednost transakcije.</w:t>
      </w:r>
    </w:p>
  </w:footnote>
  <w:footnote w:id="7">
    <w:p w14:paraId="55977C60" w14:textId="77777777" w:rsidR="006E3873" w:rsidRDefault="006E3873" w:rsidP="00577F4D">
      <w:pPr>
        <w:pStyle w:val="Sprotnaopomba-besedilo"/>
      </w:pPr>
      <w:r>
        <w:rPr>
          <w:rStyle w:val="Sprotnaopomba-sklic"/>
        </w:rPr>
        <w:footnoteRef/>
      </w:r>
      <w:r>
        <w:t xml:space="preserve"> </w:t>
      </w:r>
      <w:r w:rsidRPr="00764352">
        <w:t xml:space="preserve">Poslovni subjekti dostopajo do portala </w:t>
      </w:r>
      <w:r>
        <w:t xml:space="preserve">eDavki </w:t>
      </w:r>
      <w:r w:rsidRPr="00764352">
        <w:t>s kvalificiranim digitalnim potrdilom. Če nimajo po</w:t>
      </w:r>
      <w:r>
        <w:t>trebne opreme za vstop v portal</w:t>
      </w:r>
      <w:r w:rsidRPr="00764352">
        <w:t>, lahko določijo pooblaščenca. Fizične osebe lahko do po</w:t>
      </w:r>
      <w:r>
        <w:t>rtala dostopajo s kvalificirani</w:t>
      </w:r>
      <w:r w:rsidRPr="00764352">
        <w:t>m</w:t>
      </w:r>
      <w:r>
        <w:t xml:space="preserve"> </w:t>
      </w:r>
      <w:r w:rsidRPr="00764352">
        <w:t>digitalnim potrdilom, uporabniškim računom ali z</w:t>
      </w:r>
      <w:r>
        <w:t xml:space="preserve"> </w:t>
      </w:r>
      <w:r w:rsidRPr="00764352">
        <w:t xml:space="preserve">mobilno aplikacijo eDavki.  Več informacij o poslovanju preko portala si lahko preberete na spletni strani Finančne uprave RS, </w:t>
      </w:r>
      <w:hyperlink r:id="rId1" w:history="1">
        <w:r w:rsidRPr="00764352">
          <w:rPr>
            <w:rStyle w:val="Hiperpovezava"/>
          </w:rPr>
          <w:t>https://www.fu.gov.si/davki_in_druge_dajatve/poslovanje_z_nami/e_davki/</w:t>
        </w:r>
      </w:hyperlink>
      <w:r>
        <w:t xml:space="preserve"> .</w:t>
      </w:r>
    </w:p>
  </w:footnote>
  <w:footnote w:id="8">
    <w:p w14:paraId="2F8B5215" w14:textId="77777777" w:rsidR="006E3873" w:rsidRDefault="006E3873">
      <w:pPr>
        <w:pStyle w:val="Sprotnaopomba-besedilo"/>
      </w:pPr>
      <w:r>
        <w:rPr>
          <w:rStyle w:val="Sprotnaopomba-sklic"/>
        </w:rPr>
        <w:footnoteRef/>
      </w:r>
      <w:r>
        <w:t xml:space="preserve"> </w:t>
      </w:r>
      <w:r>
        <w:t>Osrednja podatkovna zbirka je zbirka držav članic EU za upravno sodelovanje na področju obdavčevanja, kjer se za izpolnitev obveznosti glede avtomatične izmenjave podatkov o čezmejnih aranžmajih, o katerih se poroča, beležijo podatki.</w:t>
      </w:r>
    </w:p>
  </w:footnote>
  <w:footnote w:id="9">
    <w:p w14:paraId="0ED8B5FD" w14:textId="77777777" w:rsidR="006E3873" w:rsidRDefault="006E3873" w:rsidP="00E23D31">
      <w:pPr>
        <w:pStyle w:val="Sprotnaopomba-besedilo"/>
      </w:pPr>
      <w:r>
        <w:rPr>
          <w:rStyle w:val="Sprotnaopomba-sklic"/>
        </w:rPr>
        <w:footnoteRef/>
      </w:r>
      <w:r>
        <w:t xml:space="preserve"> </w:t>
      </w:r>
      <w:r w:rsidRPr="00007620">
        <w:t xml:space="preserve">Standardni obrazec za avtomatično izmenjavo podatkov vsebuje elemente za izmenjavo podatkov, ki so našteti v členu 8ab(14) Direktive 2011/16/EU, ter druga z njimi povezana polja, potrebna za dosego ciljev iz člena 8ab navedene </w:t>
      </w:r>
      <w:r>
        <w:t>D</w:t>
      </w:r>
      <w:r w:rsidRPr="00007620">
        <w:t>irektive. Za zagotovitev učinkovitosti obvezne avtomatične izmenjave podatkov o čezmejnih aranžmajih, o katerih se poroča, zlasti kadar je podatke dolžan predložiti več kot en posrednik ali zadevni davčni zavezanec, se na podlagi Izvedbene uredbe Komisije v poročanje vključi dodatno polje, ki vsebuje referenčno številko čezmejnega aranžmaja (A-ID).</w:t>
      </w:r>
    </w:p>
  </w:footnote>
  <w:footnote w:id="10">
    <w:p w14:paraId="2ACA73E4" w14:textId="77777777" w:rsidR="006E3873" w:rsidRDefault="006E3873" w:rsidP="00E23D31">
      <w:pPr>
        <w:pStyle w:val="Sprotnaopomba-besedilo"/>
      </w:pPr>
      <w:r>
        <w:rPr>
          <w:rStyle w:val="Sprotnaopomba-sklic"/>
        </w:rPr>
        <w:footnoteRef/>
      </w:r>
      <w:r>
        <w:t xml:space="preserve"> </w:t>
      </w:r>
      <w:r w:rsidRPr="001C6FC1">
        <w:t>Priporočilo komisije  z dne 6.</w:t>
      </w:r>
      <w:r>
        <w:t xml:space="preserve"> </w:t>
      </w:r>
      <w:r w:rsidRPr="001C6FC1">
        <w:t>decembra 2012 o agresivnem davčnem načrtovanju</w:t>
      </w:r>
      <w:r>
        <w:t xml:space="preserve"> (2012/772/EU). </w:t>
      </w:r>
    </w:p>
  </w:footnote>
  <w:footnote w:id="11">
    <w:p w14:paraId="33CCC885" w14:textId="77777777" w:rsidR="006E3873" w:rsidRPr="00E07711" w:rsidRDefault="006E3873" w:rsidP="00E23D31">
      <w:pPr>
        <w:pStyle w:val="Sprotnaopomba-besedilo"/>
      </w:pPr>
      <w:r w:rsidRPr="00E07711">
        <w:rPr>
          <w:rStyle w:val="Sprotnaopomba-sklic"/>
        </w:rPr>
        <w:footnoteRef/>
      </w:r>
      <w:r w:rsidRPr="00E07711">
        <w:t xml:space="preserve"> </w:t>
      </w:r>
      <w:r w:rsidRPr="00E07711">
        <w:t xml:space="preserve">VSRS Sklep X Ips 314/2013, z dne 6. 4. 2016. </w:t>
      </w:r>
    </w:p>
  </w:footnote>
  <w:footnote w:id="12">
    <w:p w14:paraId="52357639" w14:textId="77777777" w:rsidR="006E3873" w:rsidRPr="00064B7F" w:rsidRDefault="006E3873" w:rsidP="00853430">
      <w:pPr>
        <w:pStyle w:val="len1"/>
        <w:spacing w:before="0"/>
        <w:jc w:val="left"/>
        <w:rPr>
          <w:sz w:val="16"/>
          <w:szCs w:val="16"/>
        </w:rPr>
      </w:pPr>
      <w:r>
        <w:rPr>
          <w:rStyle w:val="Sprotnaopomba-sklic"/>
        </w:rPr>
        <w:footnoteRef/>
      </w:r>
      <w:r>
        <w:t xml:space="preserve"> </w:t>
      </w:r>
      <w:r>
        <w:rPr>
          <w:sz w:val="16"/>
          <w:szCs w:val="16"/>
        </w:rPr>
        <w:t>74. č</w:t>
      </w:r>
      <w:r w:rsidRPr="00064B7F">
        <w:rPr>
          <w:sz w:val="16"/>
          <w:szCs w:val="16"/>
        </w:rPr>
        <w:t>len: (ugotavljanje dejstev)</w:t>
      </w:r>
    </w:p>
    <w:p w14:paraId="680555BA" w14:textId="77777777" w:rsidR="006E3873" w:rsidRPr="00064B7F" w:rsidRDefault="006E3873" w:rsidP="00064B7F">
      <w:pPr>
        <w:pStyle w:val="odstavek1"/>
        <w:spacing w:before="0"/>
        <w:ind w:firstLine="0"/>
        <w:rPr>
          <w:sz w:val="16"/>
          <w:szCs w:val="16"/>
        </w:rPr>
      </w:pPr>
      <w:r w:rsidRPr="00064B7F">
        <w:rPr>
          <w:sz w:val="16"/>
          <w:szCs w:val="16"/>
        </w:rPr>
        <w:t>(1) Če se z nekim dejanjem ali ravnanjem krši zakon, s katerim se prepoveduje ali nalaga neko dejanje ali ravnanje, nastanejo pa gospodarske (ekonomske) posledice, to ne vpliva na obdavčenje.</w:t>
      </w:r>
    </w:p>
    <w:p w14:paraId="2FB6A56D" w14:textId="77777777" w:rsidR="006E3873" w:rsidRPr="00064B7F" w:rsidRDefault="006E3873" w:rsidP="00064B7F">
      <w:pPr>
        <w:pStyle w:val="odstavek1"/>
        <w:spacing w:before="0"/>
        <w:ind w:firstLine="0"/>
        <w:rPr>
          <w:sz w:val="16"/>
          <w:szCs w:val="16"/>
        </w:rPr>
      </w:pPr>
      <w:r w:rsidRPr="00064B7F">
        <w:rPr>
          <w:sz w:val="16"/>
          <w:szCs w:val="16"/>
        </w:rPr>
        <w:t>(2) Če je pravni posel neveljaven ali postane neveljaven, to ne vpliv</w:t>
      </w:r>
      <w:r>
        <w:rPr>
          <w:sz w:val="16"/>
          <w:szCs w:val="16"/>
        </w:rPr>
        <w:t>a na obdavčenje, če gospodarske (</w:t>
      </w:r>
      <w:r w:rsidRPr="00064B7F">
        <w:rPr>
          <w:sz w:val="16"/>
          <w:szCs w:val="16"/>
        </w:rPr>
        <w:t>ekonomske) posledice tega pravnega posla kljub njegovi neveljavnosti nastanejo in obstojijo, če ni z zakonom o obdavčenju drugače določeno.</w:t>
      </w:r>
    </w:p>
    <w:p w14:paraId="0CF50CCF" w14:textId="77777777" w:rsidR="006E3873" w:rsidRPr="00064B7F" w:rsidRDefault="006E3873" w:rsidP="00064B7F">
      <w:pPr>
        <w:pStyle w:val="odstavek1"/>
        <w:spacing w:before="0"/>
        <w:ind w:firstLine="0"/>
        <w:rPr>
          <w:sz w:val="16"/>
          <w:szCs w:val="16"/>
        </w:rPr>
      </w:pPr>
      <w:r w:rsidRPr="00064B7F">
        <w:rPr>
          <w:sz w:val="16"/>
          <w:szCs w:val="16"/>
        </w:rPr>
        <w:t>(3) Navidezni pravni posli ne vplivajo na obdavčenje. Če navidezni pravni posel prikriva drug pravni posel, je za obdavčenje merodajen prikrit pravni posel.</w:t>
      </w:r>
    </w:p>
    <w:p w14:paraId="2FF91C3E" w14:textId="77777777" w:rsidR="006E3873" w:rsidRPr="00064B7F" w:rsidRDefault="006E3873" w:rsidP="00064B7F">
      <w:pPr>
        <w:pStyle w:val="odstavek1"/>
        <w:spacing w:before="0"/>
        <w:ind w:firstLine="0"/>
        <w:rPr>
          <w:sz w:val="16"/>
          <w:szCs w:val="16"/>
        </w:rPr>
      </w:pPr>
      <w:r w:rsidRPr="00064B7F">
        <w:rPr>
          <w:sz w:val="16"/>
          <w:szCs w:val="16"/>
        </w:rPr>
        <w:t>(4) Z izogibanjem ali zlorabo drugih predpisov se ni mogoče izogniti uporabi predpisov o obdavčenju. Če se ugotovi takšno izogibanje ali zloraba, se šteje, da je nastala davčna obveznost, kakršna bi nastala ob upoštevanju razmerij, nastalih na podlagi gospodarskih (ekonomskih) dogodkov.</w:t>
      </w:r>
    </w:p>
    <w:p w14:paraId="02BD5576" w14:textId="77777777" w:rsidR="006E3873" w:rsidRPr="00EC5F56" w:rsidRDefault="006E3873" w:rsidP="00E23D31">
      <w:pPr>
        <w:pStyle w:val="Sprotnaopomba-besedilo"/>
      </w:pPr>
    </w:p>
  </w:footnote>
  <w:footnote w:id="13">
    <w:p w14:paraId="348448AA" w14:textId="77777777" w:rsidR="006E3873" w:rsidRDefault="006E3873" w:rsidP="00E23D31">
      <w:pPr>
        <w:pStyle w:val="Sprotnaopomba-besedilo"/>
      </w:pPr>
      <w:r>
        <w:rPr>
          <w:rStyle w:val="Sprotnaopomba-sklic"/>
        </w:rPr>
        <w:footnoteRef/>
      </w:r>
      <w:r>
        <w:t xml:space="preserve"> </w:t>
      </w:r>
      <w:r w:rsidRPr="008649C5">
        <w:t>Primer je</w:t>
      </w:r>
      <w:r>
        <w:t xml:space="preserve"> povezan z ugotovljeno zlorabo predpisov po 4. odstavku 74. člena ZavP-2, </w:t>
      </w:r>
      <w:r w:rsidRPr="008649C5">
        <w:t xml:space="preserve"> povzet in prilagojen po sodbi </w:t>
      </w:r>
      <w:r>
        <w:t xml:space="preserve">Vrhovnega sodišča RS, št. </w:t>
      </w:r>
      <w:r w:rsidRPr="008649C5">
        <w:t xml:space="preserve">X Ips </w:t>
      </w:r>
      <w:r>
        <w:t xml:space="preserve">329/2017 </w:t>
      </w:r>
      <w:r w:rsidRPr="008649C5">
        <w:t xml:space="preserve">z dne </w:t>
      </w:r>
      <w:r>
        <w:t xml:space="preserve"> 2. 10. 2019</w:t>
      </w:r>
      <w:r w:rsidRPr="008649C5">
        <w:t>.</w:t>
      </w:r>
    </w:p>
  </w:footnote>
  <w:footnote w:id="14">
    <w:p w14:paraId="51E46F76" w14:textId="77777777" w:rsidR="006E3873" w:rsidRDefault="006E3873" w:rsidP="00E23D31">
      <w:pPr>
        <w:pStyle w:val="Sprotnaopomba-besedilo"/>
      </w:pPr>
      <w:r>
        <w:rPr>
          <w:rStyle w:val="Sprotnaopomba-sklic"/>
        </w:rPr>
        <w:footnoteRef/>
      </w:r>
      <w:r>
        <w:t xml:space="preserve"> </w:t>
      </w:r>
      <w:r w:rsidRPr="00483837">
        <w:t>Primer je povezan z ugotovljeno zlorabo predpisov po 4. odstavku 74. člena ZDavP-2, povzet</w:t>
      </w:r>
      <w:r>
        <w:t xml:space="preserve"> in prilagojen</w:t>
      </w:r>
      <w:r w:rsidRPr="00483837">
        <w:t xml:space="preserve"> po sodbi Upravnega sodišča RS, št. I U 2045/2017-9, z dne 2. 10. 2018.</w:t>
      </w:r>
    </w:p>
  </w:footnote>
  <w:footnote w:id="15">
    <w:p w14:paraId="4394DA35" w14:textId="77777777" w:rsidR="006E3873" w:rsidRDefault="006E3873" w:rsidP="00E23D31">
      <w:pPr>
        <w:pStyle w:val="Sprotnaopomba-besedilo"/>
      </w:pPr>
      <w:r>
        <w:rPr>
          <w:rStyle w:val="Sprotnaopomba-sklic"/>
        </w:rPr>
        <w:footnoteRef/>
      </w:r>
      <w:r>
        <w:t xml:space="preserve"> </w:t>
      </w:r>
      <w:r w:rsidRPr="00252C66">
        <w:t xml:space="preserve">Primer je </w:t>
      </w:r>
      <w:r>
        <w:t xml:space="preserve">prilagojen in </w:t>
      </w:r>
      <w:r w:rsidRPr="00252C66">
        <w:t>povzet po sodbi Upravnega sodišča RS, št. I U 1395/2</w:t>
      </w:r>
      <w:r>
        <w:t>017-41, z dne 20. 2. 2018, v po</w:t>
      </w:r>
      <w:r w:rsidRPr="00252C66">
        <w:t>v</w:t>
      </w:r>
      <w:r>
        <w:t>e</w:t>
      </w:r>
      <w:r w:rsidRPr="00252C66">
        <w:t xml:space="preserve">zavi s sodbo Vrhovnega sodišča RS, št. X Ips 347/2015, z dne 14. 6. 2017. Ponazorjen primer je predmet poročanja, če zadeva vsaj dve jurisdikciji.   </w:t>
      </w:r>
    </w:p>
  </w:footnote>
  <w:footnote w:id="16">
    <w:p w14:paraId="40840303" w14:textId="77777777" w:rsidR="006E3873" w:rsidRDefault="006E3873" w:rsidP="00E23D31">
      <w:pPr>
        <w:pStyle w:val="Sprotnaopomba-besedilo"/>
      </w:pPr>
      <w:r>
        <w:rPr>
          <w:rStyle w:val="Sprotnaopomba-sklic"/>
        </w:rPr>
        <w:footnoteRef/>
      </w:r>
      <w:r>
        <w:t xml:space="preserve"> </w:t>
      </w:r>
      <w:r w:rsidRPr="00E23D31">
        <w:t>Primer je povezan z ugotovljeno zlorabo predpisov po 4. odstavku 74. člena ZavP-2,  povzet in prilagojen po sodbi Vrhovnega sodišča, št.  X Ips 283/2016 z dne 16. 1. 2019</w:t>
      </w:r>
      <w:r w:rsidRPr="008649C5">
        <w:t xml:space="preserve">. </w:t>
      </w:r>
    </w:p>
  </w:footnote>
  <w:footnote w:id="17">
    <w:p w14:paraId="2374692D" w14:textId="77777777" w:rsidR="006E3873" w:rsidRDefault="006E3873" w:rsidP="00E23D31">
      <w:pPr>
        <w:pStyle w:val="Sprotnaopomba-besedilo"/>
      </w:pPr>
      <w:r>
        <w:rPr>
          <w:rStyle w:val="Sprotnaopomba-sklic"/>
        </w:rPr>
        <w:footnoteRef/>
      </w:r>
      <w:r>
        <w:t xml:space="preserve"> </w:t>
      </w:r>
      <w:r w:rsidRPr="008649C5">
        <w:t>Primer je</w:t>
      </w:r>
      <w:r>
        <w:t xml:space="preserve"> povezan z ugotovljeno zlorabo predpisov po 4. odstavku 74. člena ZavP-2, </w:t>
      </w:r>
      <w:r w:rsidRPr="008649C5">
        <w:t xml:space="preserve"> povzet in prilagojen po sodbi</w:t>
      </w:r>
      <w:r>
        <w:t xml:space="preserve"> Vrhovnega sodišča RS, št. X Ips 96/2017 z dne 30. 8. 2017.</w:t>
      </w:r>
    </w:p>
  </w:footnote>
  <w:footnote w:id="18">
    <w:p w14:paraId="43F3AA14" w14:textId="77777777" w:rsidR="006E3873" w:rsidRDefault="006E3873" w:rsidP="00E23D31">
      <w:pPr>
        <w:pStyle w:val="Sprotnaopomba-besedilo"/>
      </w:pPr>
      <w:r>
        <w:rPr>
          <w:rStyle w:val="Sprotnaopomba-sklic"/>
        </w:rPr>
        <w:footnoteRef/>
      </w:r>
      <w:r>
        <w:t xml:space="preserve"> </w:t>
      </w:r>
      <w:r w:rsidRPr="00D063C8">
        <w:t>Primer je povzet po sodbi Vrhovnega sodišča R</w:t>
      </w:r>
      <w:r>
        <w:t>S</w:t>
      </w:r>
      <w:r w:rsidRPr="00D063C8">
        <w:t xml:space="preserve">, št. X Ips 151/2017, z dne 24. 10. 2018. </w:t>
      </w:r>
    </w:p>
  </w:footnote>
  <w:footnote w:id="19">
    <w:p w14:paraId="75D0AD16" w14:textId="77777777" w:rsidR="006E3873" w:rsidRDefault="006E3873" w:rsidP="00E23D31">
      <w:pPr>
        <w:pStyle w:val="Sprotnaopomba-besedilo"/>
        <w:jc w:val="left"/>
      </w:pPr>
      <w:r>
        <w:rPr>
          <w:rStyle w:val="Sprotnaopomba-sklic"/>
        </w:rPr>
        <w:footnoteRef/>
      </w:r>
      <w:hyperlink r:id="rId2" w:history="1">
        <w:r w:rsidRPr="005A44CE">
          <w:rPr>
            <w:rStyle w:val="Hiperpovezava"/>
          </w:rPr>
          <w:t>https://www1.compareyourcountry.org/corporate-tax-statistics/en/0/all/default#</w:t>
        </w:r>
      </w:hyperlink>
      <w:r w:rsidRPr="005A44CE">
        <w:t xml:space="preserve"> oziroma: </w:t>
      </w:r>
      <w:hyperlink r:id="rId3" w:history="1">
        <w:r w:rsidRPr="005A44CE">
          <w:rPr>
            <w:rStyle w:val="Hiperpovezava"/>
          </w:rPr>
          <w:t>https://stats.oecd.org/Index.aspx?DataSetCode=CTS_ETR</w:t>
        </w:r>
      </w:hyperlink>
      <w:r w:rsidRPr="005A44CE">
        <w:rPr>
          <w:rStyle w:val="Hiperpovezava"/>
        </w:rPr>
        <w:t xml:space="preserve"> .</w:t>
      </w:r>
      <w:r>
        <w:rPr>
          <w:rStyle w:val="Hiperpovezava"/>
        </w:rPr>
        <w:t xml:space="preserve"> </w:t>
      </w:r>
    </w:p>
  </w:footnote>
  <w:footnote w:id="20">
    <w:p w14:paraId="618D0D71" w14:textId="77777777" w:rsidR="006E3873" w:rsidRPr="00D537F5" w:rsidRDefault="006E3873" w:rsidP="00E23D31">
      <w:pPr>
        <w:pStyle w:val="Sprotnaopomba-besedilo"/>
      </w:pPr>
      <w:r>
        <w:rPr>
          <w:rStyle w:val="Sprotnaopomba-sklic"/>
        </w:rPr>
        <w:footnoteRef/>
      </w:r>
      <w:r>
        <w:t xml:space="preserve"> </w:t>
      </w:r>
      <w:r w:rsidRPr="00D537F5">
        <w:t>Doc. 15429/17 FISC 345 ECOFIN 1088.</w:t>
      </w:r>
    </w:p>
  </w:footnote>
  <w:footnote w:id="21">
    <w:p w14:paraId="7B4989FB" w14:textId="77777777" w:rsidR="006E3873" w:rsidRPr="00D537F5" w:rsidRDefault="006E3873" w:rsidP="004227A7">
      <w:pPr>
        <w:rPr>
          <w:sz w:val="16"/>
          <w:szCs w:val="16"/>
        </w:rPr>
      </w:pPr>
      <w:r w:rsidRPr="00D537F5">
        <w:rPr>
          <w:rStyle w:val="Sprotnaopomba-sklic"/>
          <w:sz w:val="16"/>
          <w:szCs w:val="16"/>
        </w:rPr>
        <w:footnoteRef/>
      </w:r>
      <w:r w:rsidRPr="00D537F5">
        <w:rPr>
          <w:sz w:val="16"/>
          <w:szCs w:val="16"/>
        </w:rPr>
        <w:t xml:space="preserve"> </w:t>
      </w:r>
      <w:r w:rsidRPr="00D537F5">
        <w:rPr>
          <w:sz w:val="16"/>
          <w:szCs w:val="16"/>
        </w:rPr>
        <w:t>EU seznam ne</w:t>
      </w:r>
      <w:r>
        <w:rPr>
          <w:sz w:val="16"/>
          <w:szCs w:val="16"/>
        </w:rPr>
        <w:t xml:space="preserve">sodelujočih </w:t>
      </w:r>
      <w:r w:rsidRPr="00D537F5">
        <w:rPr>
          <w:sz w:val="16"/>
          <w:szCs w:val="16"/>
        </w:rPr>
        <w:t xml:space="preserve">jurisdikcij: </w:t>
      </w:r>
      <w:hyperlink r:id="rId4" w:history="1">
        <w:r w:rsidRPr="00D537F5">
          <w:rPr>
            <w:rStyle w:val="Hiperpovezava"/>
            <w:sz w:val="16"/>
            <w:szCs w:val="16"/>
          </w:rPr>
          <w:t>https://www.consilium.europa.eu/sl/policies/eu-list-of-non-cooperative-jurisdictions/</w:t>
        </w:r>
      </w:hyperlink>
      <w:r w:rsidRPr="00D537F5">
        <w:rPr>
          <w:rStyle w:val="Hiperpovezava"/>
          <w:sz w:val="16"/>
          <w:szCs w:val="16"/>
        </w:rPr>
        <w:t>.</w:t>
      </w:r>
      <w:r w:rsidRPr="00D537F5">
        <w:rPr>
          <w:sz w:val="16"/>
          <w:szCs w:val="16"/>
        </w:rPr>
        <w:t xml:space="preserve"> </w:t>
      </w:r>
    </w:p>
    <w:p w14:paraId="4F3F4B88" w14:textId="77777777" w:rsidR="006E3873" w:rsidRDefault="006E3873" w:rsidP="00E23D31">
      <w:pPr>
        <w:pStyle w:val="Sprotnaopomba-besedilo"/>
      </w:pPr>
    </w:p>
  </w:footnote>
  <w:footnote w:id="22">
    <w:p w14:paraId="4A41893B" w14:textId="77777777" w:rsidR="006E3873" w:rsidRPr="00E5523D" w:rsidRDefault="006E3873" w:rsidP="00E23D31">
      <w:pPr>
        <w:pStyle w:val="Sprotnaopomba-besedilo"/>
      </w:pPr>
      <w:r w:rsidRPr="00E5523D">
        <w:rPr>
          <w:rStyle w:val="Sprotnaopomba-sklic"/>
        </w:rPr>
        <w:footnoteRef/>
      </w:r>
      <w:r w:rsidRPr="00E5523D">
        <w:t xml:space="preserve"> </w:t>
      </w:r>
      <w:r w:rsidRPr="000F5322">
        <w:t>Npr.</w:t>
      </w:r>
      <w:r>
        <w:t xml:space="preserve"> </w:t>
      </w:r>
      <w:r w:rsidRPr="00E5523D">
        <w:t xml:space="preserve">isti subjekt </w:t>
      </w:r>
      <w:r>
        <w:t xml:space="preserve">se </w:t>
      </w:r>
      <w:r w:rsidRPr="00E5523D">
        <w:t xml:space="preserve">obravnava kot davčno transparenten v državi članici EU, v tretji državi pa kot davčno </w:t>
      </w:r>
      <w:r w:rsidRPr="000F5322">
        <w:t>netransparenten</w:t>
      </w:r>
      <w:r w:rsidRPr="00E5523D">
        <w:t xml:space="preserve"> subjekt.</w:t>
      </w:r>
    </w:p>
  </w:footnote>
  <w:footnote w:id="23">
    <w:p w14:paraId="4F3A7AB1" w14:textId="77777777" w:rsidR="006E3873" w:rsidRPr="00E5523D" w:rsidRDefault="006E3873" w:rsidP="00E23D31">
      <w:pPr>
        <w:pStyle w:val="Sprotnaopomba-besedilo"/>
      </w:pPr>
      <w:r w:rsidRPr="00E5523D">
        <w:rPr>
          <w:rStyle w:val="Sprotnaopomba-sklic"/>
        </w:rPr>
        <w:footnoteRef/>
      </w:r>
      <w:r w:rsidRPr="00E5523D">
        <w:t xml:space="preserve"> </w:t>
      </w:r>
      <w:r w:rsidRPr="00E5523D">
        <w:t>Primeroma ureditev, ki v državi, kjer ima poslovna enota sedež oziroma se v njej nahaja, nima statusa poslovne enote, v državi sedeža ali kraja dejanskega delovanja poslovodstva zavezanca za davek pa ima status poslovne enote.</w:t>
      </w:r>
    </w:p>
  </w:footnote>
  <w:footnote w:id="24">
    <w:p w14:paraId="1181C579" w14:textId="77777777" w:rsidR="006E3873" w:rsidRPr="00E5523D" w:rsidRDefault="006E3873" w:rsidP="00E23D31">
      <w:pPr>
        <w:pStyle w:val="Sprotnaopomba-besedilo"/>
      </w:pPr>
      <w:r w:rsidRPr="00E5523D">
        <w:rPr>
          <w:rStyle w:val="Sprotnaopomba-sklic"/>
        </w:rPr>
        <w:footnoteRef/>
      </w:r>
      <w:r w:rsidRPr="00E5523D">
        <w:t xml:space="preserve"> </w:t>
      </w:r>
      <w:r w:rsidRPr="00E5523D">
        <w:t xml:space="preserve">Glej tudi </w:t>
      </w:r>
      <w:r>
        <w:t xml:space="preserve">17. </w:t>
      </w:r>
      <w:r w:rsidRPr="00154B2F">
        <w:t xml:space="preserve">odstavek </w:t>
      </w:r>
      <w:r>
        <w:t xml:space="preserve">v </w:t>
      </w:r>
      <w:r w:rsidRPr="00417D80">
        <w:t>poročilu</w:t>
      </w:r>
      <w:r w:rsidRPr="00E5523D">
        <w:t xml:space="preserve"> BEPS</w:t>
      </w:r>
      <w:r>
        <w:t xml:space="preserve">, </w:t>
      </w:r>
      <w:r w:rsidRPr="00E5523D">
        <w:t xml:space="preserve">Action </w:t>
      </w:r>
      <w:r>
        <w:t xml:space="preserve">6 Final Report (2015): za zlorabo davčnih konvencij (angl. treaty abuse and treaty shopping) se štejejo tudi primeri, ko rezident države pogodbenice, v kateri izvira dohodek, poskuša pridobiti davčno ugodnost iz konvencije tako, da prenese davčno rezidentstvo v drugo državo pogodbenico ali preko ustanovitve subjekta (angl. a special purpose vehicle or letter-box company) v drugi državi pogodbenici. </w:t>
      </w:r>
    </w:p>
  </w:footnote>
  <w:footnote w:id="25">
    <w:p w14:paraId="3A817F62" w14:textId="77777777" w:rsidR="006E3873" w:rsidRPr="00E5523D" w:rsidRDefault="006E3873" w:rsidP="00E23D31">
      <w:pPr>
        <w:pStyle w:val="Sprotnaopomba-besedilo"/>
      </w:pPr>
      <w:r w:rsidRPr="00E5523D">
        <w:rPr>
          <w:rStyle w:val="Sprotnaopomba-sklic"/>
        </w:rPr>
        <w:footnoteRef/>
      </w:r>
      <w:r w:rsidRPr="00E5523D">
        <w:t xml:space="preserve"> </w:t>
      </w:r>
      <w:r w:rsidRPr="00E5523D">
        <w:t>Prepoznavna značilnost C3 v glavnini pokriva primere »hibridnih prenosov«, opisanih v tem poročilu v primerih 1.31 (angl. Loan structured as a share repo), 1.32, 1.33, 1.34 (angl. Share lending agreements), 1.37 (angl. Manufactured dividend on a failed share trade) in 2.2 (</w:t>
      </w:r>
      <w:r>
        <w:t xml:space="preserve">angl. </w:t>
      </w:r>
      <w:r w:rsidRPr="00E5523D">
        <w:t xml:space="preserve">Bond-lending arrangement). </w:t>
      </w:r>
    </w:p>
  </w:footnote>
  <w:footnote w:id="26">
    <w:p w14:paraId="1500B6EF" w14:textId="77777777" w:rsidR="006E3873" w:rsidRPr="009465C2" w:rsidRDefault="006E3873" w:rsidP="009465C2">
      <w:pPr>
        <w:spacing w:after="160" w:line="259" w:lineRule="auto"/>
        <w:jc w:val="both"/>
        <w:rPr>
          <w:rFonts w:eastAsia="Calibri" w:cs="Arial"/>
          <w:sz w:val="16"/>
          <w:szCs w:val="16"/>
        </w:rPr>
      </w:pPr>
      <w:r>
        <w:rPr>
          <w:rStyle w:val="Sprotnaopomba-sklic"/>
        </w:rPr>
        <w:footnoteRef/>
      </w:r>
      <w:r>
        <w:t xml:space="preserve"> </w:t>
      </w:r>
      <w:r w:rsidRPr="00817D06">
        <w:rPr>
          <w:rFonts w:eastAsia="Calibri" w:cs="Arial"/>
          <w:sz w:val="16"/>
          <w:szCs w:val="16"/>
        </w:rPr>
        <w:t xml:space="preserve">Celotna vsebina vzorčnih pravil (Model Mandatory Disclosure Rules  for CRS Avoidance Arrangement and Opaque Offshore Structure) so objavljena na spletnih straneh OECD: </w:t>
      </w:r>
      <w:hyperlink r:id="rId5" w:history="1">
        <w:r w:rsidRPr="00817D06">
          <w:rPr>
            <w:rStyle w:val="Hiperpovezava"/>
            <w:rFonts w:eastAsia="Calibri" w:cs="Arial"/>
            <w:sz w:val="16"/>
            <w:szCs w:val="16"/>
          </w:rPr>
          <w:t>https://www.oecd.org/tax/exchange-of-tax-information/model-mandatory-disclosure-rules-for-crs-avoidance-arrangements-and-opaque-offshore-structures.pdf</w:t>
        </w:r>
      </w:hyperlink>
      <w:r>
        <w:rPr>
          <w:rFonts w:eastAsia="Calibri" w:cs="Arial"/>
          <w:sz w:val="16"/>
          <w:szCs w:val="16"/>
        </w:rPr>
        <w:t>.</w:t>
      </w:r>
    </w:p>
  </w:footnote>
  <w:footnote w:id="27">
    <w:p w14:paraId="5776AA9E" w14:textId="77777777" w:rsidR="006E3873" w:rsidRDefault="006E3873" w:rsidP="00E23D31">
      <w:pPr>
        <w:pStyle w:val="Sprotnaopomba-besedilo"/>
      </w:pPr>
      <w:r w:rsidRPr="00B30A96">
        <w:rPr>
          <w:rStyle w:val="Sprotnaopomba-sklic"/>
        </w:rPr>
        <w:footnoteRef/>
      </w:r>
      <w:hyperlink r:id="rId6" w:history="1">
        <w:r w:rsidRPr="00B30A96">
          <w:rPr>
            <w:rStyle w:val="Hiperpovezava"/>
          </w:rPr>
          <w:t>https://www.oecd.org/ctp/exchange-of-tax-information/standard-for-automatic-exchange-of-financial-account-information-for-tax-matters-9789264216525-en.htm</w:t>
        </w:r>
      </w:hyperlink>
      <w:r>
        <w:t>.</w:t>
      </w:r>
    </w:p>
  </w:footnote>
  <w:footnote w:id="28">
    <w:p w14:paraId="7E7C4749" w14:textId="77777777" w:rsidR="006E3873" w:rsidRDefault="006E3873">
      <w:pPr>
        <w:pStyle w:val="Sprotnaopomba-besedilo"/>
      </w:pPr>
      <w:r>
        <w:rPr>
          <w:rStyle w:val="Sprotnaopomba-sklic"/>
        </w:rPr>
        <w:footnoteRef/>
      </w:r>
      <w:r>
        <w:t xml:space="preserve"> </w:t>
      </w:r>
      <w:r w:rsidRPr="00C31269">
        <w:t>FATCA – Foreign Account Tax Compliance Act oziroma Zakon o spoštovanju davčnih predpisov v zvezi z računi v tujini.</w:t>
      </w:r>
      <w:r w:rsidRPr="00C31269">
        <w:rPr>
          <w:rFonts w:cs="Arial"/>
          <w:color w:val="626161"/>
          <w:sz w:val="21"/>
          <w:szCs w:val="21"/>
          <w:shd w:val="clear" w:color="auto" w:fill="FFFFFF"/>
        </w:rPr>
        <w:t xml:space="preserve"> </w:t>
      </w:r>
      <w:r w:rsidRPr="00C31269">
        <w:t>Republika Slovenija je z ZDA dne 2. junija 2014 podpisala Sporazum o izboljšanju spoštovanja davčnih predpisov na mednarodni ravni in izvajanju</w:t>
      </w:r>
      <w:r>
        <w:t xml:space="preserve"> FATCA</w:t>
      </w:r>
      <w:r w:rsidRPr="00C31269">
        <w:t>, ki je začel veljati 1. julija 2014, v katerem so podrobneje opredeljene obveznosti slovenskih finančnih institucij in Finančne uprave RS, v zvezi z izvajanjem FATCA.</w:t>
      </w:r>
    </w:p>
  </w:footnote>
  <w:footnote w:id="29">
    <w:p w14:paraId="00C7BE33" w14:textId="77777777" w:rsidR="006E3873" w:rsidRPr="004146EC" w:rsidRDefault="006E3873" w:rsidP="00E23D31">
      <w:pPr>
        <w:pStyle w:val="Sprotnaopomba-besedilo"/>
      </w:pPr>
      <w:r w:rsidRPr="004146EC">
        <w:rPr>
          <w:rStyle w:val="Sprotnaopomba-sklic"/>
        </w:rPr>
        <w:footnoteRef/>
      </w:r>
      <w:r w:rsidRPr="004146EC">
        <w:t xml:space="preserve"> </w:t>
      </w:r>
      <w:hyperlink r:id="rId7" w:history="1">
        <w:r w:rsidRPr="004146EC">
          <w:rPr>
            <w:rStyle w:val="Hiperpovezava"/>
          </w:rPr>
          <w:t>https://www.fatf-gafi.org/media/fatf/documents/recommendations/pdfs/FATF%20Recommendations%202012.pdf</w:t>
        </w:r>
      </w:hyperlink>
      <w:r>
        <w:rPr>
          <w:rStyle w:val="Hiperpovezava"/>
        </w:rPr>
        <w:t>.</w:t>
      </w:r>
    </w:p>
    <w:p w14:paraId="09D8559D" w14:textId="77777777" w:rsidR="006E3873" w:rsidRDefault="006E3873" w:rsidP="00E23D31">
      <w:pPr>
        <w:pStyle w:val="Sprotnaopomba-besedilo"/>
      </w:pPr>
    </w:p>
  </w:footnote>
  <w:footnote w:id="30">
    <w:p w14:paraId="4B592C85" w14:textId="77777777" w:rsidR="006E3873" w:rsidRPr="007B705B" w:rsidRDefault="006E3873" w:rsidP="0007526E">
      <w:pPr>
        <w:pStyle w:val="Sprotnaopomba-besedilo"/>
      </w:pPr>
      <w:r w:rsidRPr="007B705B">
        <w:rPr>
          <w:rStyle w:val="Sprotnaopomba-sklic"/>
        </w:rPr>
        <w:footnoteRef/>
      </w:r>
      <w:r w:rsidRPr="000E0611">
        <w:t xml:space="preserve"> </w:t>
      </w:r>
      <w:r w:rsidRPr="007B705B">
        <w:t>Na primer, če konkretni aranžma zadeva Slovenijo in Nemčijo kot zadevni državi članici EU ter Združeno K</w:t>
      </w:r>
      <w:r>
        <w:t>raljestvo kot tretjo dr</w:t>
      </w:r>
      <w:r w:rsidRPr="007B705B">
        <w:t xml:space="preserve">žavo.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B2630" w14:textId="77777777" w:rsidR="006E3873" w:rsidRPr="00110CBD" w:rsidRDefault="006E387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6E3873" w:rsidRPr="008F3500" w14:paraId="713510A7" w14:textId="77777777">
      <w:trPr>
        <w:cantSplit/>
        <w:trHeight w:hRule="exact" w:val="847"/>
      </w:trPr>
      <w:tc>
        <w:tcPr>
          <w:tcW w:w="567" w:type="dxa"/>
        </w:tcPr>
        <w:p w14:paraId="78B25036" w14:textId="77777777" w:rsidR="006E3873" w:rsidRDefault="006E3873"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6BBC2BA3" w14:textId="77777777" w:rsidR="006E3873" w:rsidRPr="006D42D9" w:rsidRDefault="006E3873" w:rsidP="006D42D9">
          <w:pPr>
            <w:rPr>
              <w:rFonts w:ascii="Republika" w:hAnsi="Republika"/>
              <w:sz w:val="60"/>
              <w:szCs w:val="60"/>
            </w:rPr>
          </w:pPr>
        </w:p>
        <w:p w14:paraId="2CE30E84" w14:textId="77777777" w:rsidR="006E3873" w:rsidRPr="006D42D9" w:rsidRDefault="006E3873" w:rsidP="006D42D9">
          <w:pPr>
            <w:rPr>
              <w:rFonts w:ascii="Republika" w:hAnsi="Republika"/>
              <w:sz w:val="60"/>
              <w:szCs w:val="60"/>
            </w:rPr>
          </w:pPr>
        </w:p>
        <w:p w14:paraId="1DB0B300" w14:textId="77777777" w:rsidR="006E3873" w:rsidRPr="006D42D9" w:rsidRDefault="006E3873" w:rsidP="006D42D9">
          <w:pPr>
            <w:rPr>
              <w:rFonts w:ascii="Republika" w:hAnsi="Republika"/>
              <w:sz w:val="60"/>
              <w:szCs w:val="60"/>
            </w:rPr>
          </w:pPr>
        </w:p>
        <w:p w14:paraId="1ECFC0B2" w14:textId="77777777" w:rsidR="006E3873" w:rsidRPr="006D42D9" w:rsidRDefault="006E3873" w:rsidP="006D42D9">
          <w:pPr>
            <w:rPr>
              <w:rFonts w:ascii="Republika" w:hAnsi="Republika"/>
              <w:sz w:val="60"/>
              <w:szCs w:val="60"/>
            </w:rPr>
          </w:pPr>
        </w:p>
        <w:p w14:paraId="23204143" w14:textId="77777777" w:rsidR="006E3873" w:rsidRPr="006D42D9" w:rsidRDefault="006E3873" w:rsidP="006D42D9">
          <w:pPr>
            <w:rPr>
              <w:rFonts w:ascii="Republika" w:hAnsi="Republika"/>
              <w:sz w:val="60"/>
              <w:szCs w:val="60"/>
            </w:rPr>
          </w:pPr>
        </w:p>
        <w:p w14:paraId="27745D97" w14:textId="77777777" w:rsidR="006E3873" w:rsidRPr="006D42D9" w:rsidRDefault="006E3873" w:rsidP="006D42D9">
          <w:pPr>
            <w:rPr>
              <w:rFonts w:ascii="Republika" w:hAnsi="Republika"/>
              <w:sz w:val="60"/>
              <w:szCs w:val="60"/>
            </w:rPr>
          </w:pPr>
        </w:p>
        <w:p w14:paraId="363730D0" w14:textId="77777777" w:rsidR="006E3873" w:rsidRPr="006D42D9" w:rsidRDefault="006E3873" w:rsidP="006D42D9">
          <w:pPr>
            <w:rPr>
              <w:rFonts w:ascii="Republika" w:hAnsi="Republika"/>
              <w:sz w:val="60"/>
              <w:szCs w:val="60"/>
            </w:rPr>
          </w:pPr>
        </w:p>
        <w:p w14:paraId="7E5875EC" w14:textId="77777777" w:rsidR="006E3873" w:rsidRPr="006D42D9" w:rsidRDefault="006E3873" w:rsidP="006D42D9">
          <w:pPr>
            <w:rPr>
              <w:rFonts w:ascii="Republika" w:hAnsi="Republika"/>
              <w:sz w:val="60"/>
              <w:szCs w:val="60"/>
            </w:rPr>
          </w:pPr>
        </w:p>
        <w:p w14:paraId="22B0E130" w14:textId="77777777" w:rsidR="006E3873" w:rsidRPr="006D42D9" w:rsidRDefault="006E3873" w:rsidP="006D42D9">
          <w:pPr>
            <w:rPr>
              <w:rFonts w:ascii="Republika" w:hAnsi="Republika"/>
              <w:sz w:val="60"/>
              <w:szCs w:val="60"/>
            </w:rPr>
          </w:pPr>
        </w:p>
        <w:p w14:paraId="76BBAB0D" w14:textId="77777777" w:rsidR="006E3873" w:rsidRPr="006D42D9" w:rsidRDefault="006E3873" w:rsidP="006D42D9">
          <w:pPr>
            <w:rPr>
              <w:rFonts w:ascii="Republika" w:hAnsi="Republika"/>
              <w:sz w:val="60"/>
              <w:szCs w:val="60"/>
            </w:rPr>
          </w:pPr>
        </w:p>
        <w:p w14:paraId="189E0FE8" w14:textId="77777777" w:rsidR="006E3873" w:rsidRPr="006D42D9" w:rsidRDefault="006E3873" w:rsidP="006D42D9">
          <w:pPr>
            <w:rPr>
              <w:rFonts w:ascii="Republika" w:hAnsi="Republika"/>
              <w:sz w:val="60"/>
              <w:szCs w:val="60"/>
            </w:rPr>
          </w:pPr>
        </w:p>
        <w:p w14:paraId="02D4E644" w14:textId="77777777" w:rsidR="006E3873" w:rsidRPr="006D42D9" w:rsidRDefault="006E3873" w:rsidP="006D42D9">
          <w:pPr>
            <w:rPr>
              <w:rFonts w:ascii="Republika" w:hAnsi="Republika"/>
              <w:sz w:val="60"/>
              <w:szCs w:val="60"/>
            </w:rPr>
          </w:pPr>
        </w:p>
        <w:p w14:paraId="3C926DE9" w14:textId="77777777" w:rsidR="006E3873" w:rsidRPr="006D42D9" w:rsidRDefault="006E3873" w:rsidP="006D42D9">
          <w:pPr>
            <w:rPr>
              <w:rFonts w:ascii="Republika" w:hAnsi="Republika"/>
              <w:sz w:val="60"/>
              <w:szCs w:val="60"/>
            </w:rPr>
          </w:pPr>
        </w:p>
        <w:p w14:paraId="588F47C1" w14:textId="77777777" w:rsidR="006E3873" w:rsidRPr="006D42D9" w:rsidRDefault="006E3873" w:rsidP="006D42D9">
          <w:pPr>
            <w:rPr>
              <w:rFonts w:ascii="Republika" w:hAnsi="Republika"/>
              <w:sz w:val="60"/>
              <w:szCs w:val="60"/>
            </w:rPr>
          </w:pPr>
        </w:p>
        <w:p w14:paraId="0BC0AC3B" w14:textId="77777777" w:rsidR="006E3873" w:rsidRPr="006D42D9" w:rsidRDefault="006E3873" w:rsidP="006D42D9">
          <w:pPr>
            <w:rPr>
              <w:rFonts w:ascii="Republika" w:hAnsi="Republika"/>
              <w:sz w:val="60"/>
              <w:szCs w:val="60"/>
            </w:rPr>
          </w:pPr>
        </w:p>
        <w:p w14:paraId="799C033C" w14:textId="77777777" w:rsidR="006E3873" w:rsidRPr="006D42D9" w:rsidRDefault="006E3873" w:rsidP="006D42D9">
          <w:pPr>
            <w:rPr>
              <w:rFonts w:ascii="Republika" w:hAnsi="Republika"/>
              <w:sz w:val="60"/>
              <w:szCs w:val="60"/>
            </w:rPr>
          </w:pPr>
        </w:p>
      </w:tc>
    </w:tr>
  </w:tbl>
  <w:p w14:paraId="1BCCBA40" w14:textId="77777777" w:rsidR="006E3873" w:rsidRPr="008F3500" w:rsidRDefault="006E3873" w:rsidP="00924E3C">
    <w:pPr>
      <w:autoSpaceDE w:val="0"/>
      <w:autoSpaceDN w:val="0"/>
      <w:adjustRightInd w:val="0"/>
      <w:spacing w:line="240" w:lineRule="auto"/>
      <w:rPr>
        <w:rFonts w:ascii="Republika" w:hAnsi="Republika"/>
      </w:rPr>
    </w:pPr>
    <w:r>
      <w:rPr>
        <w:noProof/>
        <w:szCs w:val="20"/>
        <w:lang w:eastAsia="sl-SI"/>
      </w:rPr>
      <mc:AlternateContent>
        <mc:Choice Requires="wps">
          <w:drawing>
            <wp:anchor distT="4294967295" distB="4294967295" distL="114300" distR="114300" simplePos="0" relativeHeight="251658240" behindDoc="1" locked="0" layoutInCell="0" allowOverlap="1" wp14:anchorId="4E20E3FB" wp14:editId="5ED6F870">
              <wp:simplePos x="0" y="0"/>
              <wp:positionH relativeFrom="column">
                <wp:posOffset>-431800</wp:posOffset>
              </wp:positionH>
              <wp:positionV relativeFrom="page">
                <wp:posOffset>3600449</wp:posOffset>
              </wp:positionV>
              <wp:extent cx="252095" cy="0"/>
              <wp:effectExtent l="0" t="0" r="1460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17B18E3" id="Line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Pr="008F3500">
      <w:rPr>
        <w:rFonts w:ascii="Republika" w:hAnsi="Republika"/>
      </w:rPr>
      <w:t>REPUBLIKA SLOVENIJA</w:t>
    </w:r>
  </w:p>
  <w:p w14:paraId="1811EC2A" w14:textId="77777777" w:rsidR="006E3873" w:rsidRPr="008F3500" w:rsidRDefault="006E3873"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029DC29B" w14:textId="77777777" w:rsidR="006E3873" w:rsidRDefault="006E3873" w:rsidP="00ED7E82">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14:paraId="793F6263" w14:textId="77777777" w:rsidR="006E3873" w:rsidRPr="008F3500" w:rsidRDefault="006E3873" w:rsidP="00ED7E82">
    <w:pPr>
      <w:pStyle w:val="Glava"/>
      <w:tabs>
        <w:tab w:val="clear" w:pos="4320"/>
        <w:tab w:val="clear" w:pos="8640"/>
        <w:tab w:val="left" w:pos="5112"/>
      </w:tabs>
      <w:spacing w:before="240" w:line="240" w:lineRule="exact"/>
      <w:rPr>
        <w:rFonts w:cs="Arial"/>
        <w:sz w:val="16"/>
      </w:rPr>
    </w:pPr>
    <w:r>
      <w:rPr>
        <w:rFonts w:cs="Arial"/>
        <w:sz w:val="16"/>
      </w:rPr>
      <w:t>Šmartinska cesta 55, p.p. 631</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01 478 38 00</w:t>
    </w:r>
  </w:p>
  <w:p w14:paraId="3065BDA4" w14:textId="291D7583" w:rsidR="006E3873" w:rsidRPr="008F3500" w:rsidRDefault="008722F8" w:rsidP="007D75CF">
    <w:pPr>
      <w:pStyle w:val="Glava"/>
      <w:tabs>
        <w:tab w:val="clear" w:pos="4320"/>
        <w:tab w:val="clear" w:pos="8640"/>
        <w:tab w:val="left" w:pos="5112"/>
      </w:tabs>
      <w:spacing w:line="240" w:lineRule="exact"/>
      <w:rPr>
        <w:rFonts w:cs="Arial"/>
        <w:sz w:val="16"/>
      </w:rPr>
    </w:pPr>
    <w:r>
      <w:rPr>
        <w:rFonts w:cs="Arial"/>
        <w:sz w:val="16"/>
      </w:rPr>
      <w:tab/>
      <w:t>E</w:t>
    </w:r>
    <w:r w:rsidR="006E3873" w:rsidRPr="008F3500">
      <w:rPr>
        <w:rFonts w:cs="Arial"/>
        <w:sz w:val="16"/>
      </w:rPr>
      <w:t xml:space="preserve">: </w:t>
    </w:r>
    <w:r w:rsidR="006E3873">
      <w:rPr>
        <w:rFonts w:cs="Arial"/>
        <w:sz w:val="16"/>
      </w:rPr>
      <w:t>gfu.fu@gov.si</w:t>
    </w:r>
  </w:p>
  <w:p w14:paraId="4A291418" w14:textId="77777777" w:rsidR="006E3873" w:rsidRPr="008F3500" w:rsidRDefault="006E3873"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14:paraId="24F4BC8E" w14:textId="77777777" w:rsidR="006E3873" w:rsidRPr="008F3500" w:rsidRDefault="006E3873"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58F4"/>
    <w:multiLevelType w:val="hybridMultilevel"/>
    <w:tmpl w:val="AE0217A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DC721B"/>
    <w:multiLevelType w:val="hybridMultilevel"/>
    <w:tmpl w:val="6B1219F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3C72393"/>
    <w:multiLevelType w:val="hybridMultilevel"/>
    <w:tmpl w:val="744282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6A63EC"/>
    <w:multiLevelType w:val="hybridMultilevel"/>
    <w:tmpl w:val="98FEE4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5C8724E"/>
    <w:multiLevelType w:val="hybridMultilevel"/>
    <w:tmpl w:val="BC208E66"/>
    <w:lvl w:ilvl="0" w:tplc="774E7A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C62226"/>
    <w:multiLevelType w:val="hybridMultilevel"/>
    <w:tmpl w:val="FCFC16FC"/>
    <w:lvl w:ilvl="0" w:tplc="4CEA40A0">
      <w:start w:val="1"/>
      <w:numFmt w:val="lowerLetter"/>
      <w:lvlText w:val="%1)"/>
      <w:lvlJc w:val="left"/>
      <w:pPr>
        <w:ind w:left="720" w:hanging="360"/>
      </w:pPr>
      <w:rPr>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9F662A8"/>
    <w:multiLevelType w:val="multilevel"/>
    <w:tmpl w:val="5762AE92"/>
    <w:lvl w:ilvl="0">
      <w:start w:val="1"/>
      <w:numFmt w:val="decimal"/>
      <w:lvlText w:val="%1"/>
      <w:lvlJc w:val="left"/>
      <w:pPr>
        <w:ind w:left="1440" w:hanging="360"/>
      </w:pPr>
      <w:rPr>
        <w:rFonts w:ascii="Arial" w:hAnsi="Arial" w:hint="default"/>
        <w:b/>
        <w:i w:val="0"/>
      </w:rPr>
    </w:lvl>
    <w:lvl w:ilvl="1">
      <w:start w:val="1"/>
      <w:numFmt w:val="decimal"/>
      <w:pStyle w:val="Naslov3"/>
      <w:isLgl/>
      <w:lvlText w:val="%1.%2"/>
      <w:lvlJc w:val="left"/>
      <w:pPr>
        <w:ind w:left="144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108606C4"/>
    <w:multiLevelType w:val="hybridMultilevel"/>
    <w:tmpl w:val="478C4078"/>
    <w:lvl w:ilvl="0" w:tplc="D5DAB9B8">
      <w:start w:val="1"/>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116F7DD5"/>
    <w:multiLevelType w:val="hybridMultilevel"/>
    <w:tmpl w:val="E6A604A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5C568B"/>
    <w:multiLevelType w:val="hybridMultilevel"/>
    <w:tmpl w:val="D9123EC4"/>
    <w:lvl w:ilvl="0" w:tplc="04240017">
      <w:start w:val="1"/>
      <w:numFmt w:val="lowerLetter"/>
      <w:lvlText w:val="%1)"/>
      <w:lvlJc w:val="left"/>
      <w:pPr>
        <w:ind w:left="1364" w:hanging="360"/>
      </w:pPr>
    </w:lvl>
    <w:lvl w:ilvl="1" w:tplc="04240019" w:tentative="1">
      <w:start w:val="1"/>
      <w:numFmt w:val="lowerLetter"/>
      <w:lvlText w:val="%2."/>
      <w:lvlJc w:val="left"/>
      <w:pPr>
        <w:ind w:left="2084" w:hanging="360"/>
      </w:pPr>
    </w:lvl>
    <w:lvl w:ilvl="2" w:tplc="0424001B" w:tentative="1">
      <w:start w:val="1"/>
      <w:numFmt w:val="lowerRoman"/>
      <w:lvlText w:val="%3."/>
      <w:lvlJc w:val="right"/>
      <w:pPr>
        <w:ind w:left="2804" w:hanging="180"/>
      </w:pPr>
    </w:lvl>
    <w:lvl w:ilvl="3" w:tplc="0424000F" w:tentative="1">
      <w:start w:val="1"/>
      <w:numFmt w:val="decimal"/>
      <w:lvlText w:val="%4."/>
      <w:lvlJc w:val="left"/>
      <w:pPr>
        <w:ind w:left="3524" w:hanging="360"/>
      </w:pPr>
    </w:lvl>
    <w:lvl w:ilvl="4" w:tplc="04240019" w:tentative="1">
      <w:start w:val="1"/>
      <w:numFmt w:val="lowerLetter"/>
      <w:lvlText w:val="%5."/>
      <w:lvlJc w:val="left"/>
      <w:pPr>
        <w:ind w:left="4244" w:hanging="360"/>
      </w:pPr>
    </w:lvl>
    <w:lvl w:ilvl="5" w:tplc="0424001B" w:tentative="1">
      <w:start w:val="1"/>
      <w:numFmt w:val="lowerRoman"/>
      <w:lvlText w:val="%6."/>
      <w:lvlJc w:val="right"/>
      <w:pPr>
        <w:ind w:left="4964" w:hanging="180"/>
      </w:pPr>
    </w:lvl>
    <w:lvl w:ilvl="6" w:tplc="0424000F" w:tentative="1">
      <w:start w:val="1"/>
      <w:numFmt w:val="decimal"/>
      <w:lvlText w:val="%7."/>
      <w:lvlJc w:val="left"/>
      <w:pPr>
        <w:ind w:left="5684" w:hanging="360"/>
      </w:pPr>
    </w:lvl>
    <w:lvl w:ilvl="7" w:tplc="04240019" w:tentative="1">
      <w:start w:val="1"/>
      <w:numFmt w:val="lowerLetter"/>
      <w:lvlText w:val="%8."/>
      <w:lvlJc w:val="left"/>
      <w:pPr>
        <w:ind w:left="6404" w:hanging="360"/>
      </w:pPr>
    </w:lvl>
    <w:lvl w:ilvl="8" w:tplc="0424001B" w:tentative="1">
      <w:start w:val="1"/>
      <w:numFmt w:val="lowerRoman"/>
      <w:lvlText w:val="%9."/>
      <w:lvlJc w:val="right"/>
      <w:pPr>
        <w:ind w:left="7124" w:hanging="180"/>
      </w:pPr>
    </w:lvl>
  </w:abstractNum>
  <w:abstractNum w:abstractNumId="10" w15:restartNumberingAfterBreak="0">
    <w:nsid w:val="171F392C"/>
    <w:multiLevelType w:val="hybridMultilevel"/>
    <w:tmpl w:val="188C2086"/>
    <w:lvl w:ilvl="0" w:tplc="04240017">
      <w:start w:val="1"/>
      <w:numFmt w:val="lowerLetter"/>
      <w:lvlText w:val="%1)"/>
      <w:lvlJc w:val="left"/>
      <w:pPr>
        <w:ind w:left="1364" w:hanging="360"/>
      </w:pPr>
    </w:lvl>
    <w:lvl w:ilvl="1" w:tplc="04240019" w:tentative="1">
      <w:start w:val="1"/>
      <w:numFmt w:val="lowerLetter"/>
      <w:lvlText w:val="%2."/>
      <w:lvlJc w:val="left"/>
      <w:pPr>
        <w:ind w:left="2084" w:hanging="360"/>
      </w:pPr>
    </w:lvl>
    <w:lvl w:ilvl="2" w:tplc="0424001B" w:tentative="1">
      <w:start w:val="1"/>
      <w:numFmt w:val="lowerRoman"/>
      <w:lvlText w:val="%3."/>
      <w:lvlJc w:val="right"/>
      <w:pPr>
        <w:ind w:left="2804" w:hanging="180"/>
      </w:pPr>
    </w:lvl>
    <w:lvl w:ilvl="3" w:tplc="0424000F" w:tentative="1">
      <w:start w:val="1"/>
      <w:numFmt w:val="decimal"/>
      <w:lvlText w:val="%4."/>
      <w:lvlJc w:val="left"/>
      <w:pPr>
        <w:ind w:left="3524" w:hanging="360"/>
      </w:pPr>
    </w:lvl>
    <w:lvl w:ilvl="4" w:tplc="04240019" w:tentative="1">
      <w:start w:val="1"/>
      <w:numFmt w:val="lowerLetter"/>
      <w:lvlText w:val="%5."/>
      <w:lvlJc w:val="left"/>
      <w:pPr>
        <w:ind w:left="4244" w:hanging="360"/>
      </w:pPr>
    </w:lvl>
    <w:lvl w:ilvl="5" w:tplc="0424001B" w:tentative="1">
      <w:start w:val="1"/>
      <w:numFmt w:val="lowerRoman"/>
      <w:lvlText w:val="%6."/>
      <w:lvlJc w:val="right"/>
      <w:pPr>
        <w:ind w:left="4964" w:hanging="180"/>
      </w:pPr>
    </w:lvl>
    <w:lvl w:ilvl="6" w:tplc="0424000F" w:tentative="1">
      <w:start w:val="1"/>
      <w:numFmt w:val="decimal"/>
      <w:lvlText w:val="%7."/>
      <w:lvlJc w:val="left"/>
      <w:pPr>
        <w:ind w:left="5684" w:hanging="360"/>
      </w:pPr>
    </w:lvl>
    <w:lvl w:ilvl="7" w:tplc="04240019" w:tentative="1">
      <w:start w:val="1"/>
      <w:numFmt w:val="lowerLetter"/>
      <w:lvlText w:val="%8."/>
      <w:lvlJc w:val="left"/>
      <w:pPr>
        <w:ind w:left="6404" w:hanging="360"/>
      </w:pPr>
    </w:lvl>
    <w:lvl w:ilvl="8" w:tplc="0424001B" w:tentative="1">
      <w:start w:val="1"/>
      <w:numFmt w:val="lowerRoman"/>
      <w:lvlText w:val="%9."/>
      <w:lvlJc w:val="right"/>
      <w:pPr>
        <w:ind w:left="7124" w:hanging="180"/>
      </w:pPr>
    </w:lvl>
  </w:abstractNum>
  <w:abstractNum w:abstractNumId="11" w15:restartNumberingAfterBreak="0">
    <w:nsid w:val="193E02C1"/>
    <w:multiLevelType w:val="hybridMultilevel"/>
    <w:tmpl w:val="ABEC04C4"/>
    <w:lvl w:ilvl="0" w:tplc="7F90521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C0653F2"/>
    <w:multiLevelType w:val="hybridMultilevel"/>
    <w:tmpl w:val="6220EEE6"/>
    <w:lvl w:ilvl="0" w:tplc="994A3872">
      <w:start w:val="1"/>
      <w:numFmt w:val="decimal"/>
      <w:lvlText w:val="%1"/>
      <w:lvlJc w:val="left"/>
      <w:pPr>
        <w:ind w:left="2160" w:hanging="360"/>
      </w:pPr>
      <w:rPr>
        <w:rFonts w:hint="default"/>
      </w:rPr>
    </w:lvl>
    <w:lvl w:ilvl="1" w:tplc="04240019" w:tentative="1">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13" w15:restartNumberingAfterBreak="0">
    <w:nsid w:val="1D24165B"/>
    <w:multiLevelType w:val="hybridMultilevel"/>
    <w:tmpl w:val="42AACAA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DFC7B39"/>
    <w:multiLevelType w:val="hybridMultilevel"/>
    <w:tmpl w:val="214A7D74"/>
    <w:lvl w:ilvl="0" w:tplc="46361B8C">
      <w:start w:val="1"/>
      <w:numFmt w:val="low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1086235"/>
    <w:multiLevelType w:val="hybridMultilevel"/>
    <w:tmpl w:val="ABA6804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1310E38"/>
    <w:multiLevelType w:val="hybridMultilevel"/>
    <w:tmpl w:val="F0FCBAD2"/>
    <w:lvl w:ilvl="0" w:tplc="EB4C482E">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138233D"/>
    <w:multiLevelType w:val="hybridMultilevel"/>
    <w:tmpl w:val="98CEB5D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57B1013"/>
    <w:multiLevelType w:val="hybridMultilevel"/>
    <w:tmpl w:val="5C546746"/>
    <w:lvl w:ilvl="0" w:tplc="58588010">
      <w:start w:val="1"/>
      <w:numFmt w:val="lowerLetter"/>
      <w:lvlText w:val="(%1)"/>
      <w:lvlJc w:val="left"/>
      <w:pPr>
        <w:ind w:left="405" w:hanging="36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19" w15:restartNumberingAfterBreak="0">
    <w:nsid w:val="258C254F"/>
    <w:multiLevelType w:val="hybridMultilevel"/>
    <w:tmpl w:val="30E8C078"/>
    <w:lvl w:ilvl="0" w:tplc="774E7A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9BD7F1D"/>
    <w:multiLevelType w:val="hybridMultilevel"/>
    <w:tmpl w:val="AA7CE5C2"/>
    <w:lvl w:ilvl="0" w:tplc="04240017">
      <w:start w:val="1"/>
      <w:numFmt w:val="lowerLetter"/>
      <w:lvlText w:val="%1)"/>
      <w:lvlJc w:val="left"/>
      <w:pPr>
        <w:ind w:left="1364" w:hanging="360"/>
      </w:pPr>
    </w:lvl>
    <w:lvl w:ilvl="1" w:tplc="04240019" w:tentative="1">
      <w:start w:val="1"/>
      <w:numFmt w:val="lowerLetter"/>
      <w:lvlText w:val="%2."/>
      <w:lvlJc w:val="left"/>
      <w:pPr>
        <w:ind w:left="2084" w:hanging="360"/>
      </w:pPr>
    </w:lvl>
    <w:lvl w:ilvl="2" w:tplc="0424001B" w:tentative="1">
      <w:start w:val="1"/>
      <w:numFmt w:val="lowerRoman"/>
      <w:lvlText w:val="%3."/>
      <w:lvlJc w:val="right"/>
      <w:pPr>
        <w:ind w:left="2804" w:hanging="180"/>
      </w:pPr>
    </w:lvl>
    <w:lvl w:ilvl="3" w:tplc="0424000F" w:tentative="1">
      <w:start w:val="1"/>
      <w:numFmt w:val="decimal"/>
      <w:lvlText w:val="%4."/>
      <w:lvlJc w:val="left"/>
      <w:pPr>
        <w:ind w:left="3524" w:hanging="360"/>
      </w:pPr>
    </w:lvl>
    <w:lvl w:ilvl="4" w:tplc="04240019" w:tentative="1">
      <w:start w:val="1"/>
      <w:numFmt w:val="lowerLetter"/>
      <w:lvlText w:val="%5."/>
      <w:lvlJc w:val="left"/>
      <w:pPr>
        <w:ind w:left="4244" w:hanging="360"/>
      </w:pPr>
    </w:lvl>
    <w:lvl w:ilvl="5" w:tplc="0424001B" w:tentative="1">
      <w:start w:val="1"/>
      <w:numFmt w:val="lowerRoman"/>
      <w:lvlText w:val="%6."/>
      <w:lvlJc w:val="right"/>
      <w:pPr>
        <w:ind w:left="4964" w:hanging="180"/>
      </w:pPr>
    </w:lvl>
    <w:lvl w:ilvl="6" w:tplc="0424000F" w:tentative="1">
      <w:start w:val="1"/>
      <w:numFmt w:val="decimal"/>
      <w:lvlText w:val="%7."/>
      <w:lvlJc w:val="left"/>
      <w:pPr>
        <w:ind w:left="5684" w:hanging="360"/>
      </w:pPr>
    </w:lvl>
    <w:lvl w:ilvl="7" w:tplc="04240019" w:tentative="1">
      <w:start w:val="1"/>
      <w:numFmt w:val="lowerLetter"/>
      <w:lvlText w:val="%8."/>
      <w:lvlJc w:val="left"/>
      <w:pPr>
        <w:ind w:left="6404" w:hanging="360"/>
      </w:pPr>
    </w:lvl>
    <w:lvl w:ilvl="8" w:tplc="0424001B" w:tentative="1">
      <w:start w:val="1"/>
      <w:numFmt w:val="lowerRoman"/>
      <w:lvlText w:val="%9."/>
      <w:lvlJc w:val="right"/>
      <w:pPr>
        <w:ind w:left="7124" w:hanging="180"/>
      </w:pPr>
    </w:lvl>
  </w:abstractNum>
  <w:abstractNum w:abstractNumId="21" w15:restartNumberingAfterBreak="0">
    <w:nsid w:val="2B466611"/>
    <w:multiLevelType w:val="hybridMultilevel"/>
    <w:tmpl w:val="889AFBFA"/>
    <w:lvl w:ilvl="0" w:tplc="D3560498">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C3F3809"/>
    <w:multiLevelType w:val="hybridMultilevel"/>
    <w:tmpl w:val="010EBC30"/>
    <w:lvl w:ilvl="0" w:tplc="994A3872">
      <w:start w:val="1"/>
      <w:numFmt w:val="decimal"/>
      <w:lvlText w:val="%1"/>
      <w:lvlJc w:val="left"/>
      <w:pPr>
        <w:ind w:left="2160" w:hanging="360"/>
      </w:pPr>
      <w:rPr>
        <w:rFonts w:hint="default"/>
      </w:rPr>
    </w:lvl>
    <w:lvl w:ilvl="1" w:tplc="04240019" w:tentative="1">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23" w15:restartNumberingAfterBreak="0">
    <w:nsid w:val="2C834933"/>
    <w:multiLevelType w:val="hybridMultilevel"/>
    <w:tmpl w:val="E45C4BBC"/>
    <w:lvl w:ilvl="0" w:tplc="0424000F">
      <w:start w:val="1"/>
      <w:numFmt w:val="decimal"/>
      <w:lvlText w:val="%1."/>
      <w:lvlJc w:val="left"/>
      <w:pPr>
        <w:ind w:left="1364" w:hanging="360"/>
      </w:pPr>
    </w:lvl>
    <w:lvl w:ilvl="1" w:tplc="04240019" w:tentative="1">
      <w:start w:val="1"/>
      <w:numFmt w:val="lowerLetter"/>
      <w:lvlText w:val="%2."/>
      <w:lvlJc w:val="left"/>
      <w:pPr>
        <w:ind w:left="2084" w:hanging="360"/>
      </w:pPr>
    </w:lvl>
    <w:lvl w:ilvl="2" w:tplc="0424001B" w:tentative="1">
      <w:start w:val="1"/>
      <w:numFmt w:val="lowerRoman"/>
      <w:lvlText w:val="%3."/>
      <w:lvlJc w:val="right"/>
      <w:pPr>
        <w:ind w:left="2804" w:hanging="180"/>
      </w:pPr>
    </w:lvl>
    <w:lvl w:ilvl="3" w:tplc="0424000F" w:tentative="1">
      <w:start w:val="1"/>
      <w:numFmt w:val="decimal"/>
      <w:lvlText w:val="%4."/>
      <w:lvlJc w:val="left"/>
      <w:pPr>
        <w:ind w:left="3524" w:hanging="360"/>
      </w:pPr>
    </w:lvl>
    <w:lvl w:ilvl="4" w:tplc="04240019" w:tentative="1">
      <w:start w:val="1"/>
      <w:numFmt w:val="lowerLetter"/>
      <w:lvlText w:val="%5."/>
      <w:lvlJc w:val="left"/>
      <w:pPr>
        <w:ind w:left="4244" w:hanging="360"/>
      </w:pPr>
    </w:lvl>
    <w:lvl w:ilvl="5" w:tplc="0424001B" w:tentative="1">
      <w:start w:val="1"/>
      <w:numFmt w:val="lowerRoman"/>
      <w:lvlText w:val="%6."/>
      <w:lvlJc w:val="right"/>
      <w:pPr>
        <w:ind w:left="4964" w:hanging="180"/>
      </w:pPr>
    </w:lvl>
    <w:lvl w:ilvl="6" w:tplc="0424000F" w:tentative="1">
      <w:start w:val="1"/>
      <w:numFmt w:val="decimal"/>
      <w:lvlText w:val="%7."/>
      <w:lvlJc w:val="left"/>
      <w:pPr>
        <w:ind w:left="5684" w:hanging="360"/>
      </w:pPr>
    </w:lvl>
    <w:lvl w:ilvl="7" w:tplc="04240019" w:tentative="1">
      <w:start w:val="1"/>
      <w:numFmt w:val="lowerLetter"/>
      <w:lvlText w:val="%8."/>
      <w:lvlJc w:val="left"/>
      <w:pPr>
        <w:ind w:left="6404" w:hanging="360"/>
      </w:pPr>
    </w:lvl>
    <w:lvl w:ilvl="8" w:tplc="0424001B" w:tentative="1">
      <w:start w:val="1"/>
      <w:numFmt w:val="lowerRoman"/>
      <w:lvlText w:val="%9."/>
      <w:lvlJc w:val="right"/>
      <w:pPr>
        <w:ind w:left="7124" w:hanging="180"/>
      </w:pPr>
    </w:lvl>
  </w:abstractNum>
  <w:abstractNum w:abstractNumId="24" w15:restartNumberingAfterBreak="0">
    <w:nsid w:val="2C847EBF"/>
    <w:multiLevelType w:val="hybridMultilevel"/>
    <w:tmpl w:val="5F98E3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DA00107"/>
    <w:multiLevelType w:val="hybridMultilevel"/>
    <w:tmpl w:val="48C4F914"/>
    <w:lvl w:ilvl="0" w:tplc="04240001">
      <w:start w:val="1"/>
      <w:numFmt w:val="bullet"/>
      <w:lvlText w:val=""/>
      <w:lvlJc w:val="left"/>
      <w:pPr>
        <w:ind w:left="405" w:hanging="360"/>
      </w:pPr>
      <w:rPr>
        <w:rFonts w:ascii="Symbol" w:hAnsi="Symbol"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26" w15:restartNumberingAfterBreak="0">
    <w:nsid w:val="30BD00EA"/>
    <w:multiLevelType w:val="multilevel"/>
    <w:tmpl w:val="C254BE34"/>
    <w:styleLink w:val="Slog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3673025"/>
    <w:multiLevelType w:val="hybridMultilevel"/>
    <w:tmpl w:val="9BD49372"/>
    <w:lvl w:ilvl="0" w:tplc="0FE88F82">
      <w:start w:val="1"/>
      <w:numFmt w:val="low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57D4C3E"/>
    <w:multiLevelType w:val="hybridMultilevel"/>
    <w:tmpl w:val="4DECAC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7B6088A"/>
    <w:multiLevelType w:val="hybridMultilevel"/>
    <w:tmpl w:val="11E27FB6"/>
    <w:lvl w:ilvl="0" w:tplc="C87CE5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B032D5D"/>
    <w:multiLevelType w:val="hybridMultilevel"/>
    <w:tmpl w:val="BF68B25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BAB40CF"/>
    <w:multiLevelType w:val="hybridMultilevel"/>
    <w:tmpl w:val="FEEEB9F6"/>
    <w:lvl w:ilvl="0" w:tplc="4D6EF4A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C5B37C3"/>
    <w:multiLevelType w:val="hybridMultilevel"/>
    <w:tmpl w:val="5C546746"/>
    <w:lvl w:ilvl="0" w:tplc="58588010">
      <w:start w:val="1"/>
      <w:numFmt w:val="lowerLetter"/>
      <w:lvlText w:val="(%1)"/>
      <w:lvlJc w:val="left"/>
      <w:pPr>
        <w:ind w:left="405" w:hanging="36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33" w15:restartNumberingAfterBreak="0">
    <w:nsid w:val="3E087B86"/>
    <w:multiLevelType w:val="hybridMultilevel"/>
    <w:tmpl w:val="5C546746"/>
    <w:lvl w:ilvl="0" w:tplc="58588010">
      <w:start w:val="1"/>
      <w:numFmt w:val="lowerLetter"/>
      <w:lvlText w:val="(%1)"/>
      <w:lvlJc w:val="left"/>
      <w:pPr>
        <w:ind w:left="405" w:hanging="36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34" w15:restartNumberingAfterBreak="0">
    <w:nsid w:val="40CA38C5"/>
    <w:multiLevelType w:val="hybridMultilevel"/>
    <w:tmpl w:val="42B2273E"/>
    <w:lvl w:ilvl="0" w:tplc="6D42D4AC">
      <w:numFmt w:val="bullet"/>
      <w:lvlText w:val="-"/>
      <w:lvlJc w:val="left"/>
      <w:pPr>
        <w:ind w:left="405" w:hanging="360"/>
      </w:pPr>
      <w:rPr>
        <w:rFonts w:ascii="Calibri" w:eastAsiaTheme="minorHAnsi" w:hAnsi="Calibri" w:cstheme="minorBid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35" w15:restartNumberingAfterBreak="0">
    <w:nsid w:val="45D40D53"/>
    <w:multiLevelType w:val="hybridMultilevel"/>
    <w:tmpl w:val="6DC6C740"/>
    <w:lvl w:ilvl="0" w:tplc="999ECAB0">
      <w:start w:val="1"/>
      <w:numFmt w:val="lowerLetter"/>
      <w:lvlText w:val="%1)"/>
      <w:lvlJc w:val="left"/>
      <w:pPr>
        <w:ind w:left="1079" w:hanging="360"/>
      </w:pPr>
      <w:rPr>
        <w:rFonts w:hint="default"/>
      </w:rPr>
    </w:lvl>
    <w:lvl w:ilvl="1" w:tplc="04240019" w:tentative="1">
      <w:start w:val="1"/>
      <w:numFmt w:val="lowerLetter"/>
      <w:lvlText w:val="%2."/>
      <w:lvlJc w:val="left"/>
      <w:pPr>
        <w:ind w:left="1799" w:hanging="360"/>
      </w:pPr>
    </w:lvl>
    <w:lvl w:ilvl="2" w:tplc="0424001B" w:tentative="1">
      <w:start w:val="1"/>
      <w:numFmt w:val="lowerRoman"/>
      <w:lvlText w:val="%3."/>
      <w:lvlJc w:val="right"/>
      <w:pPr>
        <w:ind w:left="2519" w:hanging="180"/>
      </w:pPr>
    </w:lvl>
    <w:lvl w:ilvl="3" w:tplc="0424000F" w:tentative="1">
      <w:start w:val="1"/>
      <w:numFmt w:val="decimal"/>
      <w:lvlText w:val="%4."/>
      <w:lvlJc w:val="left"/>
      <w:pPr>
        <w:ind w:left="3239" w:hanging="360"/>
      </w:pPr>
    </w:lvl>
    <w:lvl w:ilvl="4" w:tplc="04240019" w:tentative="1">
      <w:start w:val="1"/>
      <w:numFmt w:val="lowerLetter"/>
      <w:lvlText w:val="%5."/>
      <w:lvlJc w:val="left"/>
      <w:pPr>
        <w:ind w:left="3959" w:hanging="360"/>
      </w:pPr>
    </w:lvl>
    <w:lvl w:ilvl="5" w:tplc="0424001B" w:tentative="1">
      <w:start w:val="1"/>
      <w:numFmt w:val="lowerRoman"/>
      <w:lvlText w:val="%6."/>
      <w:lvlJc w:val="right"/>
      <w:pPr>
        <w:ind w:left="4679" w:hanging="180"/>
      </w:pPr>
    </w:lvl>
    <w:lvl w:ilvl="6" w:tplc="0424000F" w:tentative="1">
      <w:start w:val="1"/>
      <w:numFmt w:val="decimal"/>
      <w:lvlText w:val="%7."/>
      <w:lvlJc w:val="left"/>
      <w:pPr>
        <w:ind w:left="5399" w:hanging="360"/>
      </w:pPr>
    </w:lvl>
    <w:lvl w:ilvl="7" w:tplc="04240019" w:tentative="1">
      <w:start w:val="1"/>
      <w:numFmt w:val="lowerLetter"/>
      <w:lvlText w:val="%8."/>
      <w:lvlJc w:val="left"/>
      <w:pPr>
        <w:ind w:left="6119" w:hanging="360"/>
      </w:pPr>
    </w:lvl>
    <w:lvl w:ilvl="8" w:tplc="0424001B" w:tentative="1">
      <w:start w:val="1"/>
      <w:numFmt w:val="lowerRoman"/>
      <w:lvlText w:val="%9."/>
      <w:lvlJc w:val="right"/>
      <w:pPr>
        <w:ind w:left="6839" w:hanging="180"/>
      </w:pPr>
    </w:lvl>
  </w:abstractNum>
  <w:abstractNum w:abstractNumId="36" w15:restartNumberingAfterBreak="0">
    <w:nsid w:val="4B332940"/>
    <w:multiLevelType w:val="hybridMultilevel"/>
    <w:tmpl w:val="5F72F08C"/>
    <w:lvl w:ilvl="0" w:tplc="B88C7D0A">
      <w:numFmt w:val="bullet"/>
      <w:lvlText w:val="-"/>
      <w:lvlJc w:val="left"/>
      <w:pPr>
        <w:ind w:left="360" w:hanging="360"/>
      </w:pPr>
      <w:rPr>
        <w:rFonts w:ascii="Arial" w:eastAsiaTheme="minorHAnsi"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7" w15:restartNumberingAfterBreak="0">
    <w:nsid w:val="4B721396"/>
    <w:multiLevelType w:val="hybridMultilevel"/>
    <w:tmpl w:val="ADF2B15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BEE1EAD"/>
    <w:multiLevelType w:val="hybridMultilevel"/>
    <w:tmpl w:val="B7E6804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4D2A12F6"/>
    <w:multiLevelType w:val="hybridMultilevel"/>
    <w:tmpl w:val="4EA6CBA0"/>
    <w:lvl w:ilvl="0" w:tplc="774E7A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E961361"/>
    <w:multiLevelType w:val="hybridMultilevel"/>
    <w:tmpl w:val="249E1BB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4F2878AC"/>
    <w:multiLevelType w:val="hybridMultilevel"/>
    <w:tmpl w:val="28768372"/>
    <w:lvl w:ilvl="0" w:tplc="5DB8CBA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2" w15:restartNumberingAfterBreak="0">
    <w:nsid w:val="51597EB2"/>
    <w:multiLevelType w:val="hybridMultilevel"/>
    <w:tmpl w:val="B6183808"/>
    <w:lvl w:ilvl="0" w:tplc="E42AE2A6">
      <w:numFmt w:val="bullet"/>
      <w:lvlText w:val="-"/>
      <w:lvlJc w:val="left"/>
      <w:pPr>
        <w:ind w:left="1080" w:hanging="360"/>
      </w:pPr>
      <w:rPr>
        <w:rFonts w:ascii="Calibri" w:eastAsia="Calibri" w:hAnsi="Calibri"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3" w15:restartNumberingAfterBreak="0">
    <w:nsid w:val="57372AB3"/>
    <w:multiLevelType w:val="hybridMultilevel"/>
    <w:tmpl w:val="55703A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94C7764"/>
    <w:multiLevelType w:val="hybridMultilevel"/>
    <w:tmpl w:val="FCBE8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C183CEF"/>
    <w:multiLevelType w:val="hybridMultilevel"/>
    <w:tmpl w:val="F4EEF1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60C94FE5"/>
    <w:multiLevelType w:val="hybridMultilevel"/>
    <w:tmpl w:val="A0882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0CF2EB5"/>
    <w:multiLevelType w:val="hybridMultilevel"/>
    <w:tmpl w:val="4CB4211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39E7921"/>
    <w:multiLevelType w:val="hybridMultilevel"/>
    <w:tmpl w:val="00A2A6BE"/>
    <w:lvl w:ilvl="0" w:tplc="4CEA40A0">
      <w:start w:val="1"/>
      <w:numFmt w:val="lowerLetter"/>
      <w:lvlText w:val="%1)"/>
      <w:lvlJc w:val="left"/>
      <w:pPr>
        <w:ind w:left="1364" w:hanging="360"/>
      </w:pPr>
      <w:rPr>
        <w:i w:val="0"/>
      </w:rPr>
    </w:lvl>
    <w:lvl w:ilvl="1" w:tplc="04240019" w:tentative="1">
      <w:start w:val="1"/>
      <w:numFmt w:val="lowerLetter"/>
      <w:lvlText w:val="%2."/>
      <w:lvlJc w:val="left"/>
      <w:pPr>
        <w:ind w:left="2084" w:hanging="360"/>
      </w:pPr>
    </w:lvl>
    <w:lvl w:ilvl="2" w:tplc="0424001B" w:tentative="1">
      <w:start w:val="1"/>
      <w:numFmt w:val="lowerRoman"/>
      <w:lvlText w:val="%3."/>
      <w:lvlJc w:val="right"/>
      <w:pPr>
        <w:ind w:left="2804" w:hanging="180"/>
      </w:pPr>
    </w:lvl>
    <w:lvl w:ilvl="3" w:tplc="0424000F" w:tentative="1">
      <w:start w:val="1"/>
      <w:numFmt w:val="decimal"/>
      <w:lvlText w:val="%4."/>
      <w:lvlJc w:val="left"/>
      <w:pPr>
        <w:ind w:left="3524" w:hanging="360"/>
      </w:pPr>
    </w:lvl>
    <w:lvl w:ilvl="4" w:tplc="04240019" w:tentative="1">
      <w:start w:val="1"/>
      <w:numFmt w:val="lowerLetter"/>
      <w:lvlText w:val="%5."/>
      <w:lvlJc w:val="left"/>
      <w:pPr>
        <w:ind w:left="4244" w:hanging="360"/>
      </w:pPr>
    </w:lvl>
    <w:lvl w:ilvl="5" w:tplc="0424001B" w:tentative="1">
      <w:start w:val="1"/>
      <w:numFmt w:val="lowerRoman"/>
      <w:lvlText w:val="%6."/>
      <w:lvlJc w:val="right"/>
      <w:pPr>
        <w:ind w:left="4964" w:hanging="180"/>
      </w:pPr>
    </w:lvl>
    <w:lvl w:ilvl="6" w:tplc="0424000F" w:tentative="1">
      <w:start w:val="1"/>
      <w:numFmt w:val="decimal"/>
      <w:lvlText w:val="%7."/>
      <w:lvlJc w:val="left"/>
      <w:pPr>
        <w:ind w:left="5684" w:hanging="360"/>
      </w:pPr>
    </w:lvl>
    <w:lvl w:ilvl="7" w:tplc="04240019" w:tentative="1">
      <w:start w:val="1"/>
      <w:numFmt w:val="lowerLetter"/>
      <w:lvlText w:val="%8."/>
      <w:lvlJc w:val="left"/>
      <w:pPr>
        <w:ind w:left="6404" w:hanging="360"/>
      </w:pPr>
    </w:lvl>
    <w:lvl w:ilvl="8" w:tplc="0424001B" w:tentative="1">
      <w:start w:val="1"/>
      <w:numFmt w:val="lowerRoman"/>
      <w:lvlText w:val="%9."/>
      <w:lvlJc w:val="right"/>
      <w:pPr>
        <w:ind w:left="7124" w:hanging="180"/>
      </w:pPr>
    </w:lvl>
  </w:abstractNum>
  <w:abstractNum w:abstractNumId="49" w15:restartNumberingAfterBreak="0">
    <w:nsid w:val="63DB0DEB"/>
    <w:multiLevelType w:val="hybridMultilevel"/>
    <w:tmpl w:val="3D7E83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65827A7E"/>
    <w:multiLevelType w:val="multilevel"/>
    <w:tmpl w:val="5BDEC33C"/>
    <w:lvl w:ilvl="0">
      <w:start w:val="1"/>
      <w:numFmt w:val="decimal"/>
      <w:pStyle w:val="Naslov1"/>
      <w:lvlText w:val="%1"/>
      <w:lvlJc w:val="left"/>
      <w:pPr>
        <w:ind w:left="720" w:hanging="360"/>
      </w:pPr>
      <w:rPr>
        <w:rFonts w:ascii="Arial" w:hAnsi="Arial" w:hint="default"/>
        <w:b/>
        <w:i w:val="0"/>
      </w:rPr>
    </w:lvl>
    <w:lvl w:ilvl="1">
      <w:start w:val="1"/>
      <w:numFmt w:val="decimal"/>
      <w:pStyle w:val="Naslov2"/>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15:restartNumberingAfterBreak="0">
    <w:nsid w:val="669411AB"/>
    <w:multiLevelType w:val="hybridMultilevel"/>
    <w:tmpl w:val="EDCA22CA"/>
    <w:lvl w:ilvl="0" w:tplc="774E7A8E">
      <w:numFmt w:val="bullet"/>
      <w:lvlText w:val="-"/>
      <w:lvlJc w:val="left"/>
      <w:pPr>
        <w:ind w:left="2136" w:hanging="360"/>
      </w:pPr>
      <w:rPr>
        <w:rFonts w:ascii="Arial" w:eastAsia="Times New Roman" w:hAnsi="Arial" w:cs="Aria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52" w15:restartNumberingAfterBreak="0">
    <w:nsid w:val="6AE06E0D"/>
    <w:multiLevelType w:val="hybridMultilevel"/>
    <w:tmpl w:val="7076F430"/>
    <w:lvl w:ilvl="0" w:tplc="7F90521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6C5666E4"/>
    <w:multiLevelType w:val="hybridMultilevel"/>
    <w:tmpl w:val="88780472"/>
    <w:lvl w:ilvl="0" w:tplc="27B0044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D2E5E9A"/>
    <w:multiLevelType w:val="hybridMultilevel"/>
    <w:tmpl w:val="62B2D160"/>
    <w:lvl w:ilvl="0" w:tplc="C5F83F5E">
      <w:start w:val="1"/>
      <w:numFmt w:val="decimal"/>
      <w:lvlText w:val="%1."/>
      <w:lvlJc w:val="left"/>
      <w:pPr>
        <w:ind w:left="720" w:hanging="360"/>
      </w:pPr>
      <w:rPr>
        <w:rFonts w:ascii="Arial" w:eastAsia="Times New Roman" w:hAnsi="Arial" w:cs="Times New Roman"/>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6F4F7CCF"/>
    <w:multiLevelType w:val="hybridMultilevel"/>
    <w:tmpl w:val="ADB20D5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741178E1"/>
    <w:multiLevelType w:val="hybridMultilevel"/>
    <w:tmpl w:val="E59E70C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78245E87"/>
    <w:multiLevelType w:val="hybridMultilevel"/>
    <w:tmpl w:val="F99C6800"/>
    <w:lvl w:ilvl="0" w:tplc="D6609A0A">
      <w:start w:val="1"/>
      <w:numFmt w:val="lowerLetter"/>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58" w15:restartNumberingAfterBreak="0">
    <w:nsid w:val="7B860CBF"/>
    <w:multiLevelType w:val="hybridMultilevel"/>
    <w:tmpl w:val="AAC61082"/>
    <w:lvl w:ilvl="0" w:tplc="EB4C482E">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9" w15:restartNumberingAfterBreak="0">
    <w:nsid w:val="7C2F79C3"/>
    <w:multiLevelType w:val="hybridMultilevel"/>
    <w:tmpl w:val="1E8660C6"/>
    <w:lvl w:ilvl="0" w:tplc="C59697AC">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60" w15:restartNumberingAfterBreak="0">
    <w:nsid w:val="7E9A3932"/>
    <w:multiLevelType w:val="hybridMultilevel"/>
    <w:tmpl w:val="794015E6"/>
    <w:lvl w:ilvl="0" w:tplc="30E6606C">
      <w:start w:val="1"/>
      <w:numFmt w:val="low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6"/>
  </w:num>
  <w:num w:numId="2">
    <w:abstractNumId w:val="19"/>
  </w:num>
  <w:num w:numId="3">
    <w:abstractNumId w:val="54"/>
  </w:num>
  <w:num w:numId="4">
    <w:abstractNumId w:val="52"/>
  </w:num>
  <w:num w:numId="5">
    <w:abstractNumId w:val="11"/>
  </w:num>
  <w:num w:numId="6">
    <w:abstractNumId w:val="18"/>
  </w:num>
  <w:num w:numId="7">
    <w:abstractNumId w:val="36"/>
  </w:num>
  <w:num w:numId="8">
    <w:abstractNumId w:val="51"/>
  </w:num>
  <w:num w:numId="9">
    <w:abstractNumId w:val="39"/>
  </w:num>
  <w:num w:numId="10">
    <w:abstractNumId w:val="16"/>
  </w:num>
  <w:num w:numId="11">
    <w:abstractNumId w:val="58"/>
  </w:num>
  <w:num w:numId="12">
    <w:abstractNumId w:val="49"/>
  </w:num>
  <w:num w:numId="13">
    <w:abstractNumId w:val="2"/>
  </w:num>
  <w:num w:numId="14">
    <w:abstractNumId w:val="7"/>
  </w:num>
  <w:num w:numId="15">
    <w:abstractNumId w:val="45"/>
  </w:num>
  <w:num w:numId="16">
    <w:abstractNumId w:val="53"/>
  </w:num>
  <w:num w:numId="17">
    <w:abstractNumId w:val="21"/>
  </w:num>
  <w:num w:numId="18">
    <w:abstractNumId w:val="50"/>
  </w:num>
  <w:num w:numId="19">
    <w:abstractNumId w:val="50"/>
  </w:num>
  <w:num w:numId="20">
    <w:abstractNumId w:val="6"/>
  </w:num>
  <w:num w:numId="21">
    <w:abstractNumId w:val="34"/>
  </w:num>
  <w:num w:numId="22">
    <w:abstractNumId w:val="29"/>
  </w:num>
  <w:num w:numId="23">
    <w:abstractNumId w:val="31"/>
  </w:num>
  <w:num w:numId="24">
    <w:abstractNumId w:val="23"/>
  </w:num>
  <w:num w:numId="25">
    <w:abstractNumId w:val="48"/>
  </w:num>
  <w:num w:numId="26">
    <w:abstractNumId w:val="9"/>
  </w:num>
  <w:num w:numId="27">
    <w:abstractNumId w:val="20"/>
  </w:num>
  <w:num w:numId="28">
    <w:abstractNumId w:val="10"/>
  </w:num>
  <w:num w:numId="29">
    <w:abstractNumId w:val="0"/>
  </w:num>
  <w:num w:numId="30">
    <w:abstractNumId w:val="43"/>
  </w:num>
  <w:num w:numId="31">
    <w:abstractNumId w:val="25"/>
  </w:num>
  <w:num w:numId="32">
    <w:abstractNumId w:val="12"/>
  </w:num>
  <w:num w:numId="33">
    <w:abstractNumId w:val="6"/>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
  </w:num>
  <w:num w:numId="36">
    <w:abstractNumId w:val="44"/>
  </w:num>
  <w:num w:numId="37">
    <w:abstractNumId w:val="24"/>
  </w:num>
  <w:num w:numId="38">
    <w:abstractNumId w:val="13"/>
  </w:num>
  <w:num w:numId="39">
    <w:abstractNumId w:val="47"/>
  </w:num>
  <w:num w:numId="40">
    <w:abstractNumId w:val="56"/>
  </w:num>
  <w:num w:numId="41">
    <w:abstractNumId w:val="57"/>
  </w:num>
  <w:num w:numId="42">
    <w:abstractNumId w:val="37"/>
  </w:num>
  <w:num w:numId="43">
    <w:abstractNumId w:val="8"/>
  </w:num>
  <w:num w:numId="44">
    <w:abstractNumId w:val="38"/>
  </w:num>
  <w:num w:numId="45">
    <w:abstractNumId w:val="40"/>
  </w:num>
  <w:num w:numId="46">
    <w:abstractNumId w:val="46"/>
  </w:num>
  <w:num w:numId="47">
    <w:abstractNumId w:val="41"/>
  </w:num>
  <w:num w:numId="48">
    <w:abstractNumId w:val="35"/>
  </w:num>
  <w:num w:numId="49">
    <w:abstractNumId w:val="32"/>
  </w:num>
  <w:num w:numId="50">
    <w:abstractNumId w:val="33"/>
  </w:num>
  <w:num w:numId="51">
    <w:abstractNumId w:val="1"/>
  </w:num>
  <w:num w:numId="52">
    <w:abstractNumId w:val="17"/>
  </w:num>
  <w:num w:numId="53">
    <w:abstractNumId w:val="59"/>
  </w:num>
  <w:num w:numId="54">
    <w:abstractNumId w:val="27"/>
  </w:num>
  <w:num w:numId="55">
    <w:abstractNumId w:val="60"/>
  </w:num>
  <w:num w:numId="56">
    <w:abstractNumId w:val="14"/>
  </w:num>
  <w:num w:numId="57">
    <w:abstractNumId w:val="28"/>
  </w:num>
  <w:num w:numId="58">
    <w:abstractNumId w:val="5"/>
  </w:num>
  <w:num w:numId="59">
    <w:abstractNumId w:val="55"/>
  </w:num>
  <w:num w:numId="60">
    <w:abstractNumId w:val="15"/>
  </w:num>
  <w:num w:numId="61">
    <w:abstractNumId w:val="30"/>
  </w:num>
  <w:num w:numId="62">
    <w:abstractNumId w:val="42"/>
  </w:num>
  <w:num w:numId="63">
    <w:abstractNumId w:val="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it-IT" w:vendorID="64" w:dllVersion="131078" w:nlCheck="1" w:checkStyle="0"/>
  <w:activeWritingStyle w:appName="MSWord" w:lang="en-US" w:vendorID="64" w:dllVersion="131078" w:nlCheck="1" w:checkStyle="0"/>
  <w:activeWritingStyle w:appName="MSWord" w:lang="en-GB" w:vendorID="64" w:dllVersion="131078" w:nlCheck="1" w:checkStyle="1"/>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FF"/>
    <w:rsid w:val="000013B5"/>
    <w:rsid w:val="00001925"/>
    <w:rsid w:val="00001FF0"/>
    <w:rsid w:val="000023E0"/>
    <w:rsid w:val="000042C7"/>
    <w:rsid w:val="00004528"/>
    <w:rsid w:val="000053B3"/>
    <w:rsid w:val="000058BE"/>
    <w:rsid w:val="00005E61"/>
    <w:rsid w:val="000063FF"/>
    <w:rsid w:val="00006490"/>
    <w:rsid w:val="00006C47"/>
    <w:rsid w:val="00007620"/>
    <w:rsid w:val="000076E5"/>
    <w:rsid w:val="00010C05"/>
    <w:rsid w:val="000110D8"/>
    <w:rsid w:val="000117BA"/>
    <w:rsid w:val="000118CF"/>
    <w:rsid w:val="000128B8"/>
    <w:rsid w:val="000134B8"/>
    <w:rsid w:val="00015F02"/>
    <w:rsid w:val="00016346"/>
    <w:rsid w:val="000174B2"/>
    <w:rsid w:val="00017BC5"/>
    <w:rsid w:val="00021AA5"/>
    <w:rsid w:val="00021C7E"/>
    <w:rsid w:val="0002259A"/>
    <w:rsid w:val="00023632"/>
    <w:rsid w:val="00023A88"/>
    <w:rsid w:val="00025A7A"/>
    <w:rsid w:val="00026045"/>
    <w:rsid w:val="000262B5"/>
    <w:rsid w:val="00030F31"/>
    <w:rsid w:val="00030F3F"/>
    <w:rsid w:val="0003148D"/>
    <w:rsid w:val="00031DD7"/>
    <w:rsid w:val="000324B2"/>
    <w:rsid w:val="000326C2"/>
    <w:rsid w:val="00032E37"/>
    <w:rsid w:val="00033944"/>
    <w:rsid w:val="00034250"/>
    <w:rsid w:val="0003482A"/>
    <w:rsid w:val="0003740C"/>
    <w:rsid w:val="00042646"/>
    <w:rsid w:val="00042B64"/>
    <w:rsid w:val="00043AE5"/>
    <w:rsid w:val="00046B7C"/>
    <w:rsid w:val="00053BAF"/>
    <w:rsid w:val="0005497A"/>
    <w:rsid w:val="000549E7"/>
    <w:rsid w:val="00055E2C"/>
    <w:rsid w:val="000567EE"/>
    <w:rsid w:val="00056B6A"/>
    <w:rsid w:val="000572DD"/>
    <w:rsid w:val="00060AB1"/>
    <w:rsid w:val="00062112"/>
    <w:rsid w:val="00063634"/>
    <w:rsid w:val="00064B7F"/>
    <w:rsid w:val="00064C16"/>
    <w:rsid w:val="00065C1C"/>
    <w:rsid w:val="0006787C"/>
    <w:rsid w:val="00067FEA"/>
    <w:rsid w:val="000731C8"/>
    <w:rsid w:val="0007526E"/>
    <w:rsid w:val="00075A83"/>
    <w:rsid w:val="00075B29"/>
    <w:rsid w:val="00077363"/>
    <w:rsid w:val="00077883"/>
    <w:rsid w:val="00077966"/>
    <w:rsid w:val="00077DD6"/>
    <w:rsid w:val="000805EA"/>
    <w:rsid w:val="00081492"/>
    <w:rsid w:val="00081C31"/>
    <w:rsid w:val="00083147"/>
    <w:rsid w:val="000832AB"/>
    <w:rsid w:val="0008352D"/>
    <w:rsid w:val="00083C01"/>
    <w:rsid w:val="000861EA"/>
    <w:rsid w:val="000867D3"/>
    <w:rsid w:val="0008731A"/>
    <w:rsid w:val="00087B67"/>
    <w:rsid w:val="000907A3"/>
    <w:rsid w:val="00090A21"/>
    <w:rsid w:val="00090DA2"/>
    <w:rsid w:val="00091FD5"/>
    <w:rsid w:val="00092983"/>
    <w:rsid w:val="00093A31"/>
    <w:rsid w:val="00093D38"/>
    <w:rsid w:val="000A04D9"/>
    <w:rsid w:val="000A11C4"/>
    <w:rsid w:val="000A236B"/>
    <w:rsid w:val="000A24EB"/>
    <w:rsid w:val="000A2B87"/>
    <w:rsid w:val="000A2D42"/>
    <w:rsid w:val="000A3ED0"/>
    <w:rsid w:val="000A4033"/>
    <w:rsid w:val="000A490C"/>
    <w:rsid w:val="000A4CF2"/>
    <w:rsid w:val="000A4F7C"/>
    <w:rsid w:val="000A503E"/>
    <w:rsid w:val="000A554D"/>
    <w:rsid w:val="000A5784"/>
    <w:rsid w:val="000A5EC3"/>
    <w:rsid w:val="000A6041"/>
    <w:rsid w:val="000A6F92"/>
    <w:rsid w:val="000A7238"/>
    <w:rsid w:val="000A78AD"/>
    <w:rsid w:val="000B0B21"/>
    <w:rsid w:val="000B1043"/>
    <w:rsid w:val="000B4337"/>
    <w:rsid w:val="000B5E80"/>
    <w:rsid w:val="000B6244"/>
    <w:rsid w:val="000B6F89"/>
    <w:rsid w:val="000C11DE"/>
    <w:rsid w:val="000C2273"/>
    <w:rsid w:val="000C2715"/>
    <w:rsid w:val="000C2D63"/>
    <w:rsid w:val="000C4388"/>
    <w:rsid w:val="000C472E"/>
    <w:rsid w:val="000C4ECD"/>
    <w:rsid w:val="000C66A3"/>
    <w:rsid w:val="000C7C9C"/>
    <w:rsid w:val="000C7EF1"/>
    <w:rsid w:val="000D0744"/>
    <w:rsid w:val="000D0D66"/>
    <w:rsid w:val="000D176A"/>
    <w:rsid w:val="000D1B4C"/>
    <w:rsid w:val="000D1B88"/>
    <w:rsid w:val="000D1E25"/>
    <w:rsid w:val="000D255F"/>
    <w:rsid w:val="000D2FDE"/>
    <w:rsid w:val="000D5C40"/>
    <w:rsid w:val="000D6C2C"/>
    <w:rsid w:val="000E060B"/>
    <w:rsid w:val="000E07DB"/>
    <w:rsid w:val="000E1A20"/>
    <w:rsid w:val="000E1E59"/>
    <w:rsid w:val="000E266B"/>
    <w:rsid w:val="000E37CC"/>
    <w:rsid w:val="000E46F7"/>
    <w:rsid w:val="000E50D3"/>
    <w:rsid w:val="000E5311"/>
    <w:rsid w:val="000E7887"/>
    <w:rsid w:val="000F0237"/>
    <w:rsid w:val="000F22FE"/>
    <w:rsid w:val="000F298B"/>
    <w:rsid w:val="000F407B"/>
    <w:rsid w:val="000F5328"/>
    <w:rsid w:val="000F5DC6"/>
    <w:rsid w:val="000F6AF2"/>
    <w:rsid w:val="000F6F04"/>
    <w:rsid w:val="000F7712"/>
    <w:rsid w:val="000F78F4"/>
    <w:rsid w:val="000F7EB0"/>
    <w:rsid w:val="001002C8"/>
    <w:rsid w:val="00100A94"/>
    <w:rsid w:val="00100F42"/>
    <w:rsid w:val="00102470"/>
    <w:rsid w:val="00103232"/>
    <w:rsid w:val="00103BB5"/>
    <w:rsid w:val="00103F2F"/>
    <w:rsid w:val="00104025"/>
    <w:rsid w:val="0010403B"/>
    <w:rsid w:val="001064A7"/>
    <w:rsid w:val="001065D3"/>
    <w:rsid w:val="00107CCF"/>
    <w:rsid w:val="00110711"/>
    <w:rsid w:val="00111CA6"/>
    <w:rsid w:val="00113AF4"/>
    <w:rsid w:val="00114431"/>
    <w:rsid w:val="00116442"/>
    <w:rsid w:val="00117FC8"/>
    <w:rsid w:val="001202BF"/>
    <w:rsid w:val="001208C0"/>
    <w:rsid w:val="00121508"/>
    <w:rsid w:val="001227E5"/>
    <w:rsid w:val="00122B98"/>
    <w:rsid w:val="00122D03"/>
    <w:rsid w:val="001235A2"/>
    <w:rsid w:val="00123F36"/>
    <w:rsid w:val="00123F60"/>
    <w:rsid w:val="0012434B"/>
    <w:rsid w:val="00124967"/>
    <w:rsid w:val="00124AB5"/>
    <w:rsid w:val="001270C0"/>
    <w:rsid w:val="00127EC9"/>
    <w:rsid w:val="001324F2"/>
    <w:rsid w:val="00133443"/>
    <w:rsid w:val="00133AE1"/>
    <w:rsid w:val="00133F06"/>
    <w:rsid w:val="00134493"/>
    <w:rsid w:val="00134AE5"/>
    <w:rsid w:val="00135413"/>
    <w:rsid w:val="001357B2"/>
    <w:rsid w:val="00136792"/>
    <w:rsid w:val="00137590"/>
    <w:rsid w:val="001376CB"/>
    <w:rsid w:val="00137EDE"/>
    <w:rsid w:val="00140086"/>
    <w:rsid w:val="00140665"/>
    <w:rsid w:val="00140ACD"/>
    <w:rsid w:val="00141256"/>
    <w:rsid w:val="00141723"/>
    <w:rsid w:val="00141A19"/>
    <w:rsid w:val="00141E8A"/>
    <w:rsid w:val="00142B50"/>
    <w:rsid w:val="00142C7E"/>
    <w:rsid w:val="00142FF7"/>
    <w:rsid w:val="00144AD2"/>
    <w:rsid w:val="00145328"/>
    <w:rsid w:val="00146461"/>
    <w:rsid w:val="001470A8"/>
    <w:rsid w:val="001502E5"/>
    <w:rsid w:val="00150811"/>
    <w:rsid w:val="00151451"/>
    <w:rsid w:val="00151727"/>
    <w:rsid w:val="00151D7E"/>
    <w:rsid w:val="0015391E"/>
    <w:rsid w:val="00153AB7"/>
    <w:rsid w:val="001544C5"/>
    <w:rsid w:val="0015451A"/>
    <w:rsid w:val="00154FC0"/>
    <w:rsid w:val="00155182"/>
    <w:rsid w:val="00155813"/>
    <w:rsid w:val="001573D2"/>
    <w:rsid w:val="0016090C"/>
    <w:rsid w:val="00162624"/>
    <w:rsid w:val="00163665"/>
    <w:rsid w:val="00163933"/>
    <w:rsid w:val="00163FED"/>
    <w:rsid w:val="00164DAA"/>
    <w:rsid w:val="00165308"/>
    <w:rsid w:val="001653EE"/>
    <w:rsid w:val="0016567B"/>
    <w:rsid w:val="00166757"/>
    <w:rsid w:val="00166D60"/>
    <w:rsid w:val="00167753"/>
    <w:rsid w:val="00170A3A"/>
    <w:rsid w:val="00170D6B"/>
    <w:rsid w:val="0017158B"/>
    <w:rsid w:val="0017501C"/>
    <w:rsid w:val="001762CF"/>
    <w:rsid w:val="001765CD"/>
    <w:rsid w:val="00176DC8"/>
    <w:rsid w:val="001777C0"/>
    <w:rsid w:val="00180576"/>
    <w:rsid w:val="00182426"/>
    <w:rsid w:val="00185E5A"/>
    <w:rsid w:val="001864C0"/>
    <w:rsid w:val="0018747B"/>
    <w:rsid w:val="001875C6"/>
    <w:rsid w:val="00187925"/>
    <w:rsid w:val="00187C67"/>
    <w:rsid w:val="00190355"/>
    <w:rsid w:val="0019076A"/>
    <w:rsid w:val="001914B2"/>
    <w:rsid w:val="0019357B"/>
    <w:rsid w:val="0019396F"/>
    <w:rsid w:val="0019397E"/>
    <w:rsid w:val="001945E2"/>
    <w:rsid w:val="00194634"/>
    <w:rsid w:val="00194B5E"/>
    <w:rsid w:val="001959BF"/>
    <w:rsid w:val="00196683"/>
    <w:rsid w:val="00196ECB"/>
    <w:rsid w:val="00197D33"/>
    <w:rsid w:val="001A1A2D"/>
    <w:rsid w:val="001A1C59"/>
    <w:rsid w:val="001A2DF8"/>
    <w:rsid w:val="001A3774"/>
    <w:rsid w:val="001A3830"/>
    <w:rsid w:val="001A3BA5"/>
    <w:rsid w:val="001A4ED2"/>
    <w:rsid w:val="001A5045"/>
    <w:rsid w:val="001A57C9"/>
    <w:rsid w:val="001A674F"/>
    <w:rsid w:val="001A72E3"/>
    <w:rsid w:val="001A7B95"/>
    <w:rsid w:val="001A7DA9"/>
    <w:rsid w:val="001B0109"/>
    <w:rsid w:val="001B090C"/>
    <w:rsid w:val="001B1294"/>
    <w:rsid w:val="001B26A9"/>
    <w:rsid w:val="001B417D"/>
    <w:rsid w:val="001B60CF"/>
    <w:rsid w:val="001B7968"/>
    <w:rsid w:val="001C0A0A"/>
    <w:rsid w:val="001C0B3C"/>
    <w:rsid w:val="001C0EB4"/>
    <w:rsid w:val="001C19C4"/>
    <w:rsid w:val="001C1F56"/>
    <w:rsid w:val="001C1F7B"/>
    <w:rsid w:val="001C3149"/>
    <w:rsid w:val="001C3342"/>
    <w:rsid w:val="001C3CE9"/>
    <w:rsid w:val="001C568A"/>
    <w:rsid w:val="001C6FC1"/>
    <w:rsid w:val="001C7B6C"/>
    <w:rsid w:val="001D0579"/>
    <w:rsid w:val="001D089B"/>
    <w:rsid w:val="001D0BAE"/>
    <w:rsid w:val="001D171B"/>
    <w:rsid w:val="001D1F07"/>
    <w:rsid w:val="001D26AD"/>
    <w:rsid w:val="001D372F"/>
    <w:rsid w:val="001D46A1"/>
    <w:rsid w:val="001D5452"/>
    <w:rsid w:val="001D69B4"/>
    <w:rsid w:val="001D6B08"/>
    <w:rsid w:val="001D6D49"/>
    <w:rsid w:val="001D787A"/>
    <w:rsid w:val="001D7C37"/>
    <w:rsid w:val="001E0842"/>
    <w:rsid w:val="001E14FB"/>
    <w:rsid w:val="001E2529"/>
    <w:rsid w:val="001E2E26"/>
    <w:rsid w:val="001E34A0"/>
    <w:rsid w:val="001E3967"/>
    <w:rsid w:val="001E52CA"/>
    <w:rsid w:val="001E623E"/>
    <w:rsid w:val="001E7397"/>
    <w:rsid w:val="001F1886"/>
    <w:rsid w:val="001F228B"/>
    <w:rsid w:val="001F3A0A"/>
    <w:rsid w:val="001F3C33"/>
    <w:rsid w:val="001F3E31"/>
    <w:rsid w:val="001F420B"/>
    <w:rsid w:val="001F6898"/>
    <w:rsid w:val="001F7BC0"/>
    <w:rsid w:val="002000FE"/>
    <w:rsid w:val="00200C6D"/>
    <w:rsid w:val="00201015"/>
    <w:rsid w:val="00201986"/>
    <w:rsid w:val="00202A77"/>
    <w:rsid w:val="00203466"/>
    <w:rsid w:val="002042A6"/>
    <w:rsid w:val="002051A1"/>
    <w:rsid w:val="002056B7"/>
    <w:rsid w:val="00205A1D"/>
    <w:rsid w:val="00205B11"/>
    <w:rsid w:val="00207C67"/>
    <w:rsid w:val="0021071B"/>
    <w:rsid w:val="002113BC"/>
    <w:rsid w:val="0021384F"/>
    <w:rsid w:val="00213DBE"/>
    <w:rsid w:val="002147A3"/>
    <w:rsid w:val="002157B5"/>
    <w:rsid w:val="002174D1"/>
    <w:rsid w:val="0022044C"/>
    <w:rsid w:val="00220740"/>
    <w:rsid w:val="00220C4B"/>
    <w:rsid w:val="0022221F"/>
    <w:rsid w:val="002222F3"/>
    <w:rsid w:val="00222522"/>
    <w:rsid w:val="002232D0"/>
    <w:rsid w:val="00223F84"/>
    <w:rsid w:val="00224609"/>
    <w:rsid w:val="002257AC"/>
    <w:rsid w:val="0022586C"/>
    <w:rsid w:val="00225A25"/>
    <w:rsid w:val="0022611A"/>
    <w:rsid w:val="002266CE"/>
    <w:rsid w:val="002278EC"/>
    <w:rsid w:val="0023010E"/>
    <w:rsid w:val="002301A5"/>
    <w:rsid w:val="00230490"/>
    <w:rsid w:val="00230551"/>
    <w:rsid w:val="00231058"/>
    <w:rsid w:val="002319AC"/>
    <w:rsid w:val="0023241C"/>
    <w:rsid w:val="00232899"/>
    <w:rsid w:val="002338F1"/>
    <w:rsid w:val="002341C3"/>
    <w:rsid w:val="0023431F"/>
    <w:rsid w:val="00236C7A"/>
    <w:rsid w:val="00236E74"/>
    <w:rsid w:val="00237404"/>
    <w:rsid w:val="00237BA5"/>
    <w:rsid w:val="00237BBF"/>
    <w:rsid w:val="00237E3D"/>
    <w:rsid w:val="00237E47"/>
    <w:rsid w:val="00237FDD"/>
    <w:rsid w:val="0024046C"/>
    <w:rsid w:val="00241D1E"/>
    <w:rsid w:val="002424B7"/>
    <w:rsid w:val="0024354A"/>
    <w:rsid w:val="00243936"/>
    <w:rsid w:val="00243EE7"/>
    <w:rsid w:val="0024539C"/>
    <w:rsid w:val="00246007"/>
    <w:rsid w:val="00246309"/>
    <w:rsid w:val="00246852"/>
    <w:rsid w:val="00247AEF"/>
    <w:rsid w:val="00247F2A"/>
    <w:rsid w:val="00251262"/>
    <w:rsid w:val="0025127D"/>
    <w:rsid w:val="00252C66"/>
    <w:rsid w:val="002530DD"/>
    <w:rsid w:val="002530DF"/>
    <w:rsid w:val="00253B3D"/>
    <w:rsid w:val="00253EC7"/>
    <w:rsid w:val="00255914"/>
    <w:rsid w:val="00257E22"/>
    <w:rsid w:val="00263BD8"/>
    <w:rsid w:val="002648F8"/>
    <w:rsid w:val="002649B9"/>
    <w:rsid w:val="00264A2D"/>
    <w:rsid w:val="002661B0"/>
    <w:rsid w:val="00266F33"/>
    <w:rsid w:val="00266FE6"/>
    <w:rsid w:val="00267181"/>
    <w:rsid w:val="0026782C"/>
    <w:rsid w:val="00271CE5"/>
    <w:rsid w:val="00271FC9"/>
    <w:rsid w:val="0027274D"/>
    <w:rsid w:val="002736AB"/>
    <w:rsid w:val="00274428"/>
    <w:rsid w:val="00274544"/>
    <w:rsid w:val="00274DBF"/>
    <w:rsid w:val="00276664"/>
    <w:rsid w:val="002767C1"/>
    <w:rsid w:val="00276914"/>
    <w:rsid w:val="00276AE3"/>
    <w:rsid w:val="002806B2"/>
    <w:rsid w:val="00280E92"/>
    <w:rsid w:val="002811C8"/>
    <w:rsid w:val="002814A2"/>
    <w:rsid w:val="00282020"/>
    <w:rsid w:val="00282A37"/>
    <w:rsid w:val="002834FB"/>
    <w:rsid w:val="00284D25"/>
    <w:rsid w:val="00284EAB"/>
    <w:rsid w:val="002856F7"/>
    <w:rsid w:val="00285D88"/>
    <w:rsid w:val="00286399"/>
    <w:rsid w:val="002868A2"/>
    <w:rsid w:val="0028696C"/>
    <w:rsid w:val="00290FDA"/>
    <w:rsid w:val="00291402"/>
    <w:rsid w:val="0029182D"/>
    <w:rsid w:val="002932B1"/>
    <w:rsid w:val="00295A33"/>
    <w:rsid w:val="00296865"/>
    <w:rsid w:val="00296E00"/>
    <w:rsid w:val="00296F82"/>
    <w:rsid w:val="00296FC9"/>
    <w:rsid w:val="00297E90"/>
    <w:rsid w:val="002A0032"/>
    <w:rsid w:val="002A1C3E"/>
    <w:rsid w:val="002A26F6"/>
    <w:rsid w:val="002A2FC0"/>
    <w:rsid w:val="002A32F7"/>
    <w:rsid w:val="002A3909"/>
    <w:rsid w:val="002A43C4"/>
    <w:rsid w:val="002A49D3"/>
    <w:rsid w:val="002A4FC6"/>
    <w:rsid w:val="002A5224"/>
    <w:rsid w:val="002A5510"/>
    <w:rsid w:val="002A5EFA"/>
    <w:rsid w:val="002A75A7"/>
    <w:rsid w:val="002B071B"/>
    <w:rsid w:val="002B1215"/>
    <w:rsid w:val="002B15D4"/>
    <w:rsid w:val="002B1AFE"/>
    <w:rsid w:val="002B30B3"/>
    <w:rsid w:val="002B3409"/>
    <w:rsid w:val="002B3F36"/>
    <w:rsid w:val="002B4165"/>
    <w:rsid w:val="002B4AB4"/>
    <w:rsid w:val="002B63B0"/>
    <w:rsid w:val="002B64F7"/>
    <w:rsid w:val="002C2030"/>
    <w:rsid w:val="002C204A"/>
    <w:rsid w:val="002C20F2"/>
    <w:rsid w:val="002C2AE4"/>
    <w:rsid w:val="002C33D0"/>
    <w:rsid w:val="002C541F"/>
    <w:rsid w:val="002C6DF9"/>
    <w:rsid w:val="002D0AB1"/>
    <w:rsid w:val="002D1768"/>
    <w:rsid w:val="002D1CD6"/>
    <w:rsid w:val="002D1CF2"/>
    <w:rsid w:val="002D42E1"/>
    <w:rsid w:val="002D4764"/>
    <w:rsid w:val="002D4C5A"/>
    <w:rsid w:val="002D5409"/>
    <w:rsid w:val="002D5510"/>
    <w:rsid w:val="002D7CA9"/>
    <w:rsid w:val="002E0F41"/>
    <w:rsid w:val="002E133C"/>
    <w:rsid w:val="002E1453"/>
    <w:rsid w:val="002E26A0"/>
    <w:rsid w:val="002E3469"/>
    <w:rsid w:val="002E3576"/>
    <w:rsid w:val="002E362A"/>
    <w:rsid w:val="002E3925"/>
    <w:rsid w:val="002E6844"/>
    <w:rsid w:val="002E70B0"/>
    <w:rsid w:val="002F06F8"/>
    <w:rsid w:val="002F199D"/>
    <w:rsid w:val="002F1FDF"/>
    <w:rsid w:val="002F2FCA"/>
    <w:rsid w:val="002F5651"/>
    <w:rsid w:val="002F71A4"/>
    <w:rsid w:val="00300910"/>
    <w:rsid w:val="00301086"/>
    <w:rsid w:val="00301FD1"/>
    <w:rsid w:val="0030284D"/>
    <w:rsid w:val="00302B2F"/>
    <w:rsid w:val="00302BDE"/>
    <w:rsid w:val="0030448D"/>
    <w:rsid w:val="003046C6"/>
    <w:rsid w:val="00305E8F"/>
    <w:rsid w:val="003066FC"/>
    <w:rsid w:val="00306B51"/>
    <w:rsid w:val="0030752C"/>
    <w:rsid w:val="003078FE"/>
    <w:rsid w:val="0030798A"/>
    <w:rsid w:val="00310CEB"/>
    <w:rsid w:val="00311387"/>
    <w:rsid w:val="003118FD"/>
    <w:rsid w:val="00311BFF"/>
    <w:rsid w:val="0031230F"/>
    <w:rsid w:val="00312776"/>
    <w:rsid w:val="003135AA"/>
    <w:rsid w:val="00313746"/>
    <w:rsid w:val="00313D63"/>
    <w:rsid w:val="003149AF"/>
    <w:rsid w:val="00314B4D"/>
    <w:rsid w:val="00314B7B"/>
    <w:rsid w:val="003151F6"/>
    <w:rsid w:val="0031754B"/>
    <w:rsid w:val="00317B75"/>
    <w:rsid w:val="00320BB9"/>
    <w:rsid w:val="003227A1"/>
    <w:rsid w:val="003237E2"/>
    <w:rsid w:val="00324A74"/>
    <w:rsid w:val="003254C2"/>
    <w:rsid w:val="00325658"/>
    <w:rsid w:val="00325E2B"/>
    <w:rsid w:val="00327704"/>
    <w:rsid w:val="00330226"/>
    <w:rsid w:val="00330D21"/>
    <w:rsid w:val="00331D78"/>
    <w:rsid w:val="00332090"/>
    <w:rsid w:val="003323C8"/>
    <w:rsid w:val="00332B68"/>
    <w:rsid w:val="00335A18"/>
    <w:rsid w:val="00335F65"/>
    <w:rsid w:val="00336669"/>
    <w:rsid w:val="00336676"/>
    <w:rsid w:val="00336C24"/>
    <w:rsid w:val="00337647"/>
    <w:rsid w:val="0034069F"/>
    <w:rsid w:val="00342BA0"/>
    <w:rsid w:val="003432EE"/>
    <w:rsid w:val="003435B0"/>
    <w:rsid w:val="00343740"/>
    <w:rsid w:val="0034545A"/>
    <w:rsid w:val="0034571E"/>
    <w:rsid w:val="00346144"/>
    <w:rsid w:val="00347202"/>
    <w:rsid w:val="00347634"/>
    <w:rsid w:val="00347C2A"/>
    <w:rsid w:val="00347CB7"/>
    <w:rsid w:val="0035047C"/>
    <w:rsid w:val="00351585"/>
    <w:rsid w:val="00351812"/>
    <w:rsid w:val="00351BBC"/>
    <w:rsid w:val="00351E65"/>
    <w:rsid w:val="00352374"/>
    <w:rsid w:val="00352577"/>
    <w:rsid w:val="003527E0"/>
    <w:rsid w:val="00352915"/>
    <w:rsid w:val="00352D12"/>
    <w:rsid w:val="00352ED0"/>
    <w:rsid w:val="00353956"/>
    <w:rsid w:val="00355001"/>
    <w:rsid w:val="00355CA6"/>
    <w:rsid w:val="003567D7"/>
    <w:rsid w:val="00356FD5"/>
    <w:rsid w:val="00357CAC"/>
    <w:rsid w:val="00357DA5"/>
    <w:rsid w:val="003601A0"/>
    <w:rsid w:val="00360233"/>
    <w:rsid w:val="00361234"/>
    <w:rsid w:val="00361961"/>
    <w:rsid w:val="00361BC6"/>
    <w:rsid w:val="003636BF"/>
    <w:rsid w:val="00363C0C"/>
    <w:rsid w:val="00366035"/>
    <w:rsid w:val="003679DE"/>
    <w:rsid w:val="003700D5"/>
    <w:rsid w:val="00370532"/>
    <w:rsid w:val="00370629"/>
    <w:rsid w:val="003706D3"/>
    <w:rsid w:val="00370AA7"/>
    <w:rsid w:val="003714A3"/>
    <w:rsid w:val="00371DC4"/>
    <w:rsid w:val="0037225D"/>
    <w:rsid w:val="00372433"/>
    <w:rsid w:val="00372852"/>
    <w:rsid w:val="0037479F"/>
    <w:rsid w:val="00374E5F"/>
    <w:rsid w:val="00380273"/>
    <w:rsid w:val="00381B5D"/>
    <w:rsid w:val="00382793"/>
    <w:rsid w:val="00382F72"/>
    <w:rsid w:val="003830E8"/>
    <w:rsid w:val="0038391E"/>
    <w:rsid w:val="00383B3A"/>
    <w:rsid w:val="003845B4"/>
    <w:rsid w:val="00384E9B"/>
    <w:rsid w:val="003850A5"/>
    <w:rsid w:val="00387B1A"/>
    <w:rsid w:val="00391314"/>
    <w:rsid w:val="00391D4C"/>
    <w:rsid w:val="00391F60"/>
    <w:rsid w:val="00392557"/>
    <w:rsid w:val="00393B8B"/>
    <w:rsid w:val="003942DF"/>
    <w:rsid w:val="00394455"/>
    <w:rsid w:val="003957B6"/>
    <w:rsid w:val="00395F3E"/>
    <w:rsid w:val="00396130"/>
    <w:rsid w:val="00396856"/>
    <w:rsid w:val="00396B30"/>
    <w:rsid w:val="0039748E"/>
    <w:rsid w:val="00397D96"/>
    <w:rsid w:val="003A091F"/>
    <w:rsid w:val="003A0950"/>
    <w:rsid w:val="003A1B65"/>
    <w:rsid w:val="003A26BF"/>
    <w:rsid w:val="003A2861"/>
    <w:rsid w:val="003A2D21"/>
    <w:rsid w:val="003A3FC2"/>
    <w:rsid w:val="003A4570"/>
    <w:rsid w:val="003A4990"/>
    <w:rsid w:val="003A4E20"/>
    <w:rsid w:val="003A5E83"/>
    <w:rsid w:val="003A5FBB"/>
    <w:rsid w:val="003A639B"/>
    <w:rsid w:val="003A647C"/>
    <w:rsid w:val="003A6B93"/>
    <w:rsid w:val="003A739F"/>
    <w:rsid w:val="003A741B"/>
    <w:rsid w:val="003A76DF"/>
    <w:rsid w:val="003B312C"/>
    <w:rsid w:val="003B31D5"/>
    <w:rsid w:val="003B3D27"/>
    <w:rsid w:val="003B5DBC"/>
    <w:rsid w:val="003B602C"/>
    <w:rsid w:val="003B6E20"/>
    <w:rsid w:val="003B7BB4"/>
    <w:rsid w:val="003B7E21"/>
    <w:rsid w:val="003B7F46"/>
    <w:rsid w:val="003B7F73"/>
    <w:rsid w:val="003C180E"/>
    <w:rsid w:val="003C2075"/>
    <w:rsid w:val="003C353D"/>
    <w:rsid w:val="003C4BE7"/>
    <w:rsid w:val="003C5253"/>
    <w:rsid w:val="003C564D"/>
    <w:rsid w:val="003C6815"/>
    <w:rsid w:val="003D0855"/>
    <w:rsid w:val="003D0B40"/>
    <w:rsid w:val="003D0B70"/>
    <w:rsid w:val="003D192D"/>
    <w:rsid w:val="003D2ACC"/>
    <w:rsid w:val="003D38EF"/>
    <w:rsid w:val="003D4681"/>
    <w:rsid w:val="003D48A1"/>
    <w:rsid w:val="003D4B01"/>
    <w:rsid w:val="003D5F27"/>
    <w:rsid w:val="003D6735"/>
    <w:rsid w:val="003D6836"/>
    <w:rsid w:val="003D6C36"/>
    <w:rsid w:val="003D7AAB"/>
    <w:rsid w:val="003E13BE"/>
    <w:rsid w:val="003E193E"/>
    <w:rsid w:val="003E1C74"/>
    <w:rsid w:val="003E379A"/>
    <w:rsid w:val="003E4B71"/>
    <w:rsid w:val="003E60C9"/>
    <w:rsid w:val="003E64B8"/>
    <w:rsid w:val="003E720C"/>
    <w:rsid w:val="003F284B"/>
    <w:rsid w:val="003F3B7D"/>
    <w:rsid w:val="003F40AA"/>
    <w:rsid w:val="003F4375"/>
    <w:rsid w:val="003F56B4"/>
    <w:rsid w:val="003F5F59"/>
    <w:rsid w:val="003F5F90"/>
    <w:rsid w:val="003F6786"/>
    <w:rsid w:val="003F6899"/>
    <w:rsid w:val="003F75FB"/>
    <w:rsid w:val="004006D9"/>
    <w:rsid w:val="0040088F"/>
    <w:rsid w:val="00401EBF"/>
    <w:rsid w:val="00402134"/>
    <w:rsid w:val="00404B42"/>
    <w:rsid w:val="004057F0"/>
    <w:rsid w:val="0040798B"/>
    <w:rsid w:val="00407BFA"/>
    <w:rsid w:val="004104BD"/>
    <w:rsid w:val="00411AB2"/>
    <w:rsid w:val="0041227E"/>
    <w:rsid w:val="00412784"/>
    <w:rsid w:val="004131DA"/>
    <w:rsid w:val="004146EC"/>
    <w:rsid w:val="0041531B"/>
    <w:rsid w:val="00416940"/>
    <w:rsid w:val="00416CE8"/>
    <w:rsid w:val="00417AA5"/>
    <w:rsid w:val="00421F59"/>
    <w:rsid w:val="004227A7"/>
    <w:rsid w:val="004232E9"/>
    <w:rsid w:val="00424C80"/>
    <w:rsid w:val="00424CB8"/>
    <w:rsid w:val="004255B2"/>
    <w:rsid w:val="004258E2"/>
    <w:rsid w:val="004259A3"/>
    <w:rsid w:val="00427B0D"/>
    <w:rsid w:val="00430172"/>
    <w:rsid w:val="004303B8"/>
    <w:rsid w:val="004303BD"/>
    <w:rsid w:val="004304DD"/>
    <w:rsid w:val="00430E1B"/>
    <w:rsid w:val="00432A58"/>
    <w:rsid w:val="004332CB"/>
    <w:rsid w:val="004335BF"/>
    <w:rsid w:val="0043382E"/>
    <w:rsid w:val="00434295"/>
    <w:rsid w:val="0043442F"/>
    <w:rsid w:val="0043445E"/>
    <w:rsid w:val="0043508B"/>
    <w:rsid w:val="004361F0"/>
    <w:rsid w:val="0043639D"/>
    <w:rsid w:val="004408A1"/>
    <w:rsid w:val="00441B30"/>
    <w:rsid w:val="00442215"/>
    <w:rsid w:val="00442390"/>
    <w:rsid w:val="00442606"/>
    <w:rsid w:val="00442D4D"/>
    <w:rsid w:val="00444A89"/>
    <w:rsid w:val="0044551A"/>
    <w:rsid w:val="00446180"/>
    <w:rsid w:val="00447442"/>
    <w:rsid w:val="00447597"/>
    <w:rsid w:val="00447C1F"/>
    <w:rsid w:val="00450C3C"/>
    <w:rsid w:val="00451241"/>
    <w:rsid w:val="004516C4"/>
    <w:rsid w:val="00451C90"/>
    <w:rsid w:val="00452766"/>
    <w:rsid w:val="00452B09"/>
    <w:rsid w:val="00453B28"/>
    <w:rsid w:val="004541D9"/>
    <w:rsid w:val="004544A8"/>
    <w:rsid w:val="004545E6"/>
    <w:rsid w:val="00454BF6"/>
    <w:rsid w:val="00455B80"/>
    <w:rsid w:val="0045687D"/>
    <w:rsid w:val="0045688C"/>
    <w:rsid w:val="0045701C"/>
    <w:rsid w:val="0046053A"/>
    <w:rsid w:val="004610BF"/>
    <w:rsid w:val="00461D4D"/>
    <w:rsid w:val="004621AC"/>
    <w:rsid w:val="004623E5"/>
    <w:rsid w:val="00462E9C"/>
    <w:rsid w:val="00463013"/>
    <w:rsid w:val="004631DE"/>
    <w:rsid w:val="004634C1"/>
    <w:rsid w:val="004645C7"/>
    <w:rsid w:val="004649FF"/>
    <w:rsid w:val="004659B3"/>
    <w:rsid w:val="00466A7E"/>
    <w:rsid w:val="00466BC9"/>
    <w:rsid w:val="00467452"/>
    <w:rsid w:val="00467469"/>
    <w:rsid w:val="0047031E"/>
    <w:rsid w:val="0047099C"/>
    <w:rsid w:val="00473152"/>
    <w:rsid w:val="00474A84"/>
    <w:rsid w:val="00475746"/>
    <w:rsid w:val="00475868"/>
    <w:rsid w:val="00475D70"/>
    <w:rsid w:val="00477189"/>
    <w:rsid w:val="00477358"/>
    <w:rsid w:val="00477B64"/>
    <w:rsid w:val="00477FA5"/>
    <w:rsid w:val="00481763"/>
    <w:rsid w:val="004817ED"/>
    <w:rsid w:val="00481EA5"/>
    <w:rsid w:val="004829C1"/>
    <w:rsid w:val="00483606"/>
    <w:rsid w:val="00483837"/>
    <w:rsid w:val="00483DF3"/>
    <w:rsid w:val="0048589D"/>
    <w:rsid w:val="004858B5"/>
    <w:rsid w:val="00486ADD"/>
    <w:rsid w:val="00486B2A"/>
    <w:rsid w:val="00490F46"/>
    <w:rsid w:val="0049141E"/>
    <w:rsid w:val="0049148D"/>
    <w:rsid w:val="004915A4"/>
    <w:rsid w:val="00491DEE"/>
    <w:rsid w:val="00491ED0"/>
    <w:rsid w:val="004922CE"/>
    <w:rsid w:val="00492507"/>
    <w:rsid w:val="00492DB1"/>
    <w:rsid w:val="00492F07"/>
    <w:rsid w:val="004933D8"/>
    <w:rsid w:val="0049598B"/>
    <w:rsid w:val="004961B9"/>
    <w:rsid w:val="004973F3"/>
    <w:rsid w:val="004A1B3E"/>
    <w:rsid w:val="004A30BC"/>
    <w:rsid w:val="004A37EC"/>
    <w:rsid w:val="004A3B71"/>
    <w:rsid w:val="004A3C8E"/>
    <w:rsid w:val="004A3E2C"/>
    <w:rsid w:val="004A4120"/>
    <w:rsid w:val="004A492D"/>
    <w:rsid w:val="004A5201"/>
    <w:rsid w:val="004A64D9"/>
    <w:rsid w:val="004A66C9"/>
    <w:rsid w:val="004A6C99"/>
    <w:rsid w:val="004A6D1D"/>
    <w:rsid w:val="004A6D4A"/>
    <w:rsid w:val="004A6F89"/>
    <w:rsid w:val="004A745F"/>
    <w:rsid w:val="004A7546"/>
    <w:rsid w:val="004B0B45"/>
    <w:rsid w:val="004B0CA5"/>
    <w:rsid w:val="004B1866"/>
    <w:rsid w:val="004B2C70"/>
    <w:rsid w:val="004B4770"/>
    <w:rsid w:val="004B5051"/>
    <w:rsid w:val="004B6BC8"/>
    <w:rsid w:val="004B7052"/>
    <w:rsid w:val="004B729E"/>
    <w:rsid w:val="004C4437"/>
    <w:rsid w:val="004C50D0"/>
    <w:rsid w:val="004C7152"/>
    <w:rsid w:val="004C720F"/>
    <w:rsid w:val="004C7557"/>
    <w:rsid w:val="004C7BE9"/>
    <w:rsid w:val="004D0B80"/>
    <w:rsid w:val="004D1CB8"/>
    <w:rsid w:val="004D2B8D"/>
    <w:rsid w:val="004D5B71"/>
    <w:rsid w:val="004D5B8A"/>
    <w:rsid w:val="004D6807"/>
    <w:rsid w:val="004D6BCE"/>
    <w:rsid w:val="004D75E3"/>
    <w:rsid w:val="004D77FB"/>
    <w:rsid w:val="004E02EE"/>
    <w:rsid w:val="004E1DAC"/>
    <w:rsid w:val="004E3624"/>
    <w:rsid w:val="004E3C6F"/>
    <w:rsid w:val="004E6EA3"/>
    <w:rsid w:val="004E7FF9"/>
    <w:rsid w:val="004F1995"/>
    <w:rsid w:val="004F1B79"/>
    <w:rsid w:val="004F2545"/>
    <w:rsid w:val="004F3206"/>
    <w:rsid w:val="004F3439"/>
    <w:rsid w:val="004F3A40"/>
    <w:rsid w:val="004F465C"/>
    <w:rsid w:val="004F49A7"/>
    <w:rsid w:val="004F4C0B"/>
    <w:rsid w:val="004F56A0"/>
    <w:rsid w:val="004F60FC"/>
    <w:rsid w:val="0050198F"/>
    <w:rsid w:val="00501CB8"/>
    <w:rsid w:val="00501E07"/>
    <w:rsid w:val="00502B93"/>
    <w:rsid w:val="00506EE9"/>
    <w:rsid w:val="00510C9B"/>
    <w:rsid w:val="00510ED9"/>
    <w:rsid w:val="00510F66"/>
    <w:rsid w:val="0051179C"/>
    <w:rsid w:val="00511B34"/>
    <w:rsid w:val="0051210C"/>
    <w:rsid w:val="00513015"/>
    <w:rsid w:val="00516308"/>
    <w:rsid w:val="00516837"/>
    <w:rsid w:val="00516973"/>
    <w:rsid w:val="005175D1"/>
    <w:rsid w:val="00520BB0"/>
    <w:rsid w:val="005212C5"/>
    <w:rsid w:val="00523C6A"/>
    <w:rsid w:val="00523E52"/>
    <w:rsid w:val="00525507"/>
    <w:rsid w:val="005259AA"/>
    <w:rsid w:val="00526246"/>
    <w:rsid w:val="0052647E"/>
    <w:rsid w:val="00526DC5"/>
    <w:rsid w:val="0053074B"/>
    <w:rsid w:val="00531043"/>
    <w:rsid w:val="00531741"/>
    <w:rsid w:val="005317F8"/>
    <w:rsid w:val="00532594"/>
    <w:rsid w:val="00532DAD"/>
    <w:rsid w:val="005330EC"/>
    <w:rsid w:val="00533EF7"/>
    <w:rsid w:val="00534738"/>
    <w:rsid w:val="005355E0"/>
    <w:rsid w:val="0053567B"/>
    <w:rsid w:val="005356E2"/>
    <w:rsid w:val="00535775"/>
    <w:rsid w:val="00537D7B"/>
    <w:rsid w:val="00540CF1"/>
    <w:rsid w:val="00541C52"/>
    <w:rsid w:val="00541D8E"/>
    <w:rsid w:val="00542384"/>
    <w:rsid w:val="005425DF"/>
    <w:rsid w:val="00542E50"/>
    <w:rsid w:val="00543FA0"/>
    <w:rsid w:val="005456BC"/>
    <w:rsid w:val="00546029"/>
    <w:rsid w:val="00546BD6"/>
    <w:rsid w:val="0055107A"/>
    <w:rsid w:val="005510AA"/>
    <w:rsid w:val="00553066"/>
    <w:rsid w:val="005543EC"/>
    <w:rsid w:val="00555461"/>
    <w:rsid w:val="0055616D"/>
    <w:rsid w:val="0055628C"/>
    <w:rsid w:val="00561930"/>
    <w:rsid w:val="00562094"/>
    <w:rsid w:val="00562AEF"/>
    <w:rsid w:val="00563550"/>
    <w:rsid w:val="00565509"/>
    <w:rsid w:val="0056677B"/>
    <w:rsid w:val="00567106"/>
    <w:rsid w:val="00567181"/>
    <w:rsid w:val="005711E2"/>
    <w:rsid w:val="0057134C"/>
    <w:rsid w:val="005715BE"/>
    <w:rsid w:val="005719CB"/>
    <w:rsid w:val="00571E4D"/>
    <w:rsid w:val="00572757"/>
    <w:rsid w:val="0057510E"/>
    <w:rsid w:val="00575126"/>
    <w:rsid w:val="00577343"/>
    <w:rsid w:val="00577F4D"/>
    <w:rsid w:val="005800BB"/>
    <w:rsid w:val="00581135"/>
    <w:rsid w:val="0058174E"/>
    <w:rsid w:val="0058184B"/>
    <w:rsid w:val="00582270"/>
    <w:rsid w:val="00582A54"/>
    <w:rsid w:val="00583977"/>
    <w:rsid w:val="00584057"/>
    <w:rsid w:val="005874FB"/>
    <w:rsid w:val="00587ACA"/>
    <w:rsid w:val="0059102A"/>
    <w:rsid w:val="00591CB0"/>
    <w:rsid w:val="00591DDE"/>
    <w:rsid w:val="00593DD0"/>
    <w:rsid w:val="005941C9"/>
    <w:rsid w:val="0059464F"/>
    <w:rsid w:val="005946A3"/>
    <w:rsid w:val="00594CDD"/>
    <w:rsid w:val="0059555B"/>
    <w:rsid w:val="00596E54"/>
    <w:rsid w:val="005973DA"/>
    <w:rsid w:val="005A075D"/>
    <w:rsid w:val="005A1E05"/>
    <w:rsid w:val="005A35EF"/>
    <w:rsid w:val="005A3A40"/>
    <w:rsid w:val="005A3E39"/>
    <w:rsid w:val="005A4420"/>
    <w:rsid w:val="005A44CE"/>
    <w:rsid w:val="005A499E"/>
    <w:rsid w:val="005A526D"/>
    <w:rsid w:val="005A5D2D"/>
    <w:rsid w:val="005A61A0"/>
    <w:rsid w:val="005A65D1"/>
    <w:rsid w:val="005A6AC0"/>
    <w:rsid w:val="005A6E39"/>
    <w:rsid w:val="005B0568"/>
    <w:rsid w:val="005B0EA0"/>
    <w:rsid w:val="005B2053"/>
    <w:rsid w:val="005B2412"/>
    <w:rsid w:val="005B3010"/>
    <w:rsid w:val="005B3DD5"/>
    <w:rsid w:val="005B4BB5"/>
    <w:rsid w:val="005B71AD"/>
    <w:rsid w:val="005B7659"/>
    <w:rsid w:val="005B7A64"/>
    <w:rsid w:val="005C00E2"/>
    <w:rsid w:val="005C0250"/>
    <w:rsid w:val="005C0CCC"/>
    <w:rsid w:val="005C16C8"/>
    <w:rsid w:val="005C25E3"/>
    <w:rsid w:val="005C2972"/>
    <w:rsid w:val="005C326E"/>
    <w:rsid w:val="005C3855"/>
    <w:rsid w:val="005C39EE"/>
    <w:rsid w:val="005C3E6E"/>
    <w:rsid w:val="005C413E"/>
    <w:rsid w:val="005C42B8"/>
    <w:rsid w:val="005C56F2"/>
    <w:rsid w:val="005C5C1C"/>
    <w:rsid w:val="005C627A"/>
    <w:rsid w:val="005C6BEB"/>
    <w:rsid w:val="005C6F76"/>
    <w:rsid w:val="005C7F53"/>
    <w:rsid w:val="005D1448"/>
    <w:rsid w:val="005D17D2"/>
    <w:rsid w:val="005D2C99"/>
    <w:rsid w:val="005D4DF6"/>
    <w:rsid w:val="005D50F2"/>
    <w:rsid w:val="005D69C2"/>
    <w:rsid w:val="005D78AE"/>
    <w:rsid w:val="005D7B87"/>
    <w:rsid w:val="005D7E82"/>
    <w:rsid w:val="005E1CB8"/>
    <w:rsid w:val="005E1D3C"/>
    <w:rsid w:val="005E1DD8"/>
    <w:rsid w:val="005E2521"/>
    <w:rsid w:val="005E4E13"/>
    <w:rsid w:val="005E4F05"/>
    <w:rsid w:val="005E62D7"/>
    <w:rsid w:val="005E66AF"/>
    <w:rsid w:val="005E6C78"/>
    <w:rsid w:val="005F04FC"/>
    <w:rsid w:val="005F0AB8"/>
    <w:rsid w:val="005F1A55"/>
    <w:rsid w:val="005F1BF2"/>
    <w:rsid w:val="005F21E1"/>
    <w:rsid w:val="005F320C"/>
    <w:rsid w:val="005F3F8B"/>
    <w:rsid w:val="005F4AC0"/>
    <w:rsid w:val="005F4D75"/>
    <w:rsid w:val="005F4DED"/>
    <w:rsid w:val="005F61BD"/>
    <w:rsid w:val="005F776E"/>
    <w:rsid w:val="005F7B3E"/>
    <w:rsid w:val="00600996"/>
    <w:rsid w:val="00600BD3"/>
    <w:rsid w:val="0060237A"/>
    <w:rsid w:val="00603496"/>
    <w:rsid w:val="00603B42"/>
    <w:rsid w:val="00603F06"/>
    <w:rsid w:val="00604BB6"/>
    <w:rsid w:val="006059BC"/>
    <w:rsid w:val="00605BFC"/>
    <w:rsid w:val="00606BA9"/>
    <w:rsid w:val="0061091B"/>
    <w:rsid w:val="006109B8"/>
    <w:rsid w:val="00610BE2"/>
    <w:rsid w:val="00611425"/>
    <w:rsid w:val="00611B86"/>
    <w:rsid w:val="00611DD7"/>
    <w:rsid w:val="00613E60"/>
    <w:rsid w:val="00613EA4"/>
    <w:rsid w:val="00614CF0"/>
    <w:rsid w:val="00614E85"/>
    <w:rsid w:val="00615944"/>
    <w:rsid w:val="00616683"/>
    <w:rsid w:val="00616A7C"/>
    <w:rsid w:val="00617873"/>
    <w:rsid w:val="00617A74"/>
    <w:rsid w:val="00617F0D"/>
    <w:rsid w:val="00620030"/>
    <w:rsid w:val="00621595"/>
    <w:rsid w:val="00621A67"/>
    <w:rsid w:val="00622B2C"/>
    <w:rsid w:val="006241AD"/>
    <w:rsid w:val="0062474E"/>
    <w:rsid w:val="00625105"/>
    <w:rsid w:val="00625746"/>
    <w:rsid w:val="00625E0F"/>
    <w:rsid w:val="00627845"/>
    <w:rsid w:val="00627AD6"/>
    <w:rsid w:val="00630000"/>
    <w:rsid w:val="006302CC"/>
    <w:rsid w:val="0063080B"/>
    <w:rsid w:val="0063138C"/>
    <w:rsid w:val="0063219B"/>
    <w:rsid w:val="006321F9"/>
    <w:rsid w:val="00632253"/>
    <w:rsid w:val="006339CB"/>
    <w:rsid w:val="006342E3"/>
    <w:rsid w:val="006342EC"/>
    <w:rsid w:val="00634539"/>
    <w:rsid w:val="00634840"/>
    <w:rsid w:val="00634D55"/>
    <w:rsid w:val="00634E7D"/>
    <w:rsid w:val="006354F5"/>
    <w:rsid w:val="006356AB"/>
    <w:rsid w:val="00635A75"/>
    <w:rsid w:val="006411E2"/>
    <w:rsid w:val="00641F3B"/>
    <w:rsid w:val="00642714"/>
    <w:rsid w:val="00643156"/>
    <w:rsid w:val="00643245"/>
    <w:rsid w:val="00643C4E"/>
    <w:rsid w:val="0064418B"/>
    <w:rsid w:val="0064523C"/>
    <w:rsid w:val="006455CE"/>
    <w:rsid w:val="006472C9"/>
    <w:rsid w:val="00651D31"/>
    <w:rsid w:val="00652905"/>
    <w:rsid w:val="00652C56"/>
    <w:rsid w:val="00653311"/>
    <w:rsid w:val="006542F5"/>
    <w:rsid w:val="00654F26"/>
    <w:rsid w:val="00655094"/>
    <w:rsid w:val="006564AD"/>
    <w:rsid w:val="00657CF7"/>
    <w:rsid w:val="00657FAF"/>
    <w:rsid w:val="00660693"/>
    <w:rsid w:val="006616A1"/>
    <w:rsid w:val="00662D23"/>
    <w:rsid w:val="00663855"/>
    <w:rsid w:val="00663AA2"/>
    <w:rsid w:val="00663D71"/>
    <w:rsid w:val="00663E20"/>
    <w:rsid w:val="0066418D"/>
    <w:rsid w:val="00664257"/>
    <w:rsid w:val="0066566E"/>
    <w:rsid w:val="00665D00"/>
    <w:rsid w:val="00666286"/>
    <w:rsid w:val="00666466"/>
    <w:rsid w:val="006665B8"/>
    <w:rsid w:val="006702BD"/>
    <w:rsid w:val="00671706"/>
    <w:rsid w:val="0067204C"/>
    <w:rsid w:val="0067419E"/>
    <w:rsid w:val="0067452F"/>
    <w:rsid w:val="0067474E"/>
    <w:rsid w:val="006749CE"/>
    <w:rsid w:val="00674E46"/>
    <w:rsid w:val="0067652A"/>
    <w:rsid w:val="00677BC4"/>
    <w:rsid w:val="006800F0"/>
    <w:rsid w:val="00680F12"/>
    <w:rsid w:val="0068128B"/>
    <w:rsid w:val="00682566"/>
    <w:rsid w:val="0068279D"/>
    <w:rsid w:val="00682872"/>
    <w:rsid w:val="00682DC8"/>
    <w:rsid w:val="00683CEB"/>
    <w:rsid w:val="00685D96"/>
    <w:rsid w:val="00687664"/>
    <w:rsid w:val="00687ADC"/>
    <w:rsid w:val="00690D92"/>
    <w:rsid w:val="006917C8"/>
    <w:rsid w:val="00694129"/>
    <w:rsid w:val="006942D7"/>
    <w:rsid w:val="00696606"/>
    <w:rsid w:val="00697128"/>
    <w:rsid w:val="00697729"/>
    <w:rsid w:val="00697F07"/>
    <w:rsid w:val="006A0E7E"/>
    <w:rsid w:val="006A256C"/>
    <w:rsid w:val="006A33DF"/>
    <w:rsid w:val="006A4AE9"/>
    <w:rsid w:val="006A4EE6"/>
    <w:rsid w:val="006A5E35"/>
    <w:rsid w:val="006A6FAF"/>
    <w:rsid w:val="006B0A36"/>
    <w:rsid w:val="006B0C05"/>
    <w:rsid w:val="006B149B"/>
    <w:rsid w:val="006B1C55"/>
    <w:rsid w:val="006B2343"/>
    <w:rsid w:val="006B2401"/>
    <w:rsid w:val="006B28DF"/>
    <w:rsid w:val="006B4FF6"/>
    <w:rsid w:val="006B638B"/>
    <w:rsid w:val="006B665D"/>
    <w:rsid w:val="006B6C37"/>
    <w:rsid w:val="006B7701"/>
    <w:rsid w:val="006B7D6B"/>
    <w:rsid w:val="006C0056"/>
    <w:rsid w:val="006C053F"/>
    <w:rsid w:val="006C0B42"/>
    <w:rsid w:val="006C1147"/>
    <w:rsid w:val="006C12AC"/>
    <w:rsid w:val="006C1922"/>
    <w:rsid w:val="006C1CE9"/>
    <w:rsid w:val="006C3112"/>
    <w:rsid w:val="006C60ED"/>
    <w:rsid w:val="006C62AA"/>
    <w:rsid w:val="006C6CD4"/>
    <w:rsid w:val="006C6E0D"/>
    <w:rsid w:val="006C72DB"/>
    <w:rsid w:val="006D26BF"/>
    <w:rsid w:val="006D27B7"/>
    <w:rsid w:val="006D2AE1"/>
    <w:rsid w:val="006D2C29"/>
    <w:rsid w:val="006D2E4F"/>
    <w:rsid w:val="006D2FCD"/>
    <w:rsid w:val="006D336A"/>
    <w:rsid w:val="006D42D9"/>
    <w:rsid w:val="006D446B"/>
    <w:rsid w:val="006D45E8"/>
    <w:rsid w:val="006D4A13"/>
    <w:rsid w:val="006D4B3E"/>
    <w:rsid w:val="006D5051"/>
    <w:rsid w:val="006D5A20"/>
    <w:rsid w:val="006D5A32"/>
    <w:rsid w:val="006D6CEC"/>
    <w:rsid w:val="006D7048"/>
    <w:rsid w:val="006D768E"/>
    <w:rsid w:val="006D7A32"/>
    <w:rsid w:val="006E1A32"/>
    <w:rsid w:val="006E2CD7"/>
    <w:rsid w:val="006E3873"/>
    <w:rsid w:val="006E461E"/>
    <w:rsid w:val="006E5752"/>
    <w:rsid w:val="006F00E6"/>
    <w:rsid w:val="006F1454"/>
    <w:rsid w:val="006F1517"/>
    <w:rsid w:val="006F31E7"/>
    <w:rsid w:val="006F3E4A"/>
    <w:rsid w:val="006F47CE"/>
    <w:rsid w:val="006F59EE"/>
    <w:rsid w:val="006F6A8A"/>
    <w:rsid w:val="006F6B02"/>
    <w:rsid w:val="007003F3"/>
    <w:rsid w:val="007007B0"/>
    <w:rsid w:val="00702B6E"/>
    <w:rsid w:val="00702CDB"/>
    <w:rsid w:val="007038D3"/>
    <w:rsid w:val="00703A33"/>
    <w:rsid w:val="00703A8D"/>
    <w:rsid w:val="00704BBA"/>
    <w:rsid w:val="0070583E"/>
    <w:rsid w:val="00705E19"/>
    <w:rsid w:val="00705FA9"/>
    <w:rsid w:val="00706A0E"/>
    <w:rsid w:val="00706DAF"/>
    <w:rsid w:val="00710667"/>
    <w:rsid w:val="00710FBD"/>
    <w:rsid w:val="00711A06"/>
    <w:rsid w:val="00712EF4"/>
    <w:rsid w:val="007140D5"/>
    <w:rsid w:val="007142D8"/>
    <w:rsid w:val="00715CAF"/>
    <w:rsid w:val="007174F4"/>
    <w:rsid w:val="0071794C"/>
    <w:rsid w:val="00717AEB"/>
    <w:rsid w:val="00720C3F"/>
    <w:rsid w:val="00720CF0"/>
    <w:rsid w:val="007211C0"/>
    <w:rsid w:val="007219B8"/>
    <w:rsid w:val="00721D95"/>
    <w:rsid w:val="00722BD5"/>
    <w:rsid w:val="0072312E"/>
    <w:rsid w:val="007234B3"/>
    <w:rsid w:val="00723AD9"/>
    <w:rsid w:val="00726463"/>
    <w:rsid w:val="00727611"/>
    <w:rsid w:val="007276D0"/>
    <w:rsid w:val="00727AE6"/>
    <w:rsid w:val="007310F5"/>
    <w:rsid w:val="00731493"/>
    <w:rsid w:val="007314B0"/>
    <w:rsid w:val="00732831"/>
    <w:rsid w:val="00733017"/>
    <w:rsid w:val="00733B34"/>
    <w:rsid w:val="00733FA5"/>
    <w:rsid w:val="00734501"/>
    <w:rsid w:val="0073470E"/>
    <w:rsid w:val="00736DF8"/>
    <w:rsid w:val="00737098"/>
    <w:rsid w:val="0073743E"/>
    <w:rsid w:val="00740D6B"/>
    <w:rsid w:val="00740DA2"/>
    <w:rsid w:val="00740F81"/>
    <w:rsid w:val="007417EB"/>
    <w:rsid w:val="00742B86"/>
    <w:rsid w:val="00742DE5"/>
    <w:rsid w:val="00743C7C"/>
    <w:rsid w:val="007440F4"/>
    <w:rsid w:val="007444EF"/>
    <w:rsid w:val="0074469A"/>
    <w:rsid w:val="007450D5"/>
    <w:rsid w:val="0074684A"/>
    <w:rsid w:val="00747109"/>
    <w:rsid w:val="00747ACD"/>
    <w:rsid w:val="0075049C"/>
    <w:rsid w:val="00751102"/>
    <w:rsid w:val="00751D38"/>
    <w:rsid w:val="0075250F"/>
    <w:rsid w:val="00752CB4"/>
    <w:rsid w:val="00753421"/>
    <w:rsid w:val="00753A9B"/>
    <w:rsid w:val="00754047"/>
    <w:rsid w:val="007541AB"/>
    <w:rsid w:val="00754842"/>
    <w:rsid w:val="0075578A"/>
    <w:rsid w:val="007568ED"/>
    <w:rsid w:val="007603AC"/>
    <w:rsid w:val="00760F06"/>
    <w:rsid w:val="007617D4"/>
    <w:rsid w:val="00764352"/>
    <w:rsid w:val="00765584"/>
    <w:rsid w:val="0076576B"/>
    <w:rsid w:val="00765C25"/>
    <w:rsid w:val="00766101"/>
    <w:rsid w:val="00767044"/>
    <w:rsid w:val="0076793A"/>
    <w:rsid w:val="00767E2E"/>
    <w:rsid w:val="007705A3"/>
    <w:rsid w:val="00770CF2"/>
    <w:rsid w:val="00770D7E"/>
    <w:rsid w:val="007721A5"/>
    <w:rsid w:val="00773D69"/>
    <w:rsid w:val="007740D7"/>
    <w:rsid w:val="007744A1"/>
    <w:rsid w:val="00775AB5"/>
    <w:rsid w:val="00777812"/>
    <w:rsid w:val="00780D83"/>
    <w:rsid w:val="00781BB1"/>
    <w:rsid w:val="00782001"/>
    <w:rsid w:val="00782EDB"/>
    <w:rsid w:val="00782F9B"/>
    <w:rsid w:val="00783310"/>
    <w:rsid w:val="00783928"/>
    <w:rsid w:val="00786D33"/>
    <w:rsid w:val="007874CA"/>
    <w:rsid w:val="00787989"/>
    <w:rsid w:val="007916A1"/>
    <w:rsid w:val="00791D99"/>
    <w:rsid w:val="00792552"/>
    <w:rsid w:val="00793033"/>
    <w:rsid w:val="007933D9"/>
    <w:rsid w:val="0079473C"/>
    <w:rsid w:val="00796275"/>
    <w:rsid w:val="00796885"/>
    <w:rsid w:val="00796DBB"/>
    <w:rsid w:val="007976AC"/>
    <w:rsid w:val="007A065F"/>
    <w:rsid w:val="007A0887"/>
    <w:rsid w:val="007A27F5"/>
    <w:rsid w:val="007A38D0"/>
    <w:rsid w:val="007A4A6D"/>
    <w:rsid w:val="007A50F6"/>
    <w:rsid w:val="007A567C"/>
    <w:rsid w:val="007A6DD6"/>
    <w:rsid w:val="007A7C62"/>
    <w:rsid w:val="007B0964"/>
    <w:rsid w:val="007B0A7E"/>
    <w:rsid w:val="007B191C"/>
    <w:rsid w:val="007B23C1"/>
    <w:rsid w:val="007B2938"/>
    <w:rsid w:val="007B2C4B"/>
    <w:rsid w:val="007B2E39"/>
    <w:rsid w:val="007B310F"/>
    <w:rsid w:val="007B3CB9"/>
    <w:rsid w:val="007B4754"/>
    <w:rsid w:val="007B61D2"/>
    <w:rsid w:val="007B756C"/>
    <w:rsid w:val="007B7D78"/>
    <w:rsid w:val="007B7DCA"/>
    <w:rsid w:val="007C0BC0"/>
    <w:rsid w:val="007C0F3F"/>
    <w:rsid w:val="007C1358"/>
    <w:rsid w:val="007C1E28"/>
    <w:rsid w:val="007C2634"/>
    <w:rsid w:val="007C367F"/>
    <w:rsid w:val="007C4C72"/>
    <w:rsid w:val="007C4EAC"/>
    <w:rsid w:val="007C4FCC"/>
    <w:rsid w:val="007C541E"/>
    <w:rsid w:val="007C7552"/>
    <w:rsid w:val="007D1446"/>
    <w:rsid w:val="007D195E"/>
    <w:rsid w:val="007D1AD4"/>
    <w:rsid w:val="007D1BCF"/>
    <w:rsid w:val="007D1D40"/>
    <w:rsid w:val="007D2357"/>
    <w:rsid w:val="007D2BA6"/>
    <w:rsid w:val="007D2DD8"/>
    <w:rsid w:val="007D3691"/>
    <w:rsid w:val="007D6B80"/>
    <w:rsid w:val="007D73F1"/>
    <w:rsid w:val="007D7559"/>
    <w:rsid w:val="007D75CF"/>
    <w:rsid w:val="007D76E0"/>
    <w:rsid w:val="007E0633"/>
    <w:rsid w:val="007E2025"/>
    <w:rsid w:val="007E219D"/>
    <w:rsid w:val="007E30F4"/>
    <w:rsid w:val="007E5D3D"/>
    <w:rsid w:val="007E5F37"/>
    <w:rsid w:val="007E5F7C"/>
    <w:rsid w:val="007E6DC5"/>
    <w:rsid w:val="007E786D"/>
    <w:rsid w:val="007F1424"/>
    <w:rsid w:val="007F1784"/>
    <w:rsid w:val="007F18B9"/>
    <w:rsid w:val="007F199C"/>
    <w:rsid w:val="007F3E5C"/>
    <w:rsid w:val="007F4CCB"/>
    <w:rsid w:val="008014B4"/>
    <w:rsid w:val="00801AA1"/>
    <w:rsid w:val="00801D9E"/>
    <w:rsid w:val="008025A1"/>
    <w:rsid w:val="00802D29"/>
    <w:rsid w:val="008035B2"/>
    <w:rsid w:val="008055E8"/>
    <w:rsid w:val="00805939"/>
    <w:rsid w:val="008068A2"/>
    <w:rsid w:val="00806C87"/>
    <w:rsid w:val="00810743"/>
    <w:rsid w:val="00810B14"/>
    <w:rsid w:val="00810FBF"/>
    <w:rsid w:val="0081100E"/>
    <w:rsid w:val="0081121E"/>
    <w:rsid w:val="00811EDA"/>
    <w:rsid w:val="00812E86"/>
    <w:rsid w:val="008131E6"/>
    <w:rsid w:val="00813623"/>
    <w:rsid w:val="008142D1"/>
    <w:rsid w:val="008142D8"/>
    <w:rsid w:val="00814D83"/>
    <w:rsid w:val="0081531F"/>
    <w:rsid w:val="00815B28"/>
    <w:rsid w:val="00816809"/>
    <w:rsid w:val="00820388"/>
    <w:rsid w:val="00821C40"/>
    <w:rsid w:val="00822368"/>
    <w:rsid w:val="00824DA1"/>
    <w:rsid w:val="00825043"/>
    <w:rsid w:val="00826218"/>
    <w:rsid w:val="00826AE0"/>
    <w:rsid w:val="008270A7"/>
    <w:rsid w:val="00830B91"/>
    <w:rsid w:val="00832AF6"/>
    <w:rsid w:val="0083358D"/>
    <w:rsid w:val="00834DF5"/>
    <w:rsid w:val="00836148"/>
    <w:rsid w:val="00836566"/>
    <w:rsid w:val="0083721B"/>
    <w:rsid w:val="008374EC"/>
    <w:rsid w:val="00837C34"/>
    <w:rsid w:val="00837DC6"/>
    <w:rsid w:val="00840B0C"/>
    <w:rsid w:val="0084109B"/>
    <w:rsid w:val="00841FE2"/>
    <w:rsid w:val="0084325E"/>
    <w:rsid w:val="0084356A"/>
    <w:rsid w:val="00843909"/>
    <w:rsid w:val="00844B37"/>
    <w:rsid w:val="00844F78"/>
    <w:rsid w:val="0084617F"/>
    <w:rsid w:val="0084673F"/>
    <w:rsid w:val="00847155"/>
    <w:rsid w:val="00850593"/>
    <w:rsid w:val="008512ED"/>
    <w:rsid w:val="00851CDC"/>
    <w:rsid w:val="00852ED0"/>
    <w:rsid w:val="00853430"/>
    <w:rsid w:val="00853DAE"/>
    <w:rsid w:val="00855D35"/>
    <w:rsid w:val="008568FD"/>
    <w:rsid w:val="008574DF"/>
    <w:rsid w:val="00857781"/>
    <w:rsid w:val="00857FCC"/>
    <w:rsid w:val="0086029D"/>
    <w:rsid w:val="00860ADB"/>
    <w:rsid w:val="00860D11"/>
    <w:rsid w:val="008622BF"/>
    <w:rsid w:val="00863C05"/>
    <w:rsid w:val="008641E4"/>
    <w:rsid w:val="008649C5"/>
    <w:rsid w:val="00864BC2"/>
    <w:rsid w:val="00865D24"/>
    <w:rsid w:val="00866A74"/>
    <w:rsid w:val="008674A5"/>
    <w:rsid w:val="00867BA7"/>
    <w:rsid w:val="00867BF4"/>
    <w:rsid w:val="008701FC"/>
    <w:rsid w:val="0087094B"/>
    <w:rsid w:val="008713F9"/>
    <w:rsid w:val="00871E61"/>
    <w:rsid w:val="008722F8"/>
    <w:rsid w:val="0087257A"/>
    <w:rsid w:val="008728DA"/>
    <w:rsid w:val="00872D62"/>
    <w:rsid w:val="00874281"/>
    <w:rsid w:val="00874EC2"/>
    <w:rsid w:val="0087547A"/>
    <w:rsid w:val="00875F6A"/>
    <w:rsid w:val="00876D42"/>
    <w:rsid w:val="00877D09"/>
    <w:rsid w:val="0088043C"/>
    <w:rsid w:val="00880B7B"/>
    <w:rsid w:val="00880BD4"/>
    <w:rsid w:val="008812BB"/>
    <w:rsid w:val="008821D1"/>
    <w:rsid w:val="00885485"/>
    <w:rsid w:val="008858AB"/>
    <w:rsid w:val="00886FCF"/>
    <w:rsid w:val="00887683"/>
    <w:rsid w:val="00887E1E"/>
    <w:rsid w:val="008906C9"/>
    <w:rsid w:val="00890BE3"/>
    <w:rsid w:val="00890FE1"/>
    <w:rsid w:val="0089245C"/>
    <w:rsid w:val="00892C3B"/>
    <w:rsid w:val="0089345F"/>
    <w:rsid w:val="00893A39"/>
    <w:rsid w:val="00894114"/>
    <w:rsid w:val="008947DC"/>
    <w:rsid w:val="00894803"/>
    <w:rsid w:val="00894F80"/>
    <w:rsid w:val="008955D7"/>
    <w:rsid w:val="0089586E"/>
    <w:rsid w:val="00896063"/>
    <w:rsid w:val="008966AD"/>
    <w:rsid w:val="00896EB3"/>
    <w:rsid w:val="008A002A"/>
    <w:rsid w:val="008A0578"/>
    <w:rsid w:val="008A0E9F"/>
    <w:rsid w:val="008A0FD4"/>
    <w:rsid w:val="008A1781"/>
    <w:rsid w:val="008A2267"/>
    <w:rsid w:val="008A417E"/>
    <w:rsid w:val="008A5923"/>
    <w:rsid w:val="008A6278"/>
    <w:rsid w:val="008A66C3"/>
    <w:rsid w:val="008A7828"/>
    <w:rsid w:val="008A7B05"/>
    <w:rsid w:val="008A7D32"/>
    <w:rsid w:val="008B0407"/>
    <w:rsid w:val="008B2630"/>
    <w:rsid w:val="008B27EB"/>
    <w:rsid w:val="008B2845"/>
    <w:rsid w:val="008B2C6D"/>
    <w:rsid w:val="008B2CF8"/>
    <w:rsid w:val="008B3232"/>
    <w:rsid w:val="008B45CA"/>
    <w:rsid w:val="008B4D62"/>
    <w:rsid w:val="008B5E04"/>
    <w:rsid w:val="008B7BA3"/>
    <w:rsid w:val="008C0EC5"/>
    <w:rsid w:val="008C1364"/>
    <w:rsid w:val="008C16E5"/>
    <w:rsid w:val="008C1930"/>
    <w:rsid w:val="008C237A"/>
    <w:rsid w:val="008C31C8"/>
    <w:rsid w:val="008C3E95"/>
    <w:rsid w:val="008C5738"/>
    <w:rsid w:val="008C5B88"/>
    <w:rsid w:val="008C6B85"/>
    <w:rsid w:val="008C6F72"/>
    <w:rsid w:val="008C735F"/>
    <w:rsid w:val="008C77AD"/>
    <w:rsid w:val="008D033B"/>
    <w:rsid w:val="008D04F0"/>
    <w:rsid w:val="008D111A"/>
    <w:rsid w:val="008D12A8"/>
    <w:rsid w:val="008D2010"/>
    <w:rsid w:val="008D2649"/>
    <w:rsid w:val="008D2666"/>
    <w:rsid w:val="008D4855"/>
    <w:rsid w:val="008D4A7C"/>
    <w:rsid w:val="008D4D13"/>
    <w:rsid w:val="008D58A1"/>
    <w:rsid w:val="008D58AB"/>
    <w:rsid w:val="008D6539"/>
    <w:rsid w:val="008D7367"/>
    <w:rsid w:val="008D7B6D"/>
    <w:rsid w:val="008D7B77"/>
    <w:rsid w:val="008D7B98"/>
    <w:rsid w:val="008E1791"/>
    <w:rsid w:val="008E2D1E"/>
    <w:rsid w:val="008E32CD"/>
    <w:rsid w:val="008E3BA5"/>
    <w:rsid w:val="008E5362"/>
    <w:rsid w:val="008E5425"/>
    <w:rsid w:val="008E6038"/>
    <w:rsid w:val="008E6C22"/>
    <w:rsid w:val="008E6EA3"/>
    <w:rsid w:val="008E6EDD"/>
    <w:rsid w:val="008E7FF7"/>
    <w:rsid w:val="008F0B99"/>
    <w:rsid w:val="008F185D"/>
    <w:rsid w:val="008F3353"/>
    <w:rsid w:val="008F3500"/>
    <w:rsid w:val="008F405E"/>
    <w:rsid w:val="008F71C8"/>
    <w:rsid w:val="008F72C9"/>
    <w:rsid w:val="009000EF"/>
    <w:rsid w:val="00901842"/>
    <w:rsid w:val="009018D9"/>
    <w:rsid w:val="009020F3"/>
    <w:rsid w:val="0090249A"/>
    <w:rsid w:val="00902E56"/>
    <w:rsid w:val="009040CD"/>
    <w:rsid w:val="00905DB5"/>
    <w:rsid w:val="00906272"/>
    <w:rsid w:val="00906427"/>
    <w:rsid w:val="009067EA"/>
    <w:rsid w:val="0091038B"/>
    <w:rsid w:val="00911367"/>
    <w:rsid w:val="00911F0A"/>
    <w:rsid w:val="0091238B"/>
    <w:rsid w:val="00912D34"/>
    <w:rsid w:val="00913370"/>
    <w:rsid w:val="009133F9"/>
    <w:rsid w:val="00914CE7"/>
    <w:rsid w:val="00914D8E"/>
    <w:rsid w:val="00914FDD"/>
    <w:rsid w:val="009150EB"/>
    <w:rsid w:val="00916358"/>
    <w:rsid w:val="0091692D"/>
    <w:rsid w:val="00917AFA"/>
    <w:rsid w:val="0092057C"/>
    <w:rsid w:val="00920FC7"/>
    <w:rsid w:val="00921C26"/>
    <w:rsid w:val="00922087"/>
    <w:rsid w:val="0092399E"/>
    <w:rsid w:val="009239DE"/>
    <w:rsid w:val="00924E3C"/>
    <w:rsid w:val="009255B9"/>
    <w:rsid w:val="009257C3"/>
    <w:rsid w:val="0092683D"/>
    <w:rsid w:val="009269DC"/>
    <w:rsid w:val="00926F56"/>
    <w:rsid w:val="00927894"/>
    <w:rsid w:val="00930EE5"/>
    <w:rsid w:val="009314A4"/>
    <w:rsid w:val="00935DB0"/>
    <w:rsid w:val="00937EE7"/>
    <w:rsid w:val="009407AE"/>
    <w:rsid w:val="00940F6E"/>
    <w:rsid w:val="00941899"/>
    <w:rsid w:val="009428AC"/>
    <w:rsid w:val="00943A29"/>
    <w:rsid w:val="00943ACC"/>
    <w:rsid w:val="00943B79"/>
    <w:rsid w:val="00943D92"/>
    <w:rsid w:val="00944334"/>
    <w:rsid w:val="009451FE"/>
    <w:rsid w:val="009455C6"/>
    <w:rsid w:val="009465C2"/>
    <w:rsid w:val="009465CF"/>
    <w:rsid w:val="00946FA8"/>
    <w:rsid w:val="009472A0"/>
    <w:rsid w:val="009502CF"/>
    <w:rsid w:val="00950759"/>
    <w:rsid w:val="00950794"/>
    <w:rsid w:val="00951DA4"/>
    <w:rsid w:val="0095272B"/>
    <w:rsid w:val="00953250"/>
    <w:rsid w:val="00953BFF"/>
    <w:rsid w:val="009541F3"/>
    <w:rsid w:val="00954F83"/>
    <w:rsid w:val="009553CC"/>
    <w:rsid w:val="00956D5E"/>
    <w:rsid w:val="00957FB9"/>
    <w:rsid w:val="00960FF9"/>
    <w:rsid w:val="009612BB"/>
    <w:rsid w:val="00961C1C"/>
    <w:rsid w:val="00963DE4"/>
    <w:rsid w:val="00963EF2"/>
    <w:rsid w:val="0096425D"/>
    <w:rsid w:val="00964F04"/>
    <w:rsid w:val="009663F9"/>
    <w:rsid w:val="009670D5"/>
    <w:rsid w:val="00967E82"/>
    <w:rsid w:val="009706A1"/>
    <w:rsid w:val="00972143"/>
    <w:rsid w:val="009721C9"/>
    <w:rsid w:val="009724A8"/>
    <w:rsid w:val="00972DAF"/>
    <w:rsid w:val="00973139"/>
    <w:rsid w:val="00973889"/>
    <w:rsid w:val="009743D8"/>
    <w:rsid w:val="009749C1"/>
    <w:rsid w:val="00974ACD"/>
    <w:rsid w:val="00974E1B"/>
    <w:rsid w:val="00975063"/>
    <w:rsid w:val="0097703B"/>
    <w:rsid w:val="0097777A"/>
    <w:rsid w:val="0098091A"/>
    <w:rsid w:val="00981BFF"/>
    <w:rsid w:val="00981F6C"/>
    <w:rsid w:val="009821F2"/>
    <w:rsid w:val="00983330"/>
    <w:rsid w:val="00984FD5"/>
    <w:rsid w:val="0098539F"/>
    <w:rsid w:val="00985928"/>
    <w:rsid w:val="00986032"/>
    <w:rsid w:val="00986AAB"/>
    <w:rsid w:val="00987003"/>
    <w:rsid w:val="00990388"/>
    <w:rsid w:val="009933BE"/>
    <w:rsid w:val="00993536"/>
    <w:rsid w:val="00995159"/>
    <w:rsid w:val="00996A93"/>
    <w:rsid w:val="009A29D6"/>
    <w:rsid w:val="009A38F2"/>
    <w:rsid w:val="009A3D5A"/>
    <w:rsid w:val="009A4158"/>
    <w:rsid w:val="009A507B"/>
    <w:rsid w:val="009A65FC"/>
    <w:rsid w:val="009A6F12"/>
    <w:rsid w:val="009A79A0"/>
    <w:rsid w:val="009B2BB0"/>
    <w:rsid w:val="009B3613"/>
    <w:rsid w:val="009B383A"/>
    <w:rsid w:val="009B3AD5"/>
    <w:rsid w:val="009B4111"/>
    <w:rsid w:val="009B43B4"/>
    <w:rsid w:val="009B45BF"/>
    <w:rsid w:val="009B45C6"/>
    <w:rsid w:val="009B4CD6"/>
    <w:rsid w:val="009B5441"/>
    <w:rsid w:val="009B5F73"/>
    <w:rsid w:val="009B7AC3"/>
    <w:rsid w:val="009B7B1E"/>
    <w:rsid w:val="009C0616"/>
    <w:rsid w:val="009C0852"/>
    <w:rsid w:val="009C0FC6"/>
    <w:rsid w:val="009C132C"/>
    <w:rsid w:val="009C142F"/>
    <w:rsid w:val="009C3734"/>
    <w:rsid w:val="009C4158"/>
    <w:rsid w:val="009C4533"/>
    <w:rsid w:val="009C46E0"/>
    <w:rsid w:val="009C581D"/>
    <w:rsid w:val="009D0D9E"/>
    <w:rsid w:val="009D12D5"/>
    <w:rsid w:val="009D282C"/>
    <w:rsid w:val="009D4474"/>
    <w:rsid w:val="009D6348"/>
    <w:rsid w:val="009D6464"/>
    <w:rsid w:val="009D7FEE"/>
    <w:rsid w:val="009E0061"/>
    <w:rsid w:val="009E05BB"/>
    <w:rsid w:val="009E1CF6"/>
    <w:rsid w:val="009E28E3"/>
    <w:rsid w:val="009E41BC"/>
    <w:rsid w:val="009E5F6C"/>
    <w:rsid w:val="009E61E9"/>
    <w:rsid w:val="009E6AC6"/>
    <w:rsid w:val="009F0336"/>
    <w:rsid w:val="009F0E53"/>
    <w:rsid w:val="009F174D"/>
    <w:rsid w:val="009F1946"/>
    <w:rsid w:val="009F251E"/>
    <w:rsid w:val="009F28EC"/>
    <w:rsid w:val="009F2978"/>
    <w:rsid w:val="009F2B26"/>
    <w:rsid w:val="009F30FB"/>
    <w:rsid w:val="009F4C7E"/>
    <w:rsid w:val="009F51BF"/>
    <w:rsid w:val="009F5D25"/>
    <w:rsid w:val="009F5F9C"/>
    <w:rsid w:val="00A000A0"/>
    <w:rsid w:val="00A000F2"/>
    <w:rsid w:val="00A00580"/>
    <w:rsid w:val="00A014C1"/>
    <w:rsid w:val="00A01B60"/>
    <w:rsid w:val="00A02472"/>
    <w:rsid w:val="00A02AF0"/>
    <w:rsid w:val="00A032FD"/>
    <w:rsid w:val="00A03600"/>
    <w:rsid w:val="00A047F5"/>
    <w:rsid w:val="00A04AAC"/>
    <w:rsid w:val="00A04C22"/>
    <w:rsid w:val="00A04E37"/>
    <w:rsid w:val="00A05D7C"/>
    <w:rsid w:val="00A05E8B"/>
    <w:rsid w:val="00A05FF6"/>
    <w:rsid w:val="00A070B7"/>
    <w:rsid w:val="00A07331"/>
    <w:rsid w:val="00A078B1"/>
    <w:rsid w:val="00A102DE"/>
    <w:rsid w:val="00A108F1"/>
    <w:rsid w:val="00A11263"/>
    <w:rsid w:val="00A125C5"/>
    <w:rsid w:val="00A12CCA"/>
    <w:rsid w:val="00A12D5C"/>
    <w:rsid w:val="00A13B9D"/>
    <w:rsid w:val="00A14EFC"/>
    <w:rsid w:val="00A1524C"/>
    <w:rsid w:val="00A15272"/>
    <w:rsid w:val="00A15A58"/>
    <w:rsid w:val="00A15FA6"/>
    <w:rsid w:val="00A17BA8"/>
    <w:rsid w:val="00A205D9"/>
    <w:rsid w:val="00A21918"/>
    <w:rsid w:val="00A21E47"/>
    <w:rsid w:val="00A2381C"/>
    <w:rsid w:val="00A2398E"/>
    <w:rsid w:val="00A239A6"/>
    <w:rsid w:val="00A24F1E"/>
    <w:rsid w:val="00A24FF3"/>
    <w:rsid w:val="00A25773"/>
    <w:rsid w:val="00A259A0"/>
    <w:rsid w:val="00A26445"/>
    <w:rsid w:val="00A26741"/>
    <w:rsid w:val="00A3153F"/>
    <w:rsid w:val="00A3347F"/>
    <w:rsid w:val="00A3355E"/>
    <w:rsid w:val="00A34644"/>
    <w:rsid w:val="00A34D29"/>
    <w:rsid w:val="00A34D43"/>
    <w:rsid w:val="00A35441"/>
    <w:rsid w:val="00A35C38"/>
    <w:rsid w:val="00A35DD3"/>
    <w:rsid w:val="00A376EE"/>
    <w:rsid w:val="00A41662"/>
    <w:rsid w:val="00A41BAF"/>
    <w:rsid w:val="00A4219D"/>
    <w:rsid w:val="00A42830"/>
    <w:rsid w:val="00A440F2"/>
    <w:rsid w:val="00A46802"/>
    <w:rsid w:val="00A46F7F"/>
    <w:rsid w:val="00A5039D"/>
    <w:rsid w:val="00A50F6A"/>
    <w:rsid w:val="00A525FE"/>
    <w:rsid w:val="00A52ACF"/>
    <w:rsid w:val="00A53467"/>
    <w:rsid w:val="00A53EE7"/>
    <w:rsid w:val="00A56AEE"/>
    <w:rsid w:val="00A56C46"/>
    <w:rsid w:val="00A57D78"/>
    <w:rsid w:val="00A61123"/>
    <w:rsid w:val="00A612D0"/>
    <w:rsid w:val="00A61391"/>
    <w:rsid w:val="00A631AC"/>
    <w:rsid w:val="00A636DE"/>
    <w:rsid w:val="00A63757"/>
    <w:rsid w:val="00A63DDA"/>
    <w:rsid w:val="00A65348"/>
    <w:rsid w:val="00A65EE7"/>
    <w:rsid w:val="00A66722"/>
    <w:rsid w:val="00A70133"/>
    <w:rsid w:val="00A71B21"/>
    <w:rsid w:val="00A72072"/>
    <w:rsid w:val="00A72683"/>
    <w:rsid w:val="00A730A1"/>
    <w:rsid w:val="00A7358E"/>
    <w:rsid w:val="00A73642"/>
    <w:rsid w:val="00A73D50"/>
    <w:rsid w:val="00A75834"/>
    <w:rsid w:val="00A761AF"/>
    <w:rsid w:val="00A76C80"/>
    <w:rsid w:val="00A77370"/>
    <w:rsid w:val="00A77474"/>
    <w:rsid w:val="00A77777"/>
    <w:rsid w:val="00A8250E"/>
    <w:rsid w:val="00A838A6"/>
    <w:rsid w:val="00A83D4A"/>
    <w:rsid w:val="00A83F26"/>
    <w:rsid w:val="00A8409D"/>
    <w:rsid w:val="00A85D28"/>
    <w:rsid w:val="00A86B32"/>
    <w:rsid w:val="00A9029E"/>
    <w:rsid w:val="00A909D6"/>
    <w:rsid w:val="00A911BE"/>
    <w:rsid w:val="00A924BD"/>
    <w:rsid w:val="00A92F1C"/>
    <w:rsid w:val="00A9323F"/>
    <w:rsid w:val="00A93673"/>
    <w:rsid w:val="00A951C0"/>
    <w:rsid w:val="00A95E31"/>
    <w:rsid w:val="00A96287"/>
    <w:rsid w:val="00A9701C"/>
    <w:rsid w:val="00A9717C"/>
    <w:rsid w:val="00AA1EBE"/>
    <w:rsid w:val="00AA2BD2"/>
    <w:rsid w:val="00AA2BDE"/>
    <w:rsid w:val="00AA339D"/>
    <w:rsid w:val="00AA4F20"/>
    <w:rsid w:val="00AA60C8"/>
    <w:rsid w:val="00AA65D5"/>
    <w:rsid w:val="00AB07B8"/>
    <w:rsid w:val="00AB3484"/>
    <w:rsid w:val="00AB4F74"/>
    <w:rsid w:val="00AB50DE"/>
    <w:rsid w:val="00AB5215"/>
    <w:rsid w:val="00AB5D58"/>
    <w:rsid w:val="00AC08AC"/>
    <w:rsid w:val="00AC08F8"/>
    <w:rsid w:val="00AC113F"/>
    <w:rsid w:val="00AC36C6"/>
    <w:rsid w:val="00AC37F3"/>
    <w:rsid w:val="00AC39EE"/>
    <w:rsid w:val="00AC3C69"/>
    <w:rsid w:val="00AC4067"/>
    <w:rsid w:val="00AC5C16"/>
    <w:rsid w:val="00AC62BA"/>
    <w:rsid w:val="00AD0124"/>
    <w:rsid w:val="00AD01F4"/>
    <w:rsid w:val="00AD0FF0"/>
    <w:rsid w:val="00AD22B5"/>
    <w:rsid w:val="00AD2721"/>
    <w:rsid w:val="00AD2AC1"/>
    <w:rsid w:val="00AD3FAA"/>
    <w:rsid w:val="00AD6130"/>
    <w:rsid w:val="00AD6C35"/>
    <w:rsid w:val="00AD6DDB"/>
    <w:rsid w:val="00AD73D2"/>
    <w:rsid w:val="00AE086D"/>
    <w:rsid w:val="00AE12A9"/>
    <w:rsid w:val="00AE14C9"/>
    <w:rsid w:val="00AE2508"/>
    <w:rsid w:val="00AE3FC6"/>
    <w:rsid w:val="00AE4DBC"/>
    <w:rsid w:val="00AE5F1F"/>
    <w:rsid w:val="00AE6B18"/>
    <w:rsid w:val="00AE7030"/>
    <w:rsid w:val="00AF0936"/>
    <w:rsid w:val="00AF1010"/>
    <w:rsid w:val="00AF10BA"/>
    <w:rsid w:val="00AF209F"/>
    <w:rsid w:val="00AF23AF"/>
    <w:rsid w:val="00AF2D58"/>
    <w:rsid w:val="00AF2E9B"/>
    <w:rsid w:val="00AF494C"/>
    <w:rsid w:val="00AF520D"/>
    <w:rsid w:val="00AF663D"/>
    <w:rsid w:val="00AF6E60"/>
    <w:rsid w:val="00AF7E19"/>
    <w:rsid w:val="00AF7E57"/>
    <w:rsid w:val="00B00A79"/>
    <w:rsid w:val="00B0190C"/>
    <w:rsid w:val="00B019EF"/>
    <w:rsid w:val="00B01A48"/>
    <w:rsid w:val="00B02855"/>
    <w:rsid w:val="00B02A08"/>
    <w:rsid w:val="00B03C90"/>
    <w:rsid w:val="00B047D2"/>
    <w:rsid w:val="00B049E5"/>
    <w:rsid w:val="00B0537B"/>
    <w:rsid w:val="00B06050"/>
    <w:rsid w:val="00B0631B"/>
    <w:rsid w:val="00B10BAA"/>
    <w:rsid w:val="00B11134"/>
    <w:rsid w:val="00B12B6B"/>
    <w:rsid w:val="00B1337D"/>
    <w:rsid w:val="00B150B5"/>
    <w:rsid w:val="00B154B0"/>
    <w:rsid w:val="00B155A5"/>
    <w:rsid w:val="00B16951"/>
    <w:rsid w:val="00B170BC"/>
    <w:rsid w:val="00B17141"/>
    <w:rsid w:val="00B17D2F"/>
    <w:rsid w:val="00B20058"/>
    <w:rsid w:val="00B2020F"/>
    <w:rsid w:val="00B2036E"/>
    <w:rsid w:val="00B20897"/>
    <w:rsid w:val="00B22CE4"/>
    <w:rsid w:val="00B234B7"/>
    <w:rsid w:val="00B23743"/>
    <w:rsid w:val="00B24DCF"/>
    <w:rsid w:val="00B25B7F"/>
    <w:rsid w:val="00B263B4"/>
    <w:rsid w:val="00B26A4C"/>
    <w:rsid w:val="00B27607"/>
    <w:rsid w:val="00B30743"/>
    <w:rsid w:val="00B30A96"/>
    <w:rsid w:val="00B31575"/>
    <w:rsid w:val="00B317FD"/>
    <w:rsid w:val="00B31DB9"/>
    <w:rsid w:val="00B31F4B"/>
    <w:rsid w:val="00B33B5D"/>
    <w:rsid w:val="00B3452E"/>
    <w:rsid w:val="00B348C3"/>
    <w:rsid w:val="00B3794B"/>
    <w:rsid w:val="00B37A05"/>
    <w:rsid w:val="00B37AA7"/>
    <w:rsid w:val="00B37B66"/>
    <w:rsid w:val="00B37E59"/>
    <w:rsid w:val="00B403BC"/>
    <w:rsid w:val="00B40622"/>
    <w:rsid w:val="00B40B01"/>
    <w:rsid w:val="00B4154A"/>
    <w:rsid w:val="00B415ED"/>
    <w:rsid w:val="00B42C42"/>
    <w:rsid w:val="00B435AE"/>
    <w:rsid w:val="00B43A04"/>
    <w:rsid w:val="00B44C36"/>
    <w:rsid w:val="00B4519D"/>
    <w:rsid w:val="00B45716"/>
    <w:rsid w:val="00B46706"/>
    <w:rsid w:val="00B477B9"/>
    <w:rsid w:val="00B500C9"/>
    <w:rsid w:val="00B50185"/>
    <w:rsid w:val="00B51C48"/>
    <w:rsid w:val="00B54444"/>
    <w:rsid w:val="00B55683"/>
    <w:rsid w:val="00B56C84"/>
    <w:rsid w:val="00B56CC5"/>
    <w:rsid w:val="00B56CE8"/>
    <w:rsid w:val="00B57206"/>
    <w:rsid w:val="00B579BC"/>
    <w:rsid w:val="00B60CBF"/>
    <w:rsid w:val="00B61514"/>
    <w:rsid w:val="00B62021"/>
    <w:rsid w:val="00B621FE"/>
    <w:rsid w:val="00B63EBF"/>
    <w:rsid w:val="00B6418D"/>
    <w:rsid w:val="00B64244"/>
    <w:rsid w:val="00B650DB"/>
    <w:rsid w:val="00B659E5"/>
    <w:rsid w:val="00B65D43"/>
    <w:rsid w:val="00B66233"/>
    <w:rsid w:val="00B6658F"/>
    <w:rsid w:val="00B66639"/>
    <w:rsid w:val="00B66FF4"/>
    <w:rsid w:val="00B679BE"/>
    <w:rsid w:val="00B705D3"/>
    <w:rsid w:val="00B70B06"/>
    <w:rsid w:val="00B70FFD"/>
    <w:rsid w:val="00B73223"/>
    <w:rsid w:val="00B75565"/>
    <w:rsid w:val="00B75AB1"/>
    <w:rsid w:val="00B77640"/>
    <w:rsid w:val="00B77718"/>
    <w:rsid w:val="00B77923"/>
    <w:rsid w:val="00B80CB8"/>
    <w:rsid w:val="00B80F6A"/>
    <w:rsid w:val="00B81BB4"/>
    <w:rsid w:val="00B81D35"/>
    <w:rsid w:val="00B8404F"/>
    <w:rsid w:val="00B8547D"/>
    <w:rsid w:val="00B85B37"/>
    <w:rsid w:val="00B85F99"/>
    <w:rsid w:val="00B86271"/>
    <w:rsid w:val="00B8751C"/>
    <w:rsid w:val="00B8777E"/>
    <w:rsid w:val="00B87D07"/>
    <w:rsid w:val="00B909AC"/>
    <w:rsid w:val="00B90A75"/>
    <w:rsid w:val="00B910C2"/>
    <w:rsid w:val="00B91547"/>
    <w:rsid w:val="00B91CA0"/>
    <w:rsid w:val="00B9279E"/>
    <w:rsid w:val="00B933BA"/>
    <w:rsid w:val="00B93972"/>
    <w:rsid w:val="00B93E26"/>
    <w:rsid w:val="00B94775"/>
    <w:rsid w:val="00B94862"/>
    <w:rsid w:val="00B94949"/>
    <w:rsid w:val="00B95CBF"/>
    <w:rsid w:val="00B97590"/>
    <w:rsid w:val="00B97A8C"/>
    <w:rsid w:val="00BA0118"/>
    <w:rsid w:val="00BA1333"/>
    <w:rsid w:val="00BA22CD"/>
    <w:rsid w:val="00BA2974"/>
    <w:rsid w:val="00BA714E"/>
    <w:rsid w:val="00BA7B61"/>
    <w:rsid w:val="00BA7C3E"/>
    <w:rsid w:val="00BB19C9"/>
    <w:rsid w:val="00BB27FB"/>
    <w:rsid w:val="00BB3578"/>
    <w:rsid w:val="00BB3DB8"/>
    <w:rsid w:val="00BB4AEC"/>
    <w:rsid w:val="00BB5A82"/>
    <w:rsid w:val="00BB6A47"/>
    <w:rsid w:val="00BB714C"/>
    <w:rsid w:val="00BB7FF5"/>
    <w:rsid w:val="00BC0894"/>
    <w:rsid w:val="00BC31C4"/>
    <w:rsid w:val="00BC341F"/>
    <w:rsid w:val="00BC469C"/>
    <w:rsid w:val="00BC4BDA"/>
    <w:rsid w:val="00BC5770"/>
    <w:rsid w:val="00BC5BE6"/>
    <w:rsid w:val="00BC694A"/>
    <w:rsid w:val="00BC702B"/>
    <w:rsid w:val="00BC78CC"/>
    <w:rsid w:val="00BD0CD0"/>
    <w:rsid w:val="00BD0FDD"/>
    <w:rsid w:val="00BD12D6"/>
    <w:rsid w:val="00BD1C11"/>
    <w:rsid w:val="00BD323B"/>
    <w:rsid w:val="00BD3437"/>
    <w:rsid w:val="00BD3DD6"/>
    <w:rsid w:val="00BD48D3"/>
    <w:rsid w:val="00BD50DB"/>
    <w:rsid w:val="00BD6181"/>
    <w:rsid w:val="00BD619B"/>
    <w:rsid w:val="00BD6B7B"/>
    <w:rsid w:val="00BD7483"/>
    <w:rsid w:val="00BD7D4D"/>
    <w:rsid w:val="00BE0392"/>
    <w:rsid w:val="00BE0413"/>
    <w:rsid w:val="00BE05CD"/>
    <w:rsid w:val="00BE07A4"/>
    <w:rsid w:val="00BE094A"/>
    <w:rsid w:val="00BE0D2D"/>
    <w:rsid w:val="00BE1514"/>
    <w:rsid w:val="00BE1C2A"/>
    <w:rsid w:val="00BE24EF"/>
    <w:rsid w:val="00BE3062"/>
    <w:rsid w:val="00BE3254"/>
    <w:rsid w:val="00BE4471"/>
    <w:rsid w:val="00BE4655"/>
    <w:rsid w:val="00BE4F61"/>
    <w:rsid w:val="00BE54E1"/>
    <w:rsid w:val="00BE5977"/>
    <w:rsid w:val="00BE62EB"/>
    <w:rsid w:val="00BE64D8"/>
    <w:rsid w:val="00BF2460"/>
    <w:rsid w:val="00BF373E"/>
    <w:rsid w:val="00BF4B32"/>
    <w:rsid w:val="00BF4FB6"/>
    <w:rsid w:val="00C011CA"/>
    <w:rsid w:val="00C03E36"/>
    <w:rsid w:val="00C04232"/>
    <w:rsid w:val="00C0428A"/>
    <w:rsid w:val="00C0463C"/>
    <w:rsid w:val="00C04A05"/>
    <w:rsid w:val="00C04F29"/>
    <w:rsid w:val="00C05335"/>
    <w:rsid w:val="00C05953"/>
    <w:rsid w:val="00C0660F"/>
    <w:rsid w:val="00C069EE"/>
    <w:rsid w:val="00C113A8"/>
    <w:rsid w:val="00C11F93"/>
    <w:rsid w:val="00C12555"/>
    <w:rsid w:val="00C157D8"/>
    <w:rsid w:val="00C15995"/>
    <w:rsid w:val="00C15B8A"/>
    <w:rsid w:val="00C15D83"/>
    <w:rsid w:val="00C15F6F"/>
    <w:rsid w:val="00C17059"/>
    <w:rsid w:val="00C172BF"/>
    <w:rsid w:val="00C1771B"/>
    <w:rsid w:val="00C17D9B"/>
    <w:rsid w:val="00C21E6C"/>
    <w:rsid w:val="00C222A8"/>
    <w:rsid w:val="00C22B88"/>
    <w:rsid w:val="00C22D46"/>
    <w:rsid w:val="00C23171"/>
    <w:rsid w:val="00C24B1B"/>
    <w:rsid w:val="00C250D5"/>
    <w:rsid w:val="00C254EF"/>
    <w:rsid w:val="00C25E96"/>
    <w:rsid w:val="00C26203"/>
    <w:rsid w:val="00C26AAC"/>
    <w:rsid w:val="00C26FE0"/>
    <w:rsid w:val="00C27248"/>
    <w:rsid w:val="00C27429"/>
    <w:rsid w:val="00C276FD"/>
    <w:rsid w:val="00C32198"/>
    <w:rsid w:val="00C33982"/>
    <w:rsid w:val="00C34BE6"/>
    <w:rsid w:val="00C3505F"/>
    <w:rsid w:val="00C357CF"/>
    <w:rsid w:val="00C361CD"/>
    <w:rsid w:val="00C36BBA"/>
    <w:rsid w:val="00C3706E"/>
    <w:rsid w:val="00C374D8"/>
    <w:rsid w:val="00C3793C"/>
    <w:rsid w:val="00C40580"/>
    <w:rsid w:val="00C40EA9"/>
    <w:rsid w:val="00C41946"/>
    <w:rsid w:val="00C41D4E"/>
    <w:rsid w:val="00C41E89"/>
    <w:rsid w:val="00C41FBA"/>
    <w:rsid w:val="00C43648"/>
    <w:rsid w:val="00C43D24"/>
    <w:rsid w:val="00C44504"/>
    <w:rsid w:val="00C44ACE"/>
    <w:rsid w:val="00C44C39"/>
    <w:rsid w:val="00C44F3C"/>
    <w:rsid w:val="00C4782C"/>
    <w:rsid w:val="00C47F8D"/>
    <w:rsid w:val="00C508A8"/>
    <w:rsid w:val="00C51378"/>
    <w:rsid w:val="00C51945"/>
    <w:rsid w:val="00C51E5B"/>
    <w:rsid w:val="00C52118"/>
    <w:rsid w:val="00C525BD"/>
    <w:rsid w:val="00C53326"/>
    <w:rsid w:val="00C541E7"/>
    <w:rsid w:val="00C54B92"/>
    <w:rsid w:val="00C54C79"/>
    <w:rsid w:val="00C5525F"/>
    <w:rsid w:val="00C559AD"/>
    <w:rsid w:val="00C57364"/>
    <w:rsid w:val="00C575AC"/>
    <w:rsid w:val="00C577BA"/>
    <w:rsid w:val="00C61917"/>
    <w:rsid w:val="00C620A7"/>
    <w:rsid w:val="00C62727"/>
    <w:rsid w:val="00C63471"/>
    <w:rsid w:val="00C63E03"/>
    <w:rsid w:val="00C64923"/>
    <w:rsid w:val="00C65063"/>
    <w:rsid w:val="00C6643F"/>
    <w:rsid w:val="00C666E9"/>
    <w:rsid w:val="00C669F0"/>
    <w:rsid w:val="00C673FB"/>
    <w:rsid w:val="00C67631"/>
    <w:rsid w:val="00C70039"/>
    <w:rsid w:val="00C70754"/>
    <w:rsid w:val="00C70907"/>
    <w:rsid w:val="00C70C35"/>
    <w:rsid w:val="00C721AD"/>
    <w:rsid w:val="00C743DB"/>
    <w:rsid w:val="00C74731"/>
    <w:rsid w:val="00C74D73"/>
    <w:rsid w:val="00C7585E"/>
    <w:rsid w:val="00C77B2B"/>
    <w:rsid w:val="00C802CE"/>
    <w:rsid w:val="00C8047C"/>
    <w:rsid w:val="00C80FAD"/>
    <w:rsid w:val="00C81391"/>
    <w:rsid w:val="00C81748"/>
    <w:rsid w:val="00C82EF7"/>
    <w:rsid w:val="00C832F3"/>
    <w:rsid w:val="00C86102"/>
    <w:rsid w:val="00C8782F"/>
    <w:rsid w:val="00C90E54"/>
    <w:rsid w:val="00C9183D"/>
    <w:rsid w:val="00C92898"/>
    <w:rsid w:val="00C93D2D"/>
    <w:rsid w:val="00C94109"/>
    <w:rsid w:val="00C942A3"/>
    <w:rsid w:val="00C96A99"/>
    <w:rsid w:val="00CA0088"/>
    <w:rsid w:val="00CA15B2"/>
    <w:rsid w:val="00CA1C66"/>
    <w:rsid w:val="00CA2042"/>
    <w:rsid w:val="00CA2057"/>
    <w:rsid w:val="00CA2448"/>
    <w:rsid w:val="00CA27C5"/>
    <w:rsid w:val="00CA2CB9"/>
    <w:rsid w:val="00CA2E42"/>
    <w:rsid w:val="00CA4DDF"/>
    <w:rsid w:val="00CA5747"/>
    <w:rsid w:val="00CA699D"/>
    <w:rsid w:val="00CA7ADC"/>
    <w:rsid w:val="00CA7F72"/>
    <w:rsid w:val="00CB00A6"/>
    <w:rsid w:val="00CB14B2"/>
    <w:rsid w:val="00CB203B"/>
    <w:rsid w:val="00CB38FC"/>
    <w:rsid w:val="00CB3D68"/>
    <w:rsid w:val="00CB4560"/>
    <w:rsid w:val="00CB4582"/>
    <w:rsid w:val="00CB5784"/>
    <w:rsid w:val="00CB59B2"/>
    <w:rsid w:val="00CB7E69"/>
    <w:rsid w:val="00CC087F"/>
    <w:rsid w:val="00CC0DCB"/>
    <w:rsid w:val="00CC0FBD"/>
    <w:rsid w:val="00CC116B"/>
    <w:rsid w:val="00CC173C"/>
    <w:rsid w:val="00CC179C"/>
    <w:rsid w:val="00CC17F9"/>
    <w:rsid w:val="00CC18C6"/>
    <w:rsid w:val="00CC45FC"/>
    <w:rsid w:val="00CC4B35"/>
    <w:rsid w:val="00CC4C92"/>
    <w:rsid w:val="00CC54B2"/>
    <w:rsid w:val="00CC6414"/>
    <w:rsid w:val="00CC7619"/>
    <w:rsid w:val="00CC7EEE"/>
    <w:rsid w:val="00CC7FF3"/>
    <w:rsid w:val="00CD044A"/>
    <w:rsid w:val="00CD075A"/>
    <w:rsid w:val="00CD2723"/>
    <w:rsid w:val="00CD2923"/>
    <w:rsid w:val="00CD2DA2"/>
    <w:rsid w:val="00CD40AA"/>
    <w:rsid w:val="00CD419E"/>
    <w:rsid w:val="00CD4426"/>
    <w:rsid w:val="00CD543A"/>
    <w:rsid w:val="00CD69C3"/>
    <w:rsid w:val="00CD73B5"/>
    <w:rsid w:val="00CD7B7F"/>
    <w:rsid w:val="00CD7EE7"/>
    <w:rsid w:val="00CE01D4"/>
    <w:rsid w:val="00CE0994"/>
    <w:rsid w:val="00CE134A"/>
    <w:rsid w:val="00CE1379"/>
    <w:rsid w:val="00CE1671"/>
    <w:rsid w:val="00CE1949"/>
    <w:rsid w:val="00CE1AF6"/>
    <w:rsid w:val="00CE1C6D"/>
    <w:rsid w:val="00CE2BB9"/>
    <w:rsid w:val="00CE4EA2"/>
    <w:rsid w:val="00CE5C67"/>
    <w:rsid w:val="00CE5EAA"/>
    <w:rsid w:val="00CE7514"/>
    <w:rsid w:val="00CE7650"/>
    <w:rsid w:val="00CF0483"/>
    <w:rsid w:val="00CF05E1"/>
    <w:rsid w:val="00CF1833"/>
    <w:rsid w:val="00CF1A6D"/>
    <w:rsid w:val="00CF2C64"/>
    <w:rsid w:val="00CF3616"/>
    <w:rsid w:val="00CF375C"/>
    <w:rsid w:val="00CF4FFC"/>
    <w:rsid w:val="00CF5555"/>
    <w:rsid w:val="00CF691C"/>
    <w:rsid w:val="00CF7BCF"/>
    <w:rsid w:val="00D002C3"/>
    <w:rsid w:val="00D0107A"/>
    <w:rsid w:val="00D0337E"/>
    <w:rsid w:val="00D0372D"/>
    <w:rsid w:val="00D03B4E"/>
    <w:rsid w:val="00D0508E"/>
    <w:rsid w:val="00D05218"/>
    <w:rsid w:val="00D05B47"/>
    <w:rsid w:val="00D06043"/>
    <w:rsid w:val="00D0610A"/>
    <w:rsid w:val="00D063C8"/>
    <w:rsid w:val="00D105D3"/>
    <w:rsid w:val="00D1086F"/>
    <w:rsid w:val="00D113ED"/>
    <w:rsid w:val="00D115CD"/>
    <w:rsid w:val="00D13716"/>
    <w:rsid w:val="00D13DA7"/>
    <w:rsid w:val="00D15213"/>
    <w:rsid w:val="00D1531A"/>
    <w:rsid w:val="00D155BA"/>
    <w:rsid w:val="00D16674"/>
    <w:rsid w:val="00D17F6D"/>
    <w:rsid w:val="00D20C67"/>
    <w:rsid w:val="00D21547"/>
    <w:rsid w:val="00D21A54"/>
    <w:rsid w:val="00D2263A"/>
    <w:rsid w:val="00D22C33"/>
    <w:rsid w:val="00D2312B"/>
    <w:rsid w:val="00D2362D"/>
    <w:rsid w:val="00D23BF3"/>
    <w:rsid w:val="00D23ED5"/>
    <w:rsid w:val="00D248DE"/>
    <w:rsid w:val="00D24E27"/>
    <w:rsid w:val="00D321DB"/>
    <w:rsid w:val="00D3383A"/>
    <w:rsid w:val="00D3392B"/>
    <w:rsid w:val="00D34EF9"/>
    <w:rsid w:val="00D35726"/>
    <w:rsid w:val="00D3603E"/>
    <w:rsid w:val="00D364DE"/>
    <w:rsid w:val="00D36F0F"/>
    <w:rsid w:val="00D37C20"/>
    <w:rsid w:val="00D401E5"/>
    <w:rsid w:val="00D42BDF"/>
    <w:rsid w:val="00D42C12"/>
    <w:rsid w:val="00D433FB"/>
    <w:rsid w:val="00D44043"/>
    <w:rsid w:val="00D44B8B"/>
    <w:rsid w:val="00D454C7"/>
    <w:rsid w:val="00D478AD"/>
    <w:rsid w:val="00D50B2C"/>
    <w:rsid w:val="00D50E16"/>
    <w:rsid w:val="00D51137"/>
    <w:rsid w:val="00D523D1"/>
    <w:rsid w:val="00D52761"/>
    <w:rsid w:val="00D53085"/>
    <w:rsid w:val="00D530A4"/>
    <w:rsid w:val="00D53740"/>
    <w:rsid w:val="00D537F5"/>
    <w:rsid w:val="00D540DC"/>
    <w:rsid w:val="00D54A22"/>
    <w:rsid w:val="00D54B36"/>
    <w:rsid w:val="00D55728"/>
    <w:rsid w:val="00D5617A"/>
    <w:rsid w:val="00D5666C"/>
    <w:rsid w:val="00D56824"/>
    <w:rsid w:val="00D56838"/>
    <w:rsid w:val="00D57025"/>
    <w:rsid w:val="00D57CF1"/>
    <w:rsid w:val="00D57ECA"/>
    <w:rsid w:val="00D607D7"/>
    <w:rsid w:val="00D608E4"/>
    <w:rsid w:val="00D60A7F"/>
    <w:rsid w:val="00D61692"/>
    <w:rsid w:val="00D61DCE"/>
    <w:rsid w:val="00D622C3"/>
    <w:rsid w:val="00D6402A"/>
    <w:rsid w:val="00D647ED"/>
    <w:rsid w:val="00D650ED"/>
    <w:rsid w:val="00D65C54"/>
    <w:rsid w:val="00D65EF9"/>
    <w:rsid w:val="00D6691E"/>
    <w:rsid w:val="00D6781C"/>
    <w:rsid w:val="00D720D7"/>
    <w:rsid w:val="00D722DD"/>
    <w:rsid w:val="00D72D65"/>
    <w:rsid w:val="00D735FE"/>
    <w:rsid w:val="00D7408C"/>
    <w:rsid w:val="00D7573E"/>
    <w:rsid w:val="00D759F5"/>
    <w:rsid w:val="00D76677"/>
    <w:rsid w:val="00D76755"/>
    <w:rsid w:val="00D7724A"/>
    <w:rsid w:val="00D774A4"/>
    <w:rsid w:val="00D77B04"/>
    <w:rsid w:val="00D8032C"/>
    <w:rsid w:val="00D8056C"/>
    <w:rsid w:val="00D808BB"/>
    <w:rsid w:val="00D80A17"/>
    <w:rsid w:val="00D8107A"/>
    <w:rsid w:val="00D81646"/>
    <w:rsid w:val="00D82284"/>
    <w:rsid w:val="00D8303B"/>
    <w:rsid w:val="00D83EDA"/>
    <w:rsid w:val="00D83FAC"/>
    <w:rsid w:val="00D84CF2"/>
    <w:rsid w:val="00D85244"/>
    <w:rsid w:val="00D8542D"/>
    <w:rsid w:val="00D85BE7"/>
    <w:rsid w:val="00D86CA4"/>
    <w:rsid w:val="00D87C5C"/>
    <w:rsid w:val="00D92453"/>
    <w:rsid w:val="00D927E0"/>
    <w:rsid w:val="00D93205"/>
    <w:rsid w:val="00D93310"/>
    <w:rsid w:val="00D9363D"/>
    <w:rsid w:val="00D951D0"/>
    <w:rsid w:val="00D954CD"/>
    <w:rsid w:val="00D9585F"/>
    <w:rsid w:val="00D96505"/>
    <w:rsid w:val="00D9794D"/>
    <w:rsid w:val="00D97ED3"/>
    <w:rsid w:val="00DA02AE"/>
    <w:rsid w:val="00DA2271"/>
    <w:rsid w:val="00DA29A5"/>
    <w:rsid w:val="00DA2C9A"/>
    <w:rsid w:val="00DA3667"/>
    <w:rsid w:val="00DA45AF"/>
    <w:rsid w:val="00DA5CA2"/>
    <w:rsid w:val="00DA5FE3"/>
    <w:rsid w:val="00DA6ABA"/>
    <w:rsid w:val="00DA6C18"/>
    <w:rsid w:val="00DA6DF2"/>
    <w:rsid w:val="00DB070D"/>
    <w:rsid w:val="00DB0CD5"/>
    <w:rsid w:val="00DB1B16"/>
    <w:rsid w:val="00DB45DA"/>
    <w:rsid w:val="00DB4778"/>
    <w:rsid w:val="00DB4B02"/>
    <w:rsid w:val="00DB59E1"/>
    <w:rsid w:val="00DB6A04"/>
    <w:rsid w:val="00DC0D3F"/>
    <w:rsid w:val="00DC1A76"/>
    <w:rsid w:val="00DC1B08"/>
    <w:rsid w:val="00DC34DC"/>
    <w:rsid w:val="00DC4738"/>
    <w:rsid w:val="00DC48BE"/>
    <w:rsid w:val="00DC4CD6"/>
    <w:rsid w:val="00DC5312"/>
    <w:rsid w:val="00DC65EE"/>
    <w:rsid w:val="00DC6A71"/>
    <w:rsid w:val="00DC6F3F"/>
    <w:rsid w:val="00DD07AA"/>
    <w:rsid w:val="00DD132D"/>
    <w:rsid w:val="00DD1E31"/>
    <w:rsid w:val="00DD28B8"/>
    <w:rsid w:val="00DD2AD2"/>
    <w:rsid w:val="00DD333C"/>
    <w:rsid w:val="00DD357C"/>
    <w:rsid w:val="00DD3D17"/>
    <w:rsid w:val="00DD4330"/>
    <w:rsid w:val="00DD4F16"/>
    <w:rsid w:val="00DD52BE"/>
    <w:rsid w:val="00DD5938"/>
    <w:rsid w:val="00DE022E"/>
    <w:rsid w:val="00DE068B"/>
    <w:rsid w:val="00DE0BA5"/>
    <w:rsid w:val="00DE2C8C"/>
    <w:rsid w:val="00DE2CD3"/>
    <w:rsid w:val="00DE2CDD"/>
    <w:rsid w:val="00DE2E25"/>
    <w:rsid w:val="00DE3D34"/>
    <w:rsid w:val="00DE3D91"/>
    <w:rsid w:val="00DE5072"/>
    <w:rsid w:val="00DE51BF"/>
    <w:rsid w:val="00DE5267"/>
    <w:rsid w:val="00DE5B46"/>
    <w:rsid w:val="00DE6B65"/>
    <w:rsid w:val="00DF1E1A"/>
    <w:rsid w:val="00DF2F81"/>
    <w:rsid w:val="00DF351E"/>
    <w:rsid w:val="00DF42BB"/>
    <w:rsid w:val="00DF4C96"/>
    <w:rsid w:val="00DF7410"/>
    <w:rsid w:val="00DF7ED8"/>
    <w:rsid w:val="00E01194"/>
    <w:rsid w:val="00E01374"/>
    <w:rsid w:val="00E0185F"/>
    <w:rsid w:val="00E01D89"/>
    <w:rsid w:val="00E02426"/>
    <w:rsid w:val="00E028C8"/>
    <w:rsid w:val="00E03330"/>
    <w:rsid w:val="00E0357D"/>
    <w:rsid w:val="00E04FE9"/>
    <w:rsid w:val="00E075E9"/>
    <w:rsid w:val="00E07711"/>
    <w:rsid w:val="00E07805"/>
    <w:rsid w:val="00E07A94"/>
    <w:rsid w:val="00E1001C"/>
    <w:rsid w:val="00E10E4F"/>
    <w:rsid w:val="00E119B3"/>
    <w:rsid w:val="00E11E46"/>
    <w:rsid w:val="00E13A95"/>
    <w:rsid w:val="00E13FE7"/>
    <w:rsid w:val="00E14601"/>
    <w:rsid w:val="00E1460D"/>
    <w:rsid w:val="00E1515E"/>
    <w:rsid w:val="00E15CBD"/>
    <w:rsid w:val="00E16B72"/>
    <w:rsid w:val="00E16BE7"/>
    <w:rsid w:val="00E20C88"/>
    <w:rsid w:val="00E23B37"/>
    <w:rsid w:val="00E23D31"/>
    <w:rsid w:val="00E24C0F"/>
    <w:rsid w:val="00E24EC2"/>
    <w:rsid w:val="00E25B42"/>
    <w:rsid w:val="00E2693D"/>
    <w:rsid w:val="00E26A0F"/>
    <w:rsid w:val="00E26CBC"/>
    <w:rsid w:val="00E27333"/>
    <w:rsid w:val="00E31020"/>
    <w:rsid w:val="00E31124"/>
    <w:rsid w:val="00E32281"/>
    <w:rsid w:val="00E32696"/>
    <w:rsid w:val="00E32DCB"/>
    <w:rsid w:val="00E332A2"/>
    <w:rsid w:val="00E333CD"/>
    <w:rsid w:val="00E348AA"/>
    <w:rsid w:val="00E3614E"/>
    <w:rsid w:val="00E36845"/>
    <w:rsid w:val="00E36FD0"/>
    <w:rsid w:val="00E37C5C"/>
    <w:rsid w:val="00E4257E"/>
    <w:rsid w:val="00E426B9"/>
    <w:rsid w:val="00E43A5F"/>
    <w:rsid w:val="00E44EE6"/>
    <w:rsid w:val="00E45276"/>
    <w:rsid w:val="00E47860"/>
    <w:rsid w:val="00E47B51"/>
    <w:rsid w:val="00E51566"/>
    <w:rsid w:val="00E51A0E"/>
    <w:rsid w:val="00E5317B"/>
    <w:rsid w:val="00E571F1"/>
    <w:rsid w:val="00E57ACB"/>
    <w:rsid w:val="00E60434"/>
    <w:rsid w:val="00E60F7A"/>
    <w:rsid w:val="00E6152F"/>
    <w:rsid w:val="00E6336E"/>
    <w:rsid w:val="00E63822"/>
    <w:rsid w:val="00E6503D"/>
    <w:rsid w:val="00E6569F"/>
    <w:rsid w:val="00E702B7"/>
    <w:rsid w:val="00E704E3"/>
    <w:rsid w:val="00E74EE4"/>
    <w:rsid w:val="00E75893"/>
    <w:rsid w:val="00E75904"/>
    <w:rsid w:val="00E801A4"/>
    <w:rsid w:val="00E8061D"/>
    <w:rsid w:val="00E81333"/>
    <w:rsid w:val="00E82EA2"/>
    <w:rsid w:val="00E8423C"/>
    <w:rsid w:val="00E842C8"/>
    <w:rsid w:val="00E84481"/>
    <w:rsid w:val="00E853E8"/>
    <w:rsid w:val="00E8560D"/>
    <w:rsid w:val="00E85CEC"/>
    <w:rsid w:val="00E90D37"/>
    <w:rsid w:val="00E90D8A"/>
    <w:rsid w:val="00E91EFE"/>
    <w:rsid w:val="00E92590"/>
    <w:rsid w:val="00E930D2"/>
    <w:rsid w:val="00E93193"/>
    <w:rsid w:val="00E93A1F"/>
    <w:rsid w:val="00E93ADB"/>
    <w:rsid w:val="00E93D31"/>
    <w:rsid w:val="00E94808"/>
    <w:rsid w:val="00E96071"/>
    <w:rsid w:val="00E96745"/>
    <w:rsid w:val="00E96D00"/>
    <w:rsid w:val="00E96FA5"/>
    <w:rsid w:val="00E9717A"/>
    <w:rsid w:val="00E97F56"/>
    <w:rsid w:val="00EA0582"/>
    <w:rsid w:val="00EA0C81"/>
    <w:rsid w:val="00EA1544"/>
    <w:rsid w:val="00EA1A57"/>
    <w:rsid w:val="00EA610E"/>
    <w:rsid w:val="00EA6A3C"/>
    <w:rsid w:val="00EA6D53"/>
    <w:rsid w:val="00EA75FB"/>
    <w:rsid w:val="00EA77D3"/>
    <w:rsid w:val="00EA7AC2"/>
    <w:rsid w:val="00EA7D13"/>
    <w:rsid w:val="00EB022E"/>
    <w:rsid w:val="00EB1CBF"/>
    <w:rsid w:val="00EB1EC0"/>
    <w:rsid w:val="00EB2537"/>
    <w:rsid w:val="00EB258C"/>
    <w:rsid w:val="00EB322C"/>
    <w:rsid w:val="00EB3410"/>
    <w:rsid w:val="00EB3EC5"/>
    <w:rsid w:val="00EB4575"/>
    <w:rsid w:val="00EB45B9"/>
    <w:rsid w:val="00EB4658"/>
    <w:rsid w:val="00EB4765"/>
    <w:rsid w:val="00EB635B"/>
    <w:rsid w:val="00EB64BA"/>
    <w:rsid w:val="00EB673C"/>
    <w:rsid w:val="00EB6FCA"/>
    <w:rsid w:val="00EC0060"/>
    <w:rsid w:val="00EC0152"/>
    <w:rsid w:val="00EC021C"/>
    <w:rsid w:val="00EC0C1B"/>
    <w:rsid w:val="00EC1929"/>
    <w:rsid w:val="00EC1A4A"/>
    <w:rsid w:val="00EC21DC"/>
    <w:rsid w:val="00EC2AB9"/>
    <w:rsid w:val="00EC4A0F"/>
    <w:rsid w:val="00EC4CE1"/>
    <w:rsid w:val="00EC5104"/>
    <w:rsid w:val="00EC56A0"/>
    <w:rsid w:val="00EC6841"/>
    <w:rsid w:val="00ED0C1D"/>
    <w:rsid w:val="00ED0E27"/>
    <w:rsid w:val="00ED11F6"/>
    <w:rsid w:val="00ED1276"/>
    <w:rsid w:val="00ED18DC"/>
    <w:rsid w:val="00ED2BD3"/>
    <w:rsid w:val="00ED4542"/>
    <w:rsid w:val="00ED556D"/>
    <w:rsid w:val="00ED5634"/>
    <w:rsid w:val="00ED57D4"/>
    <w:rsid w:val="00ED5AE4"/>
    <w:rsid w:val="00ED71F4"/>
    <w:rsid w:val="00ED74F7"/>
    <w:rsid w:val="00ED7B6A"/>
    <w:rsid w:val="00ED7C81"/>
    <w:rsid w:val="00ED7E82"/>
    <w:rsid w:val="00EE3844"/>
    <w:rsid w:val="00EE4BD4"/>
    <w:rsid w:val="00EE5F37"/>
    <w:rsid w:val="00EE64A8"/>
    <w:rsid w:val="00EE659A"/>
    <w:rsid w:val="00EE6836"/>
    <w:rsid w:val="00EE6D93"/>
    <w:rsid w:val="00EE6ED0"/>
    <w:rsid w:val="00EE796C"/>
    <w:rsid w:val="00EF2AD1"/>
    <w:rsid w:val="00EF375F"/>
    <w:rsid w:val="00EF402C"/>
    <w:rsid w:val="00EF4701"/>
    <w:rsid w:val="00EF4E39"/>
    <w:rsid w:val="00EF5648"/>
    <w:rsid w:val="00EF5ABD"/>
    <w:rsid w:val="00EF5C46"/>
    <w:rsid w:val="00EF6401"/>
    <w:rsid w:val="00EF6F5A"/>
    <w:rsid w:val="00EF7C7D"/>
    <w:rsid w:val="00EF7DE9"/>
    <w:rsid w:val="00F007FD"/>
    <w:rsid w:val="00F00AB7"/>
    <w:rsid w:val="00F01D35"/>
    <w:rsid w:val="00F02CDA"/>
    <w:rsid w:val="00F03150"/>
    <w:rsid w:val="00F03196"/>
    <w:rsid w:val="00F03C52"/>
    <w:rsid w:val="00F065D9"/>
    <w:rsid w:val="00F06C3C"/>
    <w:rsid w:val="00F07530"/>
    <w:rsid w:val="00F11F8F"/>
    <w:rsid w:val="00F1287B"/>
    <w:rsid w:val="00F1377E"/>
    <w:rsid w:val="00F144B9"/>
    <w:rsid w:val="00F14AB3"/>
    <w:rsid w:val="00F1552D"/>
    <w:rsid w:val="00F155DA"/>
    <w:rsid w:val="00F15C82"/>
    <w:rsid w:val="00F163CB"/>
    <w:rsid w:val="00F16F19"/>
    <w:rsid w:val="00F17ACC"/>
    <w:rsid w:val="00F17DB1"/>
    <w:rsid w:val="00F20118"/>
    <w:rsid w:val="00F22264"/>
    <w:rsid w:val="00F22CE9"/>
    <w:rsid w:val="00F231CC"/>
    <w:rsid w:val="00F24056"/>
    <w:rsid w:val="00F240BB"/>
    <w:rsid w:val="00F2448F"/>
    <w:rsid w:val="00F25258"/>
    <w:rsid w:val="00F2663B"/>
    <w:rsid w:val="00F26A2A"/>
    <w:rsid w:val="00F27554"/>
    <w:rsid w:val="00F27DE9"/>
    <w:rsid w:val="00F302B2"/>
    <w:rsid w:val="00F308E7"/>
    <w:rsid w:val="00F31023"/>
    <w:rsid w:val="00F3209C"/>
    <w:rsid w:val="00F3260D"/>
    <w:rsid w:val="00F33606"/>
    <w:rsid w:val="00F358F8"/>
    <w:rsid w:val="00F368C4"/>
    <w:rsid w:val="00F371BE"/>
    <w:rsid w:val="00F37E7A"/>
    <w:rsid w:val="00F40DF0"/>
    <w:rsid w:val="00F418EA"/>
    <w:rsid w:val="00F4196C"/>
    <w:rsid w:val="00F419F2"/>
    <w:rsid w:val="00F4204B"/>
    <w:rsid w:val="00F446BF"/>
    <w:rsid w:val="00F44E37"/>
    <w:rsid w:val="00F451A5"/>
    <w:rsid w:val="00F45B57"/>
    <w:rsid w:val="00F45C23"/>
    <w:rsid w:val="00F46724"/>
    <w:rsid w:val="00F46E6F"/>
    <w:rsid w:val="00F51392"/>
    <w:rsid w:val="00F523B0"/>
    <w:rsid w:val="00F53124"/>
    <w:rsid w:val="00F53EC5"/>
    <w:rsid w:val="00F57DB6"/>
    <w:rsid w:val="00F57FED"/>
    <w:rsid w:val="00F603D4"/>
    <w:rsid w:val="00F6081E"/>
    <w:rsid w:val="00F629A1"/>
    <w:rsid w:val="00F631C6"/>
    <w:rsid w:val="00F63966"/>
    <w:rsid w:val="00F65348"/>
    <w:rsid w:val="00F6547D"/>
    <w:rsid w:val="00F6736A"/>
    <w:rsid w:val="00F67C51"/>
    <w:rsid w:val="00F67F53"/>
    <w:rsid w:val="00F70149"/>
    <w:rsid w:val="00F721B7"/>
    <w:rsid w:val="00F72B68"/>
    <w:rsid w:val="00F72DE0"/>
    <w:rsid w:val="00F72F21"/>
    <w:rsid w:val="00F73748"/>
    <w:rsid w:val="00F7394D"/>
    <w:rsid w:val="00F73A28"/>
    <w:rsid w:val="00F73D1C"/>
    <w:rsid w:val="00F73F98"/>
    <w:rsid w:val="00F7437C"/>
    <w:rsid w:val="00F74E21"/>
    <w:rsid w:val="00F764DF"/>
    <w:rsid w:val="00F76F7A"/>
    <w:rsid w:val="00F77355"/>
    <w:rsid w:val="00F776F8"/>
    <w:rsid w:val="00F777DA"/>
    <w:rsid w:val="00F7793A"/>
    <w:rsid w:val="00F77EE2"/>
    <w:rsid w:val="00F825FF"/>
    <w:rsid w:val="00F83763"/>
    <w:rsid w:val="00F843A5"/>
    <w:rsid w:val="00F84432"/>
    <w:rsid w:val="00F86038"/>
    <w:rsid w:val="00F90440"/>
    <w:rsid w:val="00F907E8"/>
    <w:rsid w:val="00F90FD0"/>
    <w:rsid w:val="00F924E9"/>
    <w:rsid w:val="00F92E18"/>
    <w:rsid w:val="00F92F96"/>
    <w:rsid w:val="00F93DFA"/>
    <w:rsid w:val="00F94053"/>
    <w:rsid w:val="00F950F3"/>
    <w:rsid w:val="00F95FF9"/>
    <w:rsid w:val="00F9618B"/>
    <w:rsid w:val="00F96598"/>
    <w:rsid w:val="00F96A08"/>
    <w:rsid w:val="00F975E1"/>
    <w:rsid w:val="00F97D0F"/>
    <w:rsid w:val="00F97E20"/>
    <w:rsid w:val="00FA196C"/>
    <w:rsid w:val="00FA28DA"/>
    <w:rsid w:val="00FA3583"/>
    <w:rsid w:val="00FA3767"/>
    <w:rsid w:val="00FA46FF"/>
    <w:rsid w:val="00FA5F7E"/>
    <w:rsid w:val="00FA601D"/>
    <w:rsid w:val="00FA7014"/>
    <w:rsid w:val="00FA78B0"/>
    <w:rsid w:val="00FB1A92"/>
    <w:rsid w:val="00FB1B1C"/>
    <w:rsid w:val="00FB2B24"/>
    <w:rsid w:val="00FB39BE"/>
    <w:rsid w:val="00FB3D94"/>
    <w:rsid w:val="00FB4663"/>
    <w:rsid w:val="00FB57A1"/>
    <w:rsid w:val="00FB6136"/>
    <w:rsid w:val="00FB6D52"/>
    <w:rsid w:val="00FB762B"/>
    <w:rsid w:val="00FB793D"/>
    <w:rsid w:val="00FB79C8"/>
    <w:rsid w:val="00FC0356"/>
    <w:rsid w:val="00FC1CA6"/>
    <w:rsid w:val="00FC44F4"/>
    <w:rsid w:val="00FC467C"/>
    <w:rsid w:val="00FC4713"/>
    <w:rsid w:val="00FC4EB3"/>
    <w:rsid w:val="00FC5B47"/>
    <w:rsid w:val="00FC60E9"/>
    <w:rsid w:val="00FC64B8"/>
    <w:rsid w:val="00FC6CAC"/>
    <w:rsid w:val="00FC70D4"/>
    <w:rsid w:val="00FC73C8"/>
    <w:rsid w:val="00FC77B8"/>
    <w:rsid w:val="00FD0B0C"/>
    <w:rsid w:val="00FD0E8D"/>
    <w:rsid w:val="00FD19D0"/>
    <w:rsid w:val="00FD21FC"/>
    <w:rsid w:val="00FD2BEC"/>
    <w:rsid w:val="00FD3342"/>
    <w:rsid w:val="00FD3393"/>
    <w:rsid w:val="00FD34E2"/>
    <w:rsid w:val="00FD4771"/>
    <w:rsid w:val="00FD54BF"/>
    <w:rsid w:val="00FD6330"/>
    <w:rsid w:val="00FD78EB"/>
    <w:rsid w:val="00FE08A2"/>
    <w:rsid w:val="00FE0A31"/>
    <w:rsid w:val="00FE0DF8"/>
    <w:rsid w:val="00FE10A4"/>
    <w:rsid w:val="00FE3272"/>
    <w:rsid w:val="00FE4CB4"/>
    <w:rsid w:val="00FE6EFC"/>
    <w:rsid w:val="00FF4FF0"/>
    <w:rsid w:val="00FF62CE"/>
    <w:rsid w:val="00FF68BC"/>
    <w:rsid w:val="00FF696B"/>
    <w:rsid w:val="00FF6D43"/>
    <w:rsid w:val="00FF782C"/>
    <w:rsid w:val="00FF7D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2CF814ED"/>
  <w15:docId w15:val="{E2A37989-C79B-467E-A1B9-A0700EB6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CA2042"/>
    <w:pPr>
      <w:keepNext/>
      <w:numPr>
        <w:numId w:val="18"/>
      </w:numPr>
      <w:spacing w:before="240" w:after="60"/>
      <w:ind w:hanging="720"/>
      <w:jc w:val="both"/>
      <w:outlineLvl w:val="0"/>
    </w:pPr>
    <w:rPr>
      <w:rFonts w:eastAsiaTheme="minorHAnsi"/>
      <w:b/>
      <w:kern w:val="32"/>
      <w:sz w:val="22"/>
      <w:szCs w:val="22"/>
      <w:lang w:val="it-IT" w:eastAsia="sl-SI"/>
    </w:rPr>
  </w:style>
  <w:style w:type="paragraph" w:styleId="Naslov2">
    <w:name w:val="heading 2"/>
    <w:basedOn w:val="Navaden"/>
    <w:next w:val="Navaden"/>
    <w:link w:val="Naslov2Znak"/>
    <w:unhideWhenUsed/>
    <w:qFormat/>
    <w:rsid w:val="00023632"/>
    <w:pPr>
      <w:keepNext/>
      <w:numPr>
        <w:ilvl w:val="1"/>
        <w:numId w:val="18"/>
      </w:numPr>
      <w:spacing w:before="240" w:after="60" w:line="260" w:lineRule="exact"/>
      <w:ind w:left="709" w:hanging="709"/>
      <w:jc w:val="both"/>
      <w:outlineLvl w:val="1"/>
    </w:pPr>
    <w:rPr>
      <w:rFonts w:cs="Arial"/>
      <w:b/>
      <w:bCs/>
      <w:iCs/>
      <w:szCs w:val="20"/>
    </w:rPr>
  </w:style>
  <w:style w:type="paragraph" w:styleId="Naslov3">
    <w:name w:val="heading 3"/>
    <w:basedOn w:val="Navaden"/>
    <w:next w:val="Navaden"/>
    <w:link w:val="Naslov3Znak"/>
    <w:unhideWhenUsed/>
    <w:qFormat/>
    <w:rsid w:val="00CA27C5"/>
    <w:pPr>
      <w:keepNext/>
      <w:numPr>
        <w:ilvl w:val="1"/>
        <w:numId w:val="20"/>
      </w:numPr>
      <w:spacing w:before="240" w:after="60"/>
      <w:ind w:left="709" w:hanging="709"/>
      <w:outlineLvl w:val="2"/>
    </w:pPr>
    <w:rPr>
      <w:rFonts w:cs="Arial"/>
      <w:b/>
      <w:bCs/>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DC4738"/>
    <w:rPr>
      <w:b/>
      <w:sz w:val="28"/>
    </w:rPr>
  </w:style>
  <w:style w:type="paragraph" w:styleId="NaslovTOC">
    <w:name w:val="TOC Heading"/>
    <w:basedOn w:val="Naslov1"/>
    <w:next w:val="Navaden"/>
    <w:uiPriority w:val="39"/>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DC4738"/>
    <w:rPr>
      <w:rFonts w:ascii="Arial" w:hAnsi="Arial"/>
      <w:b/>
      <w:sz w:val="28"/>
      <w:szCs w:val="24"/>
      <w:lang w:val="it-IT" w:eastAsia="en-US"/>
    </w:rPr>
  </w:style>
  <w:style w:type="paragraph" w:styleId="Kazalovsebine1">
    <w:name w:val="toc 1"/>
    <w:basedOn w:val="Navaden"/>
    <w:next w:val="Navaden"/>
    <w:autoRedefine/>
    <w:uiPriority w:val="39"/>
    <w:qFormat/>
    <w:rsid w:val="00D54A22"/>
    <w:pPr>
      <w:spacing w:before="120"/>
    </w:pPr>
    <w:rPr>
      <w:b/>
      <w:bCs/>
      <w:iCs/>
    </w:rPr>
  </w:style>
  <w:style w:type="paragraph" w:styleId="Kazalovsebine2">
    <w:name w:val="toc 2"/>
    <w:basedOn w:val="Navaden"/>
    <w:next w:val="Navaden"/>
    <w:autoRedefine/>
    <w:uiPriority w:val="39"/>
    <w:unhideWhenUsed/>
    <w:qFormat/>
    <w:rsid w:val="00DA2C9A"/>
    <w:pPr>
      <w:spacing w:before="120"/>
      <w:ind w:left="200"/>
    </w:pPr>
    <w:rPr>
      <w:rFonts w:asciiTheme="minorHAnsi" w:hAnsiTheme="minorHAnsi"/>
      <w:b/>
      <w:bCs/>
      <w:sz w:val="22"/>
      <w:szCs w:val="22"/>
    </w:rPr>
  </w:style>
  <w:style w:type="paragraph" w:styleId="Kazalovsebine3">
    <w:name w:val="toc 3"/>
    <w:basedOn w:val="Navaden"/>
    <w:next w:val="Navaden"/>
    <w:autoRedefine/>
    <w:uiPriority w:val="39"/>
    <w:unhideWhenUsed/>
    <w:qFormat/>
    <w:rsid w:val="00023632"/>
    <w:pPr>
      <w:ind w:left="400"/>
    </w:pPr>
    <w:rPr>
      <w:rFonts w:asciiTheme="minorHAnsi" w:hAnsiTheme="minorHAnsi"/>
      <w:szCs w:val="20"/>
    </w:rPr>
  </w:style>
  <w:style w:type="paragraph" w:styleId="Besedilooblaka">
    <w:name w:val="Balloon Text"/>
    <w:basedOn w:val="Navaden"/>
    <w:link w:val="BesedilooblakaZnak"/>
    <w:rsid w:val="00DA2C9A"/>
    <w:pPr>
      <w:spacing w:line="240" w:lineRule="auto"/>
    </w:pPr>
    <w:rPr>
      <w:rFonts w:ascii="Tahoma" w:hAnsi="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rsid w:val="00023632"/>
    <w:rPr>
      <w:rFonts w:ascii="Arial" w:hAnsi="Arial" w:cs="Arial"/>
      <w:b/>
      <w:bCs/>
      <w:iCs/>
      <w:lang w:eastAsia="en-US"/>
    </w:rPr>
  </w:style>
  <w:style w:type="character" w:customStyle="1" w:styleId="Naslov3Znak">
    <w:name w:val="Naslov 3 Znak"/>
    <w:link w:val="Naslov3"/>
    <w:rsid w:val="00CA27C5"/>
    <w:rPr>
      <w:rFonts w:ascii="Arial" w:hAnsi="Arial" w:cs="Arial"/>
      <w:b/>
      <w:bCs/>
      <w:lang w:eastAsia="en-US"/>
    </w:rPr>
  </w:style>
  <w:style w:type="character" w:customStyle="1" w:styleId="NogaZnak">
    <w:name w:val="Noga Znak"/>
    <w:link w:val="Noga"/>
    <w:uiPriority w:val="99"/>
    <w:rsid w:val="009F30FB"/>
    <w:rPr>
      <w:rFonts w:ascii="Arial" w:hAnsi="Arial"/>
      <w:szCs w:val="24"/>
      <w:lang w:val="en-US" w:eastAsia="en-US"/>
    </w:rPr>
  </w:style>
  <w:style w:type="character" w:styleId="Pripombasklic">
    <w:name w:val="annotation reference"/>
    <w:uiPriority w:val="99"/>
    <w:rsid w:val="007E0633"/>
    <w:rPr>
      <w:sz w:val="16"/>
      <w:szCs w:val="16"/>
    </w:rPr>
  </w:style>
  <w:style w:type="paragraph" w:styleId="Pripombabesedilo">
    <w:name w:val="annotation text"/>
    <w:basedOn w:val="Navaden"/>
    <w:link w:val="PripombabesediloZnak"/>
    <w:uiPriority w:val="99"/>
    <w:rsid w:val="007E0633"/>
    <w:rPr>
      <w:szCs w:val="20"/>
    </w:rPr>
  </w:style>
  <w:style w:type="character" w:customStyle="1" w:styleId="PripombabesediloZnak">
    <w:name w:val="Pripomba – besedilo Znak"/>
    <w:link w:val="Pripombabesedilo"/>
    <w:uiPriority w:val="99"/>
    <w:rsid w:val="007E0633"/>
    <w:rPr>
      <w:rFonts w:ascii="Arial" w:hAnsi="Arial"/>
      <w:lang w:val="en-US" w:eastAsia="en-US"/>
    </w:rPr>
  </w:style>
  <w:style w:type="paragraph" w:styleId="Zadevapripombe">
    <w:name w:val="annotation subject"/>
    <w:basedOn w:val="Pripombabesedilo"/>
    <w:next w:val="Pripombabesedilo"/>
    <w:link w:val="ZadevapripombeZnak"/>
    <w:rsid w:val="007E0633"/>
    <w:rPr>
      <w:b/>
      <w:bCs/>
    </w:rPr>
  </w:style>
  <w:style w:type="character" w:customStyle="1" w:styleId="ZadevapripombeZnak">
    <w:name w:val="Zadeva pripombe Znak"/>
    <w:link w:val="Zadevapripombe"/>
    <w:rsid w:val="007E0633"/>
    <w:rPr>
      <w:rFonts w:ascii="Arial" w:hAnsi="Arial"/>
      <w:b/>
      <w:bCs/>
      <w:lang w:val="en-US" w:eastAsia="en-US"/>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qFormat/>
    <w:rsid w:val="00E23D31"/>
    <w:pPr>
      <w:jc w:val="both"/>
    </w:pPr>
    <w:rPr>
      <w:sz w:val="16"/>
      <w:szCs w:val="16"/>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rsid w:val="00E23D31"/>
    <w:rPr>
      <w:rFonts w:ascii="Arial" w:hAnsi="Arial"/>
      <w:sz w:val="16"/>
      <w:szCs w:val="16"/>
      <w:lang w:eastAsia="en-US"/>
    </w:rPr>
  </w:style>
  <w:style w:type="character" w:styleId="Sprotnaopomba-sklic">
    <w:name w:val="footnote reference"/>
    <w:aliases w:val="fr"/>
    <w:uiPriority w:val="99"/>
    <w:rsid w:val="000110D8"/>
    <w:rPr>
      <w:vertAlign w:val="superscript"/>
    </w:rPr>
  </w:style>
  <w:style w:type="paragraph" w:customStyle="1" w:styleId="Default">
    <w:name w:val="Default"/>
    <w:rsid w:val="00571E4D"/>
    <w:pPr>
      <w:autoSpaceDE w:val="0"/>
      <w:autoSpaceDN w:val="0"/>
      <w:adjustRightInd w:val="0"/>
    </w:pPr>
    <w:rPr>
      <w:rFonts w:ascii="Arial" w:eastAsiaTheme="minorHAnsi" w:hAnsi="Arial" w:cs="Arial"/>
      <w:color w:val="000000"/>
      <w:sz w:val="24"/>
      <w:szCs w:val="24"/>
      <w:lang w:val="en-US" w:eastAsia="en-US"/>
    </w:rPr>
  </w:style>
  <w:style w:type="character" w:styleId="SledenaHiperpovezava">
    <w:name w:val="FollowedHyperlink"/>
    <w:basedOn w:val="Privzetapisavaodstavka"/>
    <w:rsid w:val="00133F06"/>
    <w:rPr>
      <w:color w:val="800080" w:themeColor="followedHyperlink"/>
      <w:u w:val="single"/>
    </w:rPr>
  </w:style>
  <w:style w:type="paragraph" w:styleId="Odstavekseznama">
    <w:name w:val="List Paragraph"/>
    <w:aliases w:val="numbered list"/>
    <w:basedOn w:val="Navaden"/>
    <w:link w:val="OdstavekseznamaZnak"/>
    <w:uiPriority w:val="34"/>
    <w:qFormat/>
    <w:rsid w:val="008A7D32"/>
    <w:pPr>
      <w:ind w:left="720"/>
      <w:contextualSpacing/>
    </w:pPr>
    <w:rPr>
      <w:rFonts w:cs="Arial"/>
      <w:szCs w:val="20"/>
      <w:lang w:eastAsia="sl-SI"/>
    </w:rPr>
  </w:style>
  <w:style w:type="numbering" w:customStyle="1" w:styleId="Slog1">
    <w:name w:val="Slog1"/>
    <w:uiPriority w:val="99"/>
    <w:rsid w:val="00766101"/>
    <w:pPr>
      <w:numPr>
        <w:numId w:val="1"/>
      </w:numPr>
    </w:pPr>
  </w:style>
  <w:style w:type="paragraph" w:styleId="Navadensplet">
    <w:name w:val="Normal (Web)"/>
    <w:basedOn w:val="Navaden"/>
    <w:uiPriority w:val="99"/>
    <w:unhideWhenUsed/>
    <w:rsid w:val="00D44043"/>
    <w:pPr>
      <w:spacing w:before="100" w:beforeAutospacing="1" w:after="100" w:afterAutospacing="1" w:line="240" w:lineRule="auto"/>
    </w:pPr>
    <w:rPr>
      <w:rFonts w:ascii="Times New Roman" w:eastAsiaTheme="minorHAnsi" w:hAnsi="Times New Roman"/>
      <w:sz w:val="24"/>
      <w:lang w:eastAsia="sl-SI"/>
    </w:rPr>
  </w:style>
  <w:style w:type="paragraph" w:customStyle="1" w:styleId="poglavje1">
    <w:name w:val="poglavje1"/>
    <w:basedOn w:val="Navaden"/>
    <w:rsid w:val="00FF4FF0"/>
    <w:pPr>
      <w:spacing w:before="480" w:line="240" w:lineRule="auto"/>
      <w:jc w:val="center"/>
    </w:pPr>
    <w:rPr>
      <w:rFonts w:cs="Arial"/>
      <w:sz w:val="22"/>
      <w:szCs w:val="22"/>
      <w:lang w:eastAsia="sl-SI"/>
    </w:rPr>
  </w:style>
  <w:style w:type="character" w:styleId="Krepko">
    <w:name w:val="Strong"/>
    <w:basedOn w:val="Privzetapisavaodstavka"/>
    <w:uiPriority w:val="22"/>
    <w:qFormat/>
    <w:rsid w:val="00C33982"/>
    <w:rPr>
      <w:b/>
      <w:bCs/>
    </w:rPr>
  </w:style>
  <w:style w:type="paragraph" w:styleId="Revizija">
    <w:name w:val="Revision"/>
    <w:hidden/>
    <w:uiPriority w:val="99"/>
    <w:semiHidden/>
    <w:rsid w:val="00FE4CB4"/>
    <w:rPr>
      <w:rFonts w:ascii="Arial" w:hAnsi="Arial"/>
      <w:szCs w:val="24"/>
      <w:lang w:eastAsia="en-US"/>
    </w:rPr>
  </w:style>
  <w:style w:type="paragraph" w:styleId="Brezrazmikov">
    <w:name w:val="No Spacing"/>
    <w:uiPriority w:val="1"/>
    <w:qFormat/>
    <w:rsid w:val="00DC4738"/>
    <w:rPr>
      <w:rFonts w:ascii="Arial" w:hAnsi="Arial"/>
      <w:b/>
      <w:sz w:val="24"/>
      <w:szCs w:val="24"/>
      <w:lang w:eastAsia="en-US"/>
    </w:rPr>
  </w:style>
  <w:style w:type="paragraph" w:styleId="Kazalovsebine4">
    <w:name w:val="toc 4"/>
    <w:basedOn w:val="Navaden"/>
    <w:next w:val="Navaden"/>
    <w:autoRedefine/>
    <w:unhideWhenUsed/>
    <w:rsid w:val="00297E90"/>
    <w:pPr>
      <w:ind w:left="600"/>
    </w:pPr>
    <w:rPr>
      <w:szCs w:val="20"/>
    </w:rPr>
  </w:style>
  <w:style w:type="paragraph" w:styleId="Kazalovsebine5">
    <w:name w:val="toc 5"/>
    <w:basedOn w:val="Navaden"/>
    <w:next w:val="Navaden"/>
    <w:autoRedefine/>
    <w:unhideWhenUsed/>
    <w:rsid w:val="00687664"/>
    <w:pPr>
      <w:ind w:left="800"/>
    </w:pPr>
    <w:rPr>
      <w:rFonts w:asciiTheme="minorHAnsi" w:hAnsiTheme="minorHAnsi"/>
      <w:szCs w:val="20"/>
    </w:rPr>
  </w:style>
  <w:style w:type="paragraph" w:styleId="Kazalovsebine6">
    <w:name w:val="toc 6"/>
    <w:basedOn w:val="Navaden"/>
    <w:next w:val="Navaden"/>
    <w:autoRedefine/>
    <w:unhideWhenUsed/>
    <w:rsid w:val="00687664"/>
    <w:pPr>
      <w:ind w:left="1000"/>
    </w:pPr>
    <w:rPr>
      <w:rFonts w:asciiTheme="minorHAnsi" w:hAnsiTheme="minorHAnsi"/>
      <w:szCs w:val="20"/>
    </w:rPr>
  </w:style>
  <w:style w:type="paragraph" w:styleId="Kazalovsebine7">
    <w:name w:val="toc 7"/>
    <w:basedOn w:val="Navaden"/>
    <w:next w:val="Navaden"/>
    <w:autoRedefine/>
    <w:unhideWhenUsed/>
    <w:rsid w:val="00687664"/>
    <w:pPr>
      <w:ind w:left="1200"/>
    </w:pPr>
    <w:rPr>
      <w:rFonts w:asciiTheme="minorHAnsi" w:hAnsiTheme="minorHAnsi"/>
      <w:szCs w:val="20"/>
    </w:rPr>
  </w:style>
  <w:style w:type="paragraph" w:styleId="Kazalovsebine8">
    <w:name w:val="toc 8"/>
    <w:basedOn w:val="Navaden"/>
    <w:next w:val="Navaden"/>
    <w:autoRedefine/>
    <w:unhideWhenUsed/>
    <w:rsid w:val="00687664"/>
    <w:pPr>
      <w:ind w:left="1400"/>
    </w:pPr>
    <w:rPr>
      <w:rFonts w:asciiTheme="minorHAnsi" w:hAnsiTheme="minorHAnsi"/>
      <w:szCs w:val="20"/>
    </w:rPr>
  </w:style>
  <w:style w:type="paragraph" w:styleId="Kazalovsebine9">
    <w:name w:val="toc 9"/>
    <w:basedOn w:val="Navaden"/>
    <w:next w:val="Navaden"/>
    <w:autoRedefine/>
    <w:unhideWhenUsed/>
    <w:rsid w:val="00687664"/>
    <w:pPr>
      <w:ind w:left="1600"/>
    </w:pPr>
    <w:rPr>
      <w:rFonts w:asciiTheme="minorHAnsi" w:hAnsiTheme="minorHAnsi"/>
      <w:szCs w:val="20"/>
    </w:rPr>
  </w:style>
  <w:style w:type="table" w:customStyle="1" w:styleId="Tabelamrea1">
    <w:name w:val="Tabela – mreža1"/>
    <w:basedOn w:val="Navadnatabela"/>
    <w:next w:val="Tabelamrea"/>
    <w:uiPriority w:val="59"/>
    <w:rsid w:val="002767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kseznamaZnak">
    <w:name w:val="Odstavek seznama Znak"/>
    <w:aliases w:val="numbered list Znak"/>
    <w:link w:val="Odstavekseznama"/>
    <w:uiPriority w:val="34"/>
    <w:locked/>
    <w:rsid w:val="002232D0"/>
    <w:rPr>
      <w:rFonts w:ascii="Arial" w:hAnsi="Arial" w:cs="Arial"/>
    </w:rPr>
  </w:style>
  <w:style w:type="paragraph" w:styleId="Napis">
    <w:name w:val="caption"/>
    <w:basedOn w:val="Navaden"/>
    <w:next w:val="Navaden"/>
    <w:unhideWhenUsed/>
    <w:qFormat/>
    <w:rsid w:val="008713F9"/>
    <w:pPr>
      <w:spacing w:after="200" w:line="240" w:lineRule="auto"/>
    </w:pPr>
    <w:rPr>
      <w:b/>
      <w:iCs/>
      <w:szCs w:val="20"/>
      <w:lang w:val="it-IT" w:eastAsia="sl-SI"/>
    </w:rPr>
  </w:style>
  <w:style w:type="paragraph" w:customStyle="1" w:styleId="len1">
    <w:name w:val="len1"/>
    <w:basedOn w:val="Navaden"/>
    <w:rsid w:val="00853430"/>
    <w:pPr>
      <w:spacing w:before="480" w:line="240" w:lineRule="auto"/>
      <w:jc w:val="center"/>
    </w:pPr>
    <w:rPr>
      <w:rFonts w:cs="Arial"/>
      <w:b/>
      <w:bCs/>
      <w:sz w:val="22"/>
      <w:szCs w:val="22"/>
      <w:lang w:eastAsia="sl-SI"/>
    </w:rPr>
  </w:style>
  <w:style w:type="paragraph" w:customStyle="1" w:styleId="odstavek1">
    <w:name w:val="odstavek1"/>
    <w:basedOn w:val="Navaden"/>
    <w:rsid w:val="00853430"/>
    <w:pPr>
      <w:spacing w:before="240" w:line="240" w:lineRule="auto"/>
      <w:ind w:firstLine="1021"/>
      <w:jc w:val="both"/>
    </w:pPr>
    <w:rPr>
      <w:rFonts w:cs="Arial"/>
      <w:sz w:val="22"/>
      <w:szCs w:val="22"/>
      <w:lang w:eastAsia="sl-SI"/>
    </w:rPr>
  </w:style>
  <w:style w:type="character" w:customStyle="1" w:styleId="super">
    <w:name w:val="super"/>
    <w:basedOn w:val="Privzetapisavaodstavka"/>
    <w:rsid w:val="00A2398E"/>
    <w:rPr>
      <w:sz w:val="17"/>
      <w:szCs w:val="17"/>
      <w:vertAlign w:val="superscript"/>
    </w:rPr>
  </w:style>
  <w:style w:type="paragraph" w:customStyle="1" w:styleId="normal1">
    <w:name w:val="normal1"/>
    <w:basedOn w:val="Navaden"/>
    <w:rsid w:val="00A2398E"/>
    <w:pPr>
      <w:spacing w:before="120" w:line="312" w:lineRule="atLeast"/>
      <w:jc w:val="both"/>
    </w:pPr>
    <w:rPr>
      <w:rFonts w:ascii="Times New Roman" w:hAnsi="Times New Roman"/>
      <w:sz w:val="24"/>
      <w:lang w:eastAsia="sl-SI"/>
    </w:rPr>
  </w:style>
  <w:style w:type="paragraph" w:customStyle="1" w:styleId="Napis2">
    <w:name w:val="Napis 2"/>
    <w:basedOn w:val="Napis"/>
    <w:qFormat/>
    <w:rsid w:val="008713F9"/>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28450">
      <w:bodyDiv w:val="1"/>
      <w:marLeft w:val="0"/>
      <w:marRight w:val="0"/>
      <w:marTop w:val="0"/>
      <w:marBottom w:val="0"/>
      <w:divBdr>
        <w:top w:val="none" w:sz="0" w:space="0" w:color="auto"/>
        <w:left w:val="none" w:sz="0" w:space="0" w:color="auto"/>
        <w:bottom w:val="none" w:sz="0" w:space="0" w:color="auto"/>
        <w:right w:val="none" w:sz="0" w:space="0" w:color="auto"/>
      </w:divBdr>
    </w:div>
    <w:div w:id="288315727">
      <w:bodyDiv w:val="1"/>
      <w:marLeft w:val="0"/>
      <w:marRight w:val="0"/>
      <w:marTop w:val="0"/>
      <w:marBottom w:val="0"/>
      <w:divBdr>
        <w:top w:val="none" w:sz="0" w:space="0" w:color="auto"/>
        <w:left w:val="none" w:sz="0" w:space="0" w:color="auto"/>
        <w:bottom w:val="none" w:sz="0" w:space="0" w:color="auto"/>
        <w:right w:val="none" w:sz="0" w:space="0" w:color="auto"/>
      </w:divBdr>
    </w:div>
    <w:div w:id="312638151">
      <w:bodyDiv w:val="1"/>
      <w:marLeft w:val="0"/>
      <w:marRight w:val="0"/>
      <w:marTop w:val="0"/>
      <w:marBottom w:val="0"/>
      <w:divBdr>
        <w:top w:val="none" w:sz="0" w:space="0" w:color="auto"/>
        <w:left w:val="none" w:sz="0" w:space="0" w:color="auto"/>
        <w:bottom w:val="none" w:sz="0" w:space="0" w:color="auto"/>
        <w:right w:val="none" w:sz="0" w:space="0" w:color="auto"/>
      </w:divBdr>
    </w:div>
    <w:div w:id="340737205">
      <w:bodyDiv w:val="1"/>
      <w:marLeft w:val="0"/>
      <w:marRight w:val="0"/>
      <w:marTop w:val="0"/>
      <w:marBottom w:val="0"/>
      <w:divBdr>
        <w:top w:val="none" w:sz="0" w:space="0" w:color="auto"/>
        <w:left w:val="none" w:sz="0" w:space="0" w:color="auto"/>
        <w:bottom w:val="none" w:sz="0" w:space="0" w:color="auto"/>
        <w:right w:val="none" w:sz="0" w:space="0" w:color="auto"/>
      </w:divBdr>
    </w:div>
    <w:div w:id="360401028">
      <w:bodyDiv w:val="1"/>
      <w:marLeft w:val="0"/>
      <w:marRight w:val="0"/>
      <w:marTop w:val="0"/>
      <w:marBottom w:val="0"/>
      <w:divBdr>
        <w:top w:val="none" w:sz="0" w:space="0" w:color="auto"/>
        <w:left w:val="none" w:sz="0" w:space="0" w:color="auto"/>
        <w:bottom w:val="none" w:sz="0" w:space="0" w:color="auto"/>
        <w:right w:val="none" w:sz="0" w:space="0" w:color="auto"/>
      </w:divBdr>
    </w:div>
    <w:div w:id="456264286">
      <w:bodyDiv w:val="1"/>
      <w:marLeft w:val="0"/>
      <w:marRight w:val="0"/>
      <w:marTop w:val="0"/>
      <w:marBottom w:val="0"/>
      <w:divBdr>
        <w:top w:val="none" w:sz="0" w:space="0" w:color="auto"/>
        <w:left w:val="none" w:sz="0" w:space="0" w:color="auto"/>
        <w:bottom w:val="none" w:sz="0" w:space="0" w:color="auto"/>
        <w:right w:val="none" w:sz="0" w:space="0" w:color="auto"/>
      </w:divBdr>
      <w:divsChild>
        <w:div w:id="433940304">
          <w:marLeft w:val="0"/>
          <w:marRight w:val="0"/>
          <w:marTop w:val="0"/>
          <w:marBottom w:val="0"/>
          <w:divBdr>
            <w:top w:val="none" w:sz="0" w:space="0" w:color="auto"/>
            <w:left w:val="none" w:sz="0" w:space="0" w:color="auto"/>
            <w:bottom w:val="none" w:sz="0" w:space="0" w:color="auto"/>
            <w:right w:val="none" w:sz="0" w:space="0" w:color="auto"/>
          </w:divBdr>
          <w:divsChild>
            <w:div w:id="1492990670">
              <w:marLeft w:val="0"/>
              <w:marRight w:val="60"/>
              <w:marTop w:val="0"/>
              <w:marBottom w:val="0"/>
              <w:divBdr>
                <w:top w:val="none" w:sz="0" w:space="0" w:color="auto"/>
                <w:left w:val="none" w:sz="0" w:space="0" w:color="auto"/>
                <w:bottom w:val="none" w:sz="0" w:space="0" w:color="auto"/>
                <w:right w:val="none" w:sz="0" w:space="0" w:color="auto"/>
              </w:divBdr>
              <w:divsChild>
                <w:div w:id="1226647674">
                  <w:marLeft w:val="0"/>
                  <w:marRight w:val="0"/>
                  <w:marTop w:val="0"/>
                  <w:marBottom w:val="150"/>
                  <w:divBdr>
                    <w:top w:val="none" w:sz="0" w:space="0" w:color="auto"/>
                    <w:left w:val="none" w:sz="0" w:space="0" w:color="auto"/>
                    <w:bottom w:val="none" w:sz="0" w:space="0" w:color="auto"/>
                    <w:right w:val="none" w:sz="0" w:space="0" w:color="auto"/>
                  </w:divBdr>
                  <w:divsChild>
                    <w:div w:id="1821848605">
                      <w:marLeft w:val="0"/>
                      <w:marRight w:val="0"/>
                      <w:marTop w:val="0"/>
                      <w:marBottom w:val="0"/>
                      <w:divBdr>
                        <w:top w:val="none" w:sz="0" w:space="0" w:color="auto"/>
                        <w:left w:val="none" w:sz="0" w:space="0" w:color="auto"/>
                        <w:bottom w:val="none" w:sz="0" w:space="0" w:color="auto"/>
                        <w:right w:val="none" w:sz="0" w:space="0" w:color="auto"/>
                      </w:divBdr>
                      <w:divsChild>
                        <w:div w:id="943995731">
                          <w:marLeft w:val="0"/>
                          <w:marRight w:val="0"/>
                          <w:marTop w:val="0"/>
                          <w:marBottom w:val="0"/>
                          <w:divBdr>
                            <w:top w:val="none" w:sz="0" w:space="0" w:color="auto"/>
                            <w:left w:val="none" w:sz="0" w:space="0" w:color="auto"/>
                            <w:bottom w:val="none" w:sz="0" w:space="0" w:color="auto"/>
                            <w:right w:val="none" w:sz="0" w:space="0" w:color="auto"/>
                          </w:divBdr>
                          <w:divsChild>
                            <w:div w:id="62221541">
                              <w:marLeft w:val="0"/>
                              <w:marRight w:val="0"/>
                              <w:marTop w:val="240"/>
                              <w:marBottom w:val="120"/>
                              <w:divBdr>
                                <w:top w:val="none" w:sz="0" w:space="0" w:color="auto"/>
                                <w:left w:val="none" w:sz="0" w:space="0" w:color="auto"/>
                                <w:bottom w:val="none" w:sz="0" w:space="0" w:color="auto"/>
                                <w:right w:val="none" w:sz="0" w:space="0" w:color="auto"/>
                              </w:divBdr>
                            </w:div>
                            <w:div w:id="4405409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191620">
      <w:bodyDiv w:val="1"/>
      <w:marLeft w:val="0"/>
      <w:marRight w:val="0"/>
      <w:marTop w:val="0"/>
      <w:marBottom w:val="0"/>
      <w:divBdr>
        <w:top w:val="none" w:sz="0" w:space="0" w:color="auto"/>
        <w:left w:val="none" w:sz="0" w:space="0" w:color="auto"/>
        <w:bottom w:val="none" w:sz="0" w:space="0" w:color="auto"/>
        <w:right w:val="none" w:sz="0" w:space="0" w:color="auto"/>
      </w:divBdr>
      <w:divsChild>
        <w:div w:id="1770544922">
          <w:marLeft w:val="0"/>
          <w:marRight w:val="0"/>
          <w:marTop w:val="0"/>
          <w:marBottom w:val="0"/>
          <w:divBdr>
            <w:top w:val="none" w:sz="0" w:space="0" w:color="auto"/>
            <w:left w:val="none" w:sz="0" w:space="0" w:color="auto"/>
            <w:bottom w:val="none" w:sz="0" w:space="0" w:color="auto"/>
            <w:right w:val="none" w:sz="0" w:space="0" w:color="auto"/>
          </w:divBdr>
          <w:divsChild>
            <w:div w:id="1372726704">
              <w:marLeft w:val="0"/>
              <w:marRight w:val="0"/>
              <w:marTop w:val="100"/>
              <w:marBottom w:val="100"/>
              <w:divBdr>
                <w:top w:val="none" w:sz="0" w:space="0" w:color="auto"/>
                <w:left w:val="none" w:sz="0" w:space="0" w:color="auto"/>
                <w:bottom w:val="none" w:sz="0" w:space="0" w:color="auto"/>
                <w:right w:val="none" w:sz="0" w:space="0" w:color="auto"/>
              </w:divBdr>
              <w:divsChild>
                <w:div w:id="908807686">
                  <w:marLeft w:val="0"/>
                  <w:marRight w:val="0"/>
                  <w:marTop w:val="0"/>
                  <w:marBottom w:val="0"/>
                  <w:divBdr>
                    <w:top w:val="none" w:sz="0" w:space="0" w:color="auto"/>
                    <w:left w:val="none" w:sz="0" w:space="0" w:color="auto"/>
                    <w:bottom w:val="none" w:sz="0" w:space="0" w:color="auto"/>
                    <w:right w:val="none" w:sz="0" w:space="0" w:color="auto"/>
                  </w:divBdr>
                  <w:divsChild>
                    <w:div w:id="62409358">
                      <w:marLeft w:val="0"/>
                      <w:marRight w:val="0"/>
                      <w:marTop w:val="0"/>
                      <w:marBottom w:val="0"/>
                      <w:divBdr>
                        <w:top w:val="none" w:sz="0" w:space="0" w:color="auto"/>
                        <w:left w:val="none" w:sz="0" w:space="0" w:color="auto"/>
                        <w:bottom w:val="none" w:sz="0" w:space="0" w:color="auto"/>
                        <w:right w:val="none" w:sz="0" w:space="0" w:color="auto"/>
                      </w:divBdr>
                      <w:divsChild>
                        <w:div w:id="1995717002">
                          <w:marLeft w:val="0"/>
                          <w:marRight w:val="0"/>
                          <w:marTop w:val="0"/>
                          <w:marBottom w:val="0"/>
                          <w:divBdr>
                            <w:top w:val="none" w:sz="0" w:space="0" w:color="auto"/>
                            <w:left w:val="none" w:sz="0" w:space="0" w:color="auto"/>
                            <w:bottom w:val="none" w:sz="0" w:space="0" w:color="auto"/>
                            <w:right w:val="none" w:sz="0" w:space="0" w:color="auto"/>
                          </w:divBdr>
                          <w:divsChild>
                            <w:div w:id="1535272580">
                              <w:marLeft w:val="0"/>
                              <w:marRight w:val="0"/>
                              <w:marTop w:val="0"/>
                              <w:marBottom w:val="0"/>
                              <w:divBdr>
                                <w:top w:val="none" w:sz="0" w:space="0" w:color="auto"/>
                                <w:left w:val="none" w:sz="0" w:space="0" w:color="auto"/>
                                <w:bottom w:val="none" w:sz="0" w:space="0" w:color="auto"/>
                                <w:right w:val="none" w:sz="0" w:space="0" w:color="auto"/>
                              </w:divBdr>
                              <w:divsChild>
                                <w:div w:id="55713429">
                                  <w:marLeft w:val="0"/>
                                  <w:marRight w:val="0"/>
                                  <w:marTop w:val="0"/>
                                  <w:marBottom w:val="0"/>
                                  <w:divBdr>
                                    <w:top w:val="none" w:sz="0" w:space="0" w:color="auto"/>
                                    <w:left w:val="none" w:sz="0" w:space="0" w:color="auto"/>
                                    <w:bottom w:val="none" w:sz="0" w:space="0" w:color="auto"/>
                                    <w:right w:val="none" w:sz="0" w:space="0" w:color="auto"/>
                                  </w:divBdr>
                                  <w:divsChild>
                                    <w:div w:id="573974044">
                                      <w:marLeft w:val="0"/>
                                      <w:marRight w:val="0"/>
                                      <w:marTop w:val="0"/>
                                      <w:marBottom w:val="0"/>
                                      <w:divBdr>
                                        <w:top w:val="none" w:sz="0" w:space="0" w:color="auto"/>
                                        <w:left w:val="none" w:sz="0" w:space="0" w:color="auto"/>
                                        <w:bottom w:val="none" w:sz="0" w:space="0" w:color="auto"/>
                                        <w:right w:val="none" w:sz="0" w:space="0" w:color="auto"/>
                                      </w:divBdr>
                                      <w:divsChild>
                                        <w:div w:id="116046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340534">
      <w:bodyDiv w:val="1"/>
      <w:marLeft w:val="0"/>
      <w:marRight w:val="0"/>
      <w:marTop w:val="0"/>
      <w:marBottom w:val="0"/>
      <w:divBdr>
        <w:top w:val="none" w:sz="0" w:space="0" w:color="auto"/>
        <w:left w:val="none" w:sz="0" w:space="0" w:color="auto"/>
        <w:bottom w:val="none" w:sz="0" w:space="0" w:color="auto"/>
        <w:right w:val="none" w:sz="0" w:space="0" w:color="auto"/>
      </w:divBdr>
    </w:div>
    <w:div w:id="710301297">
      <w:bodyDiv w:val="1"/>
      <w:marLeft w:val="0"/>
      <w:marRight w:val="0"/>
      <w:marTop w:val="0"/>
      <w:marBottom w:val="0"/>
      <w:divBdr>
        <w:top w:val="none" w:sz="0" w:space="0" w:color="auto"/>
        <w:left w:val="none" w:sz="0" w:space="0" w:color="auto"/>
        <w:bottom w:val="none" w:sz="0" w:space="0" w:color="auto"/>
        <w:right w:val="none" w:sz="0" w:space="0" w:color="auto"/>
      </w:divBdr>
    </w:div>
    <w:div w:id="825054818">
      <w:bodyDiv w:val="1"/>
      <w:marLeft w:val="0"/>
      <w:marRight w:val="0"/>
      <w:marTop w:val="0"/>
      <w:marBottom w:val="0"/>
      <w:divBdr>
        <w:top w:val="none" w:sz="0" w:space="0" w:color="auto"/>
        <w:left w:val="none" w:sz="0" w:space="0" w:color="auto"/>
        <w:bottom w:val="none" w:sz="0" w:space="0" w:color="auto"/>
        <w:right w:val="none" w:sz="0" w:space="0" w:color="auto"/>
      </w:divBdr>
    </w:div>
    <w:div w:id="839933268">
      <w:bodyDiv w:val="1"/>
      <w:marLeft w:val="0"/>
      <w:marRight w:val="0"/>
      <w:marTop w:val="0"/>
      <w:marBottom w:val="0"/>
      <w:divBdr>
        <w:top w:val="none" w:sz="0" w:space="0" w:color="auto"/>
        <w:left w:val="none" w:sz="0" w:space="0" w:color="auto"/>
        <w:bottom w:val="none" w:sz="0" w:space="0" w:color="auto"/>
        <w:right w:val="none" w:sz="0" w:space="0" w:color="auto"/>
      </w:divBdr>
    </w:div>
    <w:div w:id="842815315">
      <w:bodyDiv w:val="1"/>
      <w:marLeft w:val="0"/>
      <w:marRight w:val="0"/>
      <w:marTop w:val="0"/>
      <w:marBottom w:val="0"/>
      <w:divBdr>
        <w:top w:val="none" w:sz="0" w:space="0" w:color="auto"/>
        <w:left w:val="none" w:sz="0" w:space="0" w:color="auto"/>
        <w:bottom w:val="none" w:sz="0" w:space="0" w:color="auto"/>
        <w:right w:val="none" w:sz="0" w:space="0" w:color="auto"/>
      </w:divBdr>
    </w:div>
    <w:div w:id="973294908">
      <w:bodyDiv w:val="1"/>
      <w:marLeft w:val="0"/>
      <w:marRight w:val="0"/>
      <w:marTop w:val="0"/>
      <w:marBottom w:val="0"/>
      <w:divBdr>
        <w:top w:val="none" w:sz="0" w:space="0" w:color="auto"/>
        <w:left w:val="none" w:sz="0" w:space="0" w:color="auto"/>
        <w:bottom w:val="none" w:sz="0" w:space="0" w:color="auto"/>
        <w:right w:val="none" w:sz="0" w:space="0" w:color="auto"/>
      </w:divBdr>
    </w:div>
    <w:div w:id="1030226151">
      <w:bodyDiv w:val="1"/>
      <w:marLeft w:val="0"/>
      <w:marRight w:val="0"/>
      <w:marTop w:val="0"/>
      <w:marBottom w:val="0"/>
      <w:divBdr>
        <w:top w:val="none" w:sz="0" w:space="0" w:color="auto"/>
        <w:left w:val="none" w:sz="0" w:space="0" w:color="auto"/>
        <w:bottom w:val="none" w:sz="0" w:space="0" w:color="auto"/>
        <w:right w:val="none" w:sz="0" w:space="0" w:color="auto"/>
      </w:divBdr>
    </w:div>
    <w:div w:id="1041589126">
      <w:bodyDiv w:val="1"/>
      <w:marLeft w:val="0"/>
      <w:marRight w:val="0"/>
      <w:marTop w:val="0"/>
      <w:marBottom w:val="0"/>
      <w:divBdr>
        <w:top w:val="none" w:sz="0" w:space="0" w:color="auto"/>
        <w:left w:val="none" w:sz="0" w:space="0" w:color="auto"/>
        <w:bottom w:val="none" w:sz="0" w:space="0" w:color="auto"/>
        <w:right w:val="none" w:sz="0" w:space="0" w:color="auto"/>
      </w:divBdr>
    </w:div>
    <w:div w:id="1084105988">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291017085">
      <w:bodyDiv w:val="1"/>
      <w:marLeft w:val="0"/>
      <w:marRight w:val="0"/>
      <w:marTop w:val="0"/>
      <w:marBottom w:val="0"/>
      <w:divBdr>
        <w:top w:val="none" w:sz="0" w:space="0" w:color="auto"/>
        <w:left w:val="none" w:sz="0" w:space="0" w:color="auto"/>
        <w:bottom w:val="none" w:sz="0" w:space="0" w:color="auto"/>
        <w:right w:val="none" w:sz="0" w:space="0" w:color="auto"/>
      </w:divBdr>
      <w:divsChild>
        <w:div w:id="94326141">
          <w:marLeft w:val="0"/>
          <w:marRight w:val="0"/>
          <w:marTop w:val="0"/>
          <w:marBottom w:val="0"/>
          <w:divBdr>
            <w:top w:val="none" w:sz="0" w:space="0" w:color="auto"/>
            <w:left w:val="none" w:sz="0" w:space="0" w:color="auto"/>
            <w:bottom w:val="none" w:sz="0" w:space="0" w:color="auto"/>
            <w:right w:val="none" w:sz="0" w:space="0" w:color="auto"/>
          </w:divBdr>
          <w:divsChild>
            <w:div w:id="802581768">
              <w:marLeft w:val="0"/>
              <w:marRight w:val="0"/>
              <w:marTop w:val="0"/>
              <w:marBottom w:val="0"/>
              <w:divBdr>
                <w:top w:val="none" w:sz="0" w:space="0" w:color="auto"/>
                <w:left w:val="none" w:sz="0" w:space="0" w:color="auto"/>
                <w:bottom w:val="none" w:sz="0" w:space="0" w:color="auto"/>
                <w:right w:val="none" w:sz="0" w:space="0" w:color="auto"/>
              </w:divBdr>
              <w:divsChild>
                <w:div w:id="1246301469">
                  <w:marLeft w:val="0"/>
                  <w:marRight w:val="0"/>
                  <w:marTop w:val="0"/>
                  <w:marBottom w:val="0"/>
                  <w:divBdr>
                    <w:top w:val="none" w:sz="0" w:space="0" w:color="auto"/>
                    <w:left w:val="none" w:sz="0" w:space="0" w:color="auto"/>
                    <w:bottom w:val="none" w:sz="0" w:space="0" w:color="auto"/>
                    <w:right w:val="none" w:sz="0" w:space="0" w:color="auto"/>
                  </w:divBdr>
                  <w:divsChild>
                    <w:div w:id="1267271902">
                      <w:marLeft w:val="-150"/>
                      <w:marRight w:val="-150"/>
                      <w:marTop w:val="0"/>
                      <w:marBottom w:val="0"/>
                      <w:divBdr>
                        <w:top w:val="none" w:sz="0" w:space="0" w:color="auto"/>
                        <w:left w:val="none" w:sz="0" w:space="0" w:color="auto"/>
                        <w:bottom w:val="none" w:sz="0" w:space="0" w:color="auto"/>
                        <w:right w:val="none" w:sz="0" w:space="0" w:color="auto"/>
                      </w:divBdr>
                      <w:divsChild>
                        <w:div w:id="1924291629">
                          <w:marLeft w:val="0"/>
                          <w:marRight w:val="0"/>
                          <w:marTop w:val="0"/>
                          <w:marBottom w:val="0"/>
                          <w:divBdr>
                            <w:top w:val="none" w:sz="0" w:space="0" w:color="auto"/>
                            <w:left w:val="none" w:sz="0" w:space="0" w:color="auto"/>
                            <w:bottom w:val="none" w:sz="0" w:space="0" w:color="auto"/>
                            <w:right w:val="none" w:sz="0" w:space="0" w:color="auto"/>
                          </w:divBdr>
                          <w:divsChild>
                            <w:div w:id="1159151667">
                              <w:marLeft w:val="0"/>
                              <w:marRight w:val="0"/>
                              <w:marTop w:val="0"/>
                              <w:marBottom w:val="0"/>
                              <w:divBdr>
                                <w:top w:val="none" w:sz="0" w:space="0" w:color="auto"/>
                                <w:left w:val="none" w:sz="0" w:space="0" w:color="auto"/>
                                <w:bottom w:val="none" w:sz="0" w:space="0" w:color="auto"/>
                                <w:right w:val="none" w:sz="0" w:space="0" w:color="auto"/>
                              </w:divBdr>
                              <w:divsChild>
                                <w:div w:id="936329709">
                                  <w:marLeft w:val="0"/>
                                  <w:marRight w:val="0"/>
                                  <w:marTop w:val="0"/>
                                  <w:marBottom w:val="300"/>
                                  <w:divBdr>
                                    <w:top w:val="none" w:sz="0" w:space="0" w:color="auto"/>
                                    <w:left w:val="none" w:sz="0" w:space="0" w:color="auto"/>
                                    <w:bottom w:val="none" w:sz="0" w:space="0" w:color="auto"/>
                                    <w:right w:val="none" w:sz="0" w:space="0" w:color="auto"/>
                                  </w:divBdr>
                                  <w:divsChild>
                                    <w:div w:id="309210266">
                                      <w:marLeft w:val="0"/>
                                      <w:marRight w:val="0"/>
                                      <w:marTop w:val="0"/>
                                      <w:marBottom w:val="0"/>
                                      <w:divBdr>
                                        <w:top w:val="none" w:sz="0" w:space="0" w:color="auto"/>
                                        <w:left w:val="none" w:sz="0" w:space="0" w:color="auto"/>
                                        <w:bottom w:val="none" w:sz="0" w:space="0" w:color="auto"/>
                                        <w:right w:val="none" w:sz="0" w:space="0" w:color="auto"/>
                                      </w:divBdr>
                                      <w:divsChild>
                                        <w:div w:id="669144597">
                                          <w:marLeft w:val="0"/>
                                          <w:marRight w:val="0"/>
                                          <w:marTop w:val="0"/>
                                          <w:marBottom w:val="0"/>
                                          <w:divBdr>
                                            <w:top w:val="none" w:sz="0" w:space="0" w:color="auto"/>
                                            <w:left w:val="none" w:sz="0" w:space="0" w:color="auto"/>
                                            <w:bottom w:val="none" w:sz="0" w:space="0" w:color="auto"/>
                                            <w:right w:val="none" w:sz="0" w:space="0" w:color="auto"/>
                                          </w:divBdr>
                                          <w:divsChild>
                                            <w:div w:id="75983036">
                                              <w:marLeft w:val="0"/>
                                              <w:marRight w:val="0"/>
                                              <w:marTop w:val="0"/>
                                              <w:marBottom w:val="0"/>
                                              <w:divBdr>
                                                <w:top w:val="none" w:sz="0" w:space="0" w:color="auto"/>
                                                <w:left w:val="none" w:sz="0" w:space="0" w:color="auto"/>
                                                <w:bottom w:val="none" w:sz="0" w:space="0" w:color="auto"/>
                                                <w:right w:val="none" w:sz="0" w:space="0" w:color="auto"/>
                                              </w:divBdr>
                                              <w:divsChild>
                                                <w:div w:id="1162505063">
                                                  <w:marLeft w:val="0"/>
                                                  <w:marRight w:val="0"/>
                                                  <w:marTop w:val="0"/>
                                                  <w:marBottom w:val="0"/>
                                                  <w:divBdr>
                                                    <w:top w:val="none" w:sz="0" w:space="0" w:color="auto"/>
                                                    <w:left w:val="none" w:sz="0" w:space="0" w:color="auto"/>
                                                    <w:bottom w:val="none" w:sz="0" w:space="0" w:color="auto"/>
                                                    <w:right w:val="none" w:sz="0" w:space="0" w:color="auto"/>
                                                  </w:divBdr>
                                                  <w:divsChild>
                                                    <w:div w:id="1442186022">
                                                      <w:marLeft w:val="0"/>
                                                      <w:marRight w:val="0"/>
                                                      <w:marTop w:val="0"/>
                                                      <w:marBottom w:val="0"/>
                                                      <w:divBdr>
                                                        <w:top w:val="none" w:sz="0" w:space="0" w:color="auto"/>
                                                        <w:left w:val="none" w:sz="0" w:space="0" w:color="auto"/>
                                                        <w:bottom w:val="none" w:sz="0" w:space="0" w:color="auto"/>
                                                        <w:right w:val="none" w:sz="0" w:space="0" w:color="auto"/>
                                                      </w:divBdr>
                                                      <w:divsChild>
                                                        <w:div w:id="700277862">
                                                          <w:marLeft w:val="0"/>
                                                          <w:marRight w:val="0"/>
                                                          <w:marTop w:val="0"/>
                                                          <w:marBottom w:val="0"/>
                                                          <w:divBdr>
                                                            <w:top w:val="none" w:sz="0" w:space="0" w:color="auto"/>
                                                            <w:left w:val="none" w:sz="0" w:space="0" w:color="auto"/>
                                                            <w:bottom w:val="none" w:sz="0" w:space="0" w:color="auto"/>
                                                            <w:right w:val="none" w:sz="0" w:space="0" w:color="auto"/>
                                                          </w:divBdr>
                                                          <w:divsChild>
                                                            <w:div w:id="1255434225">
                                                              <w:marLeft w:val="0"/>
                                                              <w:marRight w:val="0"/>
                                                              <w:marTop w:val="0"/>
                                                              <w:marBottom w:val="0"/>
                                                              <w:divBdr>
                                                                <w:top w:val="none" w:sz="0" w:space="0" w:color="auto"/>
                                                                <w:left w:val="none" w:sz="0" w:space="0" w:color="auto"/>
                                                                <w:bottom w:val="none" w:sz="0" w:space="0" w:color="auto"/>
                                                                <w:right w:val="none" w:sz="0" w:space="0" w:color="auto"/>
                                                              </w:divBdr>
                                                              <w:divsChild>
                                                                <w:div w:id="20902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6294906">
      <w:bodyDiv w:val="1"/>
      <w:marLeft w:val="0"/>
      <w:marRight w:val="0"/>
      <w:marTop w:val="0"/>
      <w:marBottom w:val="0"/>
      <w:divBdr>
        <w:top w:val="none" w:sz="0" w:space="0" w:color="auto"/>
        <w:left w:val="none" w:sz="0" w:space="0" w:color="auto"/>
        <w:bottom w:val="none" w:sz="0" w:space="0" w:color="auto"/>
        <w:right w:val="none" w:sz="0" w:space="0" w:color="auto"/>
      </w:divBdr>
    </w:div>
    <w:div w:id="1407872134">
      <w:bodyDiv w:val="1"/>
      <w:marLeft w:val="0"/>
      <w:marRight w:val="0"/>
      <w:marTop w:val="0"/>
      <w:marBottom w:val="0"/>
      <w:divBdr>
        <w:top w:val="none" w:sz="0" w:space="0" w:color="auto"/>
        <w:left w:val="none" w:sz="0" w:space="0" w:color="auto"/>
        <w:bottom w:val="none" w:sz="0" w:space="0" w:color="auto"/>
        <w:right w:val="none" w:sz="0" w:space="0" w:color="auto"/>
      </w:divBdr>
    </w:div>
    <w:div w:id="1414863698">
      <w:bodyDiv w:val="1"/>
      <w:marLeft w:val="0"/>
      <w:marRight w:val="0"/>
      <w:marTop w:val="0"/>
      <w:marBottom w:val="0"/>
      <w:divBdr>
        <w:top w:val="none" w:sz="0" w:space="0" w:color="auto"/>
        <w:left w:val="none" w:sz="0" w:space="0" w:color="auto"/>
        <w:bottom w:val="none" w:sz="0" w:space="0" w:color="auto"/>
        <w:right w:val="none" w:sz="0" w:space="0" w:color="auto"/>
      </w:divBdr>
      <w:divsChild>
        <w:div w:id="1609577488">
          <w:marLeft w:val="0"/>
          <w:marRight w:val="0"/>
          <w:marTop w:val="0"/>
          <w:marBottom w:val="0"/>
          <w:divBdr>
            <w:top w:val="none" w:sz="0" w:space="0" w:color="auto"/>
            <w:left w:val="none" w:sz="0" w:space="0" w:color="auto"/>
            <w:bottom w:val="none" w:sz="0" w:space="0" w:color="auto"/>
            <w:right w:val="none" w:sz="0" w:space="0" w:color="auto"/>
          </w:divBdr>
          <w:divsChild>
            <w:div w:id="1493256703">
              <w:marLeft w:val="0"/>
              <w:marRight w:val="0"/>
              <w:marTop w:val="0"/>
              <w:marBottom w:val="0"/>
              <w:divBdr>
                <w:top w:val="none" w:sz="0" w:space="0" w:color="auto"/>
                <w:left w:val="none" w:sz="0" w:space="0" w:color="auto"/>
                <w:bottom w:val="none" w:sz="0" w:space="0" w:color="auto"/>
                <w:right w:val="none" w:sz="0" w:space="0" w:color="auto"/>
              </w:divBdr>
              <w:divsChild>
                <w:div w:id="714545333">
                  <w:marLeft w:val="0"/>
                  <w:marRight w:val="0"/>
                  <w:marTop w:val="0"/>
                  <w:marBottom w:val="0"/>
                  <w:divBdr>
                    <w:top w:val="none" w:sz="0" w:space="0" w:color="auto"/>
                    <w:left w:val="none" w:sz="0" w:space="0" w:color="auto"/>
                    <w:bottom w:val="none" w:sz="0" w:space="0" w:color="auto"/>
                    <w:right w:val="none" w:sz="0" w:space="0" w:color="auto"/>
                  </w:divBdr>
                  <w:divsChild>
                    <w:div w:id="1131553922">
                      <w:marLeft w:val="0"/>
                      <w:marRight w:val="0"/>
                      <w:marTop w:val="0"/>
                      <w:marBottom w:val="0"/>
                      <w:divBdr>
                        <w:top w:val="none" w:sz="0" w:space="0" w:color="auto"/>
                        <w:left w:val="none" w:sz="0" w:space="0" w:color="auto"/>
                        <w:bottom w:val="none" w:sz="0" w:space="0" w:color="auto"/>
                        <w:right w:val="none" w:sz="0" w:space="0" w:color="auto"/>
                      </w:divBdr>
                      <w:divsChild>
                        <w:div w:id="1302267105">
                          <w:marLeft w:val="0"/>
                          <w:marRight w:val="0"/>
                          <w:marTop w:val="0"/>
                          <w:marBottom w:val="0"/>
                          <w:divBdr>
                            <w:top w:val="none" w:sz="0" w:space="0" w:color="auto"/>
                            <w:left w:val="none" w:sz="0" w:space="0" w:color="auto"/>
                            <w:bottom w:val="none" w:sz="0" w:space="0" w:color="auto"/>
                            <w:right w:val="none" w:sz="0" w:space="0" w:color="auto"/>
                          </w:divBdr>
                          <w:divsChild>
                            <w:div w:id="1794059803">
                              <w:marLeft w:val="0"/>
                              <w:marRight w:val="0"/>
                              <w:marTop w:val="0"/>
                              <w:marBottom w:val="0"/>
                              <w:divBdr>
                                <w:top w:val="none" w:sz="0" w:space="0" w:color="auto"/>
                                <w:left w:val="none" w:sz="0" w:space="0" w:color="auto"/>
                                <w:bottom w:val="none" w:sz="0" w:space="0" w:color="auto"/>
                                <w:right w:val="none" w:sz="0" w:space="0" w:color="auto"/>
                              </w:divBdr>
                              <w:divsChild>
                                <w:div w:id="1303148589">
                                  <w:marLeft w:val="0"/>
                                  <w:marRight w:val="0"/>
                                  <w:marTop w:val="0"/>
                                  <w:marBottom w:val="0"/>
                                  <w:divBdr>
                                    <w:top w:val="none" w:sz="0" w:space="0" w:color="auto"/>
                                    <w:left w:val="none" w:sz="0" w:space="0" w:color="auto"/>
                                    <w:bottom w:val="none" w:sz="0" w:space="0" w:color="auto"/>
                                    <w:right w:val="none" w:sz="0" w:space="0" w:color="auto"/>
                                  </w:divBdr>
                                </w:div>
                                <w:div w:id="20659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930072">
      <w:bodyDiv w:val="1"/>
      <w:marLeft w:val="0"/>
      <w:marRight w:val="0"/>
      <w:marTop w:val="0"/>
      <w:marBottom w:val="0"/>
      <w:divBdr>
        <w:top w:val="none" w:sz="0" w:space="0" w:color="auto"/>
        <w:left w:val="none" w:sz="0" w:space="0" w:color="auto"/>
        <w:bottom w:val="none" w:sz="0" w:space="0" w:color="auto"/>
        <w:right w:val="none" w:sz="0" w:space="0" w:color="auto"/>
      </w:divBdr>
    </w:div>
    <w:div w:id="1629820400">
      <w:bodyDiv w:val="1"/>
      <w:marLeft w:val="0"/>
      <w:marRight w:val="0"/>
      <w:marTop w:val="0"/>
      <w:marBottom w:val="0"/>
      <w:divBdr>
        <w:top w:val="none" w:sz="0" w:space="0" w:color="auto"/>
        <w:left w:val="none" w:sz="0" w:space="0" w:color="auto"/>
        <w:bottom w:val="none" w:sz="0" w:space="0" w:color="auto"/>
        <w:right w:val="none" w:sz="0" w:space="0" w:color="auto"/>
      </w:divBdr>
    </w:div>
    <w:div w:id="1648439906">
      <w:bodyDiv w:val="1"/>
      <w:marLeft w:val="0"/>
      <w:marRight w:val="0"/>
      <w:marTop w:val="0"/>
      <w:marBottom w:val="0"/>
      <w:divBdr>
        <w:top w:val="none" w:sz="0" w:space="0" w:color="auto"/>
        <w:left w:val="none" w:sz="0" w:space="0" w:color="auto"/>
        <w:bottom w:val="none" w:sz="0" w:space="0" w:color="auto"/>
        <w:right w:val="none" w:sz="0" w:space="0" w:color="auto"/>
      </w:divBdr>
    </w:div>
    <w:div w:id="1663270184">
      <w:bodyDiv w:val="1"/>
      <w:marLeft w:val="0"/>
      <w:marRight w:val="0"/>
      <w:marTop w:val="0"/>
      <w:marBottom w:val="0"/>
      <w:divBdr>
        <w:top w:val="none" w:sz="0" w:space="0" w:color="auto"/>
        <w:left w:val="none" w:sz="0" w:space="0" w:color="auto"/>
        <w:bottom w:val="none" w:sz="0" w:space="0" w:color="auto"/>
        <w:right w:val="none" w:sz="0" w:space="0" w:color="auto"/>
      </w:divBdr>
    </w:div>
    <w:div w:id="1682079268">
      <w:bodyDiv w:val="1"/>
      <w:marLeft w:val="0"/>
      <w:marRight w:val="0"/>
      <w:marTop w:val="0"/>
      <w:marBottom w:val="0"/>
      <w:divBdr>
        <w:top w:val="none" w:sz="0" w:space="0" w:color="auto"/>
        <w:left w:val="none" w:sz="0" w:space="0" w:color="auto"/>
        <w:bottom w:val="none" w:sz="0" w:space="0" w:color="auto"/>
        <w:right w:val="none" w:sz="0" w:space="0" w:color="auto"/>
      </w:divBdr>
    </w:div>
    <w:div w:id="1691878057">
      <w:bodyDiv w:val="1"/>
      <w:marLeft w:val="0"/>
      <w:marRight w:val="0"/>
      <w:marTop w:val="0"/>
      <w:marBottom w:val="0"/>
      <w:divBdr>
        <w:top w:val="none" w:sz="0" w:space="0" w:color="auto"/>
        <w:left w:val="none" w:sz="0" w:space="0" w:color="auto"/>
        <w:bottom w:val="none" w:sz="0" w:space="0" w:color="auto"/>
        <w:right w:val="none" w:sz="0" w:space="0" w:color="auto"/>
      </w:divBdr>
    </w:div>
    <w:div w:id="1758135495">
      <w:bodyDiv w:val="1"/>
      <w:marLeft w:val="0"/>
      <w:marRight w:val="0"/>
      <w:marTop w:val="0"/>
      <w:marBottom w:val="0"/>
      <w:divBdr>
        <w:top w:val="none" w:sz="0" w:space="0" w:color="auto"/>
        <w:left w:val="none" w:sz="0" w:space="0" w:color="auto"/>
        <w:bottom w:val="none" w:sz="0" w:space="0" w:color="auto"/>
        <w:right w:val="none" w:sz="0" w:space="0" w:color="auto"/>
      </w:divBdr>
    </w:div>
    <w:div w:id="1772814399">
      <w:bodyDiv w:val="1"/>
      <w:marLeft w:val="0"/>
      <w:marRight w:val="0"/>
      <w:marTop w:val="0"/>
      <w:marBottom w:val="0"/>
      <w:divBdr>
        <w:top w:val="none" w:sz="0" w:space="0" w:color="auto"/>
        <w:left w:val="none" w:sz="0" w:space="0" w:color="auto"/>
        <w:bottom w:val="none" w:sz="0" w:space="0" w:color="auto"/>
        <w:right w:val="none" w:sz="0" w:space="0" w:color="auto"/>
      </w:divBdr>
    </w:div>
    <w:div w:id="1810324270">
      <w:bodyDiv w:val="1"/>
      <w:marLeft w:val="0"/>
      <w:marRight w:val="0"/>
      <w:marTop w:val="0"/>
      <w:marBottom w:val="0"/>
      <w:divBdr>
        <w:top w:val="none" w:sz="0" w:space="0" w:color="auto"/>
        <w:left w:val="none" w:sz="0" w:space="0" w:color="auto"/>
        <w:bottom w:val="none" w:sz="0" w:space="0" w:color="auto"/>
        <w:right w:val="none" w:sz="0" w:space="0" w:color="auto"/>
      </w:divBdr>
    </w:div>
    <w:div w:id="1875536481">
      <w:bodyDiv w:val="1"/>
      <w:marLeft w:val="0"/>
      <w:marRight w:val="0"/>
      <w:marTop w:val="0"/>
      <w:marBottom w:val="0"/>
      <w:divBdr>
        <w:top w:val="none" w:sz="0" w:space="0" w:color="auto"/>
        <w:left w:val="none" w:sz="0" w:space="0" w:color="auto"/>
        <w:bottom w:val="none" w:sz="0" w:space="0" w:color="auto"/>
        <w:right w:val="none" w:sz="0" w:space="0" w:color="auto"/>
      </w:divBdr>
    </w:div>
    <w:div w:id="1942686318">
      <w:bodyDiv w:val="1"/>
      <w:marLeft w:val="0"/>
      <w:marRight w:val="0"/>
      <w:marTop w:val="0"/>
      <w:marBottom w:val="0"/>
      <w:divBdr>
        <w:top w:val="none" w:sz="0" w:space="0" w:color="auto"/>
        <w:left w:val="none" w:sz="0" w:space="0" w:color="auto"/>
        <w:bottom w:val="none" w:sz="0" w:space="0" w:color="auto"/>
        <w:right w:val="none" w:sz="0" w:space="0" w:color="auto"/>
      </w:divBdr>
    </w:div>
    <w:div w:id="2028748270">
      <w:bodyDiv w:val="1"/>
      <w:marLeft w:val="0"/>
      <w:marRight w:val="0"/>
      <w:marTop w:val="0"/>
      <w:marBottom w:val="0"/>
      <w:divBdr>
        <w:top w:val="none" w:sz="0" w:space="0" w:color="auto"/>
        <w:left w:val="none" w:sz="0" w:space="0" w:color="auto"/>
        <w:bottom w:val="none" w:sz="0" w:space="0" w:color="auto"/>
        <w:right w:val="none" w:sz="0" w:space="0" w:color="auto"/>
      </w:divBdr>
    </w:div>
    <w:div w:id="2054882872">
      <w:bodyDiv w:val="1"/>
      <w:marLeft w:val="0"/>
      <w:marRight w:val="0"/>
      <w:marTop w:val="0"/>
      <w:marBottom w:val="0"/>
      <w:divBdr>
        <w:top w:val="none" w:sz="0" w:space="0" w:color="auto"/>
        <w:left w:val="none" w:sz="0" w:space="0" w:color="auto"/>
        <w:bottom w:val="none" w:sz="0" w:space="0" w:color="auto"/>
        <w:right w:val="none" w:sz="0" w:space="0" w:color="auto"/>
      </w:divBdr>
    </w:div>
    <w:div w:id="2069182429">
      <w:bodyDiv w:val="1"/>
      <w:marLeft w:val="0"/>
      <w:marRight w:val="0"/>
      <w:marTop w:val="0"/>
      <w:marBottom w:val="0"/>
      <w:divBdr>
        <w:top w:val="none" w:sz="0" w:space="0" w:color="auto"/>
        <w:left w:val="none" w:sz="0" w:space="0" w:color="auto"/>
        <w:bottom w:val="none" w:sz="0" w:space="0" w:color="auto"/>
        <w:right w:val="none" w:sz="0" w:space="0" w:color="auto"/>
      </w:divBdr>
    </w:div>
    <w:div w:id="2073304678">
      <w:bodyDiv w:val="1"/>
      <w:marLeft w:val="0"/>
      <w:marRight w:val="0"/>
      <w:marTop w:val="0"/>
      <w:marBottom w:val="0"/>
      <w:divBdr>
        <w:top w:val="none" w:sz="0" w:space="0" w:color="auto"/>
        <w:left w:val="none" w:sz="0" w:space="0" w:color="auto"/>
        <w:bottom w:val="none" w:sz="0" w:space="0" w:color="auto"/>
        <w:right w:val="none" w:sz="0" w:space="0" w:color="auto"/>
      </w:divBdr>
    </w:div>
    <w:div w:id="209285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isrs.si/Pis.web/pregledPredpisa?id=PRAV7927" TargetMode="External"/><Relationship Id="rId18" Type="http://schemas.openxmlformats.org/officeDocument/2006/relationships/hyperlink" Target="https://www.oecd.org/tax/beps/mandatory-disclosure-rules-action-12-2015-final-report-9789264241442-en.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pisrs.si/Pis.web/pregledPredpisaSodnaPraksa?id=ZAKO4703&amp;loadAll=true" TargetMode="External"/><Relationship Id="rId17" Type="http://schemas.openxmlformats.org/officeDocument/2006/relationships/hyperlink" Target="https://www.oecd.org/tax/beps/neutralising-the-effects-of-hybrid-mismatch-arrangements-action-2-2015-final-report-9789264241138-en.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u.gov.si/fileadmin/Internet/Nadzor/Podrocja/Izmenjava_cezmejnih_aranzmajev/Opis/Navodila_za_izpolnjevanje_obrazca_DAC6.docx" TargetMode="External"/><Relationship Id="rId20" Type="http://schemas.openxmlformats.org/officeDocument/2006/relationships/hyperlink" Target="mailto:dac6.fu@gov.s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pisrs.si/Pis.web/pregledPredpisa?id=PRAV7927"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fu.gov.si/nadzor/podrocja/mednarodna_izmenjava/izmenjava_informacij_o_cezmejnih_aranzmaji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avki.durs.si/EdavkiPortal/OpenPortal/CommonPages/Opdynp/PageD.aspx?category=porocanje_podatk_po"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tats.oecd.org/Index.aspx?DataSetCode=CTS_ETR" TargetMode="External"/><Relationship Id="rId7" Type="http://schemas.openxmlformats.org/officeDocument/2006/relationships/hyperlink" Target="https://www.fatf-gafi.org/media/fatf/documents/recommendations/pdfs/FATF%20Recommendations%202012.pdf" TargetMode="External"/><Relationship Id="rId2" Type="http://schemas.openxmlformats.org/officeDocument/2006/relationships/hyperlink" Target="https://www1.compareyourcountry.org/corporate-tax-statistics/en/0/all/default" TargetMode="External"/><Relationship Id="rId1" Type="http://schemas.openxmlformats.org/officeDocument/2006/relationships/hyperlink" Target="https://www.fu.gov.si/davki_in_druge_dajatve/poslovanje_z_nami/e_davki/" TargetMode="External"/><Relationship Id="rId6" Type="http://schemas.openxmlformats.org/officeDocument/2006/relationships/hyperlink" Target="https://www.oecd.org/ctp/exchange-of-tax-information/standard-for-automatic-exchange-of-financial-account-information-for-tax-matters-9789264216525-en.htm" TargetMode="External"/><Relationship Id="rId5" Type="http://schemas.openxmlformats.org/officeDocument/2006/relationships/hyperlink" Target="https://www.oecd.org/tax/exchange-of-tax-information/model-mandatory-disclosure-rules-for-crs-avoidance-arrangements-and-opaque-offshore-structures.pdf" TargetMode="External"/><Relationship Id="rId4" Type="http://schemas.openxmlformats.org/officeDocument/2006/relationships/hyperlink" Target="https://www.consilium.europa.eu/sl/policies/eu-list-of-non-cooperative-jurisdiction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26193fc4-38e1-40f3-8403-efc2519196bb">47T7AYJDZKZ5-533363379-243</_dlc_DocId>
    <_dlc_DocIdUrl xmlns="26193fc4-38e1-40f3-8403-efc2519196bb">
      <Url>https://intra.gov.si/sites/005-maks-projekti/facta_crs/_layouts/15/DocIdRedir.aspx?ID=47T7AYJDZKZ5-533363379-243</Url>
      <Description>47T7AYJDZKZ5-533363379-243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52DEDC1C0736A4AA84446582748FBB0" ma:contentTypeVersion="1" ma:contentTypeDescription="Ustvari nov dokument." ma:contentTypeScope="" ma:versionID="d1152c62cd7ecb6f7b04582590720afa">
  <xsd:schema xmlns:xsd="http://www.w3.org/2001/XMLSchema" xmlns:xs="http://www.w3.org/2001/XMLSchema" xmlns:p="http://schemas.microsoft.com/office/2006/metadata/properties" xmlns:ns2="26193fc4-38e1-40f3-8403-efc2519196bb" targetNamespace="http://schemas.microsoft.com/office/2006/metadata/properties" ma:root="true" ma:fieldsID="3e470d60feed3cb38bac7660c8896dbf" ns2:_="">
    <xsd:import namespace="26193fc4-38e1-40f3-8403-efc2519196b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93fc4-38e1-40f3-8403-efc2519196bb"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Vrsta vsebine"/>
        <xsd:element ref="dc:title" minOccurs="0" maxOccurs="1" ma:index="3"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BEF4B-62B4-4DD3-AFD8-C11623C47D8D}">
  <ds:schemaRefs>
    <ds:schemaRef ds:uri="http://schemas.microsoft.com/office/2006/metadata/properties"/>
    <ds:schemaRef ds:uri="26193fc4-38e1-40f3-8403-efc2519196bb"/>
  </ds:schemaRefs>
</ds:datastoreItem>
</file>

<file path=customXml/itemProps2.xml><?xml version="1.0" encoding="utf-8"?>
<ds:datastoreItem xmlns:ds="http://schemas.openxmlformats.org/officeDocument/2006/customXml" ds:itemID="{8F8D44B5-6393-484A-AA8F-CAF50DE58326}">
  <ds:schemaRefs>
    <ds:schemaRef ds:uri="http://schemas.microsoft.com/sharepoint/v3/contenttype/forms"/>
  </ds:schemaRefs>
</ds:datastoreItem>
</file>

<file path=customXml/itemProps3.xml><?xml version="1.0" encoding="utf-8"?>
<ds:datastoreItem xmlns:ds="http://schemas.openxmlformats.org/officeDocument/2006/customXml" ds:itemID="{82DB14F6-54C7-42B8-B83D-2E9F18F0A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93fc4-38e1-40f3-8403-efc251919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0A92FC-1B4E-4963-9EBA-8099C104BBFA}">
  <ds:schemaRefs>
    <ds:schemaRef ds:uri="http://schemas.microsoft.com/sharepoint/events"/>
  </ds:schemaRefs>
</ds:datastoreItem>
</file>

<file path=customXml/itemProps5.xml><?xml version="1.0" encoding="utf-8"?>
<ds:datastoreItem xmlns:ds="http://schemas.openxmlformats.org/officeDocument/2006/customXml" ds:itemID="{22B55D21-470D-48E0-A48C-501E2041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23612</Words>
  <Characters>134594</Characters>
  <Application>Microsoft Office Word</Application>
  <DocSecurity>0</DocSecurity>
  <Lines>1121</Lines>
  <Paragraphs>315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Finančna Uprava RS</Company>
  <LinksUpToDate>false</LinksUpToDate>
  <CharactersWithSpaces>157891</CharactersWithSpaces>
  <SharedDoc>false</SharedDoc>
  <HLinks>
    <vt:vector size="36" baseType="variant">
      <vt:variant>
        <vt:i4>1245298</vt:i4>
      </vt:variant>
      <vt:variant>
        <vt:i4>33</vt:i4>
      </vt:variant>
      <vt:variant>
        <vt:i4>0</vt:i4>
      </vt:variant>
      <vt:variant>
        <vt:i4>5</vt:i4>
      </vt:variant>
      <vt:variant>
        <vt:lpwstr>http://www.fu.gov.si/davki_in_druge_dajatve/poslovanje_z_nami/fatca/</vt:lpwstr>
      </vt:variant>
      <vt:variant>
        <vt:lpwstr>c754</vt:lpwstr>
      </vt:variant>
      <vt:variant>
        <vt:i4>1638449</vt:i4>
      </vt:variant>
      <vt:variant>
        <vt:i4>26</vt:i4>
      </vt:variant>
      <vt:variant>
        <vt:i4>0</vt:i4>
      </vt:variant>
      <vt:variant>
        <vt:i4>5</vt:i4>
      </vt:variant>
      <vt:variant>
        <vt:lpwstr/>
      </vt:variant>
      <vt:variant>
        <vt:lpwstr>_Toc417472590</vt:lpwstr>
      </vt:variant>
      <vt:variant>
        <vt:i4>1572913</vt:i4>
      </vt:variant>
      <vt:variant>
        <vt:i4>20</vt:i4>
      </vt:variant>
      <vt:variant>
        <vt:i4>0</vt:i4>
      </vt:variant>
      <vt:variant>
        <vt:i4>5</vt:i4>
      </vt:variant>
      <vt:variant>
        <vt:lpwstr/>
      </vt:variant>
      <vt:variant>
        <vt:lpwstr>_Toc417472589</vt:lpwstr>
      </vt:variant>
      <vt:variant>
        <vt:i4>1572913</vt:i4>
      </vt:variant>
      <vt:variant>
        <vt:i4>14</vt:i4>
      </vt:variant>
      <vt:variant>
        <vt:i4>0</vt:i4>
      </vt:variant>
      <vt:variant>
        <vt:i4>5</vt:i4>
      </vt:variant>
      <vt:variant>
        <vt:lpwstr/>
      </vt:variant>
      <vt:variant>
        <vt:lpwstr>_Toc417472588</vt:lpwstr>
      </vt:variant>
      <vt:variant>
        <vt:i4>1572913</vt:i4>
      </vt:variant>
      <vt:variant>
        <vt:i4>8</vt:i4>
      </vt:variant>
      <vt:variant>
        <vt:i4>0</vt:i4>
      </vt:variant>
      <vt:variant>
        <vt:i4>5</vt:i4>
      </vt:variant>
      <vt:variant>
        <vt:lpwstr/>
      </vt:variant>
      <vt:variant>
        <vt:lpwstr>_Toc417472587</vt:lpwstr>
      </vt:variant>
      <vt:variant>
        <vt:i4>1572913</vt:i4>
      </vt:variant>
      <vt:variant>
        <vt:i4>2</vt:i4>
      </vt:variant>
      <vt:variant>
        <vt:i4>0</vt:i4>
      </vt:variant>
      <vt:variant>
        <vt:i4>5</vt:i4>
      </vt:variant>
      <vt:variant>
        <vt:lpwstr/>
      </vt:variant>
      <vt:variant>
        <vt:lpwstr>_Toc417472586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DURS</dc:creator>
  <cp:keywords/>
  <dc:description/>
  <cp:lastModifiedBy>Jasmina Jevtić Peruš</cp:lastModifiedBy>
  <cp:revision>3</cp:revision>
  <cp:lastPrinted>2020-03-30T14:11:00Z</cp:lastPrinted>
  <dcterms:created xsi:type="dcterms:W3CDTF">2021-06-21T07:29:00Z</dcterms:created>
  <dcterms:modified xsi:type="dcterms:W3CDTF">2021-06-29T05:56:00Z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0x010100952DEDC1C0736A4AA84446582748FBB0</vt:lpwstr>
  </property>
  <property fmtid="{D5CDD505-2E9C-101B-9397-08002B2CF9AE}" pid="3" name="_dlc_DocIdItemGuid">
    <vt:lpwstr>c01b4c50-f229-4fa5-9626-b6f80c9f8dd2</vt:lpwstr>
  </property>
</Properties>
</file>