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174D" w14:textId="77777777" w:rsidR="00887E1E" w:rsidRPr="00094AC0" w:rsidRDefault="00887E1E" w:rsidP="00CA699D">
      <w:pPr>
        <w:pStyle w:val="datumtevilka"/>
        <w:jc w:val="center"/>
      </w:pPr>
    </w:p>
    <w:p w14:paraId="58FCC9C0" w14:textId="77777777" w:rsidR="00887E1E" w:rsidRPr="00094AC0" w:rsidRDefault="00887E1E" w:rsidP="00CA699D">
      <w:pPr>
        <w:pStyle w:val="datumtevilka"/>
        <w:jc w:val="center"/>
      </w:pPr>
    </w:p>
    <w:p w14:paraId="74D4B05A" w14:textId="77777777" w:rsidR="00F825FF" w:rsidRPr="00094AC0" w:rsidRDefault="00F825FF" w:rsidP="00CA699D">
      <w:pPr>
        <w:pStyle w:val="datumtevilka"/>
        <w:jc w:val="center"/>
      </w:pPr>
    </w:p>
    <w:p w14:paraId="1E7E523A" w14:textId="77777777" w:rsidR="00F825FF" w:rsidRPr="00094AC0" w:rsidRDefault="00F825FF" w:rsidP="00CA699D">
      <w:pPr>
        <w:pStyle w:val="datumtevilka"/>
        <w:jc w:val="center"/>
      </w:pPr>
    </w:p>
    <w:p w14:paraId="6F253357" w14:textId="77777777" w:rsidR="00F825FF" w:rsidRPr="00094AC0" w:rsidRDefault="00F825FF" w:rsidP="00CA699D">
      <w:pPr>
        <w:pStyle w:val="datumtevilka"/>
        <w:jc w:val="center"/>
      </w:pPr>
    </w:p>
    <w:p w14:paraId="012F7A42" w14:textId="77777777" w:rsidR="00F825FF" w:rsidRPr="00094AC0" w:rsidRDefault="00F825FF" w:rsidP="00CA699D">
      <w:pPr>
        <w:pStyle w:val="datumtevilka"/>
        <w:jc w:val="center"/>
      </w:pPr>
    </w:p>
    <w:p w14:paraId="1571EDF3" w14:textId="77777777" w:rsidR="00887E1E" w:rsidRPr="00094AC0" w:rsidRDefault="00887E1E" w:rsidP="00CA699D">
      <w:pPr>
        <w:pStyle w:val="datumtevilka"/>
        <w:jc w:val="center"/>
      </w:pPr>
    </w:p>
    <w:p w14:paraId="4EC2510E" w14:textId="77777777" w:rsidR="00887E1E" w:rsidRPr="00094AC0" w:rsidRDefault="00887E1E" w:rsidP="00CA699D">
      <w:pPr>
        <w:pStyle w:val="datumtevilka"/>
        <w:jc w:val="center"/>
      </w:pPr>
    </w:p>
    <w:p w14:paraId="0FAC59E6" w14:textId="5DC68A07" w:rsidR="00E853E8" w:rsidRPr="00094AC0" w:rsidRDefault="009550D4" w:rsidP="00E853E8">
      <w:pPr>
        <w:pStyle w:val="datumtevilka"/>
        <w:jc w:val="center"/>
        <w:rPr>
          <w:b/>
          <w:sz w:val="32"/>
          <w:szCs w:val="32"/>
        </w:rPr>
      </w:pPr>
      <w:r w:rsidRPr="00094AC0">
        <w:rPr>
          <w:b/>
          <w:sz w:val="32"/>
          <w:szCs w:val="32"/>
        </w:rPr>
        <w:t>KRITERIJI ZA DOLOČANJE PRIORITETNIH INŠPEKCIJSKIH NADZOROV FINANČNE UPRAVE R</w:t>
      </w:r>
      <w:r w:rsidR="00B2081C" w:rsidRPr="00094AC0">
        <w:rPr>
          <w:b/>
          <w:sz w:val="32"/>
          <w:szCs w:val="32"/>
        </w:rPr>
        <w:t>EPUBLIKE SLOVENIJE  ZA LETO 202</w:t>
      </w:r>
      <w:r w:rsidR="00333A77" w:rsidRPr="00094AC0">
        <w:rPr>
          <w:b/>
          <w:sz w:val="32"/>
          <w:szCs w:val="32"/>
        </w:rPr>
        <w:t>4</w:t>
      </w:r>
    </w:p>
    <w:p w14:paraId="62017337" w14:textId="77777777" w:rsidR="00E853E8" w:rsidRPr="00094AC0" w:rsidRDefault="00E853E8" w:rsidP="00E853E8">
      <w:pPr>
        <w:pStyle w:val="datumtevilka"/>
        <w:jc w:val="center"/>
        <w:rPr>
          <w:b/>
          <w:sz w:val="32"/>
          <w:szCs w:val="32"/>
        </w:rPr>
      </w:pPr>
    </w:p>
    <w:p w14:paraId="6CADFAB1" w14:textId="77777777" w:rsidR="00887E1E" w:rsidRPr="00094AC0" w:rsidRDefault="00887E1E" w:rsidP="00E853E8">
      <w:pPr>
        <w:pStyle w:val="datumtevilka"/>
        <w:jc w:val="center"/>
      </w:pPr>
    </w:p>
    <w:p w14:paraId="69773FD9" w14:textId="77777777" w:rsidR="00E853E8" w:rsidRPr="00094AC0" w:rsidRDefault="00E853E8" w:rsidP="00E853E8">
      <w:pPr>
        <w:pStyle w:val="datumtevilka"/>
        <w:jc w:val="center"/>
      </w:pPr>
    </w:p>
    <w:p w14:paraId="1ED9693C" w14:textId="77777777" w:rsidR="00E853E8" w:rsidRPr="00094AC0" w:rsidRDefault="00E853E8" w:rsidP="00E853E8">
      <w:pPr>
        <w:pStyle w:val="datumtevilka"/>
        <w:jc w:val="center"/>
      </w:pPr>
    </w:p>
    <w:p w14:paraId="15A6F0E0" w14:textId="77777777" w:rsidR="00E853E8" w:rsidRPr="00094AC0" w:rsidRDefault="00E853E8" w:rsidP="00E853E8">
      <w:pPr>
        <w:pStyle w:val="datumtevilka"/>
        <w:jc w:val="center"/>
      </w:pPr>
    </w:p>
    <w:p w14:paraId="40737F31" w14:textId="77777777" w:rsidR="00887E1E" w:rsidRPr="00094AC0" w:rsidRDefault="00887E1E" w:rsidP="00E853E8">
      <w:pPr>
        <w:pStyle w:val="datumtevilka"/>
        <w:jc w:val="center"/>
      </w:pPr>
    </w:p>
    <w:p w14:paraId="29E34F06" w14:textId="77777777" w:rsidR="00F825FF" w:rsidRPr="00094AC0" w:rsidRDefault="00E853E8" w:rsidP="00E853E8">
      <w:pPr>
        <w:pStyle w:val="datumtevilka"/>
        <w:jc w:val="center"/>
        <w:rPr>
          <w:b/>
          <w:sz w:val="28"/>
          <w:szCs w:val="28"/>
        </w:rPr>
      </w:pPr>
      <w:r w:rsidRPr="00094AC0">
        <w:rPr>
          <w:b/>
          <w:sz w:val="28"/>
          <w:szCs w:val="28"/>
        </w:rPr>
        <w:t>Po</w:t>
      </w:r>
      <w:r w:rsidR="001C2D67" w:rsidRPr="00094AC0">
        <w:rPr>
          <w:b/>
          <w:sz w:val="28"/>
          <w:szCs w:val="28"/>
        </w:rPr>
        <w:t>drobnejši opis</w:t>
      </w:r>
    </w:p>
    <w:p w14:paraId="105B52F4" w14:textId="77777777" w:rsidR="00F825FF" w:rsidRPr="00094AC0" w:rsidRDefault="00F825FF" w:rsidP="00E853E8">
      <w:pPr>
        <w:pStyle w:val="datumtevilka"/>
        <w:jc w:val="center"/>
      </w:pPr>
    </w:p>
    <w:p w14:paraId="1A8A0FD8" w14:textId="77777777" w:rsidR="00F825FF" w:rsidRPr="00094AC0" w:rsidRDefault="00F825FF" w:rsidP="00CA699D">
      <w:pPr>
        <w:pStyle w:val="datumtevilka"/>
        <w:jc w:val="center"/>
      </w:pPr>
    </w:p>
    <w:p w14:paraId="3D8E8399" w14:textId="77777777" w:rsidR="00F825FF" w:rsidRPr="00094AC0" w:rsidRDefault="00F825FF" w:rsidP="00CA699D">
      <w:pPr>
        <w:pStyle w:val="datumtevilka"/>
        <w:jc w:val="center"/>
      </w:pPr>
    </w:p>
    <w:p w14:paraId="1F5B4BEB" w14:textId="77777777" w:rsidR="00F825FF" w:rsidRPr="00094AC0" w:rsidRDefault="00F825FF" w:rsidP="00CA699D">
      <w:pPr>
        <w:pStyle w:val="datumtevilka"/>
        <w:jc w:val="center"/>
      </w:pPr>
    </w:p>
    <w:p w14:paraId="0C7C26DA" w14:textId="77777777" w:rsidR="00887E1E" w:rsidRPr="00094AC0" w:rsidRDefault="00887E1E" w:rsidP="00CA699D">
      <w:pPr>
        <w:pStyle w:val="podpisi"/>
        <w:jc w:val="center"/>
        <w:rPr>
          <w:lang w:val="sl-SI"/>
        </w:rPr>
      </w:pPr>
    </w:p>
    <w:p w14:paraId="11EB40AE" w14:textId="77777777" w:rsidR="00F825FF" w:rsidRPr="00094AC0" w:rsidRDefault="00F825FF" w:rsidP="00CA699D">
      <w:pPr>
        <w:pStyle w:val="podpisi"/>
        <w:jc w:val="center"/>
        <w:rPr>
          <w:lang w:val="sl-SI"/>
        </w:rPr>
      </w:pPr>
    </w:p>
    <w:p w14:paraId="091D11A1" w14:textId="77777777" w:rsidR="00887E1E" w:rsidRPr="00094AC0" w:rsidRDefault="00887E1E" w:rsidP="00CA699D">
      <w:pPr>
        <w:pStyle w:val="podpisi"/>
        <w:jc w:val="center"/>
        <w:rPr>
          <w:lang w:val="sl-SI"/>
        </w:rPr>
      </w:pPr>
    </w:p>
    <w:p w14:paraId="3B3A0CBA" w14:textId="77777777" w:rsidR="00887E1E" w:rsidRPr="00094AC0" w:rsidRDefault="00887E1E" w:rsidP="00CA699D">
      <w:pPr>
        <w:pStyle w:val="podpisi"/>
        <w:jc w:val="center"/>
        <w:rPr>
          <w:lang w:val="sl-SI"/>
        </w:rPr>
      </w:pPr>
    </w:p>
    <w:p w14:paraId="3D072119" w14:textId="77777777" w:rsidR="00887E1E" w:rsidRPr="00094AC0" w:rsidRDefault="00887E1E" w:rsidP="00CA699D">
      <w:pPr>
        <w:pStyle w:val="podpisi"/>
        <w:jc w:val="center"/>
        <w:rPr>
          <w:lang w:val="sl-SI"/>
        </w:rPr>
      </w:pPr>
    </w:p>
    <w:p w14:paraId="558D9AA4" w14:textId="77777777" w:rsidR="00887E1E" w:rsidRPr="00094AC0" w:rsidRDefault="00887E1E" w:rsidP="00CA699D">
      <w:pPr>
        <w:pStyle w:val="podpisi"/>
        <w:jc w:val="center"/>
        <w:rPr>
          <w:lang w:val="sl-SI"/>
        </w:rPr>
      </w:pPr>
    </w:p>
    <w:p w14:paraId="34726842" w14:textId="77777777" w:rsidR="00887E1E" w:rsidRPr="00094AC0" w:rsidRDefault="00887E1E" w:rsidP="00CA699D">
      <w:pPr>
        <w:pStyle w:val="podpisi"/>
        <w:jc w:val="center"/>
        <w:rPr>
          <w:lang w:val="sl-SI"/>
        </w:rPr>
      </w:pPr>
    </w:p>
    <w:p w14:paraId="24168E49" w14:textId="77777777" w:rsidR="00887E1E" w:rsidRPr="00094AC0" w:rsidRDefault="00887E1E" w:rsidP="00CA699D">
      <w:pPr>
        <w:pStyle w:val="podpisi"/>
        <w:jc w:val="center"/>
        <w:rPr>
          <w:lang w:val="sl-SI"/>
        </w:rPr>
      </w:pPr>
    </w:p>
    <w:p w14:paraId="105D45FD" w14:textId="77777777" w:rsidR="00887E1E" w:rsidRPr="00094AC0" w:rsidRDefault="00887E1E" w:rsidP="00CA699D">
      <w:pPr>
        <w:pStyle w:val="podpisi"/>
        <w:jc w:val="center"/>
        <w:rPr>
          <w:lang w:val="sl-SI"/>
        </w:rPr>
      </w:pPr>
    </w:p>
    <w:p w14:paraId="6552A89D" w14:textId="77777777" w:rsidR="00E853E8" w:rsidRPr="00094AC0" w:rsidRDefault="00E853E8" w:rsidP="00CA699D">
      <w:pPr>
        <w:pStyle w:val="podpisi"/>
        <w:jc w:val="center"/>
        <w:rPr>
          <w:lang w:val="sl-SI"/>
        </w:rPr>
      </w:pPr>
    </w:p>
    <w:p w14:paraId="2F1B8799" w14:textId="77777777" w:rsidR="00E853E8" w:rsidRPr="00094AC0" w:rsidRDefault="00E853E8" w:rsidP="00CA699D">
      <w:pPr>
        <w:pStyle w:val="podpisi"/>
        <w:jc w:val="center"/>
        <w:rPr>
          <w:lang w:val="sl-SI"/>
        </w:rPr>
      </w:pPr>
    </w:p>
    <w:p w14:paraId="4E2DB606" w14:textId="77777777" w:rsidR="00E853E8" w:rsidRPr="00094AC0" w:rsidRDefault="00E853E8" w:rsidP="00CA699D">
      <w:pPr>
        <w:pStyle w:val="podpisi"/>
        <w:jc w:val="center"/>
        <w:rPr>
          <w:lang w:val="sl-SI"/>
        </w:rPr>
      </w:pPr>
    </w:p>
    <w:p w14:paraId="4AACDBEC" w14:textId="77777777" w:rsidR="00E853E8" w:rsidRPr="00094AC0" w:rsidRDefault="00E853E8" w:rsidP="00CA699D">
      <w:pPr>
        <w:pStyle w:val="podpisi"/>
        <w:jc w:val="center"/>
        <w:rPr>
          <w:lang w:val="sl-SI"/>
        </w:rPr>
      </w:pPr>
    </w:p>
    <w:p w14:paraId="647DBB1C" w14:textId="77777777" w:rsidR="00E853E8" w:rsidRPr="00094AC0" w:rsidRDefault="00E853E8" w:rsidP="00CA699D">
      <w:pPr>
        <w:pStyle w:val="podpisi"/>
        <w:jc w:val="center"/>
        <w:rPr>
          <w:lang w:val="sl-SI"/>
        </w:rPr>
      </w:pPr>
    </w:p>
    <w:p w14:paraId="467FFADC" w14:textId="77777777" w:rsidR="00E853E8" w:rsidRPr="00094AC0" w:rsidRDefault="00E853E8" w:rsidP="00CA699D">
      <w:pPr>
        <w:pStyle w:val="podpisi"/>
        <w:jc w:val="center"/>
        <w:rPr>
          <w:lang w:val="sl-SI"/>
        </w:rPr>
      </w:pPr>
    </w:p>
    <w:p w14:paraId="36C7B405" w14:textId="77777777" w:rsidR="00887E1E" w:rsidRPr="00094AC0" w:rsidRDefault="00887E1E" w:rsidP="00CA699D">
      <w:pPr>
        <w:pStyle w:val="podpisi"/>
        <w:jc w:val="center"/>
        <w:rPr>
          <w:lang w:val="sl-SI"/>
        </w:rPr>
      </w:pPr>
    </w:p>
    <w:p w14:paraId="26520573" w14:textId="77777777" w:rsidR="00887E1E" w:rsidRPr="00094AC0" w:rsidRDefault="00887E1E" w:rsidP="00CA699D">
      <w:pPr>
        <w:pStyle w:val="podpisi"/>
        <w:jc w:val="center"/>
        <w:rPr>
          <w:lang w:val="sl-SI"/>
        </w:rPr>
      </w:pPr>
    </w:p>
    <w:p w14:paraId="33A7DA41" w14:textId="77777777" w:rsidR="009550D4" w:rsidRPr="00094AC0" w:rsidRDefault="009550D4" w:rsidP="00CA699D">
      <w:pPr>
        <w:pStyle w:val="podpisi"/>
        <w:jc w:val="center"/>
        <w:rPr>
          <w:lang w:val="sl-SI"/>
        </w:rPr>
      </w:pPr>
    </w:p>
    <w:p w14:paraId="496CC269" w14:textId="77777777" w:rsidR="009550D4" w:rsidRPr="00094AC0" w:rsidRDefault="009550D4" w:rsidP="00CA699D">
      <w:pPr>
        <w:pStyle w:val="podpisi"/>
        <w:jc w:val="center"/>
        <w:rPr>
          <w:lang w:val="sl-SI"/>
        </w:rPr>
      </w:pPr>
    </w:p>
    <w:p w14:paraId="6C6B04F7" w14:textId="77777777" w:rsidR="009550D4" w:rsidRPr="00094AC0" w:rsidRDefault="009550D4" w:rsidP="009550D4">
      <w:pPr>
        <w:rPr>
          <w:lang w:val="sl-SI"/>
        </w:rPr>
      </w:pPr>
    </w:p>
    <w:p w14:paraId="60AA7B3A" w14:textId="77777777" w:rsidR="009550D4" w:rsidRPr="00094AC0" w:rsidRDefault="009550D4" w:rsidP="009550D4">
      <w:pPr>
        <w:rPr>
          <w:lang w:val="sl-SI"/>
        </w:rPr>
      </w:pPr>
    </w:p>
    <w:p w14:paraId="074657E2" w14:textId="77777777" w:rsidR="009A1FAC" w:rsidRPr="00094AC0" w:rsidRDefault="009A1FAC" w:rsidP="009550D4">
      <w:pPr>
        <w:rPr>
          <w:lang w:val="sl-SI"/>
        </w:rPr>
      </w:pPr>
    </w:p>
    <w:p w14:paraId="30A63D96" w14:textId="77777777" w:rsidR="009A1FAC" w:rsidRPr="00094AC0" w:rsidRDefault="009A1FAC" w:rsidP="009550D4">
      <w:pPr>
        <w:rPr>
          <w:lang w:val="sl-SI"/>
        </w:rPr>
      </w:pPr>
    </w:p>
    <w:p w14:paraId="74957E14" w14:textId="77777777" w:rsidR="009A1FAC" w:rsidRPr="00094AC0" w:rsidRDefault="009A1FAC" w:rsidP="009A1FAC">
      <w:pPr>
        <w:spacing w:line="240" w:lineRule="atLeast"/>
        <w:jc w:val="both"/>
        <w:rPr>
          <w:lang w:val="sl-SI"/>
        </w:rPr>
      </w:pPr>
    </w:p>
    <w:p w14:paraId="36E6D885" w14:textId="77777777" w:rsidR="0016722F" w:rsidRPr="00094AC0" w:rsidRDefault="0016722F" w:rsidP="00094AC0">
      <w:pPr>
        <w:spacing w:line="260" w:lineRule="exact"/>
        <w:jc w:val="both"/>
        <w:rPr>
          <w:rFonts w:cs="Arial"/>
          <w:szCs w:val="20"/>
          <w:lang w:val="sl-SI"/>
        </w:rPr>
      </w:pPr>
      <w:r w:rsidRPr="00094AC0">
        <w:rPr>
          <w:rFonts w:cs="Arial"/>
          <w:szCs w:val="20"/>
          <w:lang w:val="sl-SI"/>
        </w:rPr>
        <w:lastRenderedPageBreak/>
        <w:t xml:space="preserve">V skladu s sklepom Vlade RS št. 06100-4/2015/15 z dne 2. 4. 2015, ministrstva, inšpektorati v njihovi sestavi in inšpekcije, ki delujejo v ministrstvih, na svojih spletnih straneh objavijo kriterije za določanje prioritetnih  inšpekcijskih nadzorov, upoštevaje oceno tveganja na posameznem področju. </w:t>
      </w:r>
    </w:p>
    <w:p w14:paraId="510D384A" w14:textId="77777777" w:rsidR="00546B19" w:rsidRPr="00094AC0" w:rsidRDefault="00546B19" w:rsidP="00094AC0">
      <w:pPr>
        <w:spacing w:line="260" w:lineRule="exact"/>
        <w:jc w:val="both"/>
        <w:rPr>
          <w:rFonts w:cs="Arial"/>
          <w:szCs w:val="20"/>
          <w:lang w:val="sl-SI"/>
        </w:rPr>
      </w:pPr>
    </w:p>
    <w:p w14:paraId="03353DC9" w14:textId="610FAA91" w:rsidR="00546B19" w:rsidRPr="00094AC0" w:rsidRDefault="00546B19" w:rsidP="00094AC0">
      <w:pPr>
        <w:spacing w:line="260" w:lineRule="exact"/>
        <w:jc w:val="both"/>
        <w:rPr>
          <w:rFonts w:cs="Arial"/>
          <w:szCs w:val="20"/>
          <w:lang w:val="sl-SI"/>
        </w:rPr>
      </w:pPr>
      <w:r w:rsidRPr="00094AC0">
        <w:rPr>
          <w:rFonts w:cs="Arial"/>
          <w:szCs w:val="20"/>
          <w:lang w:val="sl-SI"/>
        </w:rPr>
        <w:t>Finančna uprava Republike Slovenije (v nadaljevanju: FURS) izvaja inšpekcijski nadzor na podlagi Zakona o finančni upravi in skladno s pravili Zakona o davčnem postopku in Zakona o inšpekcijskem nadzoru</w:t>
      </w:r>
      <w:r w:rsidR="00766AC5">
        <w:rPr>
          <w:rFonts w:cs="Arial"/>
          <w:szCs w:val="20"/>
          <w:lang w:val="sl-SI"/>
        </w:rPr>
        <w:t xml:space="preserve"> </w:t>
      </w:r>
      <w:r w:rsidR="00766AC5" w:rsidRPr="00766AC5">
        <w:rPr>
          <w:rFonts w:eastAsia="Calibri" w:cs="Arial"/>
          <w:szCs w:val="20"/>
          <w:lang w:val="sl-SI"/>
        </w:rPr>
        <w:t xml:space="preserve">(Uradni list RS, št. </w:t>
      </w:r>
      <w:hyperlink r:id="rId11" w:tgtFrame="_blank" w:tooltip="Zakon o davčnem postopku (uradno prečiščeno besedilo)" w:history="1">
        <w:r w:rsidR="00766AC5" w:rsidRPr="00766AC5">
          <w:rPr>
            <w:rFonts w:eastAsia="Calibri" w:cs="Arial"/>
            <w:szCs w:val="20"/>
            <w:lang w:val="sl-SI"/>
          </w:rPr>
          <w:t>13/11</w:t>
        </w:r>
      </w:hyperlink>
      <w:r w:rsidR="00766AC5" w:rsidRPr="00766AC5">
        <w:rPr>
          <w:rFonts w:eastAsia="Calibri" w:cs="Arial"/>
          <w:szCs w:val="20"/>
          <w:lang w:val="sl-SI"/>
        </w:rPr>
        <w:t xml:space="preserve"> – uradno prečiščeno besedilo, </w:t>
      </w:r>
      <w:hyperlink r:id="rId12" w:tgtFrame="_blank" w:tooltip="Zakon o spremembah in dopolnitvah Zakona o davčnem postopku" w:history="1">
        <w:r w:rsidR="00766AC5" w:rsidRPr="00766AC5">
          <w:rPr>
            <w:rFonts w:eastAsia="Calibri" w:cs="Arial"/>
            <w:szCs w:val="20"/>
            <w:lang w:val="sl-SI"/>
          </w:rPr>
          <w:t>32/12</w:t>
        </w:r>
      </w:hyperlink>
      <w:r w:rsidR="00766AC5" w:rsidRPr="00766AC5">
        <w:rPr>
          <w:rFonts w:eastAsia="Calibri" w:cs="Arial"/>
          <w:szCs w:val="20"/>
          <w:lang w:val="sl-SI"/>
        </w:rPr>
        <w:t xml:space="preserve">, </w:t>
      </w:r>
      <w:hyperlink r:id="rId13" w:tgtFrame="_blank" w:tooltip="Zakon o spremembah in dopolnitvah Zakona o davčnem postopku" w:history="1">
        <w:r w:rsidR="00766AC5" w:rsidRPr="00766AC5">
          <w:rPr>
            <w:rFonts w:eastAsia="Calibri" w:cs="Arial"/>
            <w:szCs w:val="20"/>
            <w:lang w:val="sl-SI"/>
          </w:rPr>
          <w:t>94/12</w:t>
        </w:r>
      </w:hyperlink>
      <w:r w:rsidR="00766AC5" w:rsidRPr="00766AC5">
        <w:rPr>
          <w:rFonts w:eastAsia="Calibri" w:cs="Arial"/>
          <w:szCs w:val="20"/>
          <w:lang w:val="sl-SI"/>
        </w:rPr>
        <w:t xml:space="preserve">, </w:t>
      </w:r>
      <w:hyperlink r:id="rId14" w:tgtFrame="_blank" w:tooltip="Zakon o davku na nepremičnine" w:history="1">
        <w:r w:rsidR="00766AC5" w:rsidRPr="00766AC5">
          <w:rPr>
            <w:rFonts w:eastAsia="Calibri" w:cs="Arial"/>
            <w:szCs w:val="20"/>
            <w:lang w:val="sl-SI"/>
          </w:rPr>
          <w:t>101/13</w:t>
        </w:r>
      </w:hyperlink>
      <w:r w:rsidR="00766AC5" w:rsidRPr="00766AC5">
        <w:rPr>
          <w:rFonts w:eastAsia="Calibri" w:cs="Arial"/>
          <w:szCs w:val="20"/>
          <w:lang w:val="sl-SI"/>
        </w:rPr>
        <w:t xml:space="preserve"> – ZDavNepr, </w:t>
      </w:r>
      <w:hyperlink r:id="rId15" w:tgtFrame="_blank" w:tooltip="Zakon o spremembah in dopolnitvah Zakona o davčnem postopku" w:history="1">
        <w:r w:rsidR="00766AC5" w:rsidRPr="00766AC5">
          <w:rPr>
            <w:rFonts w:eastAsia="Calibri" w:cs="Arial"/>
            <w:szCs w:val="20"/>
            <w:lang w:val="sl-SI"/>
          </w:rPr>
          <w:t>111/13</w:t>
        </w:r>
      </w:hyperlink>
      <w:r w:rsidR="00766AC5" w:rsidRPr="00766AC5">
        <w:rPr>
          <w:rFonts w:eastAsia="Calibri" w:cs="Arial"/>
          <w:szCs w:val="20"/>
          <w:lang w:val="sl-SI"/>
        </w:rPr>
        <w:t xml:space="preserve">, </w:t>
      </w:r>
      <w:hyperlink r:id="rId16" w:tgtFrame="_blank" w:tooltip="Odločba o razveljavitvi Zakona o davku na nepremičnine in o ugotovitvi, da je Zakon o množičnem vrednotenju, kolikor se nanaša na množično vrednotenje nepremičnin zaradi obdavčevanja nepremičnin, v neskladju z Ustavo" w:history="1">
        <w:r w:rsidR="00766AC5" w:rsidRPr="00766AC5">
          <w:rPr>
            <w:rFonts w:eastAsia="Calibri" w:cs="Arial"/>
            <w:szCs w:val="20"/>
            <w:lang w:val="sl-SI"/>
          </w:rPr>
          <w:t>22/14</w:t>
        </w:r>
      </w:hyperlink>
      <w:r w:rsidR="00766AC5" w:rsidRPr="00766AC5">
        <w:rPr>
          <w:rFonts w:eastAsia="Calibri" w:cs="Arial"/>
          <w:szCs w:val="20"/>
          <w:lang w:val="sl-SI"/>
        </w:rPr>
        <w:t xml:space="preserve"> – odl. US, </w:t>
      </w:r>
      <w:hyperlink r:id="rId17" w:tgtFrame="_blank" w:tooltip="Zakon o finančni upravi" w:history="1">
        <w:r w:rsidR="00766AC5" w:rsidRPr="00766AC5">
          <w:rPr>
            <w:rFonts w:eastAsia="Calibri" w:cs="Arial"/>
            <w:szCs w:val="20"/>
            <w:lang w:val="sl-SI"/>
          </w:rPr>
          <w:t>25/14</w:t>
        </w:r>
      </w:hyperlink>
      <w:r w:rsidR="00766AC5" w:rsidRPr="00766AC5">
        <w:rPr>
          <w:rFonts w:eastAsia="Calibri" w:cs="Arial"/>
          <w:szCs w:val="20"/>
          <w:lang w:val="sl-SI"/>
        </w:rPr>
        <w:t xml:space="preserve"> – ZFU, </w:t>
      </w:r>
      <w:hyperlink r:id="rId18" w:tgtFrame="_blank" w:tooltip="Zakon o spremembah in dopolnitvah Zakona o inšpekcijskem nadzoru" w:history="1">
        <w:r w:rsidR="00766AC5" w:rsidRPr="00766AC5">
          <w:rPr>
            <w:rFonts w:eastAsia="Calibri" w:cs="Arial"/>
            <w:szCs w:val="20"/>
            <w:lang w:val="sl-SI"/>
          </w:rPr>
          <w:t>40/14</w:t>
        </w:r>
      </w:hyperlink>
      <w:r w:rsidR="00766AC5" w:rsidRPr="00766AC5">
        <w:rPr>
          <w:rFonts w:eastAsia="Calibri" w:cs="Arial"/>
          <w:szCs w:val="20"/>
          <w:lang w:val="sl-SI"/>
        </w:rPr>
        <w:t xml:space="preserve"> – ZIN-B, </w:t>
      </w:r>
      <w:hyperlink r:id="rId19" w:tgtFrame="_blank" w:tooltip="Zakon o spremembah in dopolnitvah Zakona o davčnem postopku" w:history="1">
        <w:r w:rsidR="00766AC5" w:rsidRPr="00766AC5">
          <w:rPr>
            <w:rFonts w:eastAsia="Calibri" w:cs="Arial"/>
            <w:szCs w:val="20"/>
            <w:lang w:val="sl-SI"/>
          </w:rPr>
          <w:t>90/14</w:t>
        </w:r>
      </w:hyperlink>
      <w:r w:rsidR="00766AC5" w:rsidRPr="00766AC5">
        <w:rPr>
          <w:rFonts w:eastAsia="Calibri" w:cs="Arial"/>
          <w:szCs w:val="20"/>
          <w:lang w:val="sl-SI"/>
        </w:rPr>
        <w:t xml:space="preserve">, </w:t>
      </w:r>
      <w:hyperlink r:id="rId20" w:tgtFrame="_blank" w:tooltip="Zakon o spremembah in dopolnitvah Zakona o davčnem postopku" w:history="1">
        <w:r w:rsidR="00766AC5" w:rsidRPr="00766AC5">
          <w:rPr>
            <w:rFonts w:eastAsia="Calibri" w:cs="Arial"/>
            <w:szCs w:val="20"/>
            <w:lang w:val="sl-SI"/>
          </w:rPr>
          <w:t>91/15</w:t>
        </w:r>
      </w:hyperlink>
      <w:r w:rsidR="00766AC5" w:rsidRPr="00766AC5">
        <w:rPr>
          <w:rFonts w:eastAsia="Calibri" w:cs="Arial"/>
          <w:szCs w:val="20"/>
          <w:lang w:val="sl-SI"/>
        </w:rPr>
        <w:t xml:space="preserve">, </w:t>
      </w:r>
      <w:hyperlink r:id="rId21" w:tgtFrame="_blank" w:tooltip="Zakon o spremembah in dopolnitvah Zakona o davčnem postopku" w:history="1">
        <w:r w:rsidR="00766AC5" w:rsidRPr="00766AC5">
          <w:rPr>
            <w:rFonts w:eastAsia="Calibri" w:cs="Arial"/>
            <w:szCs w:val="20"/>
            <w:lang w:val="sl-SI"/>
          </w:rPr>
          <w:t>63/16</w:t>
        </w:r>
      </w:hyperlink>
      <w:r w:rsidR="00766AC5" w:rsidRPr="00766AC5">
        <w:rPr>
          <w:rFonts w:eastAsia="Calibri" w:cs="Arial"/>
          <w:szCs w:val="20"/>
          <w:lang w:val="sl-SI"/>
        </w:rPr>
        <w:t xml:space="preserve">, </w:t>
      </w:r>
      <w:hyperlink r:id="rId22" w:tgtFrame="_blank" w:tooltip="Zakon o spremembah in dopolnitvah Zakona o davčnem postopku" w:history="1">
        <w:r w:rsidR="00766AC5" w:rsidRPr="00766AC5">
          <w:rPr>
            <w:rFonts w:eastAsia="Calibri" w:cs="Arial"/>
            <w:szCs w:val="20"/>
            <w:lang w:val="sl-SI"/>
          </w:rPr>
          <w:t>69/17</w:t>
        </w:r>
      </w:hyperlink>
      <w:r w:rsidR="00766AC5" w:rsidRPr="00766AC5">
        <w:rPr>
          <w:rFonts w:eastAsia="Calibri" w:cs="Arial"/>
          <w:szCs w:val="20"/>
          <w:lang w:val="sl-SI"/>
        </w:rPr>
        <w:t xml:space="preserve">, </w:t>
      </w:r>
      <w:hyperlink r:id="rId23" w:tgtFrame="_blank" w:tooltip="Zakon o spremembah in dopolnitvah Zakona o javnih financah" w:history="1">
        <w:r w:rsidR="00766AC5" w:rsidRPr="00766AC5">
          <w:rPr>
            <w:rFonts w:eastAsia="Calibri" w:cs="Arial"/>
            <w:szCs w:val="20"/>
            <w:lang w:val="sl-SI"/>
          </w:rPr>
          <w:t>13/18</w:t>
        </w:r>
      </w:hyperlink>
      <w:r w:rsidR="00766AC5" w:rsidRPr="00766AC5">
        <w:rPr>
          <w:rFonts w:eastAsia="Calibri" w:cs="Arial"/>
          <w:szCs w:val="20"/>
          <w:lang w:val="sl-SI"/>
        </w:rPr>
        <w:t xml:space="preserve"> – ZJF-H, </w:t>
      </w:r>
      <w:hyperlink r:id="rId24" w:tgtFrame="_blank" w:tooltip="Zakon o spremembah in dopolnitvah Zakona o davčnem postopku" w:history="1">
        <w:r w:rsidR="00766AC5" w:rsidRPr="00766AC5">
          <w:rPr>
            <w:rFonts w:eastAsia="Calibri" w:cs="Arial"/>
            <w:szCs w:val="20"/>
            <w:lang w:val="sl-SI"/>
          </w:rPr>
          <w:t>36/19</w:t>
        </w:r>
      </w:hyperlink>
      <w:r w:rsidR="00766AC5" w:rsidRPr="00766AC5">
        <w:rPr>
          <w:rFonts w:eastAsia="Calibri" w:cs="Arial"/>
          <w:szCs w:val="20"/>
          <w:lang w:val="sl-SI"/>
        </w:rPr>
        <w:t xml:space="preserve">, </w:t>
      </w:r>
      <w:hyperlink r:id="rId25" w:tgtFrame="_blank" w:tooltip="Zakon o spremembah in dopolnitvah Zakona o davčnem postopku" w:history="1">
        <w:r w:rsidR="00766AC5" w:rsidRPr="00766AC5">
          <w:rPr>
            <w:rFonts w:eastAsia="Calibri" w:cs="Arial"/>
            <w:szCs w:val="20"/>
            <w:lang w:val="sl-SI"/>
          </w:rPr>
          <w:t>66/19</w:t>
        </w:r>
      </w:hyperlink>
      <w:r w:rsidR="00766AC5" w:rsidRPr="00766AC5">
        <w:rPr>
          <w:rFonts w:eastAsia="Calibri" w:cs="Arial"/>
          <w:szCs w:val="20"/>
          <w:lang w:val="sl-SI"/>
        </w:rPr>
        <w:t xml:space="preserve">, </w:t>
      </w:r>
      <w:hyperlink r:id="rId26" w:tgtFrame="_blank" w:tooltip="Odločba o delni razveljavitvi četrtega in tretjega odstavka 68.a člena Zakona o davčnem postopku" w:history="1">
        <w:r w:rsidR="00766AC5" w:rsidRPr="00766AC5">
          <w:rPr>
            <w:rFonts w:eastAsia="Calibri" w:cs="Arial"/>
            <w:szCs w:val="20"/>
            <w:lang w:val="sl-SI"/>
          </w:rPr>
          <w:t>145/20</w:t>
        </w:r>
      </w:hyperlink>
      <w:r w:rsidR="00766AC5" w:rsidRPr="00766AC5">
        <w:rPr>
          <w:rFonts w:eastAsia="Calibri" w:cs="Arial"/>
          <w:szCs w:val="20"/>
          <w:lang w:val="sl-SI"/>
        </w:rPr>
        <w:t xml:space="preserve"> – odl. US, </w:t>
      </w:r>
      <w:hyperlink r:id="rId27" w:tgtFrame="_blank" w:tooltip="Zakon o interventnih ukrepih za pomoč pri omilitvi posledic drugega vala epidemije COVID-19" w:history="1">
        <w:r w:rsidR="00766AC5" w:rsidRPr="00766AC5">
          <w:rPr>
            <w:rFonts w:eastAsia="Calibri" w:cs="Arial"/>
            <w:szCs w:val="20"/>
            <w:lang w:val="sl-SI"/>
          </w:rPr>
          <w:t>203/20</w:t>
        </w:r>
      </w:hyperlink>
      <w:r w:rsidR="00766AC5" w:rsidRPr="00766AC5">
        <w:rPr>
          <w:rFonts w:eastAsia="Calibri" w:cs="Arial"/>
          <w:szCs w:val="20"/>
          <w:lang w:val="sl-SI"/>
        </w:rPr>
        <w:t xml:space="preserve"> – ZIUPOPDVE, </w:t>
      </w:r>
      <w:hyperlink r:id="rId28" w:tgtFrame="_blank" w:tooltip="Zakon o spremembah in dopolnitvah Zakona o finančni upravi" w:history="1">
        <w:r w:rsidR="00766AC5" w:rsidRPr="00766AC5">
          <w:rPr>
            <w:rFonts w:eastAsia="Calibri" w:cs="Arial"/>
            <w:szCs w:val="20"/>
            <w:lang w:val="sl-SI"/>
          </w:rPr>
          <w:t>39/22</w:t>
        </w:r>
      </w:hyperlink>
      <w:r w:rsidR="00766AC5" w:rsidRPr="00766AC5">
        <w:rPr>
          <w:rFonts w:eastAsia="Calibri" w:cs="Arial"/>
          <w:szCs w:val="20"/>
          <w:lang w:val="sl-SI"/>
        </w:rPr>
        <w:t xml:space="preserve"> – ZFU-A, </w:t>
      </w:r>
      <w:hyperlink r:id="rId29" w:tgtFrame="_blank" w:tooltip="Odločba o delni razveljavitvi petega odstavka 20. člena Zakona o davčnem postopku in o razveljavitvi sodbe Upravnega sodišča" w:history="1">
        <w:r w:rsidR="00766AC5" w:rsidRPr="00766AC5">
          <w:rPr>
            <w:rFonts w:eastAsia="Calibri" w:cs="Arial"/>
            <w:szCs w:val="20"/>
            <w:lang w:val="sl-SI"/>
          </w:rPr>
          <w:t>52/22</w:t>
        </w:r>
      </w:hyperlink>
      <w:r w:rsidR="00766AC5" w:rsidRPr="00766AC5">
        <w:rPr>
          <w:rFonts w:eastAsia="Calibri" w:cs="Arial"/>
          <w:szCs w:val="20"/>
          <w:lang w:val="sl-SI"/>
        </w:rPr>
        <w:t xml:space="preserve"> – odl. US, </w:t>
      </w:r>
      <w:hyperlink r:id="rId30" w:tgtFrame="_blank" w:tooltip="Odločba o ugotovitvi, da je druga poved prvega odstavka 148. člena Zakona o davčnem postopku v neskladju z Ustavo" w:history="1">
        <w:r w:rsidR="00766AC5" w:rsidRPr="00766AC5">
          <w:rPr>
            <w:rFonts w:eastAsia="Calibri" w:cs="Arial"/>
            <w:szCs w:val="20"/>
            <w:lang w:val="sl-SI"/>
          </w:rPr>
          <w:t>87/22</w:t>
        </w:r>
      </w:hyperlink>
      <w:r w:rsidR="00766AC5" w:rsidRPr="00766AC5">
        <w:rPr>
          <w:rFonts w:eastAsia="Calibri" w:cs="Arial"/>
          <w:szCs w:val="20"/>
          <w:lang w:val="sl-SI"/>
        </w:rPr>
        <w:t xml:space="preserve"> – odl. US, </w:t>
      </w:r>
      <w:hyperlink r:id="rId31" w:tgtFrame="_blank" w:tooltip="Zakon o spremembah in dopolnitvah Zakona o davčnem postopku" w:history="1">
        <w:r w:rsidR="00766AC5" w:rsidRPr="00766AC5">
          <w:rPr>
            <w:rFonts w:eastAsia="Calibri" w:cs="Arial"/>
            <w:szCs w:val="20"/>
            <w:lang w:val="sl-SI"/>
          </w:rPr>
          <w:t>163/22</w:t>
        </w:r>
      </w:hyperlink>
      <w:r w:rsidR="00766AC5" w:rsidRPr="00766AC5">
        <w:rPr>
          <w:rFonts w:eastAsia="Calibri" w:cs="Arial"/>
          <w:szCs w:val="20"/>
          <w:lang w:val="sl-SI"/>
        </w:rPr>
        <w:t xml:space="preserve">, </w:t>
      </w:r>
      <w:hyperlink r:id="rId32" w:tgtFrame="_blank" w:tooltip="Odločba o ugotovitvi, da je Zakon o davčnem postopku v neskladju z Ustavo" w:history="1">
        <w:r w:rsidR="00766AC5" w:rsidRPr="00766AC5">
          <w:rPr>
            <w:rFonts w:eastAsia="Calibri" w:cs="Arial"/>
            <w:szCs w:val="20"/>
            <w:lang w:val="sl-SI"/>
          </w:rPr>
          <w:t>109/23</w:t>
        </w:r>
      </w:hyperlink>
      <w:r w:rsidR="00766AC5" w:rsidRPr="00766AC5">
        <w:rPr>
          <w:rFonts w:eastAsia="Calibri" w:cs="Arial"/>
          <w:szCs w:val="20"/>
          <w:lang w:val="sl-SI"/>
        </w:rPr>
        <w:t xml:space="preserve"> – odl. US in </w:t>
      </w:r>
      <w:hyperlink r:id="rId33" w:tgtFrame="_blank" w:tooltip="Zakon o obnovi, razvoju in zagotavljanju finančnih sredstev" w:history="1">
        <w:r w:rsidR="00766AC5" w:rsidRPr="00766AC5">
          <w:rPr>
            <w:rFonts w:eastAsia="Calibri" w:cs="Arial"/>
            <w:szCs w:val="20"/>
            <w:lang w:val="sl-SI"/>
          </w:rPr>
          <w:t>131/23</w:t>
        </w:r>
      </w:hyperlink>
      <w:r w:rsidR="00766AC5" w:rsidRPr="00766AC5">
        <w:rPr>
          <w:rFonts w:eastAsia="Calibri" w:cs="Arial"/>
          <w:szCs w:val="20"/>
          <w:lang w:val="sl-SI"/>
        </w:rPr>
        <w:t xml:space="preserve"> – ZORZFS)</w:t>
      </w:r>
      <w:r w:rsidR="00766AC5" w:rsidRPr="00766AC5">
        <w:rPr>
          <w:rFonts w:cs="Arial"/>
          <w:szCs w:val="20"/>
          <w:lang w:val="sl-SI"/>
        </w:rPr>
        <w:t xml:space="preserve">, ZIN ter drugimi posameznimi predpisi, ki opredeljujejo pristojnost nadzora FURS (npr. Zakon o igrah na srečo </w:t>
      </w:r>
      <w:r w:rsidR="00766AC5" w:rsidRPr="00766AC5">
        <w:rPr>
          <w:rFonts w:eastAsia="Calibri" w:cs="Arial"/>
          <w:szCs w:val="20"/>
          <w:lang w:val="sl-SI"/>
        </w:rPr>
        <w:t xml:space="preserve">(Uradni list RS, št. </w:t>
      </w:r>
      <w:hyperlink r:id="rId34" w:tgtFrame="_blank" w:tooltip="Zakon o igrah na srečo (uradno prečiščeno besedilo)" w:history="1">
        <w:r w:rsidR="00766AC5" w:rsidRPr="00766AC5">
          <w:rPr>
            <w:rFonts w:eastAsia="Calibri" w:cs="Arial"/>
            <w:szCs w:val="20"/>
            <w:lang w:val="sl-SI"/>
          </w:rPr>
          <w:t>14/11</w:t>
        </w:r>
      </w:hyperlink>
      <w:r w:rsidR="00766AC5" w:rsidRPr="00766AC5">
        <w:rPr>
          <w:rFonts w:eastAsia="Calibri" w:cs="Arial"/>
          <w:szCs w:val="20"/>
          <w:lang w:val="sl-SI"/>
        </w:rPr>
        <w:t xml:space="preserve"> – uradno prečiščeno besedilo, </w:t>
      </w:r>
      <w:hyperlink r:id="rId35" w:tgtFrame="_blank" w:tooltip="Zakon o spremembah in dopolnitvah Zakona o igrah na srečo" w:history="1">
        <w:r w:rsidR="00766AC5" w:rsidRPr="00766AC5">
          <w:rPr>
            <w:rFonts w:eastAsia="Calibri" w:cs="Arial"/>
            <w:szCs w:val="20"/>
            <w:lang w:val="sl-SI"/>
          </w:rPr>
          <w:t>108/12</w:t>
        </w:r>
      </w:hyperlink>
      <w:r w:rsidR="00766AC5" w:rsidRPr="00766AC5">
        <w:rPr>
          <w:rFonts w:eastAsia="Calibri" w:cs="Arial"/>
          <w:szCs w:val="20"/>
          <w:lang w:val="sl-SI"/>
        </w:rPr>
        <w:t xml:space="preserve">, </w:t>
      </w:r>
      <w:hyperlink r:id="rId36" w:tgtFrame="_blank" w:tooltip="Popravek zaporednih številk objavljenih aktov v neuradni HTML obliki" w:history="1">
        <w:r w:rsidR="00766AC5" w:rsidRPr="00766AC5">
          <w:rPr>
            <w:rFonts w:eastAsia="Calibri" w:cs="Arial"/>
            <w:szCs w:val="20"/>
            <w:lang w:val="sl-SI"/>
          </w:rPr>
          <w:t>11/14 – popr.</w:t>
        </w:r>
      </w:hyperlink>
      <w:r w:rsidR="00766AC5" w:rsidRPr="00766AC5">
        <w:rPr>
          <w:rFonts w:eastAsia="Calibri" w:cs="Arial"/>
          <w:szCs w:val="20"/>
          <w:lang w:val="sl-SI"/>
        </w:rPr>
        <w:t xml:space="preserve"> in </w:t>
      </w:r>
      <w:hyperlink r:id="rId37" w:tgtFrame="_blank" w:tooltip="Zakon o spremembah in dopolnitvah Zakona o inšpekcijskem nadzoru" w:history="1">
        <w:r w:rsidR="00766AC5" w:rsidRPr="00766AC5">
          <w:rPr>
            <w:rFonts w:eastAsia="Calibri" w:cs="Arial"/>
            <w:szCs w:val="20"/>
            <w:lang w:val="sl-SI"/>
          </w:rPr>
          <w:t>40/14</w:t>
        </w:r>
      </w:hyperlink>
      <w:r w:rsidR="00766AC5" w:rsidRPr="00766AC5">
        <w:rPr>
          <w:rFonts w:eastAsia="Calibri" w:cs="Arial"/>
          <w:szCs w:val="20"/>
          <w:lang w:val="sl-SI"/>
        </w:rPr>
        <w:t xml:space="preserve"> – ZIN-B)</w:t>
      </w:r>
      <w:r w:rsidR="00766AC5" w:rsidRPr="00766AC5">
        <w:rPr>
          <w:rFonts w:cs="Arial"/>
          <w:szCs w:val="20"/>
          <w:lang w:val="sl-SI"/>
        </w:rPr>
        <w:t xml:space="preserve">, Zakon o preprečevanju pranja denarja in financiranja terorizma </w:t>
      </w:r>
      <w:r w:rsidR="00766AC5" w:rsidRPr="00766AC5">
        <w:rPr>
          <w:rFonts w:eastAsia="Calibri" w:cs="Arial"/>
          <w:szCs w:val="20"/>
          <w:lang w:val="sl-SI"/>
        </w:rPr>
        <w:t xml:space="preserve">(Uradni list RS, št. </w:t>
      </w:r>
      <w:hyperlink r:id="rId38" w:tgtFrame="_blank" w:tooltip="Zakon o preprečevanju pranja denarja in financiranja terorizma (ZPPDFT-2)" w:history="1">
        <w:r w:rsidR="00766AC5" w:rsidRPr="00766AC5">
          <w:rPr>
            <w:rFonts w:eastAsia="Calibri" w:cs="Arial"/>
            <w:szCs w:val="20"/>
            <w:lang w:val="sl-SI"/>
          </w:rPr>
          <w:t>48/22</w:t>
        </w:r>
      </w:hyperlink>
      <w:r w:rsidR="00766AC5" w:rsidRPr="00766AC5">
        <w:rPr>
          <w:rFonts w:eastAsia="Calibri" w:cs="Arial"/>
          <w:szCs w:val="20"/>
          <w:lang w:val="sl-SI"/>
        </w:rPr>
        <w:t xml:space="preserve"> in </w:t>
      </w:r>
      <w:hyperlink r:id="rId39" w:tgtFrame="_blank" w:tooltip="Zakon o spremembah in dopolnitvah Zakona o preprečevanju pranja denarja in financiranja terorizma" w:history="1">
        <w:r w:rsidR="00766AC5" w:rsidRPr="00766AC5">
          <w:rPr>
            <w:rFonts w:eastAsia="Calibri" w:cs="Arial"/>
            <w:szCs w:val="20"/>
            <w:lang w:val="sl-SI"/>
          </w:rPr>
          <w:t>145/22</w:t>
        </w:r>
      </w:hyperlink>
      <w:r w:rsidR="00766AC5" w:rsidRPr="00766AC5">
        <w:rPr>
          <w:rFonts w:eastAsia="Calibri" w:cs="Arial"/>
          <w:szCs w:val="20"/>
          <w:lang w:val="sl-SI"/>
        </w:rPr>
        <w:t>))</w:t>
      </w:r>
      <w:r w:rsidR="00766AC5" w:rsidRPr="00766AC5">
        <w:rPr>
          <w:rFonts w:cs="Arial"/>
          <w:szCs w:val="20"/>
          <w:lang w:val="sl-SI"/>
        </w:rPr>
        <w:t xml:space="preserve">, predpisi, ki urejajo izvajanje posebnih ukrepov za preprečitev in odpravo posledic, prejetih pomoči in oprostitev zaradi epidemije, naravnih nesreč, energetskih pomoči, Zakonu o gozdovih </w:t>
      </w:r>
      <w:r w:rsidR="00766AC5" w:rsidRPr="00766AC5">
        <w:rPr>
          <w:rFonts w:eastAsia="Calibri" w:cs="Arial"/>
          <w:szCs w:val="20"/>
          <w:lang w:val="sl-SI"/>
        </w:rPr>
        <w:t xml:space="preserve">(Uradni list RS, št. </w:t>
      </w:r>
      <w:hyperlink r:id="rId40" w:tgtFrame="_blank" w:tooltip="Zakon o gozdovih (ZG)" w:history="1">
        <w:r w:rsidR="00766AC5" w:rsidRPr="00766AC5">
          <w:rPr>
            <w:rFonts w:eastAsia="Calibri" w:cs="Arial"/>
            <w:szCs w:val="20"/>
            <w:lang w:val="sl-SI"/>
          </w:rPr>
          <w:t>30/93</w:t>
        </w:r>
      </w:hyperlink>
      <w:r w:rsidR="00766AC5" w:rsidRPr="00766AC5">
        <w:rPr>
          <w:rFonts w:eastAsia="Calibri" w:cs="Arial"/>
          <w:szCs w:val="20"/>
          <w:lang w:val="sl-SI"/>
        </w:rPr>
        <w:t xml:space="preserve">, </w:t>
      </w:r>
      <w:hyperlink r:id="rId41" w:tgtFrame="_blank" w:tooltip="Zakon o ohranjanju narave" w:history="1">
        <w:r w:rsidR="00766AC5" w:rsidRPr="00766AC5">
          <w:rPr>
            <w:rFonts w:eastAsia="Calibri" w:cs="Arial"/>
            <w:szCs w:val="20"/>
            <w:lang w:val="sl-SI"/>
          </w:rPr>
          <w:t>56/99</w:t>
        </w:r>
      </w:hyperlink>
      <w:r w:rsidR="00766AC5" w:rsidRPr="00766AC5">
        <w:rPr>
          <w:rFonts w:eastAsia="Calibri" w:cs="Arial"/>
          <w:szCs w:val="20"/>
          <w:lang w:val="sl-SI"/>
        </w:rPr>
        <w:t xml:space="preserve"> – ZON, </w:t>
      </w:r>
      <w:hyperlink r:id="rId42" w:tgtFrame="_blank" w:tooltip="Zakon o spremembah in dopolnitvah zakona o gozdovih" w:history="1">
        <w:r w:rsidR="00766AC5" w:rsidRPr="00766AC5">
          <w:rPr>
            <w:rFonts w:eastAsia="Calibri" w:cs="Arial"/>
            <w:szCs w:val="20"/>
            <w:lang w:val="sl-SI"/>
          </w:rPr>
          <w:t>67/02</w:t>
        </w:r>
      </w:hyperlink>
      <w:r w:rsidR="00766AC5" w:rsidRPr="00766AC5">
        <w:rPr>
          <w:rFonts w:eastAsia="Calibri" w:cs="Arial"/>
          <w:szCs w:val="20"/>
          <w:lang w:val="sl-SI"/>
        </w:rPr>
        <w:t xml:space="preserve">, </w:t>
      </w:r>
      <w:hyperlink r:id="rId43" w:tgtFrame="_blank" w:tooltip="Zakon o graditvi objektov" w:history="1">
        <w:r w:rsidR="00766AC5" w:rsidRPr="00766AC5">
          <w:rPr>
            <w:rFonts w:eastAsia="Calibri" w:cs="Arial"/>
            <w:szCs w:val="20"/>
            <w:lang w:val="sl-SI"/>
          </w:rPr>
          <w:t>110/02</w:t>
        </w:r>
      </w:hyperlink>
      <w:r w:rsidR="00766AC5" w:rsidRPr="00766AC5">
        <w:rPr>
          <w:rFonts w:eastAsia="Calibri" w:cs="Arial"/>
          <w:szCs w:val="20"/>
          <w:lang w:val="sl-SI"/>
        </w:rPr>
        <w:t xml:space="preserve"> – ZGO-1, </w:t>
      </w:r>
      <w:hyperlink r:id="rId44" w:tgtFrame="_blank" w:tooltip="Avtentična razlaga prvega odstavka 40. člena Zakona o gozdovih" w:history="1">
        <w:r w:rsidR="00766AC5" w:rsidRPr="00766AC5">
          <w:rPr>
            <w:rFonts w:eastAsia="Calibri" w:cs="Arial"/>
            <w:szCs w:val="20"/>
            <w:lang w:val="sl-SI"/>
          </w:rPr>
          <w:t>115/06</w:t>
        </w:r>
      </w:hyperlink>
      <w:r w:rsidR="00766AC5" w:rsidRPr="00766AC5">
        <w:rPr>
          <w:rFonts w:eastAsia="Calibri" w:cs="Arial"/>
          <w:szCs w:val="20"/>
          <w:lang w:val="sl-SI"/>
        </w:rPr>
        <w:t xml:space="preserve"> – ORZG40, </w:t>
      </w:r>
      <w:hyperlink r:id="rId45" w:tgtFrame="_blank" w:tooltip="Zakon o spremembah in dopolnitvah Zakona o gozdovih" w:history="1">
        <w:r w:rsidR="00766AC5" w:rsidRPr="00766AC5">
          <w:rPr>
            <w:rFonts w:eastAsia="Calibri" w:cs="Arial"/>
            <w:szCs w:val="20"/>
            <w:lang w:val="sl-SI"/>
          </w:rPr>
          <w:t>110/07</w:t>
        </w:r>
      </w:hyperlink>
      <w:r w:rsidR="00766AC5" w:rsidRPr="00766AC5">
        <w:rPr>
          <w:rFonts w:eastAsia="Calibri" w:cs="Arial"/>
          <w:szCs w:val="20"/>
          <w:lang w:val="sl-SI"/>
        </w:rPr>
        <w:t xml:space="preserve">, </w:t>
      </w:r>
      <w:hyperlink r:id="rId46" w:tgtFrame="_blank" w:tooltip="Zakon o spremembi in dopolnitvi Zakona o gozdovih" w:history="1">
        <w:r w:rsidR="00766AC5" w:rsidRPr="00766AC5">
          <w:rPr>
            <w:rFonts w:eastAsia="Calibri" w:cs="Arial"/>
            <w:szCs w:val="20"/>
            <w:lang w:val="sl-SI"/>
          </w:rPr>
          <w:t>106/10</w:t>
        </w:r>
      </w:hyperlink>
      <w:r w:rsidR="00766AC5" w:rsidRPr="00766AC5">
        <w:rPr>
          <w:rFonts w:eastAsia="Calibri" w:cs="Arial"/>
          <w:szCs w:val="20"/>
          <w:lang w:val="sl-SI"/>
        </w:rPr>
        <w:t xml:space="preserve">, </w:t>
      </w:r>
      <w:hyperlink r:id="rId47" w:tgtFrame="_blank" w:tooltip="Zakon o spremembah in dopolnitvah Zakona o gozdovih" w:history="1">
        <w:r w:rsidR="00766AC5" w:rsidRPr="00766AC5">
          <w:rPr>
            <w:rFonts w:eastAsia="Calibri" w:cs="Arial"/>
            <w:szCs w:val="20"/>
            <w:lang w:val="sl-SI"/>
          </w:rPr>
          <w:t>63/13</w:t>
        </w:r>
      </w:hyperlink>
      <w:r w:rsidR="00766AC5" w:rsidRPr="00766AC5">
        <w:rPr>
          <w:rFonts w:eastAsia="Calibri" w:cs="Arial"/>
          <w:szCs w:val="20"/>
          <w:lang w:val="sl-SI"/>
        </w:rPr>
        <w:t xml:space="preserve">, </w:t>
      </w:r>
      <w:hyperlink r:id="rId48" w:tgtFrame="_blank" w:tooltip="Zakon o davku na nepremičnine" w:history="1">
        <w:r w:rsidR="00766AC5" w:rsidRPr="00766AC5">
          <w:rPr>
            <w:rFonts w:eastAsia="Calibri" w:cs="Arial"/>
            <w:szCs w:val="20"/>
            <w:lang w:val="sl-SI"/>
          </w:rPr>
          <w:t>101/13</w:t>
        </w:r>
      </w:hyperlink>
      <w:r w:rsidR="00766AC5" w:rsidRPr="00766AC5">
        <w:rPr>
          <w:rFonts w:eastAsia="Calibri" w:cs="Arial"/>
          <w:szCs w:val="20"/>
          <w:lang w:val="sl-SI"/>
        </w:rPr>
        <w:t xml:space="preserve"> – ZDavNepr, </w:t>
      </w:r>
      <w:hyperlink r:id="rId49" w:tgtFrame="_blank" w:tooltip="Zakon o spremembah in dopolnitvah Zakona o gozdovih" w:history="1">
        <w:r w:rsidR="00766AC5" w:rsidRPr="00766AC5">
          <w:rPr>
            <w:rFonts w:eastAsia="Calibri" w:cs="Arial"/>
            <w:szCs w:val="20"/>
            <w:lang w:val="sl-SI"/>
          </w:rPr>
          <w:t>17/14</w:t>
        </w:r>
      </w:hyperlink>
      <w:r w:rsidR="00766AC5" w:rsidRPr="00766AC5">
        <w:rPr>
          <w:rFonts w:eastAsia="Calibri" w:cs="Arial"/>
          <w:szCs w:val="20"/>
          <w:lang w:val="sl-SI"/>
        </w:rPr>
        <w:t xml:space="preserve">, </w:t>
      </w:r>
      <w:hyperlink r:id="rId50" w:tgtFrame="_blank" w:tooltip="Odločba o razveljavitvi Zakona o davku na nepremičnine in o ugotovitvi, da je Zakon o množičnem vrednotenju, kolikor se nanaša na množično vrednotenje nepremičnin zaradi obdavčevanja nepremičnin, v neskladju z Ustavo" w:history="1">
        <w:r w:rsidR="00766AC5" w:rsidRPr="00766AC5">
          <w:rPr>
            <w:rFonts w:eastAsia="Calibri" w:cs="Arial"/>
            <w:szCs w:val="20"/>
            <w:lang w:val="sl-SI"/>
          </w:rPr>
          <w:t>22/14</w:t>
        </w:r>
      </w:hyperlink>
      <w:r w:rsidR="00766AC5" w:rsidRPr="00766AC5">
        <w:rPr>
          <w:rFonts w:eastAsia="Calibri" w:cs="Arial"/>
          <w:szCs w:val="20"/>
          <w:lang w:val="sl-SI"/>
        </w:rPr>
        <w:t xml:space="preserve"> – odl. US, </w:t>
      </w:r>
      <w:hyperlink r:id="rId51" w:tgtFrame="_blank" w:tooltip="Zakon o spremembah Zakona o gozdovih" w:history="1">
        <w:r w:rsidR="00766AC5" w:rsidRPr="00766AC5">
          <w:rPr>
            <w:rFonts w:eastAsia="Calibri" w:cs="Arial"/>
            <w:szCs w:val="20"/>
            <w:lang w:val="sl-SI"/>
          </w:rPr>
          <w:t>24/15</w:t>
        </w:r>
      </w:hyperlink>
      <w:r w:rsidR="00766AC5" w:rsidRPr="00766AC5">
        <w:rPr>
          <w:rFonts w:eastAsia="Calibri" w:cs="Arial"/>
          <w:szCs w:val="20"/>
          <w:lang w:val="sl-SI"/>
        </w:rPr>
        <w:t xml:space="preserve">, </w:t>
      </w:r>
      <w:hyperlink r:id="rId52" w:tgtFrame="_blank" w:tooltip="Zakon o gospodarjenju z gozdovi v lasti Republike Slovenije" w:history="1">
        <w:r w:rsidR="00766AC5" w:rsidRPr="00766AC5">
          <w:rPr>
            <w:rFonts w:eastAsia="Calibri" w:cs="Arial"/>
            <w:szCs w:val="20"/>
            <w:lang w:val="sl-SI"/>
          </w:rPr>
          <w:t>9/16</w:t>
        </w:r>
      </w:hyperlink>
      <w:r w:rsidR="00766AC5" w:rsidRPr="00766AC5">
        <w:rPr>
          <w:rFonts w:eastAsia="Calibri" w:cs="Arial"/>
          <w:szCs w:val="20"/>
          <w:lang w:val="sl-SI"/>
        </w:rPr>
        <w:t xml:space="preserve"> – ZGGLRS, </w:t>
      </w:r>
      <w:hyperlink r:id="rId53" w:tgtFrame="_blank" w:tooltip="Zakon o spremembah in dopolnitvah Zakona o gozdovih" w:history="1">
        <w:r w:rsidR="00766AC5" w:rsidRPr="00766AC5">
          <w:rPr>
            <w:rFonts w:eastAsia="Calibri" w:cs="Arial"/>
            <w:szCs w:val="20"/>
            <w:lang w:val="sl-SI"/>
          </w:rPr>
          <w:t>77/16</w:t>
        </w:r>
      </w:hyperlink>
      <w:r w:rsidR="00766AC5" w:rsidRPr="00766AC5">
        <w:rPr>
          <w:rFonts w:eastAsia="Calibri" w:cs="Arial"/>
          <w:szCs w:val="20"/>
          <w:lang w:val="sl-SI"/>
        </w:rPr>
        <w:t xml:space="preserve"> in </w:t>
      </w:r>
      <w:hyperlink r:id="rId54" w:tgtFrame="_blank" w:tooltip="Zakon o uvajanju naprav za proizvodnjo električne energije iz obnovljivih virov energije" w:history="1">
        <w:r w:rsidR="00766AC5" w:rsidRPr="00766AC5">
          <w:rPr>
            <w:rFonts w:eastAsia="Calibri" w:cs="Arial"/>
            <w:szCs w:val="20"/>
            <w:lang w:val="sl-SI"/>
          </w:rPr>
          <w:t>78/23</w:t>
        </w:r>
      </w:hyperlink>
      <w:r w:rsidR="00766AC5" w:rsidRPr="00766AC5">
        <w:rPr>
          <w:rFonts w:eastAsia="Calibri" w:cs="Arial"/>
          <w:szCs w:val="20"/>
          <w:lang w:val="sl-SI"/>
        </w:rPr>
        <w:t xml:space="preserve"> – ZUNPEOVE; v nadaljnjem besedilu: Zakon o gozdovih)</w:t>
      </w:r>
      <w:r w:rsidR="00766AC5" w:rsidRPr="00766AC5">
        <w:rPr>
          <w:rFonts w:ascii="Calibri" w:eastAsia="Calibri" w:hAnsi="Calibri"/>
          <w:sz w:val="22"/>
          <w:szCs w:val="22"/>
          <w:lang w:val="sl-SI"/>
        </w:rPr>
        <w:t xml:space="preserve"> </w:t>
      </w:r>
      <w:r w:rsidR="00766AC5" w:rsidRPr="00766AC5">
        <w:rPr>
          <w:rFonts w:cs="Arial"/>
          <w:szCs w:val="20"/>
          <w:lang w:val="sl-SI"/>
        </w:rPr>
        <w:t xml:space="preserve">ipd. </w:t>
      </w:r>
      <w:r w:rsidRPr="00094AC0">
        <w:rPr>
          <w:rFonts w:cs="Arial"/>
          <w:szCs w:val="20"/>
          <w:lang w:val="sl-SI"/>
        </w:rPr>
        <w:t>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14:paraId="2C9005C3" w14:textId="77777777" w:rsidR="00546B19" w:rsidRPr="00094AC0" w:rsidRDefault="00546B19" w:rsidP="00094AC0">
      <w:pPr>
        <w:spacing w:line="260" w:lineRule="exact"/>
        <w:jc w:val="both"/>
        <w:rPr>
          <w:rFonts w:cs="Arial"/>
          <w:szCs w:val="20"/>
          <w:lang w:val="sl-SI"/>
        </w:rPr>
      </w:pPr>
    </w:p>
    <w:p w14:paraId="2C39D718" w14:textId="4B01B0EA" w:rsidR="00546B19" w:rsidRPr="00094AC0" w:rsidRDefault="00546B19" w:rsidP="00094AC0">
      <w:pPr>
        <w:spacing w:line="260" w:lineRule="exact"/>
        <w:jc w:val="both"/>
        <w:rPr>
          <w:rFonts w:cs="Arial"/>
          <w:szCs w:val="20"/>
          <w:lang w:val="sl-SI"/>
        </w:rPr>
      </w:pPr>
      <w:r w:rsidRPr="00094AC0">
        <w:rPr>
          <w:rFonts w:cs="Arial"/>
          <w:szCs w:val="20"/>
          <w:lang w:val="sl-SI"/>
        </w:rPr>
        <w:t xml:space="preserve">Skladno z novo Strategijo Finančne uprave RS 2021 – 2025 bo FURS z namenom zagotavljanja višje ravni davčne skladnosti prednostno obravnaval ključna tveganja in spodbujal zavezance k prostovoljnemu plačevanju njihovih obveznosti.  </w:t>
      </w:r>
    </w:p>
    <w:p w14:paraId="41FD889D" w14:textId="77777777" w:rsidR="00546B19" w:rsidRPr="00094AC0" w:rsidRDefault="00546B19" w:rsidP="00094AC0">
      <w:pPr>
        <w:spacing w:line="260" w:lineRule="exact"/>
        <w:jc w:val="both"/>
        <w:rPr>
          <w:rFonts w:cs="Arial"/>
          <w:szCs w:val="20"/>
          <w:lang w:val="sl-SI"/>
        </w:rPr>
      </w:pPr>
    </w:p>
    <w:p w14:paraId="56E15636" w14:textId="2CDACD10" w:rsidR="00546B19" w:rsidRPr="00094AC0" w:rsidRDefault="00546B19" w:rsidP="00094AC0">
      <w:pPr>
        <w:autoSpaceDE w:val="0"/>
        <w:autoSpaceDN w:val="0"/>
        <w:spacing w:line="260" w:lineRule="exact"/>
        <w:jc w:val="both"/>
        <w:rPr>
          <w:rFonts w:cs="Arial"/>
          <w:szCs w:val="20"/>
          <w:lang w:val="sl-SI"/>
        </w:rPr>
      </w:pPr>
      <w:bookmarkStart w:id="0" w:name="_Hlk92895356"/>
      <w:r w:rsidRPr="00094AC0">
        <w:rPr>
          <w:rFonts w:cs="Arial"/>
          <w:szCs w:val="20"/>
          <w:lang w:val="sl-SI"/>
        </w:rPr>
        <w:t xml:space="preserve">Nadzor na področju </w:t>
      </w:r>
      <w:r w:rsidRPr="00094AC0">
        <w:rPr>
          <w:rFonts w:cs="Arial"/>
          <w:b/>
          <w:szCs w:val="20"/>
          <w:lang w:val="sl-SI"/>
        </w:rPr>
        <w:t>DDV</w:t>
      </w:r>
      <w:r w:rsidRPr="00094AC0">
        <w:rPr>
          <w:rFonts w:cs="Arial"/>
          <w:szCs w:val="20"/>
          <w:lang w:val="sl-SI"/>
        </w:rPr>
        <w:t xml:space="preserve"> bo usmerjen predvsem v odkrivanje sistemskih utaj DDV (t.i. MTIC utaj DDV oz. davčnih vrtiljakov), pri čemer bo pomemben vidik mednarodna izmenjava podatkov. Zaradi preprečevanja tovrstnih utaj bo nadzor usmerjen tudi na t.i. speče družbe (neaktivne družbe z veljavno ID št. za DDV</w:t>
      </w:r>
      <w:r w:rsidR="007258B0">
        <w:rPr>
          <w:rFonts w:cs="Arial"/>
          <w:szCs w:val="20"/>
          <w:lang w:val="sl-SI"/>
        </w:rPr>
        <w:t xml:space="preserve">). </w:t>
      </w:r>
      <w:r w:rsidR="00CE3992" w:rsidRPr="00094AC0">
        <w:rPr>
          <w:rFonts w:cs="Arial"/>
          <w:szCs w:val="20"/>
          <w:lang w:val="sl-SI"/>
        </w:rPr>
        <w:t>Večja pozornost bo posvečena tudi preverjanju skladnosti podatkov carinskih deklaracij in s tem povezanih oproščenih dobav v druge države članice v okviru carinskega postopka 42.</w:t>
      </w:r>
    </w:p>
    <w:p w14:paraId="1DB534B4" w14:textId="77777777" w:rsidR="00546B19" w:rsidRPr="00094AC0" w:rsidRDefault="00546B19" w:rsidP="00094AC0">
      <w:pPr>
        <w:autoSpaceDE w:val="0"/>
        <w:autoSpaceDN w:val="0"/>
        <w:spacing w:line="260" w:lineRule="exact"/>
        <w:jc w:val="both"/>
        <w:rPr>
          <w:rFonts w:cs="Arial"/>
          <w:szCs w:val="20"/>
          <w:lang w:val="sl-SI" w:eastAsia="sl-SI"/>
        </w:rPr>
      </w:pPr>
    </w:p>
    <w:p w14:paraId="1E9681C2" w14:textId="07945D7A" w:rsidR="00CE3992" w:rsidRPr="00094AC0" w:rsidRDefault="00546B19" w:rsidP="00094AC0">
      <w:pPr>
        <w:pStyle w:val="Default"/>
        <w:spacing w:line="260" w:lineRule="exact"/>
        <w:jc w:val="both"/>
        <w:rPr>
          <w:rFonts w:eastAsia="Times New Roman"/>
          <w:color w:val="auto"/>
          <w:sz w:val="20"/>
          <w:szCs w:val="20"/>
          <w:lang w:eastAsia="en-US"/>
        </w:rPr>
      </w:pPr>
      <w:r w:rsidRPr="00094AC0">
        <w:rPr>
          <w:color w:val="auto"/>
          <w:sz w:val="20"/>
          <w:szCs w:val="20"/>
        </w:rPr>
        <w:t xml:space="preserve">Pomemben del nadzora bo usmerjen na zavezance, ki neupravičeno uveljavljajo odbitek DDV </w:t>
      </w:r>
      <w:r w:rsidR="007258B0">
        <w:rPr>
          <w:color w:val="auto"/>
          <w:sz w:val="20"/>
          <w:szCs w:val="20"/>
        </w:rPr>
        <w:t xml:space="preserve">(fiktivni računi, zasebna raba) </w:t>
      </w:r>
      <w:r w:rsidRPr="00094AC0">
        <w:rPr>
          <w:color w:val="auto"/>
          <w:sz w:val="20"/>
          <w:szCs w:val="20"/>
        </w:rPr>
        <w:t>in na identifikacijo zavezancev</w:t>
      </w:r>
      <w:bookmarkStart w:id="1" w:name="_Hlk155873521"/>
      <w:r w:rsidR="007258B0">
        <w:rPr>
          <w:color w:val="auto"/>
          <w:sz w:val="20"/>
          <w:szCs w:val="20"/>
        </w:rPr>
        <w:t xml:space="preserve"> (neidentificirani zavezanci za DDV in zlorabe identifikacijske številke za DDV).</w:t>
      </w:r>
    </w:p>
    <w:bookmarkEnd w:id="1"/>
    <w:p w14:paraId="642E1C97" w14:textId="77777777" w:rsidR="00CE3992" w:rsidRPr="00094AC0" w:rsidRDefault="00CE3992" w:rsidP="00094AC0">
      <w:pPr>
        <w:pStyle w:val="Default"/>
        <w:spacing w:line="260" w:lineRule="exact"/>
        <w:jc w:val="both"/>
        <w:rPr>
          <w:color w:val="auto"/>
          <w:sz w:val="20"/>
          <w:szCs w:val="20"/>
        </w:rPr>
      </w:pPr>
    </w:p>
    <w:p w14:paraId="4FEA4DF5" w14:textId="3EEA6BDD" w:rsidR="00CE3992" w:rsidRDefault="00CE3992" w:rsidP="00094AC0">
      <w:pPr>
        <w:spacing w:line="260" w:lineRule="exact"/>
        <w:jc w:val="both"/>
        <w:rPr>
          <w:rFonts w:cs="Arial"/>
          <w:szCs w:val="20"/>
          <w:lang w:val="sl-SI"/>
        </w:rPr>
      </w:pPr>
      <w:r w:rsidRPr="00094AC0">
        <w:rPr>
          <w:rFonts w:cs="Arial"/>
          <w:szCs w:val="20"/>
          <w:lang w:val="sl-SI"/>
        </w:rPr>
        <w:t xml:space="preserve">V okviru aktivnosti boja zoper sivo ekonomijo bo pozornost </w:t>
      </w:r>
      <w:r w:rsidR="007258B0">
        <w:rPr>
          <w:rFonts w:cs="Arial"/>
          <w:szCs w:val="20"/>
          <w:lang w:val="sl-SI"/>
        </w:rPr>
        <w:t xml:space="preserve">usmerjena na področje </w:t>
      </w:r>
      <w:r w:rsidRPr="00094AC0">
        <w:rPr>
          <w:rFonts w:cs="Arial"/>
          <w:szCs w:val="20"/>
          <w:lang w:val="sl-SI"/>
        </w:rPr>
        <w:t>nadzor</w:t>
      </w:r>
      <w:r w:rsidR="007258B0">
        <w:rPr>
          <w:rFonts w:cs="Arial"/>
          <w:szCs w:val="20"/>
          <w:lang w:val="sl-SI"/>
        </w:rPr>
        <w:t>a</w:t>
      </w:r>
      <w:r w:rsidRPr="00094AC0">
        <w:rPr>
          <w:rFonts w:cs="Arial"/>
          <w:szCs w:val="20"/>
          <w:lang w:val="sl-SI"/>
        </w:rPr>
        <w:t xml:space="preserve"> davčnih blagajn, poslovanju preko spletnih platform ter nadzoru dela in zaposlovanja na črno. </w:t>
      </w:r>
    </w:p>
    <w:p w14:paraId="017390AF" w14:textId="77777777" w:rsidR="00766AC5" w:rsidRDefault="00766AC5" w:rsidP="00766AC5">
      <w:pPr>
        <w:spacing w:line="260" w:lineRule="exact"/>
        <w:jc w:val="both"/>
        <w:rPr>
          <w:rFonts w:cs="Arial"/>
          <w:b/>
          <w:bCs/>
          <w:szCs w:val="20"/>
          <w:lang w:val="sl-SI"/>
        </w:rPr>
      </w:pPr>
    </w:p>
    <w:p w14:paraId="11D001E3" w14:textId="3517D062" w:rsidR="00766AC5" w:rsidRPr="00094AC0" w:rsidRDefault="00766AC5" w:rsidP="00766AC5">
      <w:pPr>
        <w:spacing w:line="260" w:lineRule="exact"/>
        <w:jc w:val="both"/>
        <w:rPr>
          <w:rFonts w:cs="Arial"/>
          <w:szCs w:val="20"/>
          <w:lang w:val="sl-SI"/>
        </w:rPr>
      </w:pPr>
      <w:r w:rsidRPr="00094AC0">
        <w:rPr>
          <w:rFonts w:cs="Arial"/>
          <w:b/>
          <w:bCs/>
          <w:szCs w:val="20"/>
          <w:lang w:val="sl-SI"/>
        </w:rPr>
        <w:t>Nadzor davčnih blagajn</w:t>
      </w:r>
      <w:r w:rsidRPr="00094AC0">
        <w:rPr>
          <w:rFonts w:cs="Arial"/>
          <w:szCs w:val="20"/>
          <w:lang w:val="sl-SI"/>
        </w:rPr>
        <w:t xml:space="preserve"> bo usmerjen na zavezance, ki so zavezani k </w:t>
      </w:r>
      <w:r w:rsidRPr="00094AC0">
        <w:rPr>
          <w:rFonts w:cs="Arial"/>
          <w:b/>
          <w:bCs/>
          <w:szCs w:val="20"/>
          <w:lang w:val="sl-SI"/>
        </w:rPr>
        <w:t>davčnemu potrjevanju računov</w:t>
      </w:r>
      <w:r w:rsidRPr="00094AC0">
        <w:rPr>
          <w:rFonts w:cs="Arial"/>
          <w:szCs w:val="20"/>
          <w:lang w:val="sl-SI"/>
        </w:rPr>
        <w:t xml:space="preserve">, pri katerih se ugotavljajo neskladja med prejetimi podatki o davčno potrjenih računih in podatki predloženih davčnih obračunov. Poleg ugotavljanja pravilnosti in pravočasnosti obračunavanja in plačevanja davkov je pomemben cilj nadzorov davčnih blagajn zagotoviti, da bodo zavezanci dosledno izdajali račune za opravljen promet blaga oziroma storitev in hkrati pravilno pošiljali podatke o računih v sistem davčnih blagajn. Nadzor davčnih blagajn je </w:t>
      </w:r>
      <w:r w:rsidRPr="00094AC0">
        <w:rPr>
          <w:rFonts w:cs="Arial"/>
          <w:szCs w:val="20"/>
          <w:lang w:val="sl-SI"/>
        </w:rPr>
        <w:lastRenderedPageBreak/>
        <w:t xml:space="preserve">pomemben tudi za </w:t>
      </w:r>
      <w:r w:rsidRPr="00094AC0">
        <w:rPr>
          <w:rFonts w:cs="Arial"/>
          <w:szCs w:val="20"/>
          <w:shd w:val="clear" w:color="auto" w:fill="FFFFFF"/>
          <w:lang w:val="sl-SI"/>
        </w:rPr>
        <w:t>namene preverjanja zakonitosti </w:t>
      </w:r>
      <w:r w:rsidRPr="00094AC0">
        <w:rPr>
          <w:rFonts w:cs="Arial"/>
          <w:szCs w:val="20"/>
          <w:lang w:val="sl-SI"/>
        </w:rPr>
        <w:t xml:space="preserve">zaposlitve in dela, pravočasne identifikacije za DDV in za ugotavljanje pravilnosti obračuna davkov in prispevkov v dejavnostih, ki se pretežno opravljajo gotovinsko. </w:t>
      </w:r>
    </w:p>
    <w:p w14:paraId="43EAA767" w14:textId="77777777" w:rsidR="00766AC5" w:rsidRDefault="00766AC5" w:rsidP="00094AC0">
      <w:pPr>
        <w:spacing w:line="260" w:lineRule="exact"/>
        <w:jc w:val="both"/>
        <w:rPr>
          <w:rFonts w:cs="Arial"/>
          <w:szCs w:val="20"/>
          <w:lang w:val="sl-SI"/>
        </w:rPr>
      </w:pPr>
    </w:p>
    <w:p w14:paraId="0727BF7F" w14:textId="6EB0292D" w:rsidR="00454C04" w:rsidRDefault="00766AC5" w:rsidP="00094AC0">
      <w:pPr>
        <w:spacing w:line="260" w:lineRule="exact"/>
        <w:jc w:val="both"/>
        <w:rPr>
          <w:rFonts w:cs="Arial"/>
          <w:szCs w:val="20"/>
          <w:lang w:val="sl-SI"/>
        </w:rPr>
      </w:pPr>
      <w:r w:rsidRPr="00396A45">
        <w:rPr>
          <w:rFonts w:cs="Arial"/>
          <w:szCs w:val="20"/>
          <w:lang w:val="sl-SI"/>
        </w:rPr>
        <w:t xml:space="preserve">Pri odkrivanju zavezancev, ki </w:t>
      </w:r>
      <w:r w:rsidRPr="00396A45">
        <w:rPr>
          <w:rFonts w:cs="Arial"/>
          <w:b/>
          <w:bCs/>
          <w:szCs w:val="20"/>
          <w:lang w:val="sl-SI"/>
        </w:rPr>
        <w:t xml:space="preserve">poslujejo preko spletnih platform, </w:t>
      </w:r>
      <w:r w:rsidRPr="00396A45">
        <w:rPr>
          <w:rFonts w:cs="Arial"/>
          <w:szCs w:val="20"/>
          <w:lang w:val="sl-SI"/>
        </w:rPr>
        <w:t xml:space="preserve">bo v inšpekciji nadzor usmerjen na zavezance z visokim tveganjem, ki nimajo oz. niso imeli registrirane ustrezne dejavnosti in/ali niso napovedali prejetih dohodkov, ali pa dohodkov niso v celoti prijavili davčnemu organu. S sistematičnim pristopom na podlagi podatkov GURS ter z vpeljavo nove avtomatične izmenjave informacij (DAC7) v letu 2024 in primerjavo z razpoložljivimi podatki iz uradnih evidenc, bo izboljšana </w:t>
      </w:r>
      <w:r w:rsidR="00454C04" w:rsidRPr="00094AC0">
        <w:rPr>
          <w:rFonts w:cs="Arial"/>
          <w:szCs w:val="20"/>
          <w:lang w:val="sl-SI"/>
        </w:rPr>
        <w:t xml:space="preserve">FURS posebno pozornost ponovno namenil nadzoru </w:t>
      </w:r>
      <w:r w:rsidR="00454C04" w:rsidRPr="00094AC0">
        <w:rPr>
          <w:rFonts w:cs="Arial"/>
          <w:szCs w:val="20"/>
          <w:u w:val="single"/>
          <w:lang w:val="sl-SI"/>
        </w:rPr>
        <w:t>sobodajalcev</w:t>
      </w:r>
      <w:r w:rsidR="00454C04" w:rsidRPr="00094AC0">
        <w:rPr>
          <w:rFonts w:cs="Arial"/>
          <w:szCs w:val="20"/>
          <w:lang w:val="sl-SI"/>
        </w:rPr>
        <w:t>, ki dosegajo dohodke z oddajanjem nepremičnin v kratkotrajni najem.</w:t>
      </w:r>
    </w:p>
    <w:p w14:paraId="65D24223" w14:textId="77777777" w:rsidR="00454C04" w:rsidRPr="00094AC0" w:rsidRDefault="00454C04" w:rsidP="00094AC0">
      <w:pPr>
        <w:spacing w:line="260" w:lineRule="exact"/>
        <w:jc w:val="both"/>
        <w:rPr>
          <w:rFonts w:cs="Arial"/>
          <w:szCs w:val="20"/>
          <w:lang w:val="sl-SI"/>
        </w:rPr>
      </w:pPr>
    </w:p>
    <w:p w14:paraId="49368EE8" w14:textId="77777777" w:rsidR="00454C04" w:rsidRPr="00094AC0" w:rsidRDefault="00454C04" w:rsidP="00454C04">
      <w:pPr>
        <w:spacing w:line="260" w:lineRule="exact"/>
        <w:jc w:val="both"/>
        <w:rPr>
          <w:rFonts w:cs="Arial"/>
          <w:szCs w:val="20"/>
          <w:lang w:val="sl-SI"/>
        </w:rPr>
      </w:pPr>
      <w:r w:rsidRPr="00094AC0">
        <w:rPr>
          <w:rFonts w:cs="Arial"/>
          <w:b/>
          <w:bCs/>
          <w:szCs w:val="20"/>
          <w:lang w:val="sl-SI"/>
        </w:rPr>
        <w:t>Nadzori na področju dela in zaposlovanja na črno</w:t>
      </w:r>
      <w:r w:rsidRPr="00094AC0">
        <w:rPr>
          <w:rFonts w:cs="Arial"/>
          <w:b/>
          <w:bCs/>
          <w:spacing w:val="15"/>
          <w:szCs w:val="20"/>
          <w:lang w:val="sl-SI"/>
        </w:rPr>
        <w:t xml:space="preserve"> </w:t>
      </w:r>
      <w:r>
        <w:rPr>
          <w:rFonts w:cs="Arial"/>
          <w:spacing w:val="15"/>
          <w:szCs w:val="20"/>
          <w:lang w:val="sl-SI"/>
        </w:rPr>
        <w:t>bodo</w:t>
      </w:r>
      <w:r w:rsidRPr="00094AC0">
        <w:rPr>
          <w:rFonts w:cs="Arial"/>
          <w:szCs w:val="20"/>
          <w:lang w:val="sl-SI"/>
        </w:rPr>
        <w:t xml:space="preserve"> usmerjen na prodaje preko spleta oz. družbenih omrežij z namenom prepoznave dela na črno posameznikov, ki nimajo registrirane ustrezne dejavnosti; nadzor dela in zaposlovanja na črno na podlagi podatkov o davčnem potrjevanju računov in zaposlovanje na črno tujcev. Posebno pozornost nadzorom na tem področju bomo namenili v dejavnostih gradbeništva, transporta, gostinstva, trgovski dejavnosti, s poudarkom prodaje preko spleta oz. družbenih omrežij ter kratkoročnem oddajanju nepremičnin turistom (sobodajalci). Nadzori se bodo izvajali tudi v drugih dejavnostih, v katerih se posluje zlasti gotovinsko in kjer je na podlagi izkušenj iz preteklih let zaznano večje tveganje sive ekonomije. V nadzoru dela in zaposlovanja na črno bo pozornost namenjena tudi nadzoru fizičnih oseb (posameznikov), ki kot </w:t>
      </w:r>
      <w:r w:rsidRPr="00094AC0">
        <w:rPr>
          <w:rFonts w:cs="Arial"/>
          <w:szCs w:val="20"/>
          <w:u w:val="single"/>
          <w:lang w:val="sl-SI"/>
        </w:rPr>
        <w:t>pooblaščenci</w:t>
      </w:r>
      <w:r w:rsidRPr="00094AC0">
        <w:rPr>
          <w:rFonts w:cs="Arial"/>
          <w:szCs w:val="20"/>
          <w:lang w:val="sl-SI"/>
        </w:rPr>
        <w:t xml:space="preserve"> vlagajo dokumente preko informacijskega sistema FURS (portala eDavki) za večje število pravnih subjektov (pooblastiteljev), in je iz uradnih evidenc prepoznati, da omenjeni posamezniki nimajo ustrezne pravne podlage za opravljanje dela. </w:t>
      </w:r>
    </w:p>
    <w:p w14:paraId="4F9EB0EB" w14:textId="77777777" w:rsidR="00284146" w:rsidRPr="00094AC0" w:rsidRDefault="00284146" w:rsidP="00094AC0">
      <w:pPr>
        <w:spacing w:line="260" w:lineRule="exact"/>
        <w:jc w:val="both"/>
        <w:rPr>
          <w:rFonts w:cs="Arial"/>
          <w:b/>
          <w:bCs/>
          <w:szCs w:val="20"/>
          <w:lang w:val="sl-SI"/>
        </w:rPr>
      </w:pPr>
    </w:p>
    <w:p w14:paraId="17EBC6FE" w14:textId="1B5E64FF" w:rsidR="0077473E" w:rsidRPr="00094AC0" w:rsidRDefault="00CE3992" w:rsidP="00094AC0">
      <w:pPr>
        <w:spacing w:line="260" w:lineRule="exact"/>
        <w:jc w:val="both"/>
        <w:rPr>
          <w:rFonts w:cs="Arial"/>
          <w:szCs w:val="20"/>
          <w:lang w:val="sl-SI"/>
        </w:rPr>
      </w:pPr>
      <w:r w:rsidRPr="00094AC0">
        <w:rPr>
          <w:rFonts w:cs="Arial"/>
          <w:szCs w:val="20"/>
          <w:lang w:val="sl-SI"/>
        </w:rPr>
        <w:t xml:space="preserve">Na področju </w:t>
      </w:r>
      <w:r w:rsidRPr="00094AC0">
        <w:rPr>
          <w:rFonts w:cs="Arial"/>
          <w:b/>
          <w:bCs/>
          <w:szCs w:val="20"/>
          <w:lang w:val="sl-SI"/>
        </w:rPr>
        <w:t>davka od dohodkov pravnih oseb in davka od dohodkov iz dejavnosti</w:t>
      </w:r>
      <w:r w:rsidRPr="00094AC0">
        <w:rPr>
          <w:rFonts w:cs="Arial"/>
          <w:szCs w:val="20"/>
          <w:lang w:val="sl-SI"/>
        </w:rPr>
        <w:t xml:space="preserve"> </w:t>
      </w:r>
      <w:bookmarkStart w:id="2" w:name="_Hlk124762985"/>
      <w:bookmarkStart w:id="3" w:name="_Hlk153788252"/>
      <w:r w:rsidR="00E84717">
        <w:rPr>
          <w:rFonts w:cs="Arial"/>
          <w:szCs w:val="20"/>
          <w:lang w:val="sl-SI"/>
        </w:rPr>
        <w:t xml:space="preserve">bo </w:t>
      </w:r>
      <w:r w:rsidR="007258B0">
        <w:rPr>
          <w:rFonts w:cs="Arial"/>
          <w:szCs w:val="20"/>
          <w:lang w:val="sl-SI"/>
        </w:rPr>
        <w:t>p</w:t>
      </w:r>
      <w:r w:rsidRPr="00094AC0">
        <w:rPr>
          <w:rFonts w:cs="Arial"/>
          <w:szCs w:val="20"/>
          <w:lang w:val="sl-SI"/>
        </w:rPr>
        <w:t>oudarek predvsem na prenizko izkazani davčni osnovi zaradi nepravilno izkazanih prihodkov ali odhodkov</w:t>
      </w:r>
      <w:r w:rsidR="0077473E" w:rsidRPr="00094AC0">
        <w:rPr>
          <w:rFonts w:cs="Arial"/>
          <w:szCs w:val="20"/>
          <w:lang w:val="sl-SI"/>
        </w:rPr>
        <w:t xml:space="preserve"> ob hkratnem preverjanju vpisa v register dejanskih lastnikov in kršitev omejitev pri gotovinskem poslovanju</w:t>
      </w:r>
      <w:r w:rsidRPr="00094AC0">
        <w:rPr>
          <w:rFonts w:cs="Arial"/>
          <w:szCs w:val="20"/>
          <w:lang w:val="sl-SI"/>
        </w:rPr>
        <w:t>. Pri velik</w:t>
      </w:r>
      <w:r w:rsidR="007258B0">
        <w:rPr>
          <w:rFonts w:cs="Arial"/>
          <w:szCs w:val="20"/>
          <w:lang w:val="sl-SI"/>
        </w:rPr>
        <w:t>ih</w:t>
      </w:r>
      <w:r w:rsidRPr="00094AC0">
        <w:rPr>
          <w:rFonts w:cs="Arial"/>
          <w:szCs w:val="20"/>
          <w:lang w:val="sl-SI"/>
        </w:rPr>
        <w:t xml:space="preserve"> davčn</w:t>
      </w:r>
      <w:r w:rsidR="007258B0">
        <w:rPr>
          <w:rFonts w:cs="Arial"/>
          <w:szCs w:val="20"/>
          <w:lang w:val="sl-SI"/>
        </w:rPr>
        <w:t>ih</w:t>
      </w:r>
      <w:r w:rsidRPr="00094AC0">
        <w:rPr>
          <w:rFonts w:cs="Arial"/>
          <w:szCs w:val="20"/>
          <w:lang w:val="sl-SI"/>
        </w:rPr>
        <w:t xml:space="preserve"> zavezanc</w:t>
      </w:r>
      <w:r w:rsidR="007258B0">
        <w:rPr>
          <w:rFonts w:cs="Arial"/>
          <w:szCs w:val="20"/>
          <w:lang w:val="sl-SI"/>
        </w:rPr>
        <w:t>ih</w:t>
      </w:r>
      <w:r w:rsidRPr="00094AC0">
        <w:rPr>
          <w:rFonts w:cs="Arial"/>
          <w:szCs w:val="20"/>
          <w:lang w:val="sl-SI"/>
        </w:rPr>
        <w:t xml:space="preserve"> </w:t>
      </w:r>
      <w:r w:rsidR="007258B0">
        <w:rPr>
          <w:rFonts w:cs="Arial"/>
          <w:szCs w:val="20"/>
          <w:lang w:val="sl-SI"/>
        </w:rPr>
        <w:t xml:space="preserve"> se bo nadziralo kršitve predpisov </w:t>
      </w:r>
      <w:r w:rsidRPr="00094AC0">
        <w:rPr>
          <w:rFonts w:cs="Arial"/>
          <w:szCs w:val="20"/>
          <w:lang w:val="sl-SI"/>
        </w:rPr>
        <w:t>v povezavi z mednarodnim poslovanjem.</w:t>
      </w:r>
      <w:r w:rsidRPr="00094AC0">
        <w:rPr>
          <w:rFonts w:eastAsiaTheme="minorEastAsia" w:cs="Arial"/>
          <w:noProof/>
          <w:szCs w:val="20"/>
          <w:lang w:val="sl-SI"/>
        </w:rPr>
        <w:t xml:space="preserve"> Poleg tega bo nadzor osredotočen na </w:t>
      </w:r>
      <w:bookmarkEnd w:id="2"/>
      <w:r w:rsidRPr="00094AC0">
        <w:rPr>
          <w:rFonts w:cs="Arial"/>
          <w:szCs w:val="20"/>
          <w:lang w:val="sl-SI"/>
        </w:rPr>
        <w:t>zavezance, pri katerih obstaja verjetnost tanke kapitalizacije, družbe, ki prenehajo po skrajšanem postopku</w:t>
      </w:r>
      <w:r w:rsidR="007258B0">
        <w:rPr>
          <w:rFonts w:cs="Arial"/>
          <w:szCs w:val="20"/>
          <w:lang w:val="sl-SI"/>
        </w:rPr>
        <w:t>,</w:t>
      </w:r>
      <w:r w:rsidRPr="00094AC0">
        <w:rPr>
          <w:rFonts w:cs="Arial"/>
          <w:szCs w:val="20"/>
          <w:lang w:val="sl-SI"/>
        </w:rPr>
        <w:t xml:space="preserve"> samostojne podjetnike z večletno nizko davčno osnovo v povezavi z drugimi kriteriji tveganja</w:t>
      </w:r>
      <w:r w:rsidR="00E84717">
        <w:rPr>
          <w:rFonts w:cs="Arial"/>
          <w:szCs w:val="20"/>
          <w:lang w:val="sl-SI"/>
        </w:rPr>
        <w:t xml:space="preserve"> </w:t>
      </w:r>
      <w:r w:rsidR="007258B0">
        <w:rPr>
          <w:rFonts w:cs="Arial"/>
          <w:szCs w:val="20"/>
          <w:lang w:val="sl-SI"/>
        </w:rPr>
        <w:t xml:space="preserve">in </w:t>
      </w:r>
      <w:r w:rsidRPr="00094AC0">
        <w:rPr>
          <w:rFonts w:cs="Arial"/>
          <w:szCs w:val="20"/>
          <w:lang w:val="sl-SI"/>
        </w:rPr>
        <w:t xml:space="preserve"> tveganje </w:t>
      </w:r>
      <w:r w:rsidR="007258B0">
        <w:rPr>
          <w:rFonts w:cs="Arial"/>
          <w:szCs w:val="20"/>
          <w:lang w:val="sl-SI"/>
        </w:rPr>
        <w:t>na področju uveljavljanja davčnih olajšav.</w:t>
      </w:r>
      <w:r w:rsidR="0077473E" w:rsidRPr="00094AC0">
        <w:rPr>
          <w:rFonts w:cs="Arial"/>
          <w:szCs w:val="20"/>
          <w:lang w:val="sl-SI"/>
        </w:rPr>
        <w:t xml:space="preserve"> </w:t>
      </w:r>
      <w:bookmarkEnd w:id="3"/>
      <w:r w:rsidR="0077473E" w:rsidRPr="00094AC0">
        <w:rPr>
          <w:rFonts w:cs="Arial"/>
          <w:szCs w:val="20"/>
          <w:lang w:val="sl-SI"/>
        </w:rPr>
        <w:t xml:space="preserve">Ob upoštevanju računovodskega, davčnega in gospodarskega (ekonomskega) vidika se bo preverjalo, ali je zavezanec sklepal posle na način, da sledi cilju pridobitve davčne ugodnosti, ki je brez tako organiziranih poslov ne bi bilo mogoče doseči. </w:t>
      </w:r>
    </w:p>
    <w:p w14:paraId="1DB54C0F" w14:textId="77777777" w:rsidR="0077473E" w:rsidRPr="00094AC0" w:rsidRDefault="0077473E" w:rsidP="00094AC0">
      <w:pPr>
        <w:autoSpaceDE w:val="0"/>
        <w:autoSpaceDN w:val="0"/>
        <w:spacing w:line="260" w:lineRule="exact"/>
        <w:jc w:val="both"/>
        <w:rPr>
          <w:rFonts w:cs="Arial"/>
          <w:b/>
          <w:bCs/>
          <w:szCs w:val="20"/>
          <w:lang w:val="sl-SI"/>
        </w:rPr>
      </w:pPr>
    </w:p>
    <w:p w14:paraId="100B473D" w14:textId="2F55A4E8" w:rsidR="00CE3992" w:rsidRPr="00094AC0" w:rsidRDefault="007258B0" w:rsidP="00094AC0">
      <w:pPr>
        <w:spacing w:line="260" w:lineRule="exact"/>
        <w:jc w:val="both"/>
        <w:rPr>
          <w:rFonts w:cs="Arial"/>
          <w:szCs w:val="20"/>
          <w:lang w:val="sl-SI"/>
        </w:rPr>
      </w:pPr>
      <w:r>
        <w:rPr>
          <w:rFonts w:cs="Arial"/>
          <w:b/>
          <w:szCs w:val="20"/>
          <w:lang w:val="sl-SI"/>
        </w:rPr>
        <w:t>V okviru n</w:t>
      </w:r>
      <w:r w:rsidR="00CE3992" w:rsidRPr="00094AC0">
        <w:rPr>
          <w:rFonts w:cs="Arial"/>
          <w:b/>
          <w:szCs w:val="20"/>
          <w:lang w:val="sl-SI"/>
        </w:rPr>
        <w:t>adzor</w:t>
      </w:r>
      <w:r>
        <w:rPr>
          <w:rFonts w:cs="Arial"/>
          <w:b/>
          <w:szCs w:val="20"/>
          <w:lang w:val="sl-SI"/>
        </w:rPr>
        <w:t>a</w:t>
      </w:r>
      <w:r w:rsidR="00CE3992" w:rsidRPr="00094AC0">
        <w:rPr>
          <w:rFonts w:cs="Arial"/>
          <w:b/>
          <w:szCs w:val="20"/>
          <w:lang w:val="sl-SI"/>
        </w:rPr>
        <w:t xml:space="preserve"> transfernih cen</w:t>
      </w:r>
      <w:r w:rsidR="00CE3992" w:rsidRPr="00094AC0">
        <w:rPr>
          <w:rFonts w:cs="Arial"/>
          <w:szCs w:val="20"/>
          <w:lang w:val="sl-SI"/>
        </w:rPr>
        <w:t xml:space="preserve"> se bo</w:t>
      </w:r>
      <w:r>
        <w:rPr>
          <w:rFonts w:cs="Arial"/>
          <w:szCs w:val="20"/>
          <w:lang w:val="sl-SI"/>
        </w:rPr>
        <w:t xml:space="preserve"> nadzor</w:t>
      </w:r>
      <w:r w:rsidR="00CE3992" w:rsidRPr="00094AC0">
        <w:rPr>
          <w:rFonts w:cs="Arial"/>
          <w:szCs w:val="20"/>
          <w:lang w:val="sl-SI"/>
        </w:rPr>
        <w:t xml:space="preserve"> izvajal pri zavezancih, kjer bo na podlagi analize rizika zaznano visoko tveganje nepravilnosti pri določanju transfernih cen, zlasti na področju opravljanja storitev s strani povezanih oseb, finančnih transakcij, neopredmetenih sredstev, poslovnih enot, preoblikovanja poslovanja in prevzemov. Posebna pozornost bo usmerjena tudi na zavezance, ki so del mednarodnih skupin podjetij in izkazujejo davčno izgubo ter s tem ustvarijo davčni ščit. </w:t>
      </w:r>
    </w:p>
    <w:p w14:paraId="1BB8B2AC" w14:textId="77777777" w:rsidR="00CE3992" w:rsidRPr="00094AC0" w:rsidRDefault="00CE3992" w:rsidP="00094AC0">
      <w:pPr>
        <w:autoSpaceDE w:val="0"/>
        <w:autoSpaceDN w:val="0"/>
        <w:spacing w:line="260" w:lineRule="exact"/>
        <w:jc w:val="both"/>
        <w:rPr>
          <w:rFonts w:cs="Arial"/>
          <w:b/>
          <w:bCs/>
          <w:szCs w:val="20"/>
          <w:lang w:val="sl-SI"/>
        </w:rPr>
      </w:pPr>
    </w:p>
    <w:p w14:paraId="3409DACD" w14:textId="310F5AB6" w:rsidR="007F4538" w:rsidRPr="00094AC0" w:rsidRDefault="00546B19" w:rsidP="00094AC0">
      <w:pPr>
        <w:spacing w:line="260" w:lineRule="exact"/>
        <w:jc w:val="both"/>
        <w:rPr>
          <w:rFonts w:cs="Arial"/>
          <w:szCs w:val="20"/>
          <w:lang w:val="sl-SI"/>
        </w:rPr>
      </w:pPr>
      <w:r w:rsidRPr="00094AC0">
        <w:rPr>
          <w:rFonts w:cs="Arial"/>
          <w:szCs w:val="20"/>
          <w:lang w:val="sl-SI"/>
        </w:rPr>
        <w:t xml:space="preserve">Na področju </w:t>
      </w:r>
      <w:r w:rsidRPr="00094AC0">
        <w:rPr>
          <w:rFonts w:cs="Arial"/>
          <w:b/>
          <w:szCs w:val="20"/>
          <w:lang w:val="sl-SI"/>
        </w:rPr>
        <w:t>davkov in prispevkov od dohodkov fizičnih oseb iz zaposlitve</w:t>
      </w:r>
      <w:r w:rsidRPr="00094AC0">
        <w:rPr>
          <w:rFonts w:cs="Arial"/>
          <w:szCs w:val="20"/>
          <w:lang w:val="sl-SI"/>
        </w:rPr>
        <w:t xml:space="preserve"> bo nadzor usmerjen na pravilnost obračunov davčnih odtegljajev in obračune prispevkov za socialno varnost za dohodke iz delovnega razmerja (REK obrazci) za zaposlene delavce, izplačevanje povračil stroškov dela zaposlencem, </w:t>
      </w:r>
      <w:bookmarkStart w:id="4" w:name="_Hlk124763062"/>
      <w:bookmarkStart w:id="5" w:name="_Hlk155880096"/>
      <w:r w:rsidR="007F4538" w:rsidRPr="00094AC0">
        <w:rPr>
          <w:rFonts w:cs="Arial"/>
          <w:szCs w:val="20"/>
          <w:lang w:val="sl-SI"/>
        </w:rPr>
        <w:t>S ciljem zagotavljanja varovanja temeljnih pravic delavcev, bo nadzor usmerjen na delodajalce, ki delavce napotujejo na delo v tujino. Poleg tega bodo nadzirani delodajalci, ki posojajo delavce</w:t>
      </w:r>
      <w:r w:rsidR="00454C04">
        <w:rPr>
          <w:rFonts w:cs="Arial"/>
          <w:szCs w:val="20"/>
          <w:lang w:val="sl-SI"/>
        </w:rPr>
        <w:t xml:space="preserve"> in </w:t>
      </w:r>
      <w:r w:rsidR="007F4538" w:rsidRPr="00094AC0">
        <w:rPr>
          <w:rFonts w:cs="Arial"/>
          <w:szCs w:val="20"/>
          <w:lang w:val="sl-SI"/>
        </w:rPr>
        <w:t xml:space="preserve"> </w:t>
      </w:r>
      <w:r w:rsidR="00454C04">
        <w:rPr>
          <w:rFonts w:cs="Arial"/>
          <w:szCs w:val="20"/>
          <w:lang w:val="sl-SI"/>
        </w:rPr>
        <w:t xml:space="preserve">pravilnost </w:t>
      </w:r>
      <w:r w:rsidR="007F4538" w:rsidRPr="00094AC0">
        <w:rPr>
          <w:rFonts w:cs="Arial"/>
          <w:szCs w:val="20"/>
          <w:lang w:val="sl-SI"/>
        </w:rPr>
        <w:t>obračuna</w:t>
      </w:r>
      <w:r w:rsidR="00454C04">
        <w:rPr>
          <w:rFonts w:cs="Arial"/>
          <w:szCs w:val="20"/>
          <w:lang w:val="sl-SI"/>
        </w:rPr>
        <w:t>nih</w:t>
      </w:r>
      <w:r w:rsidR="007F4538" w:rsidRPr="00094AC0">
        <w:rPr>
          <w:rFonts w:cs="Arial"/>
          <w:szCs w:val="20"/>
          <w:lang w:val="sl-SI"/>
        </w:rPr>
        <w:t xml:space="preserve"> bonitete</w:t>
      </w:r>
      <w:r w:rsidR="00454C04">
        <w:rPr>
          <w:rFonts w:cs="Arial"/>
          <w:szCs w:val="20"/>
          <w:lang w:val="sl-SI"/>
        </w:rPr>
        <w:t>.</w:t>
      </w:r>
      <w:bookmarkEnd w:id="4"/>
      <w:bookmarkEnd w:id="5"/>
    </w:p>
    <w:p w14:paraId="548C255A" w14:textId="77777777" w:rsidR="00546B19" w:rsidRPr="00094AC0" w:rsidRDefault="00546B19" w:rsidP="00094AC0">
      <w:pPr>
        <w:spacing w:line="260" w:lineRule="exact"/>
        <w:jc w:val="both"/>
        <w:rPr>
          <w:rFonts w:cs="Arial"/>
          <w:szCs w:val="20"/>
          <w:lang w:val="sl-SI"/>
        </w:rPr>
      </w:pPr>
    </w:p>
    <w:p w14:paraId="32F18565" w14:textId="77777777" w:rsidR="00CE3992" w:rsidRPr="00094AC0" w:rsidRDefault="00CE3992" w:rsidP="00094AC0">
      <w:pPr>
        <w:spacing w:line="260" w:lineRule="exact"/>
        <w:jc w:val="both"/>
        <w:rPr>
          <w:rFonts w:cs="Arial"/>
          <w:szCs w:val="20"/>
          <w:lang w:val="sl-SI"/>
        </w:rPr>
      </w:pPr>
    </w:p>
    <w:bookmarkEnd w:id="0"/>
    <w:p w14:paraId="2E78D3B8" w14:textId="5C6E6C06" w:rsidR="003B51BE" w:rsidRPr="00094AC0" w:rsidRDefault="003B51BE" w:rsidP="00094AC0">
      <w:pPr>
        <w:spacing w:line="260" w:lineRule="exact"/>
        <w:jc w:val="both"/>
        <w:rPr>
          <w:rFonts w:cs="Arial"/>
          <w:szCs w:val="20"/>
          <w:lang w:val="sl-SI"/>
        </w:rPr>
      </w:pPr>
      <w:r w:rsidRPr="00094AC0">
        <w:rPr>
          <w:rFonts w:cs="Arial"/>
          <w:szCs w:val="20"/>
          <w:lang w:val="sl-SI"/>
        </w:rPr>
        <w:lastRenderedPageBreak/>
        <w:t xml:space="preserve">S področja </w:t>
      </w:r>
      <w:r w:rsidRPr="00094AC0">
        <w:rPr>
          <w:rFonts w:cs="Arial"/>
          <w:b/>
          <w:szCs w:val="20"/>
          <w:lang w:val="sl-SI"/>
        </w:rPr>
        <w:t>carin</w:t>
      </w:r>
      <w:r w:rsidRPr="00094AC0">
        <w:rPr>
          <w:rFonts w:cs="Arial"/>
          <w:szCs w:val="20"/>
          <w:lang w:val="sl-SI"/>
        </w:rPr>
        <w:t xml:space="preserve"> bo inšpekcijski nadzor v osredotočen na preverjanje carinske vrednosti, zlasti podvrednotenje uvoznega blaga glede na povprečne vrednosti uvoza v EU</w:t>
      </w:r>
      <w:r w:rsidR="00454C04">
        <w:rPr>
          <w:rFonts w:cs="Arial"/>
          <w:szCs w:val="20"/>
          <w:lang w:val="sl-SI"/>
        </w:rPr>
        <w:t>,</w:t>
      </w:r>
      <w:r w:rsidRPr="00094AC0">
        <w:rPr>
          <w:rFonts w:cs="Arial"/>
          <w:szCs w:val="20"/>
          <w:lang w:val="sl-SI"/>
        </w:rPr>
        <w:t xml:space="preserve"> nepravilno uvrščanje v carinsko tarifo</w:t>
      </w:r>
      <w:r w:rsidR="00454C04">
        <w:rPr>
          <w:rFonts w:cs="Arial"/>
          <w:szCs w:val="20"/>
          <w:lang w:val="sl-SI"/>
        </w:rPr>
        <w:t>,</w:t>
      </w:r>
      <w:r w:rsidRPr="00094AC0">
        <w:rPr>
          <w:rFonts w:cs="Arial"/>
          <w:szCs w:val="20"/>
          <w:lang w:val="sl-SI"/>
        </w:rPr>
        <w:t xml:space="preserve"> preverjanje ustreznosti porekla blaga za transakcije s potencialno visokim finančnim učinkom,  ugotavljanje izogibanja protidampinškim in izravnalnim dajatvam</w:t>
      </w:r>
      <w:r w:rsidR="00454C04">
        <w:rPr>
          <w:rFonts w:cs="Arial"/>
          <w:szCs w:val="20"/>
          <w:lang w:val="sl-SI"/>
        </w:rPr>
        <w:t>,</w:t>
      </w:r>
      <w:r w:rsidRPr="00094AC0">
        <w:rPr>
          <w:rFonts w:cs="Arial"/>
          <w:szCs w:val="20"/>
          <w:lang w:val="sl-SI"/>
        </w:rPr>
        <w:t xml:space="preserve"> E-trgovanje povezano z uvozom blaga in tveganje zastaranja carinskega dolga. Na področju carinskih nadzorov bo eno od prioritet tveganje, povezano z omejevalnimi ukrepi zaradi delovanja Rusije, ki povzroča destabilizacijo razmer v Ukrajini, med katerimi je EU uvedla tudi številne uvozne in izvozne omejitve. </w:t>
      </w:r>
    </w:p>
    <w:p w14:paraId="11CFB45C" w14:textId="77777777" w:rsidR="003B51BE" w:rsidRPr="00094AC0" w:rsidRDefault="003B51BE" w:rsidP="00094AC0">
      <w:pPr>
        <w:autoSpaceDE w:val="0"/>
        <w:autoSpaceDN w:val="0"/>
        <w:adjustRightInd w:val="0"/>
        <w:spacing w:line="260" w:lineRule="exact"/>
        <w:contextualSpacing/>
        <w:jc w:val="both"/>
        <w:rPr>
          <w:rFonts w:cs="Arial"/>
          <w:szCs w:val="20"/>
          <w:shd w:val="clear" w:color="auto" w:fill="FFFFFF"/>
          <w:lang w:val="sl-SI"/>
        </w:rPr>
      </w:pPr>
    </w:p>
    <w:p w14:paraId="6846F31A" w14:textId="548ADCD7" w:rsidR="003B51BE" w:rsidRPr="00094AC0" w:rsidRDefault="003B51BE" w:rsidP="00094AC0">
      <w:pPr>
        <w:spacing w:line="260" w:lineRule="exact"/>
        <w:jc w:val="both"/>
        <w:rPr>
          <w:rFonts w:cs="Arial"/>
          <w:szCs w:val="20"/>
          <w:shd w:val="clear" w:color="auto" w:fill="FFFFFF"/>
          <w:lang w:val="sl-SI"/>
        </w:rPr>
      </w:pPr>
      <w:r w:rsidRPr="00094AC0">
        <w:rPr>
          <w:rFonts w:cs="Arial"/>
          <w:b/>
          <w:bCs/>
          <w:szCs w:val="20"/>
          <w:shd w:val="clear" w:color="auto" w:fill="FFFFFF"/>
          <w:lang w:val="sl-SI"/>
        </w:rPr>
        <w:t>Nadzori</w:t>
      </w:r>
      <w:r w:rsidR="00094AC0" w:rsidRPr="00094AC0">
        <w:rPr>
          <w:rFonts w:cs="Arial"/>
          <w:b/>
          <w:bCs/>
          <w:szCs w:val="20"/>
          <w:shd w:val="clear" w:color="auto" w:fill="FFFFFF"/>
          <w:lang w:val="sl-SI"/>
        </w:rPr>
        <w:t xml:space="preserve"> </w:t>
      </w:r>
      <w:r w:rsidRPr="00094AC0">
        <w:rPr>
          <w:rFonts w:cs="Arial"/>
          <w:b/>
          <w:bCs/>
          <w:szCs w:val="20"/>
          <w:shd w:val="clear" w:color="auto" w:fill="FFFFFF"/>
          <w:lang w:val="sl-SI"/>
        </w:rPr>
        <w:t>na področju trošarin</w:t>
      </w:r>
      <w:r w:rsidRPr="00094AC0">
        <w:rPr>
          <w:rFonts w:cs="Arial"/>
          <w:szCs w:val="20"/>
          <w:shd w:val="clear" w:color="auto" w:fill="FFFFFF"/>
          <w:lang w:val="sl-SI"/>
        </w:rPr>
        <w:t xml:space="preserve"> bodo </w:t>
      </w:r>
      <w:r w:rsidR="00E84717">
        <w:rPr>
          <w:rFonts w:cs="Arial"/>
          <w:szCs w:val="20"/>
          <w:shd w:val="clear" w:color="auto" w:fill="FFFFFF"/>
          <w:lang w:val="sl-SI"/>
        </w:rPr>
        <w:t xml:space="preserve">nadzori </w:t>
      </w:r>
      <w:r w:rsidRPr="00094AC0">
        <w:rPr>
          <w:rFonts w:cs="Arial"/>
          <w:szCs w:val="20"/>
          <w:shd w:val="clear" w:color="auto" w:fill="FFFFFF"/>
          <w:lang w:val="sl-SI"/>
        </w:rPr>
        <w:t xml:space="preserve">usmerjeni predvsem v preverjanje pravilnosti obračunavanja trošarin </w:t>
      </w:r>
      <w:r w:rsidR="00E84717">
        <w:rPr>
          <w:rFonts w:cs="Arial"/>
          <w:szCs w:val="20"/>
          <w:shd w:val="clear" w:color="auto" w:fill="FFFFFF"/>
          <w:lang w:val="sl-SI"/>
        </w:rPr>
        <w:t>(</w:t>
      </w:r>
      <w:r w:rsidR="00E84717" w:rsidRPr="00094AC0">
        <w:rPr>
          <w:rFonts w:cs="Arial"/>
          <w:szCs w:val="20"/>
          <w:shd w:val="clear" w:color="auto" w:fill="FFFFFF"/>
          <w:lang w:val="sl-SI"/>
        </w:rPr>
        <w:t>pivo, alkohol in alkoholne pijače ter energente</w:t>
      </w:r>
      <w:r w:rsidR="00E84717">
        <w:rPr>
          <w:rFonts w:cs="Arial"/>
          <w:szCs w:val="20"/>
          <w:shd w:val="clear" w:color="auto" w:fill="FFFFFF"/>
          <w:lang w:val="sl-SI"/>
        </w:rPr>
        <w:t xml:space="preserve">) </w:t>
      </w:r>
      <w:r w:rsidRPr="00094AC0">
        <w:rPr>
          <w:rFonts w:cs="Arial"/>
          <w:szCs w:val="20"/>
          <w:shd w:val="clear" w:color="auto" w:fill="FFFFFF"/>
          <w:lang w:val="sl-SI"/>
        </w:rPr>
        <w:t>ter preverjanje poslovanja trošarinskih zavezancev, imetnikov dovoljenj. Preverjala se bo tudi upravičenost zahtevkov za vračila trošarin.</w:t>
      </w:r>
    </w:p>
    <w:p w14:paraId="04E929CE" w14:textId="77777777" w:rsidR="003B51BE" w:rsidRPr="00094AC0" w:rsidRDefault="003B51BE" w:rsidP="00094AC0">
      <w:pPr>
        <w:spacing w:line="260" w:lineRule="exact"/>
        <w:jc w:val="both"/>
        <w:rPr>
          <w:rFonts w:cs="Arial"/>
          <w:szCs w:val="20"/>
          <w:lang w:val="sl-SI"/>
        </w:rPr>
      </w:pPr>
    </w:p>
    <w:p w14:paraId="7FF572E3" w14:textId="77777777" w:rsidR="003B51BE" w:rsidRPr="00094AC0" w:rsidRDefault="003B51BE" w:rsidP="00094AC0">
      <w:pPr>
        <w:spacing w:line="260" w:lineRule="exact"/>
        <w:jc w:val="both"/>
        <w:rPr>
          <w:rFonts w:cs="Arial"/>
          <w:szCs w:val="20"/>
          <w:lang w:val="sl-SI"/>
        </w:rPr>
      </w:pPr>
      <w:r w:rsidRPr="00094AC0">
        <w:rPr>
          <w:rFonts w:cs="Arial"/>
          <w:szCs w:val="20"/>
          <w:lang w:val="sl-SI"/>
        </w:rPr>
        <w:t xml:space="preserve">Na področju </w:t>
      </w:r>
      <w:r w:rsidRPr="00094AC0">
        <w:rPr>
          <w:rFonts w:cs="Arial"/>
          <w:b/>
          <w:szCs w:val="20"/>
          <w:lang w:val="sl-SI"/>
        </w:rPr>
        <w:t>okoljskih dajatev</w:t>
      </w:r>
      <w:r w:rsidRPr="00094AC0">
        <w:rPr>
          <w:rFonts w:cs="Arial"/>
          <w:szCs w:val="20"/>
          <w:lang w:val="sl-SI"/>
        </w:rPr>
        <w:t xml:space="preserve"> bodo prioritetni nadzori usmerjeni v preverjanje pravilnosti obračunavanja okoljskih dajatev za komunalne vode, odpadno embalažo in obremenjevanje zraka z emisijo CO2, onesnaževanje okolja zaradi nastajanja odpadne električne in elektronske opreme, onesnaževanje okolja zaradi nastajanja odpadne embalaže, onesnaževanje okolja zaradi uporabe mazalnih olj in tekočin ter v iskanju potencialnih zavezancev, ki niso registrirani na področju okoljskih dajatev, pa bi morali biti. Preverjala se bo tudi upravičenost zahtevkov za vračila okoljskih dajatev.</w:t>
      </w:r>
    </w:p>
    <w:p w14:paraId="2ABE96FA" w14:textId="77777777" w:rsidR="00284146" w:rsidRPr="00094AC0" w:rsidRDefault="00284146" w:rsidP="00094AC0">
      <w:pPr>
        <w:spacing w:line="260" w:lineRule="exact"/>
        <w:jc w:val="both"/>
        <w:rPr>
          <w:rFonts w:cs="Arial"/>
          <w:szCs w:val="20"/>
          <w:lang w:val="sl-SI"/>
        </w:rPr>
      </w:pPr>
    </w:p>
    <w:p w14:paraId="5BEE0895" w14:textId="589FDB96" w:rsidR="0077473E" w:rsidRPr="00094AC0" w:rsidRDefault="00546B19" w:rsidP="00094AC0">
      <w:pPr>
        <w:spacing w:line="260" w:lineRule="exact"/>
        <w:jc w:val="both"/>
        <w:rPr>
          <w:rFonts w:cs="Arial"/>
          <w:szCs w:val="20"/>
          <w:lang w:val="sl-SI"/>
        </w:rPr>
      </w:pPr>
      <w:r w:rsidRPr="00094AC0">
        <w:rPr>
          <w:rFonts w:cs="Arial"/>
          <w:szCs w:val="20"/>
          <w:lang w:val="sl-SI"/>
        </w:rPr>
        <w:t xml:space="preserve">V okviru </w:t>
      </w:r>
      <w:r w:rsidRPr="00094AC0">
        <w:rPr>
          <w:rFonts w:cs="Arial"/>
          <w:b/>
          <w:szCs w:val="20"/>
          <w:lang w:val="sl-SI"/>
        </w:rPr>
        <w:t>skupne kmetijske politike</w:t>
      </w:r>
      <w:r w:rsidRPr="00094AC0">
        <w:rPr>
          <w:rFonts w:cs="Arial"/>
          <w:szCs w:val="20"/>
          <w:lang w:val="sl-SI"/>
        </w:rPr>
        <w:t xml:space="preserve"> se bo preverjala upravičenost izplačanih nadomestil Evropskega kmetijskega jamstvenega sklada. Prav tako se bo preverjala ustreznost sistema potrebne skrbnosti lesa in lesnih proizvodov v </w:t>
      </w:r>
      <w:r w:rsidR="0077473E" w:rsidRPr="00094AC0">
        <w:rPr>
          <w:rFonts w:cs="Arial"/>
          <w:szCs w:val="20"/>
          <w:lang w:val="sl-SI"/>
        </w:rPr>
        <w:t>Uredb</w:t>
      </w:r>
      <w:r w:rsidR="00284146" w:rsidRPr="00094AC0">
        <w:rPr>
          <w:rFonts w:cs="Arial"/>
          <w:szCs w:val="20"/>
          <w:lang w:val="sl-SI"/>
        </w:rPr>
        <w:t>o</w:t>
      </w:r>
      <w:r w:rsidR="0077473E" w:rsidRPr="00094AC0">
        <w:rPr>
          <w:rFonts w:cs="Arial"/>
          <w:szCs w:val="20"/>
          <w:lang w:val="sl-SI"/>
        </w:rPr>
        <w:t xml:space="preserve"> EU št. 2021/2116, ki jih izplačuje Agencija RS za kmetijske trge in razvoj podeželja. </w:t>
      </w:r>
    </w:p>
    <w:p w14:paraId="2EBAB299" w14:textId="77777777" w:rsidR="0077473E" w:rsidRPr="00094AC0" w:rsidRDefault="0077473E" w:rsidP="00094AC0">
      <w:pPr>
        <w:spacing w:line="260" w:lineRule="exact"/>
        <w:jc w:val="both"/>
        <w:rPr>
          <w:rFonts w:cs="Arial"/>
          <w:szCs w:val="20"/>
          <w:lang w:val="sl-SI"/>
        </w:rPr>
      </w:pPr>
    </w:p>
    <w:p w14:paraId="3B4450C8" w14:textId="5DB98B0D" w:rsidR="0077473E" w:rsidRPr="00094AC0" w:rsidRDefault="0077473E" w:rsidP="00094AC0">
      <w:pPr>
        <w:spacing w:line="260" w:lineRule="exact"/>
        <w:jc w:val="both"/>
        <w:rPr>
          <w:rFonts w:cs="Arial"/>
          <w:szCs w:val="20"/>
          <w:lang w:val="sl-SI"/>
        </w:rPr>
      </w:pPr>
      <w:r w:rsidRPr="00094AC0">
        <w:rPr>
          <w:rFonts w:cs="Arial"/>
          <w:szCs w:val="20"/>
          <w:lang w:val="sl-SI"/>
        </w:rPr>
        <w:t xml:space="preserve">Na področju </w:t>
      </w:r>
      <w:r w:rsidRPr="00094AC0">
        <w:rPr>
          <w:rFonts w:cs="Arial"/>
          <w:b/>
          <w:bCs/>
          <w:szCs w:val="20"/>
          <w:lang w:val="sl-SI"/>
        </w:rPr>
        <w:t>Zakona o gozdovih</w:t>
      </w:r>
      <w:r w:rsidRPr="00094AC0">
        <w:rPr>
          <w:rFonts w:cs="Arial"/>
          <w:szCs w:val="20"/>
          <w:lang w:val="sl-SI"/>
        </w:rPr>
        <w:t xml:space="preserve">  se bo preverjalo izpolnjevanje sistema potrebne skrbnosti lesa in lesnih sortimentov pri dajanju proizvodov na trg EU v skladu z Uredbo EU št. 995/2010.</w:t>
      </w:r>
    </w:p>
    <w:p w14:paraId="4F5D46CB" w14:textId="77777777" w:rsidR="00546B19" w:rsidRPr="00094AC0" w:rsidRDefault="00546B19" w:rsidP="00094AC0">
      <w:pPr>
        <w:spacing w:line="260" w:lineRule="exact"/>
        <w:jc w:val="both"/>
        <w:rPr>
          <w:rFonts w:cs="Arial"/>
          <w:szCs w:val="20"/>
          <w:lang w:val="sl-SI"/>
        </w:rPr>
      </w:pPr>
    </w:p>
    <w:p w14:paraId="4871A965" w14:textId="10CE9013" w:rsidR="00546B19" w:rsidRPr="00094AC0" w:rsidRDefault="00546B19" w:rsidP="00094AC0">
      <w:pPr>
        <w:spacing w:line="260" w:lineRule="exact"/>
        <w:jc w:val="both"/>
        <w:rPr>
          <w:rFonts w:cs="Arial"/>
          <w:szCs w:val="20"/>
          <w:lang w:val="sl-SI"/>
        </w:rPr>
      </w:pPr>
      <w:r w:rsidRPr="00094AC0">
        <w:rPr>
          <w:rFonts w:cs="Arial"/>
          <w:szCs w:val="20"/>
          <w:lang w:val="sl-SI"/>
        </w:rPr>
        <w:t xml:space="preserve">Na področju </w:t>
      </w:r>
      <w:r w:rsidRPr="00094AC0">
        <w:rPr>
          <w:rFonts w:cs="Arial"/>
          <w:b/>
          <w:bCs/>
          <w:szCs w:val="20"/>
          <w:lang w:val="sl-SI"/>
        </w:rPr>
        <w:t>na</w:t>
      </w:r>
      <w:r w:rsidR="00094AC0" w:rsidRPr="00094AC0">
        <w:rPr>
          <w:rFonts w:cs="Arial"/>
          <w:b/>
          <w:bCs/>
          <w:szCs w:val="20"/>
          <w:lang w:val="sl-SI"/>
        </w:rPr>
        <w:t>d</w:t>
      </w:r>
      <w:r w:rsidRPr="00094AC0">
        <w:rPr>
          <w:rFonts w:cs="Arial"/>
          <w:b/>
          <w:bCs/>
          <w:szCs w:val="20"/>
          <w:lang w:val="sl-SI"/>
        </w:rPr>
        <w:t>zora iger na srečo</w:t>
      </w:r>
      <w:r w:rsidRPr="00094AC0">
        <w:rPr>
          <w:rFonts w:cs="Arial"/>
          <w:szCs w:val="20"/>
          <w:lang w:val="sl-SI"/>
        </w:rPr>
        <w:t xml:space="preserve"> se bo z izvajal nadzor nad preglednostjo poslovanja koncesionarjev, odgovornim prirejanjem iger na srečo ter nadzor tveganja s področja pranja denarja, goljufij in drugih kaznivih ravnanj na področju prirejanja iger na srečo. </w:t>
      </w:r>
    </w:p>
    <w:p w14:paraId="4B7C64C1" w14:textId="77777777" w:rsidR="00546B19" w:rsidRPr="00094AC0" w:rsidRDefault="00546B19" w:rsidP="00094AC0">
      <w:pPr>
        <w:spacing w:line="260" w:lineRule="exact"/>
        <w:jc w:val="both"/>
        <w:rPr>
          <w:rFonts w:cs="Arial"/>
          <w:szCs w:val="20"/>
          <w:lang w:val="sl-SI"/>
        </w:rPr>
      </w:pPr>
    </w:p>
    <w:p w14:paraId="7E320A83" w14:textId="77777777" w:rsidR="00546B19" w:rsidRPr="00094AC0" w:rsidRDefault="00546B19" w:rsidP="00094AC0">
      <w:pPr>
        <w:spacing w:line="260" w:lineRule="exact"/>
        <w:jc w:val="both"/>
        <w:rPr>
          <w:rFonts w:cs="Arial"/>
          <w:szCs w:val="20"/>
          <w:lang w:val="sl-SI"/>
        </w:rPr>
      </w:pPr>
      <w:r w:rsidRPr="00094AC0">
        <w:rPr>
          <w:rFonts w:cs="Arial"/>
          <w:szCs w:val="20"/>
          <w:lang w:val="sl-SI"/>
        </w:rPr>
        <w:t xml:space="preserve">Nadzorne aktivnosti se bodo izvajale na področju klasičnih iger na srečo, na področju posebnih iger na srečo, na področju pooblaščenih institucij, na področju nedovoljenega prirejanja iger na srečo in področju sprejemanja ali posredovanja vplačil, oglaševanja ali opravljanja drugih storitev v zvezi s prirejanjem iger na srečo za osebe, ki nimajo koncesije Vlade RS. Zaradi javnega interesa in zaščite interesa igralcev, se bo večji del nadzora izvajal na področju nedovoljenega prirejanja spletnih iger na srečo, tudi z uporabo ukrepa blokade spletnih strani. </w:t>
      </w:r>
    </w:p>
    <w:p w14:paraId="1412CB10" w14:textId="77777777" w:rsidR="0077473E" w:rsidRPr="00094AC0" w:rsidRDefault="0077473E" w:rsidP="00094AC0">
      <w:pPr>
        <w:autoSpaceDE w:val="0"/>
        <w:autoSpaceDN w:val="0"/>
        <w:adjustRightInd w:val="0"/>
        <w:spacing w:line="260" w:lineRule="exact"/>
        <w:jc w:val="both"/>
        <w:rPr>
          <w:rFonts w:cs="Arial"/>
          <w:szCs w:val="20"/>
          <w:lang w:val="sl-SI"/>
        </w:rPr>
      </w:pPr>
    </w:p>
    <w:p w14:paraId="43C52DBF" w14:textId="29609593" w:rsidR="0077473E" w:rsidRPr="00094AC0" w:rsidRDefault="0077473E" w:rsidP="00094AC0">
      <w:pPr>
        <w:spacing w:line="260" w:lineRule="exact"/>
        <w:jc w:val="both"/>
        <w:rPr>
          <w:rFonts w:cs="Arial"/>
          <w:szCs w:val="20"/>
          <w:lang w:val="sl-SI"/>
        </w:rPr>
      </w:pPr>
      <w:bookmarkStart w:id="6" w:name="_Hlk125100037"/>
      <w:r w:rsidRPr="000E7AE9">
        <w:rPr>
          <w:rFonts w:cs="Arial"/>
          <w:b/>
          <w:bCs/>
          <w:szCs w:val="20"/>
          <w:lang w:val="sl-SI"/>
        </w:rPr>
        <w:t xml:space="preserve">Nadzori </w:t>
      </w:r>
      <w:r w:rsidRPr="00094AC0">
        <w:rPr>
          <w:rFonts w:cs="Arial"/>
          <w:b/>
          <w:bCs/>
          <w:szCs w:val="20"/>
          <w:lang w:val="sl-SI"/>
        </w:rPr>
        <w:t>davka od nenapovedanih dohodkov po 68 a. čl. ZDavP-2</w:t>
      </w:r>
      <w:r w:rsidRPr="00094AC0">
        <w:rPr>
          <w:rFonts w:cs="Arial"/>
          <w:szCs w:val="20"/>
          <w:lang w:val="sl-SI"/>
        </w:rPr>
        <w:t xml:space="preserve"> se bodo izvajali pri posameznikih, pri katerih bo po analizi prijav in pobud drugih državnih organov in izvedenih analiz na centralnem nivoju zaznan sum večjega nesorazmerja med potrošnjo vključno s premoženjem in prijavljenimi dohodki posameznika. </w:t>
      </w:r>
      <w:bookmarkEnd w:id="6"/>
    </w:p>
    <w:p w14:paraId="248B94EF" w14:textId="77777777" w:rsidR="00284146" w:rsidRPr="00094AC0" w:rsidRDefault="00284146" w:rsidP="00094AC0">
      <w:pPr>
        <w:spacing w:line="260" w:lineRule="exact"/>
        <w:jc w:val="both"/>
        <w:rPr>
          <w:rFonts w:cs="Arial"/>
          <w:szCs w:val="20"/>
          <w:lang w:val="sl-SI"/>
        </w:rPr>
      </w:pPr>
    </w:p>
    <w:p w14:paraId="54B4E59D" w14:textId="44C03151" w:rsidR="0077473E" w:rsidRPr="00094AC0" w:rsidRDefault="0077473E" w:rsidP="00094AC0">
      <w:pPr>
        <w:spacing w:line="260" w:lineRule="exact"/>
        <w:jc w:val="both"/>
        <w:rPr>
          <w:rFonts w:cs="Arial"/>
          <w:szCs w:val="20"/>
          <w:lang w:val="sl-SI"/>
        </w:rPr>
      </w:pPr>
      <w:r w:rsidRPr="00094AC0">
        <w:rPr>
          <w:rFonts w:cs="Arial"/>
          <w:b/>
          <w:bCs/>
          <w:szCs w:val="20"/>
          <w:lang w:val="sl-SI"/>
        </w:rPr>
        <w:t>Nadzori nad izvajanjem posebnih ukrepov za preprečitev in odpravo posledic, prejetih pomoči in oprostitev zaradi epidemije, naravnih nesreč (poplav in zemeljskih plazov) in energetske krize, ki so jih zavezanci prejeli v obliki prejete finančne pomoči, nadomestil ali z uveljavljanjem oprostitev davčnih obveznosti</w:t>
      </w:r>
      <w:r w:rsidRPr="00094AC0">
        <w:rPr>
          <w:rFonts w:cs="Arial"/>
          <w:szCs w:val="20"/>
          <w:lang w:val="sl-SI"/>
        </w:rPr>
        <w:t>, za nadzor katerih je pristojen FURS, se bodo izvajali v inšpekciji</w:t>
      </w:r>
      <w:r w:rsidR="00333A77" w:rsidRPr="00094AC0">
        <w:rPr>
          <w:rFonts w:cs="Arial"/>
          <w:szCs w:val="20"/>
          <w:lang w:val="sl-SI"/>
        </w:rPr>
        <w:t xml:space="preserve"> v nadzorih na področju davka od dohodka pravnih oseb, ali davkov in prispevkov od dohodkov posameznikov, ki zajemajo obdobja, ko so zavezanci prejeli pomoči ali uveljavljali oprostitev.</w:t>
      </w:r>
    </w:p>
    <w:p w14:paraId="3AD9AA9A" w14:textId="77777777" w:rsidR="0077473E" w:rsidRPr="00094AC0" w:rsidRDefault="0077473E" w:rsidP="00094AC0">
      <w:pPr>
        <w:spacing w:line="260" w:lineRule="exact"/>
        <w:rPr>
          <w:rFonts w:cs="Arial"/>
          <w:szCs w:val="20"/>
          <w:lang w:val="sl-SI"/>
        </w:rPr>
      </w:pPr>
    </w:p>
    <w:p w14:paraId="4B72A55E" w14:textId="478EBCEA" w:rsidR="0077473E" w:rsidRPr="00094AC0" w:rsidRDefault="0077473E" w:rsidP="00094AC0">
      <w:pPr>
        <w:spacing w:line="260" w:lineRule="exact"/>
        <w:jc w:val="both"/>
        <w:rPr>
          <w:rFonts w:cs="Arial"/>
          <w:szCs w:val="20"/>
          <w:lang w:val="sl-SI"/>
        </w:rPr>
      </w:pPr>
      <w:r w:rsidRPr="00094AC0">
        <w:rPr>
          <w:rFonts w:cs="Arial"/>
          <w:szCs w:val="20"/>
          <w:lang w:val="sl-SI"/>
        </w:rPr>
        <w:t xml:space="preserve">Davčni nadzori ustreznosti </w:t>
      </w:r>
      <w:r w:rsidRPr="00094AC0">
        <w:rPr>
          <w:rFonts w:cs="Arial"/>
          <w:b/>
          <w:bCs/>
          <w:szCs w:val="20"/>
          <w:lang w:val="sl-SI"/>
        </w:rPr>
        <w:t>izvajanja postopkov dolžne skrbnosti in poročanja informacij o finančnih računih  in nadzori izvajanja mednarodne pogodbe o izboljšanju spoštovanja davčnih predpisov na mednarodni ravni in izvajanju FATC</w:t>
      </w:r>
      <w:r w:rsidRPr="00094AC0">
        <w:rPr>
          <w:rFonts w:cs="Arial"/>
          <w:szCs w:val="20"/>
          <w:lang w:val="sl-SI"/>
        </w:rPr>
        <w:t>A se bod</w:t>
      </w:r>
      <w:r w:rsidR="00333A77" w:rsidRPr="00094AC0">
        <w:rPr>
          <w:rFonts w:cs="Arial"/>
          <w:szCs w:val="20"/>
          <w:lang w:val="sl-SI"/>
        </w:rPr>
        <w:t>o</w:t>
      </w:r>
      <w:r w:rsidRPr="00094AC0">
        <w:rPr>
          <w:rFonts w:cs="Arial"/>
          <w:szCs w:val="20"/>
          <w:lang w:val="sl-SI"/>
        </w:rPr>
        <w:t xml:space="preserve"> v inšpekciji izvajali v primerih prepoznave visokega tveganja, ugotovljenega po analizi tveganja in na podlagi aktivnosti pozivanja ter izvedbe nadzora v kontroli.</w:t>
      </w:r>
    </w:p>
    <w:p w14:paraId="1CDBE638" w14:textId="77777777" w:rsidR="0077473E" w:rsidRPr="00094AC0" w:rsidRDefault="0077473E" w:rsidP="00094AC0">
      <w:pPr>
        <w:spacing w:line="260" w:lineRule="exact"/>
        <w:jc w:val="both"/>
        <w:rPr>
          <w:rFonts w:cs="Arial"/>
          <w:szCs w:val="20"/>
          <w:lang w:val="sl-SI"/>
        </w:rPr>
      </w:pPr>
    </w:p>
    <w:p w14:paraId="3B1BB5DB" w14:textId="100F5BE6" w:rsidR="0077473E" w:rsidRPr="000E7AE9" w:rsidRDefault="00333A77" w:rsidP="00094AC0">
      <w:pPr>
        <w:spacing w:line="260" w:lineRule="exact"/>
        <w:jc w:val="both"/>
        <w:rPr>
          <w:rFonts w:cs="Arial"/>
          <w:b/>
          <w:bCs/>
          <w:szCs w:val="20"/>
          <w:lang w:val="sl-SI"/>
        </w:rPr>
      </w:pPr>
      <w:bookmarkStart w:id="7" w:name="_Hlk125382920"/>
      <w:r w:rsidRPr="00094AC0">
        <w:rPr>
          <w:rFonts w:cs="Arial"/>
          <w:szCs w:val="20"/>
          <w:lang w:val="sl-SI"/>
        </w:rPr>
        <w:t xml:space="preserve">V okviru nadzorov s področja davkov ali carin se bo preverjalo ali obstajajo okoliščine, ki kažejo na sum, da subjekt krši </w:t>
      </w:r>
      <w:r w:rsidRPr="000E7AE9">
        <w:rPr>
          <w:rFonts w:cs="Arial"/>
          <w:b/>
          <w:bCs/>
          <w:szCs w:val="20"/>
          <w:lang w:val="sl-SI"/>
        </w:rPr>
        <w:t xml:space="preserve">obveznost </w:t>
      </w:r>
      <w:bookmarkStart w:id="8" w:name="_Hlk155879659"/>
      <w:r w:rsidR="0077473E" w:rsidRPr="000E7AE9">
        <w:rPr>
          <w:rFonts w:cs="Arial"/>
          <w:b/>
          <w:bCs/>
          <w:szCs w:val="20"/>
          <w:lang w:val="sl-SI"/>
        </w:rPr>
        <w:t>prijave denarne obveznosti v sistem za obvezni večstranski pobot  Zakona o preprečevanju zamud pri plačilih</w:t>
      </w:r>
      <w:r w:rsidRPr="000E7AE9">
        <w:rPr>
          <w:rFonts w:cs="Arial"/>
          <w:b/>
          <w:bCs/>
          <w:szCs w:val="20"/>
          <w:lang w:val="sl-SI"/>
        </w:rPr>
        <w:t>.</w:t>
      </w:r>
      <w:bookmarkEnd w:id="8"/>
      <w:r w:rsidR="0077473E" w:rsidRPr="000E7AE9">
        <w:rPr>
          <w:rFonts w:cs="Arial"/>
          <w:b/>
          <w:bCs/>
          <w:szCs w:val="20"/>
          <w:lang w:val="sl-SI"/>
        </w:rPr>
        <w:t xml:space="preserve"> </w:t>
      </w:r>
      <w:bookmarkEnd w:id="7"/>
    </w:p>
    <w:p w14:paraId="3E9905B5" w14:textId="7A840602" w:rsidR="0077473E" w:rsidRPr="00094AC0" w:rsidRDefault="0077473E" w:rsidP="00094AC0">
      <w:pPr>
        <w:spacing w:line="260" w:lineRule="exact"/>
        <w:rPr>
          <w:rFonts w:cs="Arial"/>
          <w:b/>
          <w:bCs/>
          <w:szCs w:val="20"/>
          <w:lang w:val="sl-SI"/>
        </w:rPr>
      </w:pPr>
    </w:p>
    <w:p w14:paraId="475FB08C" w14:textId="271D706E" w:rsidR="009E27C9" w:rsidRPr="00094AC0" w:rsidRDefault="009E27C9" w:rsidP="00094AC0">
      <w:pPr>
        <w:spacing w:line="260" w:lineRule="exact"/>
        <w:jc w:val="both"/>
        <w:rPr>
          <w:rFonts w:cs="Arial"/>
          <w:szCs w:val="20"/>
          <w:lang w:val="sl-SI"/>
        </w:rPr>
      </w:pPr>
      <w:r w:rsidRPr="00094AC0">
        <w:rPr>
          <w:rFonts w:cs="Arial"/>
          <w:b/>
          <w:bCs/>
          <w:szCs w:val="20"/>
          <w:lang w:val="sl-SI"/>
        </w:rPr>
        <w:t>Prejete pobude in prijave</w:t>
      </w:r>
      <w:r w:rsidRPr="00094AC0">
        <w:rPr>
          <w:rFonts w:cs="Arial"/>
          <w:szCs w:val="20"/>
          <w:lang w:val="sl-SI"/>
        </w:rPr>
        <w:t xml:space="preserve"> se v FURS centralno analizirajo in vrednotijo. Na tej podlagi se bodo prioritetno izvajali nadzori na podlagi utemeljenih pobud in prijav, kjer bo zaznano večje tveganje z vidika javnofinančnih prihodkov, oziroma z vidika varovanja zdravja in življenja ljudi. </w:t>
      </w:r>
    </w:p>
    <w:p w14:paraId="16EDC051" w14:textId="77777777" w:rsidR="009E27C9" w:rsidRPr="00094AC0" w:rsidRDefault="009E27C9" w:rsidP="00094AC0">
      <w:pPr>
        <w:spacing w:line="260" w:lineRule="exact"/>
        <w:jc w:val="both"/>
        <w:rPr>
          <w:rFonts w:cs="Arial"/>
          <w:b/>
          <w:szCs w:val="20"/>
          <w:lang w:val="sl-SI"/>
        </w:rPr>
      </w:pPr>
    </w:p>
    <w:p w14:paraId="39F7B1CD" w14:textId="77777777" w:rsidR="009E27C9" w:rsidRPr="00094AC0" w:rsidRDefault="009E27C9" w:rsidP="00094AC0">
      <w:pPr>
        <w:spacing w:line="260" w:lineRule="exact"/>
        <w:jc w:val="both"/>
        <w:rPr>
          <w:rFonts w:cs="Arial"/>
          <w:szCs w:val="20"/>
          <w:lang w:val="sl-SI"/>
        </w:rPr>
      </w:pPr>
      <w:r w:rsidRPr="00094AC0">
        <w:rPr>
          <w:rFonts w:cs="Arial"/>
          <w:szCs w:val="20"/>
          <w:lang w:val="sl-SI"/>
        </w:rPr>
        <w:t xml:space="preserve">Ostale pobude in prijave, ki niso ovrednotene z višjim tveganjem se v inšpekcijskih nadzorih obravnavajo le v primeru, če prejeta pobuda ali prijava sovpada z izborom zavezanca za nadzor na podlagi lastne analize tveganja in se v teh primerih v nadzorih obravnavajo tudi navedbe iz teh prijav. </w:t>
      </w:r>
    </w:p>
    <w:p w14:paraId="6E6CDF29" w14:textId="77777777" w:rsidR="009E27C9" w:rsidRPr="00094AC0" w:rsidRDefault="009E27C9" w:rsidP="00094AC0">
      <w:pPr>
        <w:spacing w:line="260" w:lineRule="exact"/>
        <w:jc w:val="both"/>
        <w:rPr>
          <w:rFonts w:cs="Arial"/>
          <w:szCs w:val="20"/>
          <w:lang w:val="sl-SI"/>
        </w:rPr>
      </w:pPr>
    </w:p>
    <w:p w14:paraId="27B9E748" w14:textId="77777777" w:rsidR="009E27C9" w:rsidRPr="00094AC0" w:rsidRDefault="009E27C9" w:rsidP="00094AC0">
      <w:pPr>
        <w:spacing w:line="260" w:lineRule="exact"/>
        <w:jc w:val="both"/>
        <w:rPr>
          <w:rFonts w:cs="Arial"/>
          <w:szCs w:val="20"/>
          <w:lang w:val="sl-SI"/>
        </w:rPr>
      </w:pPr>
    </w:p>
    <w:p w14:paraId="21EA7586" w14:textId="3A351043" w:rsidR="009E27C9" w:rsidRPr="00094AC0" w:rsidRDefault="009E27C9" w:rsidP="00094AC0">
      <w:pPr>
        <w:spacing w:line="260" w:lineRule="exact"/>
        <w:jc w:val="both"/>
        <w:rPr>
          <w:rFonts w:cs="Arial"/>
          <w:szCs w:val="20"/>
          <w:lang w:val="sl-SI"/>
        </w:rPr>
      </w:pPr>
      <w:r w:rsidRPr="00094AC0">
        <w:rPr>
          <w:rFonts w:cs="Arial"/>
          <w:szCs w:val="20"/>
          <w:lang w:val="sl-SI"/>
        </w:rPr>
        <w:t>Na podlagi ugotovitev v postopkih nadzora iz preteklih let, v letu 202</w:t>
      </w:r>
      <w:r w:rsidR="00333A77" w:rsidRPr="00094AC0">
        <w:rPr>
          <w:rFonts w:cs="Arial"/>
          <w:szCs w:val="20"/>
          <w:lang w:val="sl-SI"/>
        </w:rPr>
        <w:t>4</w:t>
      </w:r>
      <w:r w:rsidRPr="00094AC0">
        <w:rPr>
          <w:rFonts w:cs="Arial"/>
          <w:szCs w:val="20"/>
          <w:lang w:val="sl-SI"/>
        </w:rPr>
        <w:t xml:space="preserve"> </w:t>
      </w:r>
      <w:r w:rsidR="00C8344D" w:rsidRPr="00094AC0">
        <w:rPr>
          <w:rFonts w:cs="Arial"/>
          <w:szCs w:val="20"/>
          <w:lang w:val="sl-SI"/>
        </w:rPr>
        <w:t xml:space="preserve">FURS </w:t>
      </w:r>
      <w:r w:rsidRPr="00094AC0">
        <w:rPr>
          <w:rFonts w:cs="Arial"/>
          <w:b/>
          <w:bCs/>
          <w:szCs w:val="20"/>
          <w:lang w:val="sl-SI"/>
        </w:rPr>
        <w:t>z drugimi inšpektorati</w:t>
      </w:r>
      <w:r w:rsidRPr="00094AC0">
        <w:rPr>
          <w:rFonts w:cs="Arial"/>
          <w:szCs w:val="20"/>
          <w:lang w:val="sl-SI"/>
        </w:rPr>
        <w:t xml:space="preserve"> načrtuje nadzore na naslednjih področjih:</w:t>
      </w:r>
    </w:p>
    <w:p w14:paraId="3A065746" w14:textId="77777777" w:rsidR="00333A77" w:rsidRPr="00094AC0" w:rsidRDefault="00333A77" w:rsidP="00094AC0">
      <w:pPr>
        <w:numPr>
          <w:ilvl w:val="0"/>
          <w:numId w:val="16"/>
        </w:numPr>
        <w:spacing w:line="260" w:lineRule="exact"/>
        <w:ind w:left="360"/>
        <w:contextualSpacing/>
        <w:jc w:val="both"/>
        <w:rPr>
          <w:rFonts w:cs="Arial"/>
          <w:szCs w:val="20"/>
          <w:lang w:val="sl-SI"/>
        </w:rPr>
      </w:pPr>
      <w:r w:rsidRPr="00094AC0">
        <w:rPr>
          <w:rFonts w:cs="Arial"/>
          <w:szCs w:val="20"/>
          <w:lang w:val="sl-SI"/>
        </w:rPr>
        <w:t>nadzori dela in zaposlovanja tujcev, državljanov tretjih držav (s poudarkom v tveganih dejavnostih gradbeništva, prevozništva, gostinstva …), sodelovanje s Policijo, ZRSZ, IRSD;</w:t>
      </w:r>
    </w:p>
    <w:p w14:paraId="204ED87F" w14:textId="77777777" w:rsidR="00333A77" w:rsidRPr="00094AC0" w:rsidRDefault="00333A77" w:rsidP="00094AC0">
      <w:pPr>
        <w:numPr>
          <w:ilvl w:val="0"/>
          <w:numId w:val="16"/>
        </w:numPr>
        <w:spacing w:line="260" w:lineRule="exact"/>
        <w:ind w:left="360"/>
        <w:jc w:val="both"/>
        <w:rPr>
          <w:rFonts w:cs="Arial"/>
          <w:szCs w:val="20"/>
          <w:lang w:val="sl-SI"/>
        </w:rPr>
      </w:pPr>
      <w:r w:rsidRPr="00094AC0">
        <w:rPr>
          <w:rFonts w:cs="Arial"/>
          <w:szCs w:val="20"/>
          <w:lang w:val="sl-SI"/>
        </w:rPr>
        <w:t>nadzori dela in zaposlovanja na črno ter izdajanja računov v dejavnostih, kjer se opravlja pretežno gotovinsko poslovanje pri opravljanju storitev, sodelovanje s TIRS, IRSD;</w:t>
      </w:r>
    </w:p>
    <w:p w14:paraId="0BD43F3B" w14:textId="77777777" w:rsidR="00333A77" w:rsidRPr="00094AC0" w:rsidRDefault="00333A77" w:rsidP="00094AC0">
      <w:pPr>
        <w:numPr>
          <w:ilvl w:val="0"/>
          <w:numId w:val="16"/>
        </w:numPr>
        <w:spacing w:line="260" w:lineRule="exact"/>
        <w:ind w:left="360"/>
        <w:contextualSpacing/>
        <w:jc w:val="both"/>
        <w:rPr>
          <w:rFonts w:cs="Arial"/>
          <w:szCs w:val="20"/>
          <w:lang w:val="sl-SI"/>
        </w:rPr>
      </w:pPr>
      <w:r w:rsidRPr="00094AC0">
        <w:rPr>
          <w:rFonts w:cs="Arial"/>
          <w:szCs w:val="20"/>
          <w:lang w:val="sl-SI"/>
        </w:rPr>
        <w:t>nadzori v posameznih izpostavljenih dejavnostih, kot je prodaja sadja in zelenjave na stojnicah, taksi dejavnost, spletne prodaje, kjer je za učinkovit nadzor potrebno sodelovanje več inšpekcijskih organov; sodelovanje s TIRS, UVHVVR, Inšpektoratom za promet, IRSD;</w:t>
      </w:r>
    </w:p>
    <w:p w14:paraId="688A6BA9" w14:textId="77777777" w:rsidR="00333A77" w:rsidRPr="00094AC0" w:rsidRDefault="00333A77" w:rsidP="00094AC0">
      <w:pPr>
        <w:numPr>
          <w:ilvl w:val="0"/>
          <w:numId w:val="16"/>
        </w:numPr>
        <w:spacing w:line="260" w:lineRule="exact"/>
        <w:ind w:left="360"/>
        <w:contextualSpacing/>
        <w:jc w:val="both"/>
        <w:rPr>
          <w:rFonts w:cs="Arial"/>
          <w:szCs w:val="20"/>
          <w:lang w:val="sl-SI"/>
        </w:rPr>
      </w:pPr>
      <w:r w:rsidRPr="00094AC0">
        <w:rPr>
          <w:rFonts w:cs="Arial"/>
          <w:szCs w:val="20"/>
          <w:lang w:val="sl-SI"/>
        </w:rPr>
        <w:t>nadzori čezmejnega izvajanja storitev po Zakonu o čezmejnem izvajanju storitev, sodelovanje z IRSD in Policijo;</w:t>
      </w:r>
    </w:p>
    <w:p w14:paraId="21511933" w14:textId="77777777" w:rsidR="00333A77" w:rsidRPr="00094AC0" w:rsidRDefault="00333A77" w:rsidP="00094AC0">
      <w:pPr>
        <w:pStyle w:val="Odstavekseznama"/>
        <w:numPr>
          <w:ilvl w:val="0"/>
          <w:numId w:val="16"/>
        </w:numPr>
        <w:ind w:left="360"/>
        <w:jc w:val="both"/>
        <w:rPr>
          <w:rFonts w:cs="Arial"/>
          <w:szCs w:val="20"/>
        </w:rPr>
      </w:pPr>
      <w:r w:rsidRPr="00094AC0">
        <w:rPr>
          <w:rFonts w:cs="Arial"/>
          <w:szCs w:val="20"/>
        </w:rPr>
        <w:t>nadzori na področju iger na srečo in preprečevanja pranja denarja in financiranja terorizma z UPPD (po dogovoru med PFU in UPPD);</w:t>
      </w:r>
    </w:p>
    <w:p w14:paraId="3F407519" w14:textId="77777777" w:rsidR="00333A77" w:rsidRPr="00094AC0" w:rsidRDefault="00333A77" w:rsidP="00094AC0">
      <w:pPr>
        <w:pStyle w:val="Odstavekseznama"/>
        <w:numPr>
          <w:ilvl w:val="0"/>
          <w:numId w:val="16"/>
        </w:numPr>
        <w:ind w:left="360"/>
        <w:jc w:val="both"/>
        <w:rPr>
          <w:rFonts w:cs="Arial"/>
          <w:szCs w:val="20"/>
        </w:rPr>
      </w:pPr>
      <w:r w:rsidRPr="00094AC0">
        <w:rPr>
          <w:rFonts w:cs="Arial"/>
          <w:szCs w:val="20"/>
        </w:rPr>
        <w:t>sodelovanje v vsakoletni skupni evropski akciji trgovine z ljudmi - JAD THB (Joint Action Days Trafficking in Human Beings) - sodelovanje z IRSD (nosilec akcije) in Policijo.</w:t>
      </w:r>
    </w:p>
    <w:p w14:paraId="29FCEF78" w14:textId="77777777" w:rsidR="009E27C9" w:rsidRPr="00094AC0" w:rsidRDefault="009E27C9" w:rsidP="00094AC0">
      <w:pPr>
        <w:spacing w:line="260" w:lineRule="exact"/>
        <w:jc w:val="both"/>
        <w:rPr>
          <w:rFonts w:cs="Arial"/>
          <w:szCs w:val="20"/>
          <w:lang w:val="sl-SI"/>
        </w:rPr>
      </w:pPr>
    </w:p>
    <w:p w14:paraId="677BA788" w14:textId="77777777" w:rsidR="009E27C9" w:rsidRPr="00094AC0" w:rsidRDefault="009E27C9" w:rsidP="00094AC0">
      <w:pPr>
        <w:spacing w:line="260" w:lineRule="exact"/>
        <w:rPr>
          <w:rFonts w:cs="Arial"/>
          <w:szCs w:val="20"/>
          <w:lang w:val="sl-SI"/>
        </w:rPr>
      </w:pPr>
    </w:p>
    <w:p w14:paraId="51717443" w14:textId="77777777" w:rsidR="0016722F" w:rsidRPr="00094AC0" w:rsidRDefault="0016722F" w:rsidP="00094AC0">
      <w:pPr>
        <w:spacing w:line="260" w:lineRule="exact"/>
        <w:jc w:val="both"/>
        <w:rPr>
          <w:rFonts w:cs="Arial"/>
          <w:szCs w:val="20"/>
          <w:lang w:val="sl-SI"/>
        </w:rPr>
      </w:pPr>
    </w:p>
    <w:sectPr w:rsidR="0016722F" w:rsidRPr="00094AC0" w:rsidSect="00783310">
      <w:headerReference w:type="default" r:id="rId55"/>
      <w:footerReference w:type="default" r:id="rId56"/>
      <w:headerReference w:type="first" r:id="rId57"/>
      <w:footerReference w:type="first" r:id="rId5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65F1" w14:textId="77777777" w:rsidR="004C47AB" w:rsidRDefault="004C47AB">
      <w:r>
        <w:separator/>
      </w:r>
    </w:p>
  </w:endnote>
  <w:endnote w:type="continuationSeparator" w:id="0">
    <w:p w14:paraId="6409B2E5" w14:textId="77777777" w:rsidR="004C47AB" w:rsidRDefault="004C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993" w14:textId="77777777" w:rsidR="009A1FAC" w:rsidRDefault="009A1FAC" w:rsidP="009F30FB">
    <w:pPr>
      <w:pStyle w:val="Noga"/>
      <w:jc w:val="right"/>
    </w:pPr>
    <w:r>
      <w:fldChar w:fldCharType="begin"/>
    </w:r>
    <w:r>
      <w:instrText>PAGE   \* MERGEFORMAT</w:instrText>
    </w:r>
    <w:r>
      <w:fldChar w:fldCharType="separate"/>
    </w:r>
    <w:r w:rsidR="001B3362" w:rsidRPr="001B3362">
      <w:rPr>
        <w:noProof/>
        <w:lang w:val="sl-SI"/>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0B1F" w14:textId="77777777" w:rsidR="009A1FAC" w:rsidRDefault="009A1FAC"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52E" w14:textId="77777777" w:rsidR="004C47AB" w:rsidRDefault="004C47AB">
      <w:r>
        <w:separator/>
      </w:r>
    </w:p>
  </w:footnote>
  <w:footnote w:type="continuationSeparator" w:id="0">
    <w:p w14:paraId="7404ABC9" w14:textId="77777777" w:rsidR="004C47AB" w:rsidRDefault="004C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C1A4" w14:textId="77777777" w:rsidR="009A1FAC" w:rsidRPr="00110CBD" w:rsidRDefault="009A1FA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A1FAC" w:rsidRPr="008F3500" w14:paraId="128F84BC" w14:textId="77777777">
      <w:trPr>
        <w:cantSplit/>
        <w:trHeight w:hRule="exact" w:val="847"/>
      </w:trPr>
      <w:tc>
        <w:tcPr>
          <w:tcW w:w="567" w:type="dxa"/>
        </w:tcPr>
        <w:p w14:paraId="400ABC5B" w14:textId="77777777" w:rsidR="009A1FAC" w:rsidRDefault="009A1FAC"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6E8B68A" w14:textId="77777777" w:rsidR="009A1FAC" w:rsidRPr="006D42D9" w:rsidRDefault="009A1FAC" w:rsidP="006D42D9">
          <w:pPr>
            <w:rPr>
              <w:rFonts w:ascii="Republika" w:hAnsi="Republika"/>
              <w:sz w:val="60"/>
              <w:szCs w:val="60"/>
              <w:lang w:val="sl-SI"/>
            </w:rPr>
          </w:pPr>
        </w:p>
        <w:p w14:paraId="58AFB0E9" w14:textId="77777777" w:rsidR="009A1FAC" w:rsidRPr="006D42D9" w:rsidRDefault="009A1FAC" w:rsidP="006D42D9">
          <w:pPr>
            <w:rPr>
              <w:rFonts w:ascii="Republika" w:hAnsi="Republika"/>
              <w:sz w:val="60"/>
              <w:szCs w:val="60"/>
              <w:lang w:val="sl-SI"/>
            </w:rPr>
          </w:pPr>
        </w:p>
        <w:p w14:paraId="6722C052" w14:textId="77777777" w:rsidR="009A1FAC" w:rsidRPr="006D42D9" w:rsidRDefault="009A1FAC" w:rsidP="006D42D9">
          <w:pPr>
            <w:rPr>
              <w:rFonts w:ascii="Republika" w:hAnsi="Republika"/>
              <w:sz w:val="60"/>
              <w:szCs w:val="60"/>
              <w:lang w:val="sl-SI"/>
            </w:rPr>
          </w:pPr>
        </w:p>
        <w:p w14:paraId="3B38F649" w14:textId="77777777" w:rsidR="009A1FAC" w:rsidRPr="006D42D9" w:rsidRDefault="009A1FAC" w:rsidP="006D42D9">
          <w:pPr>
            <w:rPr>
              <w:rFonts w:ascii="Republika" w:hAnsi="Republika"/>
              <w:sz w:val="60"/>
              <w:szCs w:val="60"/>
              <w:lang w:val="sl-SI"/>
            </w:rPr>
          </w:pPr>
        </w:p>
        <w:p w14:paraId="134D28F6" w14:textId="77777777" w:rsidR="009A1FAC" w:rsidRPr="006D42D9" w:rsidRDefault="009A1FAC" w:rsidP="006D42D9">
          <w:pPr>
            <w:rPr>
              <w:rFonts w:ascii="Republika" w:hAnsi="Republika"/>
              <w:sz w:val="60"/>
              <w:szCs w:val="60"/>
              <w:lang w:val="sl-SI"/>
            </w:rPr>
          </w:pPr>
        </w:p>
        <w:p w14:paraId="12292210" w14:textId="77777777" w:rsidR="009A1FAC" w:rsidRPr="006D42D9" w:rsidRDefault="009A1FAC" w:rsidP="006D42D9">
          <w:pPr>
            <w:rPr>
              <w:rFonts w:ascii="Republika" w:hAnsi="Republika"/>
              <w:sz w:val="60"/>
              <w:szCs w:val="60"/>
              <w:lang w:val="sl-SI"/>
            </w:rPr>
          </w:pPr>
        </w:p>
        <w:p w14:paraId="4F0C783C" w14:textId="77777777" w:rsidR="009A1FAC" w:rsidRPr="006D42D9" w:rsidRDefault="009A1FAC" w:rsidP="006D42D9">
          <w:pPr>
            <w:rPr>
              <w:rFonts w:ascii="Republika" w:hAnsi="Republika"/>
              <w:sz w:val="60"/>
              <w:szCs w:val="60"/>
              <w:lang w:val="sl-SI"/>
            </w:rPr>
          </w:pPr>
        </w:p>
        <w:p w14:paraId="2C6D6705" w14:textId="77777777" w:rsidR="009A1FAC" w:rsidRPr="006D42D9" w:rsidRDefault="009A1FAC" w:rsidP="006D42D9">
          <w:pPr>
            <w:rPr>
              <w:rFonts w:ascii="Republika" w:hAnsi="Republika"/>
              <w:sz w:val="60"/>
              <w:szCs w:val="60"/>
              <w:lang w:val="sl-SI"/>
            </w:rPr>
          </w:pPr>
        </w:p>
        <w:p w14:paraId="7C1600C1" w14:textId="77777777" w:rsidR="009A1FAC" w:rsidRPr="006D42D9" w:rsidRDefault="009A1FAC" w:rsidP="006D42D9">
          <w:pPr>
            <w:rPr>
              <w:rFonts w:ascii="Republika" w:hAnsi="Republika"/>
              <w:sz w:val="60"/>
              <w:szCs w:val="60"/>
              <w:lang w:val="sl-SI"/>
            </w:rPr>
          </w:pPr>
        </w:p>
        <w:p w14:paraId="7327F96D" w14:textId="77777777" w:rsidR="009A1FAC" w:rsidRPr="006D42D9" w:rsidRDefault="009A1FAC" w:rsidP="006D42D9">
          <w:pPr>
            <w:rPr>
              <w:rFonts w:ascii="Republika" w:hAnsi="Republika"/>
              <w:sz w:val="60"/>
              <w:szCs w:val="60"/>
              <w:lang w:val="sl-SI"/>
            </w:rPr>
          </w:pPr>
        </w:p>
        <w:p w14:paraId="5F98BA9D" w14:textId="77777777" w:rsidR="009A1FAC" w:rsidRPr="006D42D9" w:rsidRDefault="009A1FAC" w:rsidP="006D42D9">
          <w:pPr>
            <w:rPr>
              <w:rFonts w:ascii="Republika" w:hAnsi="Republika"/>
              <w:sz w:val="60"/>
              <w:szCs w:val="60"/>
              <w:lang w:val="sl-SI"/>
            </w:rPr>
          </w:pPr>
        </w:p>
        <w:p w14:paraId="013C0828" w14:textId="77777777" w:rsidR="009A1FAC" w:rsidRPr="006D42D9" w:rsidRDefault="009A1FAC" w:rsidP="006D42D9">
          <w:pPr>
            <w:rPr>
              <w:rFonts w:ascii="Republika" w:hAnsi="Republika"/>
              <w:sz w:val="60"/>
              <w:szCs w:val="60"/>
              <w:lang w:val="sl-SI"/>
            </w:rPr>
          </w:pPr>
        </w:p>
        <w:p w14:paraId="7711A851" w14:textId="77777777" w:rsidR="009A1FAC" w:rsidRPr="006D42D9" w:rsidRDefault="009A1FAC" w:rsidP="006D42D9">
          <w:pPr>
            <w:rPr>
              <w:rFonts w:ascii="Republika" w:hAnsi="Republika"/>
              <w:sz w:val="60"/>
              <w:szCs w:val="60"/>
              <w:lang w:val="sl-SI"/>
            </w:rPr>
          </w:pPr>
        </w:p>
        <w:p w14:paraId="7B7317B2" w14:textId="77777777" w:rsidR="009A1FAC" w:rsidRPr="006D42D9" w:rsidRDefault="009A1FAC" w:rsidP="006D42D9">
          <w:pPr>
            <w:rPr>
              <w:rFonts w:ascii="Republika" w:hAnsi="Republika"/>
              <w:sz w:val="60"/>
              <w:szCs w:val="60"/>
              <w:lang w:val="sl-SI"/>
            </w:rPr>
          </w:pPr>
        </w:p>
        <w:p w14:paraId="0960FF2E" w14:textId="77777777" w:rsidR="009A1FAC" w:rsidRPr="006D42D9" w:rsidRDefault="009A1FAC" w:rsidP="006D42D9">
          <w:pPr>
            <w:rPr>
              <w:rFonts w:ascii="Republika" w:hAnsi="Republika"/>
              <w:sz w:val="60"/>
              <w:szCs w:val="60"/>
              <w:lang w:val="sl-SI"/>
            </w:rPr>
          </w:pPr>
        </w:p>
        <w:p w14:paraId="692A3065" w14:textId="77777777" w:rsidR="009A1FAC" w:rsidRPr="006D42D9" w:rsidRDefault="009A1FAC" w:rsidP="006D42D9">
          <w:pPr>
            <w:rPr>
              <w:rFonts w:ascii="Republika" w:hAnsi="Republika"/>
              <w:sz w:val="60"/>
              <w:szCs w:val="60"/>
              <w:lang w:val="sl-SI"/>
            </w:rPr>
          </w:pPr>
        </w:p>
      </w:tc>
    </w:tr>
  </w:tbl>
  <w:p w14:paraId="26E3E54F" w14:textId="77777777" w:rsidR="009A1FAC" w:rsidRPr="008F3500" w:rsidRDefault="009A1FAC"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611A71FE" wp14:editId="4E94073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FA91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0FE0C658" w14:textId="77777777" w:rsidR="009A1FAC" w:rsidRPr="008F3500" w:rsidRDefault="009A1FAC"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D25CBC0" w14:textId="77777777" w:rsidR="009A1FAC" w:rsidRDefault="009A1FAC"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E065DEA" w14:textId="77777777" w:rsidR="009A1FAC" w:rsidRPr="008F3500" w:rsidRDefault="009A1FAC"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 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54DB9B2" w14:textId="77777777" w:rsidR="009A1FAC" w:rsidRPr="008F3500" w:rsidRDefault="009A1FAC"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11D9937F" w14:textId="77777777" w:rsidR="009A1FAC" w:rsidRPr="008F3500" w:rsidRDefault="009A1FA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2FC1A98" w14:textId="77777777" w:rsidR="009A1FAC" w:rsidRPr="008F3500" w:rsidRDefault="009A1FA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C95208B" w14:textId="77777777" w:rsidR="009A1FAC" w:rsidRPr="008F3500" w:rsidRDefault="009A1FA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BFB"/>
    <w:multiLevelType w:val="hybridMultilevel"/>
    <w:tmpl w:val="FBAEF170"/>
    <w:lvl w:ilvl="0" w:tplc="29A4D660">
      <w:numFmt w:val="bullet"/>
      <w:lvlText w:val="-"/>
      <w:lvlJc w:val="left"/>
      <w:pPr>
        <w:ind w:left="360" w:hanging="360"/>
      </w:pPr>
      <w:rPr>
        <w:rFonts w:ascii="Arial" w:eastAsia="Times New Roman" w:hAnsi="Arial" w:cs="Arial" w:hint="default"/>
      </w:rPr>
    </w:lvl>
    <w:lvl w:ilvl="1" w:tplc="CF8CB028" w:tentative="1">
      <w:start w:val="1"/>
      <w:numFmt w:val="bullet"/>
      <w:lvlText w:val="o"/>
      <w:lvlJc w:val="left"/>
      <w:pPr>
        <w:ind w:left="1080" w:hanging="360"/>
      </w:pPr>
      <w:rPr>
        <w:rFonts w:ascii="Courier New" w:hAnsi="Courier New" w:cs="Courier New" w:hint="default"/>
      </w:rPr>
    </w:lvl>
    <w:lvl w:ilvl="2" w:tplc="A066D492" w:tentative="1">
      <w:start w:val="1"/>
      <w:numFmt w:val="bullet"/>
      <w:lvlText w:val=""/>
      <w:lvlJc w:val="left"/>
      <w:pPr>
        <w:ind w:left="1800" w:hanging="360"/>
      </w:pPr>
      <w:rPr>
        <w:rFonts w:ascii="Wingdings" w:hAnsi="Wingdings" w:hint="default"/>
      </w:rPr>
    </w:lvl>
    <w:lvl w:ilvl="3" w:tplc="8048C9B8" w:tentative="1">
      <w:start w:val="1"/>
      <w:numFmt w:val="bullet"/>
      <w:lvlText w:val=""/>
      <w:lvlJc w:val="left"/>
      <w:pPr>
        <w:ind w:left="2520" w:hanging="360"/>
      </w:pPr>
      <w:rPr>
        <w:rFonts w:ascii="Symbol" w:hAnsi="Symbol" w:hint="default"/>
      </w:rPr>
    </w:lvl>
    <w:lvl w:ilvl="4" w:tplc="2254347A" w:tentative="1">
      <w:start w:val="1"/>
      <w:numFmt w:val="bullet"/>
      <w:lvlText w:val="o"/>
      <w:lvlJc w:val="left"/>
      <w:pPr>
        <w:ind w:left="3240" w:hanging="360"/>
      </w:pPr>
      <w:rPr>
        <w:rFonts w:ascii="Courier New" w:hAnsi="Courier New" w:cs="Courier New" w:hint="default"/>
      </w:rPr>
    </w:lvl>
    <w:lvl w:ilvl="5" w:tplc="84FE6DBA" w:tentative="1">
      <w:start w:val="1"/>
      <w:numFmt w:val="bullet"/>
      <w:lvlText w:val=""/>
      <w:lvlJc w:val="left"/>
      <w:pPr>
        <w:ind w:left="3960" w:hanging="360"/>
      </w:pPr>
      <w:rPr>
        <w:rFonts w:ascii="Wingdings" w:hAnsi="Wingdings" w:hint="default"/>
      </w:rPr>
    </w:lvl>
    <w:lvl w:ilvl="6" w:tplc="12A831E6" w:tentative="1">
      <w:start w:val="1"/>
      <w:numFmt w:val="bullet"/>
      <w:lvlText w:val=""/>
      <w:lvlJc w:val="left"/>
      <w:pPr>
        <w:ind w:left="4680" w:hanging="360"/>
      </w:pPr>
      <w:rPr>
        <w:rFonts w:ascii="Symbol" w:hAnsi="Symbol" w:hint="default"/>
      </w:rPr>
    </w:lvl>
    <w:lvl w:ilvl="7" w:tplc="BFEAFE08" w:tentative="1">
      <w:start w:val="1"/>
      <w:numFmt w:val="bullet"/>
      <w:lvlText w:val="o"/>
      <w:lvlJc w:val="left"/>
      <w:pPr>
        <w:ind w:left="5400" w:hanging="360"/>
      </w:pPr>
      <w:rPr>
        <w:rFonts w:ascii="Courier New" w:hAnsi="Courier New" w:cs="Courier New" w:hint="default"/>
      </w:rPr>
    </w:lvl>
    <w:lvl w:ilvl="8" w:tplc="2DB291C6"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C2E1986"/>
    <w:multiLevelType w:val="multilevel"/>
    <w:tmpl w:val="C0C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CA6DE8"/>
    <w:multiLevelType w:val="hybridMultilevel"/>
    <w:tmpl w:val="404AA454"/>
    <w:lvl w:ilvl="0" w:tplc="DCE6FF4E">
      <w:start w:val="1"/>
      <w:numFmt w:val="bullet"/>
      <w:lvlText w:val=""/>
      <w:lvlJc w:val="left"/>
      <w:pPr>
        <w:ind w:left="360" w:hanging="360"/>
      </w:pPr>
      <w:rPr>
        <w:rFonts w:ascii="Symbol" w:hAnsi="Symbol" w:hint="default"/>
      </w:rPr>
    </w:lvl>
    <w:lvl w:ilvl="1" w:tplc="E716C9A8">
      <w:start w:val="1"/>
      <w:numFmt w:val="bullet"/>
      <w:lvlText w:val="o"/>
      <w:lvlJc w:val="left"/>
      <w:pPr>
        <w:ind w:left="1080" w:hanging="360"/>
      </w:pPr>
      <w:rPr>
        <w:rFonts w:ascii="Courier New" w:hAnsi="Courier New" w:cs="Courier New" w:hint="default"/>
      </w:rPr>
    </w:lvl>
    <w:lvl w:ilvl="2" w:tplc="DD1E688E" w:tentative="1">
      <w:start w:val="1"/>
      <w:numFmt w:val="bullet"/>
      <w:lvlText w:val=""/>
      <w:lvlJc w:val="left"/>
      <w:pPr>
        <w:ind w:left="1800" w:hanging="360"/>
      </w:pPr>
      <w:rPr>
        <w:rFonts w:ascii="Wingdings" w:hAnsi="Wingdings" w:hint="default"/>
      </w:rPr>
    </w:lvl>
    <w:lvl w:ilvl="3" w:tplc="787802EC" w:tentative="1">
      <w:start w:val="1"/>
      <w:numFmt w:val="bullet"/>
      <w:lvlText w:val=""/>
      <w:lvlJc w:val="left"/>
      <w:pPr>
        <w:ind w:left="2520" w:hanging="360"/>
      </w:pPr>
      <w:rPr>
        <w:rFonts w:ascii="Symbol" w:hAnsi="Symbol" w:hint="default"/>
      </w:rPr>
    </w:lvl>
    <w:lvl w:ilvl="4" w:tplc="6924F67A" w:tentative="1">
      <w:start w:val="1"/>
      <w:numFmt w:val="bullet"/>
      <w:lvlText w:val="o"/>
      <w:lvlJc w:val="left"/>
      <w:pPr>
        <w:ind w:left="3240" w:hanging="360"/>
      </w:pPr>
      <w:rPr>
        <w:rFonts w:ascii="Courier New" w:hAnsi="Courier New" w:cs="Courier New" w:hint="default"/>
      </w:rPr>
    </w:lvl>
    <w:lvl w:ilvl="5" w:tplc="6590DDA0" w:tentative="1">
      <w:start w:val="1"/>
      <w:numFmt w:val="bullet"/>
      <w:lvlText w:val=""/>
      <w:lvlJc w:val="left"/>
      <w:pPr>
        <w:ind w:left="3960" w:hanging="360"/>
      </w:pPr>
      <w:rPr>
        <w:rFonts w:ascii="Wingdings" w:hAnsi="Wingdings" w:hint="default"/>
      </w:rPr>
    </w:lvl>
    <w:lvl w:ilvl="6" w:tplc="CD32B280" w:tentative="1">
      <w:start w:val="1"/>
      <w:numFmt w:val="bullet"/>
      <w:lvlText w:val=""/>
      <w:lvlJc w:val="left"/>
      <w:pPr>
        <w:ind w:left="4680" w:hanging="360"/>
      </w:pPr>
      <w:rPr>
        <w:rFonts w:ascii="Symbol" w:hAnsi="Symbol" w:hint="default"/>
      </w:rPr>
    </w:lvl>
    <w:lvl w:ilvl="7" w:tplc="47A4F128" w:tentative="1">
      <w:start w:val="1"/>
      <w:numFmt w:val="bullet"/>
      <w:lvlText w:val="o"/>
      <w:lvlJc w:val="left"/>
      <w:pPr>
        <w:ind w:left="5400" w:hanging="360"/>
      </w:pPr>
      <w:rPr>
        <w:rFonts w:ascii="Courier New" w:hAnsi="Courier New" w:cs="Courier New" w:hint="default"/>
      </w:rPr>
    </w:lvl>
    <w:lvl w:ilvl="8" w:tplc="416AF940" w:tentative="1">
      <w:start w:val="1"/>
      <w:numFmt w:val="bullet"/>
      <w:lvlText w:val=""/>
      <w:lvlJc w:val="left"/>
      <w:pPr>
        <w:ind w:left="6120" w:hanging="360"/>
      </w:pPr>
      <w:rPr>
        <w:rFonts w:ascii="Wingdings" w:hAnsi="Wingdings" w:hint="default"/>
      </w:rPr>
    </w:lvl>
  </w:abstractNum>
  <w:abstractNum w:abstractNumId="7" w15:restartNumberingAfterBreak="0">
    <w:nsid w:val="37851DE6"/>
    <w:multiLevelType w:val="hybridMultilevel"/>
    <w:tmpl w:val="608070FC"/>
    <w:lvl w:ilvl="0" w:tplc="EDBCE4C8">
      <w:start w:val="6"/>
      <w:numFmt w:val="bullet"/>
      <w:lvlText w:val="-"/>
      <w:lvlJc w:val="left"/>
      <w:pPr>
        <w:ind w:left="282" w:hanging="708"/>
      </w:pPr>
      <w:rPr>
        <w:rFonts w:ascii="Arial" w:eastAsia="Times New Roman" w:hAnsi="Arial" w:cs="Aria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8" w15:restartNumberingAfterBreak="0">
    <w:nsid w:val="382C2A48"/>
    <w:multiLevelType w:val="hybridMultilevel"/>
    <w:tmpl w:val="9BDA60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09261CE"/>
    <w:multiLevelType w:val="hybridMultilevel"/>
    <w:tmpl w:val="D9900EE6"/>
    <w:lvl w:ilvl="0" w:tplc="DC1472FA">
      <w:numFmt w:val="bullet"/>
      <w:lvlText w:val="-"/>
      <w:lvlJc w:val="left"/>
      <w:pPr>
        <w:ind w:left="1080" w:hanging="360"/>
      </w:pPr>
      <w:rPr>
        <w:rFonts w:ascii="Arial" w:eastAsia="Times New Roman" w:hAnsi="Arial" w:cs="Arial" w:hint="default"/>
      </w:rPr>
    </w:lvl>
    <w:lvl w:ilvl="1" w:tplc="6952DF60">
      <w:start w:val="1"/>
      <w:numFmt w:val="bullet"/>
      <w:lvlText w:val="o"/>
      <w:lvlJc w:val="left"/>
      <w:pPr>
        <w:ind w:left="1800" w:hanging="360"/>
      </w:pPr>
      <w:rPr>
        <w:rFonts w:ascii="Courier New" w:hAnsi="Courier New" w:cs="Courier New" w:hint="default"/>
      </w:rPr>
    </w:lvl>
    <w:lvl w:ilvl="2" w:tplc="0D1ADF72">
      <w:start w:val="1"/>
      <w:numFmt w:val="bullet"/>
      <w:lvlText w:val=""/>
      <w:lvlJc w:val="left"/>
      <w:pPr>
        <w:ind w:left="2520" w:hanging="360"/>
      </w:pPr>
      <w:rPr>
        <w:rFonts w:ascii="Wingdings" w:hAnsi="Wingdings" w:hint="default"/>
      </w:rPr>
    </w:lvl>
    <w:lvl w:ilvl="3" w:tplc="97D6588A">
      <w:start w:val="1"/>
      <w:numFmt w:val="bullet"/>
      <w:lvlText w:val=""/>
      <w:lvlJc w:val="left"/>
      <w:pPr>
        <w:ind w:left="3240" w:hanging="360"/>
      </w:pPr>
      <w:rPr>
        <w:rFonts w:ascii="Symbol" w:hAnsi="Symbol" w:hint="default"/>
      </w:rPr>
    </w:lvl>
    <w:lvl w:ilvl="4" w:tplc="2DE4076C">
      <w:start w:val="1"/>
      <w:numFmt w:val="bullet"/>
      <w:lvlText w:val="o"/>
      <w:lvlJc w:val="left"/>
      <w:pPr>
        <w:ind w:left="3960" w:hanging="360"/>
      </w:pPr>
      <w:rPr>
        <w:rFonts w:ascii="Courier New" w:hAnsi="Courier New" w:cs="Courier New" w:hint="default"/>
      </w:rPr>
    </w:lvl>
    <w:lvl w:ilvl="5" w:tplc="0E60D85C">
      <w:start w:val="1"/>
      <w:numFmt w:val="bullet"/>
      <w:lvlText w:val=""/>
      <w:lvlJc w:val="left"/>
      <w:pPr>
        <w:ind w:left="4680" w:hanging="360"/>
      </w:pPr>
      <w:rPr>
        <w:rFonts w:ascii="Wingdings" w:hAnsi="Wingdings" w:hint="default"/>
      </w:rPr>
    </w:lvl>
    <w:lvl w:ilvl="6" w:tplc="F2A2ECE8">
      <w:start w:val="1"/>
      <w:numFmt w:val="bullet"/>
      <w:lvlText w:val=""/>
      <w:lvlJc w:val="left"/>
      <w:pPr>
        <w:ind w:left="5400" w:hanging="360"/>
      </w:pPr>
      <w:rPr>
        <w:rFonts w:ascii="Symbol" w:hAnsi="Symbol" w:hint="default"/>
      </w:rPr>
    </w:lvl>
    <w:lvl w:ilvl="7" w:tplc="28C0DA20">
      <w:start w:val="1"/>
      <w:numFmt w:val="bullet"/>
      <w:lvlText w:val="o"/>
      <w:lvlJc w:val="left"/>
      <w:pPr>
        <w:ind w:left="6120" w:hanging="360"/>
      </w:pPr>
      <w:rPr>
        <w:rFonts w:ascii="Courier New" w:hAnsi="Courier New" w:cs="Courier New" w:hint="default"/>
      </w:rPr>
    </w:lvl>
    <w:lvl w:ilvl="8" w:tplc="9984EBCA">
      <w:start w:val="1"/>
      <w:numFmt w:val="bullet"/>
      <w:lvlText w:val=""/>
      <w:lvlJc w:val="left"/>
      <w:pPr>
        <w:ind w:left="6840" w:hanging="360"/>
      </w:pPr>
      <w:rPr>
        <w:rFonts w:ascii="Wingdings" w:hAnsi="Wingdings" w:hint="default"/>
      </w:rPr>
    </w:lvl>
  </w:abstractNum>
  <w:abstractNum w:abstractNumId="10" w15:restartNumberingAfterBreak="0">
    <w:nsid w:val="41133F05"/>
    <w:multiLevelType w:val="hybridMultilevel"/>
    <w:tmpl w:val="D69A7756"/>
    <w:lvl w:ilvl="0" w:tplc="B65EA7BA">
      <w:numFmt w:val="bullet"/>
      <w:lvlText w:val="-"/>
      <w:lvlJc w:val="left"/>
      <w:pPr>
        <w:ind w:left="360" w:hanging="360"/>
      </w:pPr>
      <w:rPr>
        <w:rFonts w:ascii="Arial" w:eastAsia="Times New Roman" w:hAnsi="Arial" w:cs="Arial" w:hint="default"/>
      </w:rPr>
    </w:lvl>
    <w:lvl w:ilvl="1" w:tplc="3DBE03A2" w:tentative="1">
      <w:start w:val="1"/>
      <w:numFmt w:val="bullet"/>
      <w:lvlText w:val="o"/>
      <w:lvlJc w:val="left"/>
      <w:pPr>
        <w:ind w:left="1080" w:hanging="360"/>
      </w:pPr>
      <w:rPr>
        <w:rFonts w:ascii="Courier New" w:hAnsi="Courier New" w:cs="Courier New" w:hint="default"/>
      </w:rPr>
    </w:lvl>
    <w:lvl w:ilvl="2" w:tplc="DAEADEA4" w:tentative="1">
      <w:start w:val="1"/>
      <w:numFmt w:val="bullet"/>
      <w:lvlText w:val=""/>
      <w:lvlJc w:val="left"/>
      <w:pPr>
        <w:ind w:left="1800" w:hanging="360"/>
      </w:pPr>
      <w:rPr>
        <w:rFonts w:ascii="Wingdings" w:hAnsi="Wingdings" w:hint="default"/>
      </w:rPr>
    </w:lvl>
    <w:lvl w:ilvl="3" w:tplc="EB72F7E4" w:tentative="1">
      <w:start w:val="1"/>
      <w:numFmt w:val="bullet"/>
      <w:lvlText w:val=""/>
      <w:lvlJc w:val="left"/>
      <w:pPr>
        <w:ind w:left="2520" w:hanging="360"/>
      </w:pPr>
      <w:rPr>
        <w:rFonts w:ascii="Symbol" w:hAnsi="Symbol" w:hint="default"/>
      </w:rPr>
    </w:lvl>
    <w:lvl w:ilvl="4" w:tplc="87B0FBAA" w:tentative="1">
      <w:start w:val="1"/>
      <w:numFmt w:val="bullet"/>
      <w:lvlText w:val="o"/>
      <w:lvlJc w:val="left"/>
      <w:pPr>
        <w:ind w:left="3240" w:hanging="360"/>
      </w:pPr>
      <w:rPr>
        <w:rFonts w:ascii="Courier New" w:hAnsi="Courier New" w:cs="Courier New" w:hint="default"/>
      </w:rPr>
    </w:lvl>
    <w:lvl w:ilvl="5" w:tplc="5F0EF36C" w:tentative="1">
      <w:start w:val="1"/>
      <w:numFmt w:val="bullet"/>
      <w:lvlText w:val=""/>
      <w:lvlJc w:val="left"/>
      <w:pPr>
        <w:ind w:left="3960" w:hanging="360"/>
      </w:pPr>
      <w:rPr>
        <w:rFonts w:ascii="Wingdings" w:hAnsi="Wingdings" w:hint="default"/>
      </w:rPr>
    </w:lvl>
    <w:lvl w:ilvl="6" w:tplc="3CCA929A" w:tentative="1">
      <w:start w:val="1"/>
      <w:numFmt w:val="bullet"/>
      <w:lvlText w:val=""/>
      <w:lvlJc w:val="left"/>
      <w:pPr>
        <w:ind w:left="4680" w:hanging="360"/>
      </w:pPr>
      <w:rPr>
        <w:rFonts w:ascii="Symbol" w:hAnsi="Symbol" w:hint="default"/>
      </w:rPr>
    </w:lvl>
    <w:lvl w:ilvl="7" w:tplc="98B85718" w:tentative="1">
      <w:start w:val="1"/>
      <w:numFmt w:val="bullet"/>
      <w:lvlText w:val="o"/>
      <w:lvlJc w:val="left"/>
      <w:pPr>
        <w:ind w:left="5400" w:hanging="360"/>
      </w:pPr>
      <w:rPr>
        <w:rFonts w:ascii="Courier New" w:hAnsi="Courier New" w:cs="Courier New" w:hint="default"/>
      </w:rPr>
    </w:lvl>
    <w:lvl w:ilvl="8" w:tplc="CDA0FB1A"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B12FDC"/>
    <w:multiLevelType w:val="hybridMultilevel"/>
    <w:tmpl w:val="71AAFA56"/>
    <w:lvl w:ilvl="0" w:tplc="CE12316A">
      <w:numFmt w:val="bullet"/>
      <w:lvlText w:val="-"/>
      <w:lvlJc w:val="left"/>
      <w:pPr>
        <w:ind w:left="360" w:hanging="360"/>
      </w:pPr>
      <w:rPr>
        <w:rFonts w:ascii="Arial" w:eastAsiaTheme="minorHAnsi" w:hAnsi="Arial" w:cs="Arial" w:hint="default"/>
      </w:rPr>
    </w:lvl>
    <w:lvl w:ilvl="1" w:tplc="0EFE893A" w:tentative="1">
      <w:start w:val="1"/>
      <w:numFmt w:val="bullet"/>
      <w:lvlText w:val="o"/>
      <w:lvlJc w:val="left"/>
      <w:pPr>
        <w:ind w:left="1080" w:hanging="360"/>
      </w:pPr>
      <w:rPr>
        <w:rFonts w:ascii="Courier New" w:hAnsi="Courier New" w:cs="Courier New" w:hint="default"/>
      </w:rPr>
    </w:lvl>
    <w:lvl w:ilvl="2" w:tplc="02FCFE1E" w:tentative="1">
      <w:start w:val="1"/>
      <w:numFmt w:val="bullet"/>
      <w:lvlText w:val=""/>
      <w:lvlJc w:val="left"/>
      <w:pPr>
        <w:ind w:left="1800" w:hanging="360"/>
      </w:pPr>
      <w:rPr>
        <w:rFonts w:ascii="Wingdings" w:hAnsi="Wingdings" w:hint="default"/>
      </w:rPr>
    </w:lvl>
    <w:lvl w:ilvl="3" w:tplc="721C0B82" w:tentative="1">
      <w:start w:val="1"/>
      <w:numFmt w:val="bullet"/>
      <w:lvlText w:val=""/>
      <w:lvlJc w:val="left"/>
      <w:pPr>
        <w:ind w:left="2520" w:hanging="360"/>
      </w:pPr>
      <w:rPr>
        <w:rFonts w:ascii="Symbol" w:hAnsi="Symbol" w:hint="default"/>
      </w:rPr>
    </w:lvl>
    <w:lvl w:ilvl="4" w:tplc="D470820A" w:tentative="1">
      <w:start w:val="1"/>
      <w:numFmt w:val="bullet"/>
      <w:lvlText w:val="o"/>
      <w:lvlJc w:val="left"/>
      <w:pPr>
        <w:ind w:left="3240" w:hanging="360"/>
      </w:pPr>
      <w:rPr>
        <w:rFonts w:ascii="Courier New" w:hAnsi="Courier New" w:cs="Courier New" w:hint="default"/>
      </w:rPr>
    </w:lvl>
    <w:lvl w:ilvl="5" w:tplc="5560A54A" w:tentative="1">
      <w:start w:val="1"/>
      <w:numFmt w:val="bullet"/>
      <w:lvlText w:val=""/>
      <w:lvlJc w:val="left"/>
      <w:pPr>
        <w:ind w:left="3960" w:hanging="360"/>
      </w:pPr>
      <w:rPr>
        <w:rFonts w:ascii="Wingdings" w:hAnsi="Wingdings" w:hint="default"/>
      </w:rPr>
    </w:lvl>
    <w:lvl w:ilvl="6" w:tplc="A2D0A91A" w:tentative="1">
      <w:start w:val="1"/>
      <w:numFmt w:val="bullet"/>
      <w:lvlText w:val=""/>
      <w:lvlJc w:val="left"/>
      <w:pPr>
        <w:ind w:left="4680" w:hanging="360"/>
      </w:pPr>
      <w:rPr>
        <w:rFonts w:ascii="Symbol" w:hAnsi="Symbol" w:hint="default"/>
      </w:rPr>
    </w:lvl>
    <w:lvl w:ilvl="7" w:tplc="D36C930E" w:tentative="1">
      <w:start w:val="1"/>
      <w:numFmt w:val="bullet"/>
      <w:lvlText w:val="o"/>
      <w:lvlJc w:val="left"/>
      <w:pPr>
        <w:ind w:left="5400" w:hanging="360"/>
      </w:pPr>
      <w:rPr>
        <w:rFonts w:ascii="Courier New" w:hAnsi="Courier New" w:cs="Courier New" w:hint="default"/>
      </w:rPr>
    </w:lvl>
    <w:lvl w:ilvl="8" w:tplc="E4227064" w:tentative="1">
      <w:start w:val="1"/>
      <w:numFmt w:val="bullet"/>
      <w:lvlText w:val=""/>
      <w:lvlJc w:val="left"/>
      <w:pPr>
        <w:ind w:left="612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97A3B98"/>
    <w:multiLevelType w:val="hybridMultilevel"/>
    <w:tmpl w:val="DE70EC1A"/>
    <w:lvl w:ilvl="0" w:tplc="BDFAD45A">
      <w:numFmt w:val="bullet"/>
      <w:lvlText w:val="-"/>
      <w:lvlJc w:val="left"/>
      <w:pPr>
        <w:ind w:left="0" w:hanging="360"/>
      </w:pPr>
      <w:rPr>
        <w:rFonts w:ascii="Calibri" w:eastAsiaTheme="minorHAnsi" w:hAnsi="Calibri" w:cs="Calibri" w:hint="default"/>
      </w:rPr>
    </w:lvl>
    <w:lvl w:ilvl="1" w:tplc="0AEC610A">
      <w:start w:val="1"/>
      <w:numFmt w:val="bullet"/>
      <w:lvlText w:val="o"/>
      <w:lvlJc w:val="left"/>
      <w:pPr>
        <w:ind w:left="720" w:hanging="360"/>
      </w:pPr>
      <w:rPr>
        <w:rFonts w:ascii="Courier New" w:hAnsi="Courier New" w:cs="Courier New" w:hint="default"/>
      </w:rPr>
    </w:lvl>
    <w:lvl w:ilvl="2" w:tplc="35BCDB20">
      <w:start w:val="1"/>
      <w:numFmt w:val="bullet"/>
      <w:lvlText w:val=""/>
      <w:lvlJc w:val="left"/>
      <w:pPr>
        <w:ind w:left="1440" w:hanging="360"/>
      </w:pPr>
      <w:rPr>
        <w:rFonts w:ascii="Wingdings" w:hAnsi="Wingdings" w:hint="default"/>
      </w:rPr>
    </w:lvl>
    <w:lvl w:ilvl="3" w:tplc="14F083A0">
      <w:start w:val="1"/>
      <w:numFmt w:val="bullet"/>
      <w:lvlText w:val=""/>
      <w:lvlJc w:val="left"/>
      <w:pPr>
        <w:ind w:left="2160" w:hanging="360"/>
      </w:pPr>
      <w:rPr>
        <w:rFonts w:ascii="Symbol" w:hAnsi="Symbol" w:hint="default"/>
      </w:rPr>
    </w:lvl>
    <w:lvl w:ilvl="4" w:tplc="351274E2">
      <w:start w:val="1"/>
      <w:numFmt w:val="bullet"/>
      <w:lvlText w:val="o"/>
      <w:lvlJc w:val="left"/>
      <w:pPr>
        <w:ind w:left="2880" w:hanging="360"/>
      </w:pPr>
      <w:rPr>
        <w:rFonts w:ascii="Courier New" w:hAnsi="Courier New" w:cs="Courier New" w:hint="default"/>
      </w:rPr>
    </w:lvl>
    <w:lvl w:ilvl="5" w:tplc="75A8177E">
      <w:start w:val="1"/>
      <w:numFmt w:val="bullet"/>
      <w:lvlText w:val=""/>
      <w:lvlJc w:val="left"/>
      <w:pPr>
        <w:ind w:left="3600" w:hanging="360"/>
      </w:pPr>
      <w:rPr>
        <w:rFonts w:ascii="Wingdings" w:hAnsi="Wingdings" w:hint="default"/>
      </w:rPr>
    </w:lvl>
    <w:lvl w:ilvl="6" w:tplc="B82AD4F0">
      <w:start w:val="1"/>
      <w:numFmt w:val="bullet"/>
      <w:lvlText w:val=""/>
      <w:lvlJc w:val="left"/>
      <w:pPr>
        <w:ind w:left="4320" w:hanging="360"/>
      </w:pPr>
      <w:rPr>
        <w:rFonts w:ascii="Symbol" w:hAnsi="Symbol" w:hint="default"/>
      </w:rPr>
    </w:lvl>
    <w:lvl w:ilvl="7" w:tplc="72E8CB64">
      <w:start w:val="1"/>
      <w:numFmt w:val="bullet"/>
      <w:lvlText w:val="o"/>
      <w:lvlJc w:val="left"/>
      <w:pPr>
        <w:ind w:left="5040" w:hanging="360"/>
      </w:pPr>
      <w:rPr>
        <w:rFonts w:ascii="Courier New" w:hAnsi="Courier New" w:cs="Courier New" w:hint="default"/>
      </w:rPr>
    </w:lvl>
    <w:lvl w:ilvl="8" w:tplc="5414FE0E">
      <w:start w:val="1"/>
      <w:numFmt w:val="bullet"/>
      <w:lvlText w:val=""/>
      <w:lvlJc w:val="left"/>
      <w:pPr>
        <w:ind w:left="5760" w:hanging="360"/>
      </w:pPr>
      <w:rPr>
        <w:rFonts w:ascii="Wingdings" w:hAnsi="Wingdings" w:hint="default"/>
      </w:rPr>
    </w:lvl>
  </w:abstractNum>
  <w:abstractNum w:abstractNumId="15" w15:restartNumberingAfterBreak="0">
    <w:nsid w:val="71372CAF"/>
    <w:multiLevelType w:val="hybridMultilevel"/>
    <w:tmpl w:val="4306CEFC"/>
    <w:lvl w:ilvl="0" w:tplc="633691AA">
      <w:start w:val="2"/>
      <w:numFmt w:val="decimal"/>
      <w:lvlText w:val="%1."/>
      <w:lvlJc w:val="left"/>
      <w:pPr>
        <w:ind w:left="360" w:hanging="360"/>
      </w:pPr>
      <w:rPr>
        <w:rFonts w:cs="Times New Roman"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983851722">
    <w:abstractNumId w:val="13"/>
  </w:num>
  <w:num w:numId="2" w16cid:durableId="1818571007">
    <w:abstractNumId w:val="4"/>
  </w:num>
  <w:num w:numId="3" w16cid:durableId="1787653397">
    <w:abstractNumId w:val="11"/>
  </w:num>
  <w:num w:numId="4" w16cid:durableId="1802729603">
    <w:abstractNumId w:val="1"/>
  </w:num>
  <w:num w:numId="5" w16cid:durableId="1175920566">
    <w:abstractNumId w:val="2"/>
  </w:num>
  <w:num w:numId="6" w16cid:durableId="1248031901">
    <w:abstractNumId w:val="5"/>
  </w:num>
  <w:num w:numId="7" w16cid:durableId="574827171">
    <w:abstractNumId w:val="3"/>
  </w:num>
  <w:num w:numId="8" w16cid:durableId="2126730179">
    <w:abstractNumId w:val="7"/>
  </w:num>
  <w:num w:numId="9" w16cid:durableId="374081222">
    <w:abstractNumId w:val="8"/>
  </w:num>
  <w:num w:numId="10" w16cid:durableId="905338950">
    <w:abstractNumId w:val="15"/>
  </w:num>
  <w:num w:numId="11" w16cid:durableId="585648379">
    <w:abstractNumId w:val="6"/>
  </w:num>
  <w:num w:numId="12" w16cid:durableId="463347771">
    <w:abstractNumId w:val="0"/>
  </w:num>
  <w:num w:numId="13" w16cid:durableId="2101678849">
    <w:abstractNumId w:val="10"/>
  </w:num>
  <w:num w:numId="14" w16cid:durableId="739443019">
    <w:abstractNumId w:val="14"/>
  </w:num>
  <w:num w:numId="15" w16cid:durableId="262079175">
    <w:abstractNumId w:val="12"/>
  </w:num>
  <w:num w:numId="16" w16cid:durableId="2120105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213A7"/>
    <w:rsid w:val="00021AF0"/>
    <w:rsid w:val="00023A88"/>
    <w:rsid w:val="00030595"/>
    <w:rsid w:val="00030608"/>
    <w:rsid w:val="00042B89"/>
    <w:rsid w:val="000517B6"/>
    <w:rsid w:val="00062322"/>
    <w:rsid w:val="000805EA"/>
    <w:rsid w:val="0008352D"/>
    <w:rsid w:val="00094AC0"/>
    <w:rsid w:val="000A488B"/>
    <w:rsid w:val="000A7238"/>
    <w:rsid w:val="000B0B21"/>
    <w:rsid w:val="000C11D4"/>
    <w:rsid w:val="000C203D"/>
    <w:rsid w:val="000C2273"/>
    <w:rsid w:val="000C7716"/>
    <w:rsid w:val="000D088E"/>
    <w:rsid w:val="000E30BC"/>
    <w:rsid w:val="000E7AE9"/>
    <w:rsid w:val="000F284D"/>
    <w:rsid w:val="00104DB1"/>
    <w:rsid w:val="001055D7"/>
    <w:rsid w:val="00115A8D"/>
    <w:rsid w:val="001257B5"/>
    <w:rsid w:val="001357B2"/>
    <w:rsid w:val="00136FB5"/>
    <w:rsid w:val="00140636"/>
    <w:rsid w:val="0015500B"/>
    <w:rsid w:val="00160A4F"/>
    <w:rsid w:val="0016722F"/>
    <w:rsid w:val="00167FAD"/>
    <w:rsid w:val="001751B9"/>
    <w:rsid w:val="001768D2"/>
    <w:rsid w:val="0018210B"/>
    <w:rsid w:val="001A2647"/>
    <w:rsid w:val="001A3BA5"/>
    <w:rsid w:val="001B3362"/>
    <w:rsid w:val="001B3A32"/>
    <w:rsid w:val="001C2D67"/>
    <w:rsid w:val="001F4287"/>
    <w:rsid w:val="001F7BC0"/>
    <w:rsid w:val="00202A77"/>
    <w:rsid w:val="002225BC"/>
    <w:rsid w:val="002302D9"/>
    <w:rsid w:val="002617CB"/>
    <w:rsid w:val="00271CE5"/>
    <w:rsid w:val="00276637"/>
    <w:rsid w:val="00282020"/>
    <w:rsid w:val="00284146"/>
    <w:rsid w:val="00295077"/>
    <w:rsid w:val="002957F3"/>
    <w:rsid w:val="002A5510"/>
    <w:rsid w:val="002D43F3"/>
    <w:rsid w:val="0032241D"/>
    <w:rsid w:val="00325FB1"/>
    <w:rsid w:val="00333A77"/>
    <w:rsid w:val="00342BA0"/>
    <w:rsid w:val="00356BDE"/>
    <w:rsid w:val="003636BF"/>
    <w:rsid w:val="00370AA7"/>
    <w:rsid w:val="0037479F"/>
    <w:rsid w:val="003845B4"/>
    <w:rsid w:val="00387B1A"/>
    <w:rsid w:val="00396A45"/>
    <w:rsid w:val="003B51BE"/>
    <w:rsid w:val="003E1C74"/>
    <w:rsid w:val="003F1764"/>
    <w:rsid w:val="003F741E"/>
    <w:rsid w:val="00404780"/>
    <w:rsid w:val="0041580B"/>
    <w:rsid w:val="0042327D"/>
    <w:rsid w:val="00424765"/>
    <w:rsid w:val="004451AD"/>
    <w:rsid w:val="00454C04"/>
    <w:rsid w:val="004674ED"/>
    <w:rsid w:val="0049498E"/>
    <w:rsid w:val="00495D0B"/>
    <w:rsid w:val="004A2CFA"/>
    <w:rsid w:val="004B112D"/>
    <w:rsid w:val="004B5C94"/>
    <w:rsid w:val="004C143E"/>
    <w:rsid w:val="004C47AB"/>
    <w:rsid w:val="004E697C"/>
    <w:rsid w:val="004F160B"/>
    <w:rsid w:val="004F7FD5"/>
    <w:rsid w:val="00521CDE"/>
    <w:rsid w:val="00526246"/>
    <w:rsid w:val="00526385"/>
    <w:rsid w:val="00540EAB"/>
    <w:rsid w:val="00546B19"/>
    <w:rsid w:val="005617DC"/>
    <w:rsid w:val="00567106"/>
    <w:rsid w:val="00567F9B"/>
    <w:rsid w:val="00594406"/>
    <w:rsid w:val="005A2BD7"/>
    <w:rsid w:val="005A7918"/>
    <w:rsid w:val="005B5CC0"/>
    <w:rsid w:val="005B78B5"/>
    <w:rsid w:val="005B7B5D"/>
    <w:rsid w:val="005D4DF6"/>
    <w:rsid w:val="005E1D3C"/>
    <w:rsid w:val="005F1ECA"/>
    <w:rsid w:val="005F30CD"/>
    <w:rsid w:val="00602C0E"/>
    <w:rsid w:val="006260E7"/>
    <w:rsid w:val="006274DB"/>
    <w:rsid w:val="00632253"/>
    <w:rsid w:val="00642714"/>
    <w:rsid w:val="00643C4E"/>
    <w:rsid w:val="006455CE"/>
    <w:rsid w:val="00654B78"/>
    <w:rsid w:val="00666FE7"/>
    <w:rsid w:val="00667BB9"/>
    <w:rsid w:val="00693299"/>
    <w:rsid w:val="006B40C9"/>
    <w:rsid w:val="006D2FCD"/>
    <w:rsid w:val="006D42D9"/>
    <w:rsid w:val="006D5FAE"/>
    <w:rsid w:val="006F6DC4"/>
    <w:rsid w:val="00716CFA"/>
    <w:rsid w:val="007258B0"/>
    <w:rsid w:val="00726463"/>
    <w:rsid w:val="00733017"/>
    <w:rsid w:val="00751D38"/>
    <w:rsid w:val="00766AC5"/>
    <w:rsid w:val="0077473E"/>
    <w:rsid w:val="007769F4"/>
    <w:rsid w:val="00783310"/>
    <w:rsid w:val="007959DE"/>
    <w:rsid w:val="007A4A6D"/>
    <w:rsid w:val="007B17E8"/>
    <w:rsid w:val="007B45F7"/>
    <w:rsid w:val="007D1BCF"/>
    <w:rsid w:val="007D61A3"/>
    <w:rsid w:val="007D75CF"/>
    <w:rsid w:val="007E6DC5"/>
    <w:rsid w:val="007F4538"/>
    <w:rsid w:val="007F6C0E"/>
    <w:rsid w:val="00806A97"/>
    <w:rsid w:val="008107A3"/>
    <w:rsid w:val="008531C8"/>
    <w:rsid w:val="00873CB3"/>
    <w:rsid w:val="0088043C"/>
    <w:rsid w:val="00886F49"/>
    <w:rsid w:val="00887DA9"/>
    <w:rsid w:val="00887E1E"/>
    <w:rsid w:val="008906C9"/>
    <w:rsid w:val="008B6D70"/>
    <w:rsid w:val="008C5738"/>
    <w:rsid w:val="008D04F0"/>
    <w:rsid w:val="008D0743"/>
    <w:rsid w:val="008D5F52"/>
    <w:rsid w:val="008E0ECC"/>
    <w:rsid w:val="008E17B5"/>
    <w:rsid w:val="008F026E"/>
    <w:rsid w:val="008F3500"/>
    <w:rsid w:val="009002EB"/>
    <w:rsid w:val="00924E3C"/>
    <w:rsid w:val="0094440D"/>
    <w:rsid w:val="009477FA"/>
    <w:rsid w:val="009541F3"/>
    <w:rsid w:val="009550D4"/>
    <w:rsid w:val="009612BB"/>
    <w:rsid w:val="0096640D"/>
    <w:rsid w:val="00984C17"/>
    <w:rsid w:val="00996F30"/>
    <w:rsid w:val="009A1FAC"/>
    <w:rsid w:val="009E27C9"/>
    <w:rsid w:val="009E6AC6"/>
    <w:rsid w:val="009F02E8"/>
    <w:rsid w:val="009F30FB"/>
    <w:rsid w:val="009F3915"/>
    <w:rsid w:val="00A000F2"/>
    <w:rsid w:val="00A033C2"/>
    <w:rsid w:val="00A07216"/>
    <w:rsid w:val="00A125C5"/>
    <w:rsid w:val="00A12D5C"/>
    <w:rsid w:val="00A5039D"/>
    <w:rsid w:val="00A53213"/>
    <w:rsid w:val="00A61123"/>
    <w:rsid w:val="00A65EE7"/>
    <w:rsid w:val="00A70133"/>
    <w:rsid w:val="00A74D90"/>
    <w:rsid w:val="00A95F40"/>
    <w:rsid w:val="00AC0809"/>
    <w:rsid w:val="00AC5C16"/>
    <w:rsid w:val="00AD2EB5"/>
    <w:rsid w:val="00AE38C4"/>
    <w:rsid w:val="00B0506E"/>
    <w:rsid w:val="00B0530C"/>
    <w:rsid w:val="00B1337D"/>
    <w:rsid w:val="00B17141"/>
    <w:rsid w:val="00B2081C"/>
    <w:rsid w:val="00B27053"/>
    <w:rsid w:val="00B27607"/>
    <w:rsid w:val="00B31575"/>
    <w:rsid w:val="00B47AF6"/>
    <w:rsid w:val="00B53904"/>
    <w:rsid w:val="00B70C82"/>
    <w:rsid w:val="00B8547D"/>
    <w:rsid w:val="00B87E15"/>
    <w:rsid w:val="00BC36CC"/>
    <w:rsid w:val="00BE094A"/>
    <w:rsid w:val="00C1067D"/>
    <w:rsid w:val="00C17E25"/>
    <w:rsid w:val="00C250D5"/>
    <w:rsid w:val="00C47F8D"/>
    <w:rsid w:val="00C64874"/>
    <w:rsid w:val="00C81391"/>
    <w:rsid w:val="00C8344D"/>
    <w:rsid w:val="00C92898"/>
    <w:rsid w:val="00CA4186"/>
    <w:rsid w:val="00CA699D"/>
    <w:rsid w:val="00CC0357"/>
    <w:rsid w:val="00CC179C"/>
    <w:rsid w:val="00CC3721"/>
    <w:rsid w:val="00CE3992"/>
    <w:rsid w:val="00CE72B1"/>
    <w:rsid w:val="00CE7514"/>
    <w:rsid w:val="00D01BE6"/>
    <w:rsid w:val="00D0432E"/>
    <w:rsid w:val="00D248DE"/>
    <w:rsid w:val="00D25F05"/>
    <w:rsid w:val="00D3639F"/>
    <w:rsid w:val="00D8542D"/>
    <w:rsid w:val="00DA2C9A"/>
    <w:rsid w:val="00DC43AB"/>
    <w:rsid w:val="00DC6A71"/>
    <w:rsid w:val="00DE5B46"/>
    <w:rsid w:val="00DF2306"/>
    <w:rsid w:val="00DF7E9D"/>
    <w:rsid w:val="00E0357D"/>
    <w:rsid w:val="00E2440F"/>
    <w:rsid w:val="00E24EC2"/>
    <w:rsid w:val="00E57198"/>
    <w:rsid w:val="00E572FE"/>
    <w:rsid w:val="00E84717"/>
    <w:rsid w:val="00E853E8"/>
    <w:rsid w:val="00EB709D"/>
    <w:rsid w:val="00EC18D3"/>
    <w:rsid w:val="00ED7304"/>
    <w:rsid w:val="00ED7E82"/>
    <w:rsid w:val="00EE6836"/>
    <w:rsid w:val="00EF6C08"/>
    <w:rsid w:val="00F079C5"/>
    <w:rsid w:val="00F11C41"/>
    <w:rsid w:val="00F13AE0"/>
    <w:rsid w:val="00F240BB"/>
    <w:rsid w:val="00F2496D"/>
    <w:rsid w:val="00F30955"/>
    <w:rsid w:val="00F4147B"/>
    <w:rsid w:val="00F46724"/>
    <w:rsid w:val="00F5593E"/>
    <w:rsid w:val="00F57FED"/>
    <w:rsid w:val="00F75F95"/>
    <w:rsid w:val="00F825FF"/>
    <w:rsid w:val="00F907E8"/>
    <w:rsid w:val="00F95B75"/>
    <w:rsid w:val="00FB5733"/>
    <w:rsid w:val="00FC3F8C"/>
    <w:rsid w:val="00FC750F"/>
    <w:rsid w:val="00FD2BEC"/>
    <w:rsid w:val="00FE6A94"/>
    <w:rsid w:val="00FF13B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237EA23"/>
  <w15:chartTrackingRefBased/>
  <w15:docId w15:val="{DDDB6DD0-75A5-4D7C-A0C9-F7BC9C6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104DB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customStyle="1" w:styleId="Default">
    <w:name w:val="Default"/>
    <w:basedOn w:val="Navaden"/>
    <w:rsid w:val="009550D4"/>
    <w:pPr>
      <w:autoSpaceDE w:val="0"/>
      <w:autoSpaceDN w:val="0"/>
      <w:spacing w:line="240" w:lineRule="auto"/>
    </w:pPr>
    <w:rPr>
      <w:rFonts w:eastAsia="Calibri" w:cs="Arial"/>
      <w:color w:val="000000"/>
      <w:sz w:val="24"/>
      <w:lang w:val="sl-SI" w:eastAsia="sl-SI"/>
    </w:rPr>
  </w:style>
  <w:style w:type="paragraph" w:styleId="Odstavekseznama">
    <w:name w:val="List Paragraph"/>
    <w:aliases w:val="PODNASLOV,numbered list"/>
    <w:basedOn w:val="Navaden"/>
    <w:link w:val="OdstavekseznamaZnak"/>
    <w:uiPriority w:val="34"/>
    <w:qFormat/>
    <w:rsid w:val="009A1FAC"/>
    <w:pPr>
      <w:spacing w:line="260" w:lineRule="exact"/>
      <w:ind w:left="720"/>
      <w:contextualSpacing/>
    </w:pPr>
    <w:rPr>
      <w:lang w:val="sl-SI"/>
    </w:rPr>
  </w:style>
  <w:style w:type="character" w:customStyle="1" w:styleId="OdstavekseznamaZnak">
    <w:name w:val="Odstavek seznama Znak"/>
    <w:aliases w:val="PODNASLOV Znak,numbered list Znak"/>
    <w:basedOn w:val="Privzetapisavaodstavka"/>
    <w:link w:val="Odstavekseznama"/>
    <w:uiPriority w:val="34"/>
    <w:locked/>
    <w:rsid w:val="009A1FAC"/>
    <w:rPr>
      <w:rFonts w:ascii="Arial" w:hAnsi="Arial"/>
      <w:szCs w:val="24"/>
      <w:lang w:eastAsia="en-US"/>
    </w:rPr>
  </w:style>
  <w:style w:type="character" w:styleId="Pripombasklic">
    <w:name w:val="annotation reference"/>
    <w:basedOn w:val="Privzetapisavaodstavka"/>
    <w:rsid w:val="00140636"/>
    <w:rPr>
      <w:sz w:val="16"/>
      <w:szCs w:val="16"/>
    </w:rPr>
  </w:style>
  <w:style w:type="paragraph" w:styleId="Pripombabesedilo">
    <w:name w:val="annotation text"/>
    <w:basedOn w:val="Navaden"/>
    <w:link w:val="PripombabesediloZnak"/>
    <w:rsid w:val="00140636"/>
    <w:pPr>
      <w:spacing w:line="240" w:lineRule="auto"/>
    </w:pPr>
    <w:rPr>
      <w:szCs w:val="20"/>
    </w:rPr>
  </w:style>
  <w:style w:type="character" w:customStyle="1" w:styleId="PripombabesediloZnak">
    <w:name w:val="Pripomba – besedilo Znak"/>
    <w:basedOn w:val="Privzetapisavaodstavka"/>
    <w:link w:val="Pripombabesedilo"/>
    <w:rsid w:val="0014063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140636"/>
    <w:rPr>
      <w:b/>
      <w:bCs/>
    </w:rPr>
  </w:style>
  <w:style w:type="character" w:customStyle="1" w:styleId="ZadevapripombeZnak">
    <w:name w:val="Zadeva pripombe Znak"/>
    <w:basedOn w:val="PripombabesediloZnak"/>
    <w:link w:val="Zadevapripombe"/>
    <w:semiHidden/>
    <w:rsid w:val="00140636"/>
    <w:rPr>
      <w:rFonts w:ascii="Arial" w:hAnsi="Arial"/>
      <w:b/>
      <w:bCs/>
      <w:lang w:val="en-US" w:eastAsia="en-US"/>
    </w:rPr>
  </w:style>
  <w:style w:type="paragraph" w:styleId="Revizija">
    <w:name w:val="Revision"/>
    <w:hidden/>
    <w:uiPriority w:val="99"/>
    <w:semiHidden/>
    <w:rsid w:val="006274DB"/>
    <w:rPr>
      <w:rFonts w:ascii="Arial" w:hAnsi="Arial"/>
      <w:szCs w:val="24"/>
      <w:lang w:val="en-US" w:eastAsia="en-US"/>
    </w:rPr>
  </w:style>
  <w:style w:type="paragraph" w:styleId="Sprotnaopomba-besedilo">
    <w:name w:val="footnote text"/>
    <w:basedOn w:val="Navaden"/>
    <w:link w:val="Sprotnaopomba-besediloZnak"/>
    <w:uiPriority w:val="99"/>
    <w:qFormat/>
    <w:rsid w:val="00CE3992"/>
    <w:pPr>
      <w:spacing w:line="240" w:lineRule="auto"/>
    </w:pPr>
    <w:rPr>
      <w:szCs w:val="20"/>
      <w:lang w:val="sl-SI"/>
    </w:rPr>
  </w:style>
  <w:style w:type="character" w:customStyle="1" w:styleId="Sprotnaopomba-besediloZnak">
    <w:name w:val="Sprotna opomba - besedilo Znak"/>
    <w:basedOn w:val="Privzetapisavaodstavka"/>
    <w:link w:val="Sprotnaopomba-besedilo"/>
    <w:uiPriority w:val="99"/>
    <w:rsid w:val="00CE3992"/>
    <w:rPr>
      <w:rFonts w:ascii="Arial" w:hAnsi="Arial"/>
      <w:lang w:eastAsia="en-US"/>
    </w:rPr>
  </w:style>
  <w:style w:type="character" w:styleId="Sprotnaopomba-sklic">
    <w:name w:val="footnote reference"/>
    <w:basedOn w:val="Privzetapisavaodstavka"/>
    <w:uiPriority w:val="99"/>
    <w:qFormat/>
    <w:rsid w:val="00CE3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1513">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8330008">
      <w:bodyDiv w:val="1"/>
      <w:marLeft w:val="0"/>
      <w:marRight w:val="0"/>
      <w:marTop w:val="0"/>
      <w:marBottom w:val="0"/>
      <w:divBdr>
        <w:top w:val="none" w:sz="0" w:space="0" w:color="auto"/>
        <w:left w:val="none" w:sz="0" w:space="0" w:color="auto"/>
        <w:bottom w:val="none" w:sz="0" w:space="0" w:color="auto"/>
        <w:right w:val="none" w:sz="0" w:space="0" w:color="auto"/>
      </w:divBdr>
      <w:divsChild>
        <w:div w:id="1253320895">
          <w:marLeft w:val="0"/>
          <w:marRight w:val="0"/>
          <w:marTop w:val="0"/>
          <w:marBottom w:val="0"/>
          <w:divBdr>
            <w:top w:val="none" w:sz="0" w:space="0" w:color="auto"/>
            <w:left w:val="none" w:sz="0" w:space="0" w:color="auto"/>
            <w:bottom w:val="none" w:sz="0" w:space="0" w:color="auto"/>
            <w:right w:val="none" w:sz="0" w:space="0" w:color="auto"/>
          </w:divBdr>
          <w:divsChild>
            <w:div w:id="1375691862">
              <w:marLeft w:val="0"/>
              <w:marRight w:val="0"/>
              <w:marTop w:val="0"/>
              <w:marBottom w:val="0"/>
              <w:divBdr>
                <w:top w:val="none" w:sz="0" w:space="0" w:color="auto"/>
                <w:left w:val="none" w:sz="0" w:space="0" w:color="auto"/>
                <w:bottom w:val="none" w:sz="0" w:space="0" w:color="auto"/>
                <w:right w:val="none" w:sz="0" w:space="0" w:color="auto"/>
              </w:divBdr>
              <w:divsChild>
                <w:div w:id="1449424846">
                  <w:marLeft w:val="0"/>
                  <w:marRight w:val="0"/>
                  <w:marTop w:val="0"/>
                  <w:marBottom w:val="0"/>
                  <w:divBdr>
                    <w:top w:val="none" w:sz="0" w:space="0" w:color="auto"/>
                    <w:left w:val="none" w:sz="0" w:space="0" w:color="auto"/>
                    <w:bottom w:val="none" w:sz="0" w:space="0" w:color="auto"/>
                    <w:right w:val="none" w:sz="0" w:space="0" w:color="auto"/>
                  </w:divBdr>
                  <w:divsChild>
                    <w:div w:id="250088678">
                      <w:marLeft w:val="0"/>
                      <w:marRight w:val="0"/>
                      <w:marTop w:val="0"/>
                      <w:marBottom w:val="0"/>
                      <w:divBdr>
                        <w:top w:val="none" w:sz="0" w:space="0" w:color="auto"/>
                        <w:left w:val="none" w:sz="0" w:space="0" w:color="auto"/>
                        <w:bottom w:val="none" w:sz="0" w:space="0" w:color="auto"/>
                        <w:right w:val="none" w:sz="0" w:space="0" w:color="auto"/>
                      </w:divBdr>
                      <w:divsChild>
                        <w:div w:id="1178959255">
                          <w:marLeft w:val="0"/>
                          <w:marRight w:val="0"/>
                          <w:marTop w:val="0"/>
                          <w:marBottom w:val="0"/>
                          <w:divBdr>
                            <w:top w:val="none" w:sz="0" w:space="0" w:color="auto"/>
                            <w:left w:val="none" w:sz="0" w:space="0" w:color="auto"/>
                            <w:bottom w:val="none" w:sz="0" w:space="0" w:color="auto"/>
                            <w:right w:val="none" w:sz="0" w:space="0" w:color="auto"/>
                          </w:divBdr>
                        </w:div>
                        <w:div w:id="1612393652">
                          <w:marLeft w:val="0"/>
                          <w:marRight w:val="0"/>
                          <w:marTop w:val="0"/>
                          <w:marBottom w:val="0"/>
                          <w:divBdr>
                            <w:top w:val="none" w:sz="0" w:space="0" w:color="auto"/>
                            <w:left w:val="none" w:sz="0" w:space="0" w:color="auto"/>
                            <w:bottom w:val="none" w:sz="0" w:space="0" w:color="auto"/>
                            <w:right w:val="none" w:sz="0" w:space="0" w:color="auto"/>
                          </w:divBdr>
                        </w:div>
                        <w:div w:id="1885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43766">
      <w:bodyDiv w:val="1"/>
      <w:marLeft w:val="0"/>
      <w:marRight w:val="0"/>
      <w:marTop w:val="0"/>
      <w:marBottom w:val="0"/>
      <w:divBdr>
        <w:top w:val="none" w:sz="0" w:space="0" w:color="auto"/>
        <w:left w:val="none" w:sz="0" w:space="0" w:color="auto"/>
        <w:bottom w:val="none" w:sz="0" w:space="0" w:color="auto"/>
        <w:right w:val="none" w:sz="0" w:space="0" w:color="auto"/>
      </w:divBdr>
      <w:divsChild>
        <w:div w:id="1951813753">
          <w:marLeft w:val="0"/>
          <w:marRight w:val="0"/>
          <w:marTop w:val="0"/>
          <w:marBottom w:val="0"/>
          <w:divBdr>
            <w:top w:val="none" w:sz="0" w:space="0" w:color="auto"/>
            <w:left w:val="none" w:sz="0" w:space="0" w:color="auto"/>
            <w:bottom w:val="none" w:sz="0" w:space="0" w:color="auto"/>
            <w:right w:val="none" w:sz="0" w:space="0" w:color="auto"/>
          </w:divBdr>
          <w:divsChild>
            <w:div w:id="1090196888">
              <w:marLeft w:val="0"/>
              <w:marRight w:val="0"/>
              <w:marTop w:val="100"/>
              <w:marBottom w:val="100"/>
              <w:divBdr>
                <w:top w:val="none" w:sz="0" w:space="0" w:color="auto"/>
                <w:left w:val="none" w:sz="0" w:space="0" w:color="auto"/>
                <w:bottom w:val="none" w:sz="0" w:space="0" w:color="auto"/>
                <w:right w:val="none" w:sz="0" w:space="0" w:color="auto"/>
              </w:divBdr>
              <w:divsChild>
                <w:div w:id="442070536">
                  <w:marLeft w:val="0"/>
                  <w:marRight w:val="0"/>
                  <w:marTop w:val="0"/>
                  <w:marBottom w:val="0"/>
                  <w:divBdr>
                    <w:top w:val="none" w:sz="0" w:space="0" w:color="auto"/>
                    <w:left w:val="none" w:sz="0" w:space="0" w:color="auto"/>
                    <w:bottom w:val="none" w:sz="0" w:space="0" w:color="auto"/>
                    <w:right w:val="none" w:sz="0" w:space="0" w:color="auto"/>
                  </w:divBdr>
                  <w:divsChild>
                    <w:div w:id="1598253778">
                      <w:marLeft w:val="0"/>
                      <w:marRight w:val="0"/>
                      <w:marTop w:val="0"/>
                      <w:marBottom w:val="0"/>
                      <w:divBdr>
                        <w:top w:val="none" w:sz="0" w:space="0" w:color="auto"/>
                        <w:left w:val="none" w:sz="0" w:space="0" w:color="auto"/>
                        <w:bottom w:val="none" w:sz="0" w:space="0" w:color="auto"/>
                        <w:right w:val="none" w:sz="0" w:space="0" w:color="auto"/>
                      </w:divBdr>
                      <w:divsChild>
                        <w:div w:id="1323656632">
                          <w:marLeft w:val="0"/>
                          <w:marRight w:val="0"/>
                          <w:marTop w:val="0"/>
                          <w:marBottom w:val="0"/>
                          <w:divBdr>
                            <w:top w:val="none" w:sz="0" w:space="0" w:color="auto"/>
                            <w:left w:val="none" w:sz="0" w:space="0" w:color="auto"/>
                            <w:bottom w:val="none" w:sz="0" w:space="0" w:color="auto"/>
                            <w:right w:val="none" w:sz="0" w:space="0" w:color="auto"/>
                          </w:divBdr>
                          <w:divsChild>
                            <w:div w:id="406803691">
                              <w:marLeft w:val="0"/>
                              <w:marRight w:val="0"/>
                              <w:marTop w:val="0"/>
                              <w:marBottom w:val="0"/>
                              <w:divBdr>
                                <w:top w:val="none" w:sz="0" w:space="0" w:color="auto"/>
                                <w:left w:val="none" w:sz="0" w:space="0" w:color="auto"/>
                                <w:bottom w:val="none" w:sz="0" w:space="0" w:color="auto"/>
                                <w:right w:val="none" w:sz="0" w:space="0" w:color="auto"/>
                              </w:divBdr>
                              <w:divsChild>
                                <w:div w:id="1544244750">
                                  <w:marLeft w:val="0"/>
                                  <w:marRight w:val="0"/>
                                  <w:marTop w:val="0"/>
                                  <w:marBottom w:val="0"/>
                                  <w:divBdr>
                                    <w:top w:val="none" w:sz="0" w:space="0" w:color="auto"/>
                                    <w:left w:val="none" w:sz="0" w:space="0" w:color="auto"/>
                                    <w:bottom w:val="none" w:sz="0" w:space="0" w:color="auto"/>
                                    <w:right w:val="none" w:sz="0" w:space="0" w:color="auto"/>
                                  </w:divBdr>
                                  <w:divsChild>
                                    <w:div w:id="1066680931">
                                      <w:marLeft w:val="0"/>
                                      <w:marRight w:val="0"/>
                                      <w:marTop w:val="0"/>
                                      <w:marBottom w:val="0"/>
                                      <w:divBdr>
                                        <w:top w:val="none" w:sz="0" w:space="0" w:color="auto"/>
                                        <w:left w:val="none" w:sz="0" w:space="0" w:color="auto"/>
                                        <w:bottom w:val="none" w:sz="0" w:space="0" w:color="auto"/>
                                        <w:right w:val="none" w:sz="0" w:space="0" w:color="auto"/>
                                      </w:divBdr>
                                      <w:divsChild>
                                        <w:div w:id="13207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649699">
      <w:bodyDiv w:val="1"/>
      <w:marLeft w:val="0"/>
      <w:marRight w:val="0"/>
      <w:marTop w:val="0"/>
      <w:marBottom w:val="0"/>
      <w:divBdr>
        <w:top w:val="none" w:sz="0" w:space="0" w:color="auto"/>
        <w:left w:val="none" w:sz="0" w:space="0" w:color="auto"/>
        <w:bottom w:val="none" w:sz="0" w:space="0" w:color="auto"/>
        <w:right w:val="none" w:sz="0" w:space="0" w:color="auto"/>
      </w:divBdr>
      <w:divsChild>
        <w:div w:id="1109928792">
          <w:marLeft w:val="0"/>
          <w:marRight w:val="0"/>
          <w:marTop w:val="0"/>
          <w:marBottom w:val="0"/>
          <w:divBdr>
            <w:top w:val="none" w:sz="0" w:space="0" w:color="auto"/>
            <w:left w:val="none" w:sz="0" w:space="0" w:color="auto"/>
            <w:bottom w:val="none" w:sz="0" w:space="0" w:color="auto"/>
            <w:right w:val="none" w:sz="0" w:space="0" w:color="auto"/>
          </w:divBdr>
          <w:divsChild>
            <w:div w:id="830633193">
              <w:marLeft w:val="0"/>
              <w:marRight w:val="0"/>
              <w:marTop w:val="100"/>
              <w:marBottom w:val="100"/>
              <w:divBdr>
                <w:top w:val="none" w:sz="0" w:space="0" w:color="auto"/>
                <w:left w:val="none" w:sz="0" w:space="0" w:color="auto"/>
                <w:bottom w:val="none" w:sz="0" w:space="0" w:color="auto"/>
                <w:right w:val="none" w:sz="0" w:space="0" w:color="auto"/>
              </w:divBdr>
              <w:divsChild>
                <w:div w:id="1461531196">
                  <w:marLeft w:val="0"/>
                  <w:marRight w:val="0"/>
                  <w:marTop w:val="0"/>
                  <w:marBottom w:val="0"/>
                  <w:divBdr>
                    <w:top w:val="none" w:sz="0" w:space="0" w:color="auto"/>
                    <w:left w:val="none" w:sz="0" w:space="0" w:color="auto"/>
                    <w:bottom w:val="none" w:sz="0" w:space="0" w:color="auto"/>
                    <w:right w:val="none" w:sz="0" w:space="0" w:color="auto"/>
                  </w:divBdr>
                  <w:divsChild>
                    <w:div w:id="1842506992">
                      <w:marLeft w:val="0"/>
                      <w:marRight w:val="0"/>
                      <w:marTop w:val="0"/>
                      <w:marBottom w:val="0"/>
                      <w:divBdr>
                        <w:top w:val="none" w:sz="0" w:space="0" w:color="auto"/>
                        <w:left w:val="none" w:sz="0" w:space="0" w:color="auto"/>
                        <w:bottom w:val="none" w:sz="0" w:space="0" w:color="auto"/>
                        <w:right w:val="none" w:sz="0" w:space="0" w:color="auto"/>
                      </w:divBdr>
                      <w:divsChild>
                        <w:div w:id="934050310">
                          <w:marLeft w:val="0"/>
                          <w:marRight w:val="0"/>
                          <w:marTop w:val="0"/>
                          <w:marBottom w:val="0"/>
                          <w:divBdr>
                            <w:top w:val="none" w:sz="0" w:space="0" w:color="auto"/>
                            <w:left w:val="none" w:sz="0" w:space="0" w:color="auto"/>
                            <w:bottom w:val="none" w:sz="0" w:space="0" w:color="auto"/>
                            <w:right w:val="none" w:sz="0" w:space="0" w:color="auto"/>
                          </w:divBdr>
                          <w:divsChild>
                            <w:div w:id="1140654185">
                              <w:marLeft w:val="0"/>
                              <w:marRight w:val="0"/>
                              <w:marTop w:val="0"/>
                              <w:marBottom w:val="0"/>
                              <w:divBdr>
                                <w:top w:val="none" w:sz="0" w:space="0" w:color="auto"/>
                                <w:left w:val="none" w:sz="0" w:space="0" w:color="auto"/>
                                <w:bottom w:val="none" w:sz="0" w:space="0" w:color="auto"/>
                                <w:right w:val="none" w:sz="0" w:space="0" w:color="auto"/>
                              </w:divBdr>
                              <w:divsChild>
                                <w:div w:id="116071528">
                                  <w:marLeft w:val="0"/>
                                  <w:marRight w:val="0"/>
                                  <w:marTop w:val="0"/>
                                  <w:marBottom w:val="0"/>
                                  <w:divBdr>
                                    <w:top w:val="none" w:sz="0" w:space="0" w:color="auto"/>
                                    <w:left w:val="none" w:sz="0" w:space="0" w:color="auto"/>
                                    <w:bottom w:val="none" w:sz="0" w:space="0" w:color="auto"/>
                                    <w:right w:val="none" w:sz="0" w:space="0" w:color="auto"/>
                                  </w:divBdr>
                                  <w:divsChild>
                                    <w:div w:id="960458006">
                                      <w:marLeft w:val="0"/>
                                      <w:marRight w:val="0"/>
                                      <w:marTop w:val="0"/>
                                      <w:marBottom w:val="0"/>
                                      <w:divBdr>
                                        <w:top w:val="none" w:sz="0" w:space="0" w:color="auto"/>
                                        <w:left w:val="none" w:sz="0" w:space="0" w:color="auto"/>
                                        <w:bottom w:val="none" w:sz="0" w:space="0" w:color="auto"/>
                                        <w:right w:val="none" w:sz="0" w:space="0" w:color="auto"/>
                                      </w:divBdr>
                                      <w:divsChild>
                                        <w:div w:id="1056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3643" TargetMode="External"/><Relationship Id="rId18" Type="http://schemas.openxmlformats.org/officeDocument/2006/relationships/hyperlink" Target="http://www.uradni-list.si/1/objava.jsp?sop=2014-01-1619" TargetMode="External"/><Relationship Id="rId26" Type="http://schemas.openxmlformats.org/officeDocument/2006/relationships/hyperlink" Target="http://www.uradni-list.si/1/objava.jsp?sop=2020-01-2544" TargetMode="External"/><Relationship Id="rId39" Type="http://schemas.openxmlformats.org/officeDocument/2006/relationships/hyperlink" Target="http://www.uradni-list.si/1/objava.jsp?sop=2022-01-3606" TargetMode="External"/><Relationship Id="rId21" Type="http://schemas.openxmlformats.org/officeDocument/2006/relationships/hyperlink" Target="http://www.uradni-list.si/1/objava.jsp?sop=2016-01-2685" TargetMode="External"/><Relationship Id="rId34" Type="http://schemas.openxmlformats.org/officeDocument/2006/relationships/hyperlink" Target="http://www.uradni-list.si/1/objava.jsp?sop=2011-01-0588" TargetMode="External"/><Relationship Id="rId42" Type="http://schemas.openxmlformats.org/officeDocument/2006/relationships/hyperlink" Target="http://www.uradni-list.si/1/objava.jsp?sop=2002-01-3231" TargetMode="External"/><Relationship Id="rId47" Type="http://schemas.openxmlformats.org/officeDocument/2006/relationships/hyperlink" Target="http://www.uradni-list.si/1/objava.jsp?sop=2013-01-2521" TargetMode="External"/><Relationship Id="rId50" Type="http://schemas.openxmlformats.org/officeDocument/2006/relationships/hyperlink" Target="http://www.uradni-list.si/1/objava.jsp?sop=2014-01-0832"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radni-list.si/1/objava.jsp?sop=2012-01-1402" TargetMode="External"/><Relationship Id="rId17" Type="http://schemas.openxmlformats.org/officeDocument/2006/relationships/hyperlink" Target="http://www.uradni-list.si/1/objava.jsp?sop=2014-01-0961" TargetMode="External"/><Relationship Id="rId25" Type="http://schemas.openxmlformats.org/officeDocument/2006/relationships/hyperlink" Target="http://www.uradni-list.si/1/objava.jsp?sop=2019-01-2928" TargetMode="External"/><Relationship Id="rId33" Type="http://schemas.openxmlformats.org/officeDocument/2006/relationships/hyperlink" Target="http://www.uradni-list.si/1/objava.jsp?sop=2023-01-4011" TargetMode="External"/><Relationship Id="rId38" Type="http://schemas.openxmlformats.org/officeDocument/2006/relationships/hyperlink" Target="http://www.uradni-list.si/1/objava.jsp?sop=2022-01-0977" TargetMode="External"/><Relationship Id="rId46" Type="http://schemas.openxmlformats.org/officeDocument/2006/relationships/hyperlink" Target="http://www.uradni-list.si/1/objava.jsp?sop=2010-01-5480"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4-01-0832" TargetMode="External"/><Relationship Id="rId20" Type="http://schemas.openxmlformats.org/officeDocument/2006/relationships/hyperlink" Target="http://www.uradni-list.si/1/objava.jsp?sop=2015-01-3571" TargetMode="External"/><Relationship Id="rId29" Type="http://schemas.openxmlformats.org/officeDocument/2006/relationships/hyperlink" Target="http://www.uradni-list.si/1/objava.jsp?sop=2022-01-1091" TargetMode="External"/><Relationship Id="rId41" Type="http://schemas.openxmlformats.org/officeDocument/2006/relationships/hyperlink" Target="http://www.uradni-list.si/1/objava.jsp?sop=1999-01-2655" TargetMode="External"/><Relationship Id="rId54" Type="http://schemas.openxmlformats.org/officeDocument/2006/relationships/hyperlink" Target="http://www.uradni-list.si/1/objava.jsp?sop=2023-01-24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1-01-0553" TargetMode="External"/><Relationship Id="rId24" Type="http://schemas.openxmlformats.org/officeDocument/2006/relationships/hyperlink" Target="http://www.uradni-list.si/1/objava.jsp?sop=2019-01-1628" TargetMode="External"/><Relationship Id="rId32" Type="http://schemas.openxmlformats.org/officeDocument/2006/relationships/hyperlink" Target="http://www.uradni-list.si/1/objava.jsp?sop=2023-01-3150" TargetMode="External"/><Relationship Id="rId37" Type="http://schemas.openxmlformats.org/officeDocument/2006/relationships/hyperlink" Target="http://www.uradni-list.si/1/objava.jsp?sop=2014-01-1619" TargetMode="External"/><Relationship Id="rId40" Type="http://schemas.openxmlformats.org/officeDocument/2006/relationships/hyperlink" Target="http://www.uradni-list.si/1/objava.jsp?sop=1993-01-1299" TargetMode="External"/><Relationship Id="rId45" Type="http://schemas.openxmlformats.org/officeDocument/2006/relationships/hyperlink" Target="http://www.uradni-list.si/1/objava.jsp?sop=2007-01-5469" TargetMode="External"/><Relationship Id="rId53" Type="http://schemas.openxmlformats.org/officeDocument/2006/relationships/hyperlink" Target="http://www.uradni-list.si/1/objava.jsp?sop=2016-01-3230"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radni-list.si/1/objava.jsp?sop=2013-01-4127" TargetMode="External"/><Relationship Id="rId23" Type="http://schemas.openxmlformats.org/officeDocument/2006/relationships/hyperlink" Target="http://www.uradni-list.si/1/objava.jsp?sop=2018-01-0544" TargetMode="External"/><Relationship Id="rId28" Type="http://schemas.openxmlformats.org/officeDocument/2006/relationships/hyperlink" Target="http://www.uradni-list.si/1/objava.jsp?sop=2022-01-0770" TargetMode="External"/><Relationship Id="rId36" Type="http://schemas.openxmlformats.org/officeDocument/2006/relationships/hyperlink" Target="http://www.uradni-list.si/1/objava.jsp?sop=2014-21-0303" TargetMode="External"/><Relationship Id="rId49" Type="http://schemas.openxmlformats.org/officeDocument/2006/relationships/hyperlink" Target="http://www.uradni-list.si/1/objava.jsp?sop=2014-01-0541"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radni-list.si/1/objava.jsp?sop=2014-01-3647" TargetMode="External"/><Relationship Id="rId31" Type="http://schemas.openxmlformats.org/officeDocument/2006/relationships/hyperlink" Target="http://www.uradni-list.si/1/objava.jsp?sop=2022-01-4188" TargetMode="External"/><Relationship Id="rId44" Type="http://schemas.openxmlformats.org/officeDocument/2006/relationships/hyperlink" Target="http://www.uradni-list.si/1/objava.jsp?sop=2006-01-4911" TargetMode="External"/><Relationship Id="rId52" Type="http://schemas.openxmlformats.org/officeDocument/2006/relationships/hyperlink" Target="http://www.uradni-list.si/1/objava.jsp?sop=2016-01-0340"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3-01-3676" TargetMode="External"/><Relationship Id="rId22" Type="http://schemas.openxmlformats.org/officeDocument/2006/relationships/hyperlink" Target="http://www.uradni-list.si/1/objava.jsp?sop=2017-01-3269" TargetMode="External"/><Relationship Id="rId27" Type="http://schemas.openxmlformats.org/officeDocument/2006/relationships/hyperlink" Target="http://www.uradni-list.si/1/objava.jsp?sop=2020-01-3772" TargetMode="External"/><Relationship Id="rId30" Type="http://schemas.openxmlformats.org/officeDocument/2006/relationships/hyperlink" Target="http://www.uradni-list.si/1/objava.jsp?sop=2022-01-2039" TargetMode="External"/><Relationship Id="rId35" Type="http://schemas.openxmlformats.org/officeDocument/2006/relationships/hyperlink" Target="http://www.uradni-list.si/1/objava.jsp?sop=2012-01-4261" TargetMode="External"/><Relationship Id="rId43" Type="http://schemas.openxmlformats.org/officeDocument/2006/relationships/hyperlink" Target="http://www.uradni-list.si/1/objava.jsp?sop=2002-01-5387" TargetMode="External"/><Relationship Id="rId48" Type="http://schemas.openxmlformats.org/officeDocument/2006/relationships/hyperlink" Target="http://www.uradni-list.si/1/objava.jsp?sop=2013-01-3676"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uradni-list.si/1/objava.jsp?sop=2015-01-0992" TargetMode="Externa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91E0378A-90F3-4E0E-A73E-654E845820C9}">
  <ds:schemaRefs>
    <ds:schemaRef ds:uri="http://schemas.openxmlformats.org/officeDocument/2006/bibliography"/>
  </ds:schemaRefs>
</ds:datastoreItem>
</file>

<file path=customXml/itemProps4.xml><?xml version="1.0" encoding="utf-8"?>
<ds:datastoreItem xmlns:ds="http://schemas.openxmlformats.org/officeDocument/2006/customXml" ds:itemID="{22B526B8-E2FA-4827-8C31-10C920FA92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3166</Words>
  <Characters>18047</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21171</CharactersWithSpaces>
  <SharedDoc>false</SharedDoc>
  <HLinks>
    <vt:vector size="78" baseType="variant">
      <vt:variant>
        <vt:i4>3407999</vt:i4>
      </vt:variant>
      <vt:variant>
        <vt:i4>60</vt:i4>
      </vt:variant>
      <vt:variant>
        <vt:i4>0</vt:i4>
      </vt:variant>
      <vt:variant>
        <vt:i4>5</vt:i4>
      </vt:variant>
      <vt:variant>
        <vt:lpwstr>https://edavki.durs.si/EdavkiPortal/OpenPortal/CommonPages/Opdynp/PageD.aspx?category=obrazec_tro_p</vt:lpwstr>
      </vt:variant>
      <vt:variant>
        <vt:lpwstr/>
      </vt:variant>
      <vt:variant>
        <vt:i4>2293874</vt:i4>
      </vt:variant>
      <vt:variant>
        <vt:i4>57</vt:i4>
      </vt:variant>
      <vt:variant>
        <vt:i4>0</vt:i4>
      </vt:variant>
      <vt:variant>
        <vt:i4>5</vt:i4>
      </vt:variant>
      <vt:variant>
        <vt:lpwstr>http://www.pisrs.si/Pis.web/pregledPredpisa?id=ZAKO7128</vt:lpwstr>
      </vt:variant>
      <vt:variant>
        <vt:lpwstr/>
      </vt:variant>
      <vt:variant>
        <vt:i4>2293874</vt:i4>
      </vt:variant>
      <vt:variant>
        <vt:i4>54</vt:i4>
      </vt:variant>
      <vt:variant>
        <vt:i4>0</vt:i4>
      </vt:variant>
      <vt:variant>
        <vt:i4>5</vt:i4>
      </vt:variant>
      <vt:variant>
        <vt:lpwstr>http://www.pisrs.si/Pis.web/pregledPredpisa?id=ZAKO7128</vt:lpwstr>
      </vt:variant>
      <vt:variant>
        <vt:lpwstr/>
      </vt:variant>
      <vt:variant>
        <vt:i4>3407999</vt:i4>
      </vt:variant>
      <vt:variant>
        <vt:i4>51</vt:i4>
      </vt:variant>
      <vt:variant>
        <vt:i4>0</vt:i4>
      </vt:variant>
      <vt:variant>
        <vt:i4>5</vt:i4>
      </vt:variant>
      <vt:variant>
        <vt:lpwstr>https://edavki.durs.si/EdavkiPortal/OpenPortal/CommonPages/Opdynp/PageD.aspx?category=obrazec_tro_p</vt:lpwstr>
      </vt:variant>
      <vt:variant>
        <vt:lpwstr/>
      </vt:variant>
      <vt:variant>
        <vt:i4>7602289</vt:i4>
      </vt:variant>
      <vt:variant>
        <vt:i4>48</vt:i4>
      </vt:variant>
      <vt:variant>
        <vt:i4>0</vt:i4>
      </vt:variant>
      <vt:variant>
        <vt:i4>5</vt:i4>
      </vt:variant>
      <vt:variant>
        <vt:lpwstr>http://www.fu.gov.si/kontakti/</vt:lpwstr>
      </vt:variant>
      <vt:variant>
        <vt:lpwstr/>
      </vt:variant>
      <vt:variant>
        <vt:i4>2293874</vt:i4>
      </vt:variant>
      <vt:variant>
        <vt:i4>45</vt:i4>
      </vt:variant>
      <vt:variant>
        <vt:i4>0</vt:i4>
      </vt:variant>
      <vt:variant>
        <vt:i4>5</vt:i4>
      </vt:variant>
      <vt:variant>
        <vt:lpwstr>http://www.pisrs.si/Pis.web/pregledPredpisa?id=ZAKO7128</vt:lpwstr>
      </vt:variant>
      <vt:variant>
        <vt:lpwstr/>
      </vt:variant>
      <vt:variant>
        <vt:i4>1179706</vt:i4>
      </vt:variant>
      <vt:variant>
        <vt:i4>38</vt:i4>
      </vt:variant>
      <vt:variant>
        <vt:i4>0</vt:i4>
      </vt:variant>
      <vt:variant>
        <vt:i4>5</vt:i4>
      </vt:variant>
      <vt:variant>
        <vt:lpwstr/>
      </vt:variant>
      <vt:variant>
        <vt:lpwstr>_Toc520383773</vt:lpwstr>
      </vt:variant>
      <vt:variant>
        <vt:i4>1179706</vt:i4>
      </vt:variant>
      <vt:variant>
        <vt:i4>32</vt:i4>
      </vt:variant>
      <vt:variant>
        <vt:i4>0</vt:i4>
      </vt:variant>
      <vt:variant>
        <vt:i4>5</vt:i4>
      </vt:variant>
      <vt:variant>
        <vt:lpwstr/>
      </vt:variant>
      <vt:variant>
        <vt:lpwstr>_Toc520383772</vt:lpwstr>
      </vt:variant>
      <vt:variant>
        <vt:i4>1179706</vt:i4>
      </vt:variant>
      <vt:variant>
        <vt:i4>26</vt:i4>
      </vt:variant>
      <vt:variant>
        <vt:i4>0</vt:i4>
      </vt:variant>
      <vt:variant>
        <vt:i4>5</vt:i4>
      </vt:variant>
      <vt:variant>
        <vt:lpwstr/>
      </vt:variant>
      <vt:variant>
        <vt:lpwstr>_Toc520383771</vt:lpwstr>
      </vt:variant>
      <vt:variant>
        <vt:i4>1179706</vt:i4>
      </vt:variant>
      <vt:variant>
        <vt:i4>20</vt:i4>
      </vt:variant>
      <vt:variant>
        <vt:i4>0</vt:i4>
      </vt:variant>
      <vt:variant>
        <vt:i4>5</vt:i4>
      </vt:variant>
      <vt:variant>
        <vt:lpwstr/>
      </vt:variant>
      <vt:variant>
        <vt:lpwstr>_Toc520383770</vt:lpwstr>
      </vt:variant>
      <vt:variant>
        <vt:i4>1245242</vt:i4>
      </vt:variant>
      <vt:variant>
        <vt:i4>14</vt:i4>
      </vt:variant>
      <vt:variant>
        <vt:i4>0</vt:i4>
      </vt:variant>
      <vt:variant>
        <vt:i4>5</vt:i4>
      </vt:variant>
      <vt:variant>
        <vt:lpwstr/>
      </vt:variant>
      <vt:variant>
        <vt:lpwstr>_Toc520383769</vt:lpwstr>
      </vt:variant>
      <vt:variant>
        <vt:i4>1245242</vt:i4>
      </vt:variant>
      <vt:variant>
        <vt:i4>8</vt:i4>
      </vt:variant>
      <vt:variant>
        <vt:i4>0</vt:i4>
      </vt:variant>
      <vt:variant>
        <vt:i4>5</vt:i4>
      </vt:variant>
      <vt:variant>
        <vt:lpwstr/>
      </vt:variant>
      <vt:variant>
        <vt:lpwstr>_Toc520383768</vt:lpwstr>
      </vt:variant>
      <vt:variant>
        <vt:i4>1245242</vt:i4>
      </vt:variant>
      <vt:variant>
        <vt:i4>2</vt:i4>
      </vt:variant>
      <vt:variant>
        <vt:i4>0</vt:i4>
      </vt:variant>
      <vt:variant>
        <vt:i4>5</vt:i4>
      </vt:variant>
      <vt:variant>
        <vt:lpwstr/>
      </vt:variant>
      <vt:variant>
        <vt:lpwstr>_Toc520383767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Damjana Slapar Burkat</cp:lastModifiedBy>
  <cp:revision>4</cp:revision>
  <cp:lastPrinted>2024-03-28T09:27:00Z</cp:lastPrinted>
  <dcterms:created xsi:type="dcterms:W3CDTF">2024-04-05T08:11:00Z</dcterms:created>
  <dcterms:modified xsi:type="dcterms:W3CDTF">2024-04-10T11:55:00Z</dcterms:modified>
</cp:coreProperties>
</file>