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4530" w14:textId="77777777" w:rsidR="00887E1E" w:rsidRPr="00B87D07" w:rsidRDefault="00887E1E" w:rsidP="00685D96">
      <w:pPr>
        <w:pStyle w:val="datumtevilka"/>
        <w:jc w:val="center"/>
      </w:pPr>
    </w:p>
    <w:p w14:paraId="3A144531" w14:textId="77777777" w:rsidR="00887E1E" w:rsidRPr="00B87D07" w:rsidRDefault="00887E1E" w:rsidP="00685D96">
      <w:pPr>
        <w:pStyle w:val="datumtevilka"/>
        <w:jc w:val="center"/>
      </w:pPr>
    </w:p>
    <w:p w14:paraId="3A144532" w14:textId="77777777" w:rsidR="00F825FF" w:rsidRPr="00B87D07" w:rsidRDefault="00F825FF" w:rsidP="00685D96">
      <w:pPr>
        <w:pStyle w:val="datumtevilka"/>
        <w:jc w:val="center"/>
      </w:pPr>
    </w:p>
    <w:p w14:paraId="3A144533" w14:textId="77777777" w:rsidR="002341C3" w:rsidRPr="00B87D07" w:rsidRDefault="002341C3" w:rsidP="00685D96">
      <w:pPr>
        <w:pStyle w:val="datumtevilka"/>
      </w:pPr>
    </w:p>
    <w:p w14:paraId="3A144534" w14:textId="77777777" w:rsidR="00887E1E" w:rsidRPr="00B87D07" w:rsidRDefault="00887E1E" w:rsidP="00685D96">
      <w:pPr>
        <w:pStyle w:val="datumtevilka"/>
        <w:jc w:val="center"/>
      </w:pPr>
    </w:p>
    <w:p w14:paraId="3A144535" w14:textId="77777777" w:rsidR="00C6643F" w:rsidRPr="00B87D07" w:rsidRDefault="00B64244" w:rsidP="00685D96">
      <w:pPr>
        <w:pStyle w:val="datumtevilk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694129" w:rsidRPr="00B87D07">
        <w:rPr>
          <w:b/>
          <w:sz w:val="32"/>
          <w:szCs w:val="32"/>
        </w:rPr>
        <w:t>EDNARODNA IZMENJAVA/CBCR</w:t>
      </w:r>
    </w:p>
    <w:p w14:paraId="3A144536" w14:textId="77777777" w:rsidR="003C180E" w:rsidRPr="00B87D07" w:rsidRDefault="003C180E" w:rsidP="00685D96">
      <w:pPr>
        <w:pStyle w:val="datumtevilka"/>
        <w:jc w:val="center"/>
        <w:rPr>
          <w:b/>
          <w:sz w:val="28"/>
          <w:szCs w:val="28"/>
        </w:rPr>
      </w:pPr>
    </w:p>
    <w:p w14:paraId="3A144537" w14:textId="77777777" w:rsidR="00A77370" w:rsidRPr="00B87D07" w:rsidRDefault="00A77370" w:rsidP="00685D96">
      <w:pPr>
        <w:pStyle w:val="datumtevilka"/>
        <w:jc w:val="center"/>
        <w:rPr>
          <w:b/>
          <w:sz w:val="28"/>
          <w:szCs w:val="28"/>
        </w:rPr>
      </w:pPr>
    </w:p>
    <w:p w14:paraId="3A144538" w14:textId="77777777" w:rsidR="00694129" w:rsidRPr="00B87D07" w:rsidRDefault="009428AC" w:rsidP="00685D96">
      <w:pPr>
        <w:pStyle w:val="datumtevilka"/>
        <w:jc w:val="center"/>
        <w:rPr>
          <w:b/>
          <w:sz w:val="32"/>
          <w:szCs w:val="32"/>
        </w:rPr>
      </w:pPr>
      <w:r w:rsidRPr="00B87D07">
        <w:rPr>
          <w:b/>
          <w:sz w:val="32"/>
          <w:szCs w:val="32"/>
        </w:rPr>
        <w:t>Poročanje po državah</w:t>
      </w:r>
      <w:r w:rsidR="00394455" w:rsidRPr="00B87D07">
        <w:rPr>
          <w:b/>
          <w:sz w:val="32"/>
          <w:szCs w:val="32"/>
        </w:rPr>
        <w:t xml:space="preserve"> </w:t>
      </w:r>
    </w:p>
    <w:p w14:paraId="3A144539" w14:textId="77777777" w:rsidR="00F1377E" w:rsidRPr="00055E2C" w:rsidRDefault="00394455" w:rsidP="00685D96">
      <w:pPr>
        <w:pStyle w:val="datumtevilka"/>
        <w:jc w:val="center"/>
        <w:rPr>
          <w:b/>
          <w:sz w:val="32"/>
          <w:szCs w:val="32"/>
        </w:rPr>
      </w:pPr>
      <w:r w:rsidRPr="00055E2C">
        <w:rPr>
          <w:b/>
          <w:sz w:val="32"/>
          <w:szCs w:val="32"/>
        </w:rPr>
        <w:t>(</w:t>
      </w:r>
      <w:r w:rsidRPr="00055E2C">
        <w:rPr>
          <w:b/>
          <w:sz w:val="32"/>
          <w:szCs w:val="32"/>
          <w:lang w:val="en-GB"/>
        </w:rPr>
        <w:t>Country-by-Country Reporting</w:t>
      </w:r>
      <w:r w:rsidRPr="00055E2C">
        <w:rPr>
          <w:b/>
          <w:sz w:val="32"/>
          <w:szCs w:val="32"/>
        </w:rPr>
        <w:t>)</w:t>
      </w:r>
    </w:p>
    <w:p w14:paraId="3A14453A" w14:textId="77777777" w:rsidR="002341C3" w:rsidRPr="00B87D07" w:rsidRDefault="002341C3" w:rsidP="00685D96">
      <w:pPr>
        <w:pStyle w:val="datumtevilka"/>
        <w:jc w:val="center"/>
      </w:pPr>
    </w:p>
    <w:p w14:paraId="3A14453B" w14:textId="77777777" w:rsidR="00E853E8" w:rsidRPr="00B87D07" w:rsidRDefault="00E853E8" w:rsidP="00685D96">
      <w:pPr>
        <w:pStyle w:val="datumtevilka"/>
        <w:jc w:val="center"/>
      </w:pPr>
    </w:p>
    <w:p w14:paraId="3A14453C" w14:textId="77777777" w:rsidR="00E853E8" w:rsidRPr="00B87D07" w:rsidRDefault="00E853E8" w:rsidP="00685D96">
      <w:pPr>
        <w:pStyle w:val="datumtevilka"/>
        <w:jc w:val="center"/>
      </w:pPr>
    </w:p>
    <w:p w14:paraId="3A14453D" w14:textId="77777777" w:rsidR="00E853E8" w:rsidRPr="00B87D07" w:rsidRDefault="00E853E8" w:rsidP="00685D96">
      <w:pPr>
        <w:pStyle w:val="datumtevilka"/>
        <w:jc w:val="center"/>
      </w:pPr>
    </w:p>
    <w:p w14:paraId="3A14453E" w14:textId="77777777" w:rsidR="00887E1E" w:rsidRPr="00B87D07" w:rsidRDefault="00887E1E" w:rsidP="00685D96">
      <w:pPr>
        <w:pStyle w:val="datumtevilka"/>
        <w:jc w:val="center"/>
      </w:pPr>
    </w:p>
    <w:p w14:paraId="3A14453F" w14:textId="30B07871" w:rsidR="00F825FF" w:rsidRPr="00B87D07" w:rsidRDefault="00DC4738" w:rsidP="00685D96">
      <w:pPr>
        <w:pStyle w:val="datumtevil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Podrobnejši opis</w:t>
      </w:r>
    </w:p>
    <w:p w14:paraId="3A144540" w14:textId="77777777" w:rsidR="00F825FF" w:rsidRPr="00B87D07" w:rsidRDefault="00F825FF" w:rsidP="00685D96">
      <w:pPr>
        <w:pStyle w:val="datumtevilka"/>
        <w:jc w:val="center"/>
      </w:pPr>
    </w:p>
    <w:p w14:paraId="3A144541" w14:textId="77777777" w:rsidR="00F825FF" w:rsidRPr="00B87D07" w:rsidRDefault="00F825FF" w:rsidP="00685D96">
      <w:pPr>
        <w:pStyle w:val="datumtevilka"/>
        <w:jc w:val="center"/>
      </w:pPr>
    </w:p>
    <w:p w14:paraId="3A144542" w14:textId="77777777" w:rsidR="00F825FF" w:rsidRPr="00B87D07" w:rsidRDefault="00F825FF" w:rsidP="00685D96">
      <w:pPr>
        <w:pStyle w:val="datumtevilka"/>
        <w:jc w:val="center"/>
      </w:pPr>
    </w:p>
    <w:p w14:paraId="3A144543" w14:textId="77777777" w:rsidR="00F825FF" w:rsidRPr="00B87D07" w:rsidRDefault="00F825FF" w:rsidP="00685D96">
      <w:pPr>
        <w:pStyle w:val="datumtevilka"/>
        <w:jc w:val="center"/>
      </w:pPr>
    </w:p>
    <w:p w14:paraId="3A144544" w14:textId="77777777" w:rsidR="00F825FF" w:rsidRPr="00B87D07" w:rsidRDefault="00F825FF" w:rsidP="00685D96">
      <w:pPr>
        <w:pStyle w:val="datumtevilka"/>
        <w:jc w:val="center"/>
      </w:pPr>
    </w:p>
    <w:p w14:paraId="3A144545" w14:textId="77777777" w:rsidR="002341C3" w:rsidRPr="00B87D07" w:rsidRDefault="002341C3" w:rsidP="00685D96">
      <w:pPr>
        <w:pStyle w:val="podpisi"/>
        <w:rPr>
          <w:lang w:val="sl-SI"/>
        </w:rPr>
      </w:pPr>
    </w:p>
    <w:p w14:paraId="3A144546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7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8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9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A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B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C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D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E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4F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50" w14:textId="77777777" w:rsidR="00E028C8" w:rsidRDefault="00E028C8" w:rsidP="00685D96">
      <w:pPr>
        <w:pStyle w:val="podpisi"/>
        <w:rPr>
          <w:lang w:val="sl-SI"/>
        </w:rPr>
      </w:pPr>
    </w:p>
    <w:p w14:paraId="3A144551" w14:textId="77777777" w:rsidR="00327704" w:rsidRDefault="00327704" w:rsidP="00685D96">
      <w:pPr>
        <w:pStyle w:val="podpisi"/>
        <w:rPr>
          <w:lang w:val="sl-SI"/>
        </w:rPr>
      </w:pPr>
    </w:p>
    <w:p w14:paraId="3A144552" w14:textId="77777777" w:rsidR="00327704" w:rsidRDefault="00327704" w:rsidP="00685D96">
      <w:pPr>
        <w:pStyle w:val="podpisi"/>
        <w:rPr>
          <w:lang w:val="sl-SI"/>
        </w:rPr>
      </w:pPr>
    </w:p>
    <w:p w14:paraId="3A144553" w14:textId="77777777" w:rsidR="00327704" w:rsidRDefault="00327704" w:rsidP="00685D96">
      <w:pPr>
        <w:pStyle w:val="podpisi"/>
        <w:rPr>
          <w:lang w:val="sl-SI"/>
        </w:rPr>
      </w:pPr>
    </w:p>
    <w:p w14:paraId="3A144554" w14:textId="77777777" w:rsidR="00327704" w:rsidRDefault="00327704" w:rsidP="00685D96">
      <w:pPr>
        <w:pStyle w:val="podpisi"/>
        <w:rPr>
          <w:lang w:val="sl-SI"/>
        </w:rPr>
      </w:pPr>
    </w:p>
    <w:p w14:paraId="3A144555" w14:textId="77777777" w:rsidR="00327704" w:rsidRDefault="00327704" w:rsidP="00685D96">
      <w:pPr>
        <w:pStyle w:val="podpisi"/>
        <w:rPr>
          <w:lang w:val="sl-SI"/>
        </w:rPr>
      </w:pPr>
    </w:p>
    <w:p w14:paraId="3A144556" w14:textId="77777777" w:rsidR="00327704" w:rsidRDefault="00327704" w:rsidP="00685D96">
      <w:pPr>
        <w:pStyle w:val="podpisi"/>
        <w:rPr>
          <w:lang w:val="sl-SI"/>
        </w:rPr>
      </w:pPr>
    </w:p>
    <w:p w14:paraId="3A144557" w14:textId="77777777" w:rsidR="00327704" w:rsidRPr="00B87D07" w:rsidRDefault="00327704" w:rsidP="00685D96">
      <w:pPr>
        <w:pStyle w:val="podpisi"/>
        <w:rPr>
          <w:lang w:val="sl-SI"/>
        </w:rPr>
      </w:pPr>
    </w:p>
    <w:p w14:paraId="3A144558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59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5A" w14:textId="77777777" w:rsidR="00E028C8" w:rsidRPr="00B87D07" w:rsidRDefault="00E028C8" w:rsidP="00685D96">
      <w:pPr>
        <w:pStyle w:val="podpisi"/>
        <w:rPr>
          <w:lang w:val="sl-SI"/>
        </w:rPr>
      </w:pPr>
    </w:p>
    <w:p w14:paraId="3A14455B" w14:textId="77777777" w:rsidR="00887E1E" w:rsidRPr="00B87D07" w:rsidRDefault="00887E1E" w:rsidP="00685D96">
      <w:pPr>
        <w:pStyle w:val="podpisi"/>
        <w:jc w:val="center"/>
        <w:rPr>
          <w:lang w:val="sl-SI"/>
        </w:rPr>
      </w:pPr>
    </w:p>
    <w:p w14:paraId="3A14455C" w14:textId="77777777" w:rsidR="00CA699D" w:rsidRPr="00B87D07" w:rsidRDefault="006D2AE1" w:rsidP="00685D96">
      <w:pPr>
        <w:pStyle w:val="podpisi"/>
        <w:jc w:val="center"/>
        <w:rPr>
          <w:b/>
          <w:sz w:val="28"/>
          <w:lang w:val="sl-SI"/>
        </w:rPr>
      </w:pPr>
      <w:r w:rsidRPr="00B87D07">
        <w:rPr>
          <w:b/>
          <w:sz w:val="28"/>
          <w:lang w:val="sl-SI"/>
        </w:rPr>
        <w:t>2</w:t>
      </w:r>
      <w:r w:rsidR="00E853E8" w:rsidRPr="00B87D07">
        <w:rPr>
          <w:b/>
          <w:sz w:val="28"/>
          <w:lang w:val="sl-SI"/>
        </w:rPr>
        <w:t xml:space="preserve">. izdaja, </w:t>
      </w:r>
      <w:r w:rsidR="00352374">
        <w:rPr>
          <w:b/>
          <w:sz w:val="28"/>
          <w:lang w:val="sl-SI"/>
        </w:rPr>
        <w:t>OKTOBER</w:t>
      </w:r>
      <w:r w:rsidR="00352374" w:rsidRPr="00B87D07">
        <w:rPr>
          <w:b/>
          <w:sz w:val="28"/>
          <w:lang w:val="sl-SI"/>
        </w:rPr>
        <w:t xml:space="preserve"> </w:t>
      </w:r>
      <w:r w:rsidR="00EB022E" w:rsidRPr="00B87D07">
        <w:rPr>
          <w:b/>
          <w:sz w:val="28"/>
          <w:lang w:val="sl-SI"/>
        </w:rPr>
        <w:t>2017</w:t>
      </w:r>
    </w:p>
    <w:p w14:paraId="3A14455D" w14:textId="77777777" w:rsidR="0067419E" w:rsidRPr="00B87D07" w:rsidRDefault="00CA699D" w:rsidP="00685D96">
      <w:pPr>
        <w:rPr>
          <w:b/>
          <w:sz w:val="24"/>
        </w:rPr>
      </w:pPr>
      <w:r w:rsidRPr="00B87D07">
        <w:rPr>
          <w:sz w:val="28"/>
          <w:lang w:val="it-IT"/>
        </w:rPr>
        <w:br w:type="page"/>
      </w:r>
      <w:r w:rsidR="0067419E" w:rsidRPr="00B87D07">
        <w:rPr>
          <w:b/>
          <w:sz w:val="24"/>
        </w:rPr>
        <w:lastRenderedPageBreak/>
        <w:t>Kazalo</w:t>
      </w:r>
    </w:p>
    <w:p w14:paraId="3A14455E" w14:textId="77777777" w:rsidR="0067419E" w:rsidRPr="00B87D07" w:rsidRDefault="0067419E" w:rsidP="00685D96">
      <w:pPr>
        <w:rPr>
          <w:b/>
          <w:sz w:val="24"/>
        </w:rPr>
      </w:pPr>
    </w:p>
    <w:p w14:paraId="5241C036" w14:textId="77777777" w:rsidR="00DC4738" w:rsidRDefault="003B6E20">
      <w:pPr>
        <w:pStyle w:val="Kazalovsebine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 w:rsidRPr="00B87D07">
        <w:rPr>
          <w:sz w:val="28"/>
          <w:lang w:val="en-US"/>
        </w:rPr>
        <w:fldChar w:fldCharType="begin"/>
      </w:r>
      <w:r w:rsidR="0067419E" w:rsidRPr="00B87D07">
        <w:rPr>
          <w:sz w:val="28"/>
        </w:rPr>
        <w:instrText xml:space="preserve"> TOC \h \z \t "FURS_naslov_1;1" </w:instrText>
      </w:r>
      <w:r w:rsidRPr="00B87D07">
        <w:rPr>
          <w:sz w:val="28"/>
          <w:lang w:val="en-US"/>
        </w:rPr>
        <w:fldChar w:fldCharType="separate"/>
      </w:r>
      <w:hyperlink w:anchor="_Toc534801827" w:history="1">
        <w:r w:rsidR="00DC4738" w:rsidRPr="00AE1472">
          <w:rPr>
            <w:rStyle w:val="Hiperpovezava"/>
            <w:noProof/>
          </w:rPr>
          <w:t>1.0</w:t>
        </w:r>
        <w:r w:rsidR="00DC4738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DC4738" w:rsidRPr="00AE1472">
          <w:rPr>
            <w:rStyle w:val="Hiperpovezava"/>
            <w:noProof/>
          </w:rPr>
          <w:t>VPRAŠANJA IN ODGOVORI</w:t>
        </w:r>
        <w:r w:rsidR="00DC4738">
          <w:rPr>
            <w:noProof/>
            <w:webHidden/>
          </w:rPr>
          <w:tab/>
        </w:r>
        <w:r w:rsidR="00DC4738">
          <w:rPr>
            <w:noProof/>
            <w:webHidden/>
          </w:rPr>
          <w:fldChar w:fldCharType="begin"/>
        </w:r>
        <w:r w:rsidR="00DC4738">
          <w:rPr>
            <w:noProof/>
            <w:webHidden/>
          </w:rPr>
          <w:instrText xml:space="preserve"> PAGEREF _Toc534801827 \h </w:instrText>
        </w:r>
        <w:r w:rsidR="00DC4738">
          <w:rPr>
            <w:noProof/>
            <w:webHidden/>
          </w:rPr>
        </w:r>
        <w:r w:rsidR="00DC4738">
          <w:rPr>
            <w:noProof/>
            <w:webHidden/>
          </w:rPr>
          <w:fldChar w:fldCharType="separate"/>
        </w:r>
        <w:r w:rsidR="00DC4738">
          <w:rPr>
            <w:noProof/>
            <w:webHidden/>
          </w:rPr>
          <w:t>2</w:t>
        </w:r>
        <w:r w:rsidR="00DC4738">
          <w:rPr>
            <w:noProof/>
            <w:webHidden/>
          </w:rPr>
          <w:fldChar w:fldCharType="end"/>
        </w:r>
      </w:hyperlink>
    </w:p>
    <w:p w14:paraId="3A14456C" w14:textId="77777777" w:rsidR="003E64B8" w:rsidRPr="00B87D07" w:rsidRDefault="003B6E20" w:rsidP="00685D96">
      <w:pPr>
        <w:pStyle w:val="FURSnaslov1"/>
        <w:jc w:val="both"/>
      </w:pPr>
      <w:r w:rsidRPr="00B87D07">
        <w:fldChar w:fldCharType="end"/>
      </w:r>
    </w:p>
    <w:p w14:paraId="3A14456D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6E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6F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0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1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2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3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4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5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6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7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8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9" w14:textId="77777777" w:rsidR="008D7B77" w:rsidRDefault="008D7B77" w:rsidP="00685D96">
      <w:pPr>
        <w:jc w:val="both"/>
        <w:outlineLvl w:val="1"/>
        <w:rPr>
          <w:sz w:val="16"/>
          <w:szCs w:val="16"/>
        </w:rPr>
      </w:pPr>
    </w:p>
    <w:p w14:paraId="3F77A744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150B7F63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7522B7E7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4FF608EF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2CC1A7F2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1C54B0B4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780BAF4C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7350E281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010E5E49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1F43CDE5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073E8697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04BDF6E9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06B5EC47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0C360E4A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10CEE857" w14:textId="77777777" w:rsidR="00DC4738" w:rsidRDefault="00DC4738" w:rsidP="00685D96">
      <w:pPr>
        <w:jc w:val="both"/>
        <w:outlineLvl w:val="1"/>
        <w:rPr>
          <w:sz w:val="16"/>
          <w:szCs w:val="16"/>
        </w:rPr>
      </w:pPr>
    </w:p>
    <w:p w14:paraId="6CB41D51" w14:textId="77777777" w:rsidR="00DC4738" w:rsidRPr="00B87D07" w:rsidRDefault="00DC4738" w:rsidP="00685D96">
      <w:pPr>
        <w:jc w:val="both"/>
        <w:outlineLvl w:val="1"/>
        <w:rPr>
          <w:sz w:val="16"/>
          <w:szCs w:val="16"/>
        </w:rPr>
      </w:pPr>
    </w:p>
    <w:p w14:paraId="3A14457A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B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C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D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E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7F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0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1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2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3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4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5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6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7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8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9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A" w14:textId="77777777" w:rsidR="008D7B77" w:rsidRPr="00B87D07" w:rsidRDefault="008D7B77" w:rsidP="00685D96">
      <w:pPr>
        <w:jc w:val="both"/>
        <w:outlineLvl w:val="1"/>
        <w:rPr>
          <w:sz w:val="16"/>
          <w:szCs w:val="16"/>
        </w:rPr>
      </w:pPr>
    </w:p>
    <w:p w14:paraId="3A14458B" w14:textId="77777777" w:rsidR="003E64B8" w:rsidRPr="00B87D07" w:rsidRDefault="00FE10A4" w:rsidP="00685D96">
      <w:pPr>
        <w:jc w:val="both"/>
        <w:outlineLvl w:val="1"/>
        <w:rPr>
          <w:sz w:val="16"/>
          <w:szCs w:val="16"/>
        </w:rPr>
      </w:pPr>
      <w:r w:rsidRPr="00B87D07">
        <w:rPr>
          <w:sz w:val="16"/>
          <w:szCs w:val="16"/>
        </w:rPr>
        <w:t>I</w:t>
      </w:r>
      <w:r w:rsidR="003E64B8" w:rsidRPr="00B87D07">
        <w:rPr>
          <w:sz w:val="16"/>
          <w:szCs w:val="16"/>
        </w:rPr>
        <w:t>zjava o omejitvi odgovornosti:</w:t>
      </w:r>
    </w:p>
    <w:p w14:paraId="3A14458C" w14:textId="77777777" w:rsidR="003E64B8" w:rsidRPr="00B87D07" w:rsidRDefault="003E64B8" w:rsidP="00685D96">
      <w:pPr>
        <w:jc w:val="both"/>
      </w:pPr>
      <w:r w:rsidRPr="00B87D07">
        <w:rPr>
          <w:sz w:val="16"/>
          <w:szCs w:val="16"/>
        </w:rPr>
        <w:lastRenderedPageBreak/>
        <w:t>Pojasnila</w:t>
      </w:r>
      <w:r w:rsidR="00B8404F" w:rsidRPr="00B87D07">
        <w:rPr>
          <w:sz w:val="16"/>
          <w:szCs w:val="16"/>
        </w:rPr>
        <w:t xml:space="preserve">, </w:t>
      </w:r>
      <w:r w:rsidRPr="00B87D07">
        <w:rPr>
          <w:sz w:val="16"/>
          <w:szCs w:val="16"/>
        </w:rPr>
        <w:t>objavljena na spletni strani</w:t>
      </w:r>
      <w:r w:rsidR="008D7B77" w:rsidRPr="00B87D07">
        <w:rPr>
          <w:sz w:val="16"/>
          <w:szCs w:val="16"/>
        </w:rPr>
        <w:t xml:space="preserve"> so namenjena lažjemu razumevanju glede </w:t>
      </w:r>
      <w:r w:rsidR="00FE10A4" w:rsidRPr="00B87D07">
        <w:rPr>
          <w:sz w:val="16"/>
          <w:szCs w:val="16"/>
        </w:rPr>
        <w:t xml:space="preserve">obveznosti </w:t>
      </w:r>
      <w:r w:rsidR="008D7B77" w:rsidRPr="00B87D07">
        <w:rPr>
          <w:sz w:val="16"/>
          <w:szCs w:val="16"/>
        </w:rPr>
        <w:t>poročanja in izmenjave poročil po državah in niso pravno zavezujoča.</w:t>
      </w:r>
    </w:p>
    <w:p w14:paraId="6A32A4DC" w14:textId="6963B33C" w:rsidR="00DC4738" w:rsidRDefault="00DC4738" w:rsidP="00DC4738">
      <w:pPr>
        <w:pStyle w:val="FURSnaslov1"/>
        <w:numPr>
          <w:ilvl w:val="0"/>
          <w:numId w:val="46"/>
        </w:numPr>
      </w:pPr>
      <w:bookmarkStart w:id="0" w:name="_Toc534801827"/>
      <w:r w:rsidRPr="00DC4738">
        <w:t>VPRAŠANJA I</w:t>
      </w:r>
      <w:bookmarkStart w:id="1" w:name="_GoBack"/>
      <w:bookmarkEnd w:id="1"/>
      <w:r w:rsidRPr="00DC4738">
        <w:t>N ODGOVORI</w:t>
      </w:r>
      <w:bookmarkStart w:id="2" w:name="_Toc405981583"/>
      <w:bookmarkStart w:id="3" w:name="_Toc405981697"/>
      <w:bookmarkStart w:id="4" w:name="_Toc405981698"/>
      <w:bookmarkEnd w:id="0"/>
    </w:p>
    <w:p w14:paraId="49FF6470" w14:textId="77777777" w:rsidR="00DC4738" w:rsidRDefault="00DC4738" w:rsidP="00DC4738">
      <w:pPr>
        <w:pStyle w:val="FURSnaslov1"/>
      </w:pPr>
    </w:p>
    <w:p w14:paraId="65BD080F" w14:textId="77777777" w:rsidR="00DC4738" w:rsidRDefault="00DC4738" w:rsidP="00DC4738">
      <w:pPr>
        <w:pStyle w:val="FURSnaslov1"/>
      </w:pPr>
    </w:p>
    <w:p w14:paraId="3A14458D" w14:textId="33EB6A8F" w:rsidR="00665D00" w:rsidRPr="00DC4738" w:rsidRDefault="00E43A5F" w:rsidP="00DC4738">
      <w:pPr>
        <w:pStyle w:val="Brezrazmikov"/>
        <w:rPr>
          <w:lang w:val="it-IT"/>
        </w:rPr>
      </w:pPr>
      <w:r w:rsidRPr="00B87D07">
        <w:t>Vprašanje 1:</w:t>
      </w:r>
      <w:r w:rsidR="00C6643F" w:rsidRPr="00B87D07">
        <w:t xml:space="preserve"> </w:t>
      </w:r>
      <w:r w:rsidR="004A64D9" w:rsidRPr="00B87D07">
        <w:t xml:space="preserve">Kaj je </w:t>
      </w:r>
      <w:r w:rsidR="00B3794B" w:rsidRPr="00B87D07">
        <w:t>poročanje po državah</w:t>
      </w:r>
      <w:r w:rsidR="003E379A" w:rsidRPr="00B87D07">
        <w:t xml:space="preserve"> </w:t>
      </w:r>
      <w:r w:rsidR="004A64D9" w:rsidRPr="00B87D07">
        <w:t>in koga zadeva</w:t>
      </w:r>
      <w:r w:rsidR="00ED11F6" w:rsidRPr="00B87D07">
        <w:t>?</w:t>
      </w:r>
      <w:r w:rsidR="00231058" w:rsidRPr="00B87D07">
        <w:t xml:space="preserve"> </w:t>
      </w:r>
      <w:bookmarkEnd w:id="2"/>
      <w:bookmarkEnd w:id="3"/>
      <w:bookmarkEnd w:id="4"/>
    </w:p>
    <w:p w14:paraId="3A14458E" w14:textId="77777777" w:rsidR="00665D00" w:rsidRPr="00B87D07" w:rsidRDefault="00665D00" w:rsidP="00685D96">
      <w:pPr>
        <w:jc w:val="both"/>
        <w:rPr>
          <w:b/>
          <w:sz w:val="24"/>
        </w:rPr>
      </w:pPr>
    </w:p>
    <w:p w14:paraId="3A14458F" w14:textId="77777777" w:rsidR="001914B2" w:rsidRPr="008025A1" w:rsidRDefault="001914B2" w:rsidP="00685D96">
      <w:pPr>
        <w:jc w:val="both"/>
        <w:rPr>
          <w:rFonts w:cs="Arial"/>
          <w:szCs w:val="20"/>
        </w:rPr>
      </w:pPr>
      <w:r w:rsidRPr="00B87D07">
        <w:rPr>
          <w:szCs w:val="20"/>
        </w:rPr>
        <w:t>Poročanje po državah (</w:t>
      </w:r>
      <w:proofErr w:type="spellStart"/>
      <w:r w:rsidRPr="00B87D07">
        <w:rPr>
          <w:i/>
          <w:szCs w:val="20"/>
        </w:rPr>
        <w:t>Country-by-country</w:t>
      </w:r>
      <w:proofErr w:type="spellEnd"/>
      <w:r w:rsidRPr="00B87D07">
        <w:rPr>
          <w:i/>
          <w:szCs w:val="20"/>
        </w:rPr>
        <w:t xml:space="preserve"> </w:t>
      </w:r>
      <w:proofErr w:type="spellStart"/>
      <w:r w:rsidRPr="00B87D07">
        <w:rPr>
          <w:i/>
          <w:szCs w:val="20"/>
        </w:rPr>
        <w:t>Reporting</w:t>
      </w:r>
      <w:proofErr w:type="spellEnd"/>
      <w:r w:rsidRPr="00B87D07">
        <w:rPr>
          <w:i/>
          <w:szCs w:val="20"/>
        </w:rPr>
        <w:t xml:space="preserve">, </w:t>
      </w:r>
      <w:proofErr w:type="spellStart"/>
      <w:r w:rsidRPr="00B87D07">
        <w:rPr>
          <w:szCs w:val="20"/>
        </w:rPr>
        <w:t>CbC</w:t>
      </w:r>
      <w:proofErr w:type="spellEnd"/>
      <w:r w:rsidRPr="00B87D07">
        <w:rPr>
          <w:szCs w:val="20"/>
        </w:rPr>
        <w:t xml:space="preserve">) je del </w:t>
      </w:r>
      <w:r w:rsidR="004A1B3E">
        <w:rPr>
          <w:szCs w:val="20"/>
        </w:rPr>
        <w:t>a</w:t>
      </w:r>
      <w:r w:rsidRPr="00B87D07">
        <w:rPr>
          <w:rFonts w:cs="Arial"/>
          <w:szCs w:val="20"/>
        </w:rPr>
        <w:t xml:space="preserve">kcijskega načrta OECD proti zmanjševanju davčne osnove in prenašanju dobička (angl. </w:t>
      </w:r>
      <w:r w:rsidRPr="00B87D07">
        <w:rPr>
          <w:rFonts w:cs="Arial"/>
          <w:i/>
          <w:szCs w:val="20"/>
        </w:rPr>
        <w:t xml:space="preserve">Base </w:t>
      </w:r>
      <w:proofErr w:type="spellStart"/>
      <w:r w:rsidRPr="00B87D07">
        <w:rPr>
          <w:rFonts w:cs="Arial"/>
          <w:i/>
          <w:szCs w:val="20"/>
        </w:rPr>
        <w:t>Erosion</w:t>
      </w:r>
      <w:proofErr w:type="spellEnd"/>
      <w:r w:rsidRPr="00B87D07">
        <w:rPr>
          <w:rFonts w:cs="Arial"/>
          <w:i/>
          <w:szCs w:val="20"/>
        </w:rPr>
        <w:t xml:space="preserve"> </w:t>
      </w:r>
      <w:proofErr w:type="spellStart"/>
      <w:r w:rsidRPr="00B87D07">
        <w:rPr>
          <w:rFonts w:cs="Arial"/>
          <w:i/>
          <w:szCs w:val="20"/>
        </w:rPr>
        <w:t>and</w:t>
      </w:r>
      <w:proofErr w:type="spellEnd"/>
      <w:r w:rsidRPr="00B87D07">
        <w:rPr>
          <w:rFonts w:cs="Arial"/>
          <w:i/>
          <w:szCs w:val="20"/>
        </w:rPr>
        <w:t xml:space="preserve"> Profit </w:t>
      </w:r>
      <w:proofErr w:type="spellStart"/>
      <w:r w:rsidRPr="00B87D07">
        <w:rPr>
          <w:rFonts w:cs="Arial"/>
          <w:i/>
          <w:szCs w:val="20"/>
        </w:rPr>
        <w:t>Shifting</w:t>
      </w:r>
      <w:proofErr w:type="spellEnd"/>
      <w:r w:rsidRPr="00B87D07">
        <w:rPr>
          <w:rFonts w:cs="Arial"/>
          <w:i/>
          <w:szCs w:val="20"/>
        </w:rPr>
        <w:t xml:space="preserve"> Project</w:t>
      </w:r>
      <w:r w:rsidRPr="00B87D07">
        <w:rPr>
          <w:rFonts w:cs="Arial"/>
          <w:szCs w:val="20"/>
        </w:rPr>
        <w:t xml:space="preserve">, BEPS). V zvezi s tem so bila </w:t>
      </w:r>
      <w:r w:rsidRPr="00B87D07">
        <w:rPr>
          <w:rFonts w:cs="Arial"/>
          <w:bCs/>
          <w:szCs w:val="20"/>
        </w:rPr>
        <w:t xml:space="preserve">2015 predstavljena in sprejeta </w:t>
      </w:r>
      <w:hyperlink r:id="rId11" w:history="1">
        <w:r w:rsidRPr="008025A1">
          <w:rPr>
            <w:rStyle w:val="Hiperpovezava"/>
            <w:rFonts w:cs="Arial"/>
            <w:bCs/>
            <w:szCs w:val="20"/>
            <w:u w:val="none"/>
          </w:rPr>
          <w:t>Končna poročila 15 ukrepov</w:t>
        </w:r>
      </w:hyperlink>
      <w:r w:rsidR="004F4C0B" w:rsidRPr="008025A1">
        <w:rPr>
          <w:rFonts w:cs="Arial"/>
          <w:bCs/>
          <w:szCs w:val="20"/>
        </w:rPr>
        <w:t>.</w:t>
      </w:r>
    </w:p>
    <w:p w14:paraId="3A144590" w14:textId="77777777" w:rsidR="001914B2" w:rsidRPr="00723AD9" w:rsidRDefault="001914B2" w:rsidP="00685D96">
      <w:pPr>
        <w:jc w:val="both"/>
        <w:rPr>
          <w:rFonts w:cs="Arial"/>
          <w:szCs w:val="20"/>
        </w:rPr>
      </w:pPr>
    </w:p>
    <w:p w14:paraId="3A144591" w14:textId="77777777" w:rsidR="001914B2" w:rsidRPr="00723AD9" w:rsidRDefault="00DC4738" w:rsidP="00685D96">
      <w:pPr>
        <w:jc w:val="both"/>
        <w:rPr>
          <w:szCs w:val="20"/>
        </w:rPr>
      </w:pPr>
      <w:hyperlink r:id="rId12" w:anchor=".WYgei1tPqUl" w:history="1">
        <w:r w:rsidR="00723AD9" w:rsidRPr="00723AD9">
          <w:rPr>
            <w:rStyle w:val="Hiperpovezava"/>
            <w:u w:val="none"/>
          </w:rPr>
          <w:t>OECD Končno poročilo o Ukrepu 13 iz leta 2015</w:t>
        </w:r>
      </w:hyperlink>
      <w:r w:rsidR="00723AD9" w:rsidRPr="00723AD9">
        <w:t xml:space="preserve"> </w:t>
      </w:r>
      <w:r w:rsidR="001914B2" w:rsidRPr="00723AD9">
        <w:rPr>
          <w:rFonts w:cs="Arial"/>
          <w:bCs/>
          <w:szCs w:val="20"/>
        </w:rPr>
        <w:t>(</w:t>
      </w:r>
      <w:r w:rsidR="001914B2" w:rsidRPr="00723AD9">
        <w:rPr>
          <w:rFonts w:cs="Arial"/>
          <w:szCs w:val="20"/>
        </w:rPr>
        <w:t>Dokumentacija o transfernih cenah in poročanje po državah)</w:t>
      </w:r>
      <w:r w:rsidR="001914B2" w:rsidRPr="00723AD9" w:rsidDel="006356AB">
        <w:rPr>
          <w:rFonts w:cs="Arial"/>
          <w:szCs w:val="20"/>
        </w:rPr>
        <w:t xml:space="preserve"> </w:t>
      </w:r>
      <w:r w:rsidR="001914B2" w:rsidRPr="00723AD9">
        <w:rPr>
          <w:rFonts w:cs="Arial"/>
          <w:bCs/>
          <w:szCs w:val="20"/>
        </w:rPr>
        <w:t xml:space="preserve">določa standardizirani </w:t>
      </w:r>
      <w:proofErr w:type="spellStart"/>
      <w:r w:rsidR="001914B2" w:rsidRPr="00723AD9">
        <w:rPr>
          <w:rFonts w:cs="Arial"/>
          <w:bCs/>
          <w:szCs w:val="20"/>
        </w:rPr>
        <w:t>trotirni</w:t>
      </w:r>
      <w:proofErr w:type="spellEnd"/>
      <w:r w:rsidR="001914B2" w:rsidRPr="00723AD9">
        <w:rPr>
          <w:rFonts w:cs="Arial"/>
          <w:bCs/>
          <w:szCs w:val="20"/>
        </w:rPr>
        <w:t xml:space="preserve"> pristop sestavljen iz </w:t>
      </w:r>
      <w:r w:rsidR="004D6BCE" w:rsidRPr="00723AD9">
        <w:rPr>
          <w:rFonts w:cs="Arial"/>
          <w:bCs/>
          <w:szCs w:val="20"/>
        </w:rPr>
        <w:t xml:space="preserve">poročila po državah (v nadaljevanju </w:t>
      </w:r>
      <w:r w:rsidR="001914B2" w:rsidRPr="00723AD9">
        <w:rPr>
          <w:rFonts w:cs="Arial"/>
          <w:szCs w:val="20"/>
        </w:rPr>
        <w:t>CbC poročil</w:t>
      </w:r>
      <w:r w:rsidR="00296FC9" w:rsidRPr="00723AD9">
        <w:rPr>
          <w:rFonts w:cs="Arial"/>
          <w:szCs w:val="20"/>
        </w:rPr>
        <w:t>o</w:t>
      </w:r>
      <w:r w:rsidR="004D6BCE" w:rsidRPr="00723AD9">
        <w:rPr>
          <w:rFonts w:cs="Arial"/>
          <w:szCs w:val="20"/>
        </w:rPr>
        <w:t>)</w:t>
      </w:r>
      <w:r w:rsidR="001914B2" w:rsidRPr="00723AD9">
        <w:rPr>
          <w:rFonts w:cs="Arial"/>
          <w:szCs w:val="20"/>
        </w:rPr>
        <w:t>, splošne dokumentacije (»</w:t>
      </w:r>
      <w:proofErr w:type="spellStart"/>
      <w:r w:rsidR="001914B2" w:rsidRPr="00723AD9">
        <w:rPr>
          <w:rFonts w:cs="Arial"/>
          <w:szCs w:val="20"/>
        </w:rPr>
        <w:t>master</w:t>
      </w:r>
      <w:proofErr w:type="spellEnd"/>
      <w:r w:rsidR="001914B2" w:rsidRPr="00723AD9">
        <w:rPr>
          <w:rFonts w:cs="Arial"/>
          <w:szCs w:val="20"/>
        </w:rPr>
        <w:t xml:space="preserve"> file«) in posebne dokumentacije (»</w:t>
      </w:r>
      <w:proofErr w:type="spellStart"/>
      <w:r w:rsidR="001914B2" w:rsidRPr="00723AD9">
        <w:rPr>
          <w:rFonts w:cs="Arial"/>
          <w:szCs w:val="20"/>
        </w:rPr>
        <w:t>local</w:t>
      </w:r>
      <w:proofErr w:type="spellEnd"/>
      <w:r w:rsidR="001914B2" w:rsidRPr="00723AD9">
        <w:rPr>
          <w:rFonts w:cs="Arial"/>
          <w:szCs w:val="20"/>
        </w:rPr>
        <w:t xml:space="preserve"> file«), ki bo davčnim upravam zagotovil ustrezne in zanesljive informacije za opravljanje učinkovite in temeljite analize ocene tveganj, povezanih z določanjem transfernih cen. </w:t>
      </w:r>
    </w:p>
    <w:p w14:paraId="3A144592" w14:textId="77777777" w:rsidR="001914B2" w:rsidRPr="00B87D07" w:rsidRDefault="001914B2" w:rsidP="00685D96">
      <w:pPr>
        <w:jc w:val="both"/>
        <w:rPr>
          <w:rFonts w:cs="Arial"/>
          <w:szCs w:val="20"/>
        </w:rPr>
      </w:pPr>
    </w:p>
    <w:p w14:paraId="3A144593" w14:textId="77777777" w:rsidR="001914B2" w:rsidRPr="00B87D07" w:rsidRDefault="001914B2" w:rsidP="00685D96">
      <w:pPr>
        <w:jc w:val="both"/>
        <w:rPr>
          <w:rFonts w:cs="Arial"/>
          <w:szCs w:val="20"/>
        </w:rPr>
      </w:pPr>
      <w:r w:rsidRPr="00B87D07">
        <w:rPr>
          <w:rFonts w:cs="Arial"/>
          <w:szCs w:val="20"/>
        </w:rPr>
        <w:t xml:space="preserve">Januarja 2016 je Evropska komisija CbC poročilo vključila v </w:t>
      </w:r>
      <w:r w:rsidRPr="00913370">
        <w:rPr>
          <w:rFonts w:cs="Arial"/>
          <w:szCs w:val="20"/>
        </w:rPr>
        <w:t>Direktivo Sveta EU 2016/881 o spremembi Direktive 2011/16 EU glede obvezne avtomatične izmenjave podatkov na področju obdavčevanja (</w:t>
      </w:r>
      <w:r w:rsidR="00FB762B" w:rsidRPr="00913370">
        <w:rPr>
          <w:rFonts w:cs="Arial"/>
          <w:szCs w:val="20"/>
        </w:rPr>
        <w:t xml:space="preserve">v nadaljevanju </w:t>
      </w:r>
      <w:hyperlink r:id="rId13" w:history="1">
        <w:r w:rsidRPr="00913370">
          <w:rPr>
            <w:rStyle w:val="Hiperpovezava"/>
            <w:rFonts w:cs="Arial"/>
            <w:szCs w:val="20"/>
            <w:u w:val="none"/>
          </w:rPr>
          <w:t>DAC4</w:t>
        </w:r>
      </w:hyperlink>
      <w:r w:rsidRPr="00913370">
        <w:rPr>
          <w:rFonts w:cs="Arial"/>
          <w:szCs w:val="20"/>
        </w:rPr>
        <w:t>)</w:t>
      </w:r>
      <w:r w:rsidRPr="00B87D07">
        <w:rPr>
          <w:rFonts w:cs="Arial"/>
          <w:szCs w:val="20"/>
        </w:rPr>
        <w:t>, kot del paketa predlogov proti izogibanju davkov (</w:t>
      </w:r>
      <w:r w:rsidR="00CC18C6" w:rsidRPr="00B87D07">
        <w:rPr>
          <w:rFonts w:cs="Arial"/>
          <w:szCs w:val="20"/>
        </w:rPr>
        <w:t xml:space="preserve">angl. </w:t>
      </w:r>
      <w:proofErr w:type="spellStart"/>
      <w:r w:rsidRPr="000C2715">
        <w:rPr>
          <w:rFonts w:cs="Arial"/>
          <w:i/>
          <w:szCs w:val="20"/>
        </w:rPr>
        <w:t>Anti-Tax</w:t>
      </w:r>
      <w:proofErr w:type="spellEnd"/>
      <w:r w:rsidRPr="000C2715">
        <w:rPr>
          <w:rFonts w:cs="Arial"/>
          <w:i/>
          <w:szCs w:val="20"/>
        </w:rPr>
        <w:t xml:space="preserve"> </w:t>
      </w:r>
      <w:proofErr w:type="spellStart"/>
      <w:r w:rsidRPr="000C2715">
        <w:rPr>
          <w:rFonts w:cs="Arial"/>
          <w:i/>
          <w:szCs w:val="20"/>
        </w:rPr>
        <w:t>Avoidance</w:t>
      </w:r>
      <w:proofErr w:type="spellEnd"/>
      <w:r w:rsidRPr="000C2715">
        <w:rPr>
          <w:rFonts w:cs="Arial"/>
          <w:i/>
          <w:szCs w:val="20"/>
        </w:rPr>
        <w:t xml:space="preserve"> </w:t>
      </w:r>
      <w:proofErr w:type="spellStart"/>
      <w:r w:rsidRPr="000C2715">
        <w:rPr>
          <w:rFonts w:cs="Arial"/>
          <w:i/>
          <w:szCs w:val="20"/>
        </w:rPr>
        <w:t>Package</w:t>
      </w:r>
      <w:proofErr w:type="spellEnd"/>
      <w:r w:rsidRPr="00B87D07">
        <w:rPr>
          <w:rFonts w:cs="Arial"/>
          <w:szCs w:val="20"/>
        </w:rPr>
        <w:t>). Paket proti izogibanju davkov temelji na zaključkih Sveta EU iz decembra 2014, ki so predvideli usmerjanje naporov v boj proti davčnemu izogibanju in agresivnemu davčnemu načrtovanju na globalni in EU ravni.</w:t>
      </w:r>
    </w:p>
    <w:p w14:paraId="3A144594" w14:textId="77777777" w:rsidR="001914B2" w:rsidRPr="00B87D07" w:rsidRDefault="001914B2" w:rsidP="00685D96">
      <w:pPr>
        <w:jc w:val="both"/>
        <w:rPr>
          <w:szCs w:val="20"/>
        </w:rPr>
      </w:pPr>
    </w:p>
    <w:p w14:paraId="3A144595" w14:textId="77777777" w:rsidR="001914B2" w:rsidRPr="00682566" w:rsidRDefault="001914B2" w:rsidP="00685D96">
      <w:pPr>
        <w:jc w:val="both"/>
        <w:rPr>
          <w:szCs w:val="20"/>
        </w:rPr>
      </w:pPr>
      <w:r w:rsidRPr="00682566">
        <w:rPr>
          <w:szCs w:val="20"/>
        </w:rPr>
        <w:t xml:space="preserve">CbC poročanje zadeva mednarodne skupine podjetij, </w:t>
      </w:r>
      <w:r w:rsidR="00682566" w:rsidRPr="00682566">
        <w:t>kater</w:t>
      </w:r>
      <w:r w:rsidR="00FE4CB4">
        <w:t>ih</w:t>
      </w:r>
      <w:r w:rsidR="00682566" w:rsidRPr="00682566">
        <w:t xml:space="preserve"> letni konsolidirani prihodek </w:t>
      </w:r>
      <w:r w:rsidR="001D69B4">
        <w:t xml:space="preserve">je </w:t>
      </w:r>
      <w:r w:rsidR="00682566" w:rsidRPr="00682566">
        <w:t>v poslovnem letu, ki je neposredno pred poslovnim letom poročanja</w:t>
      </w:r>
      <w:r w:rsidR="001653EE">
        <w:t>,</w:t>
      </w:r>
      <w:r w:rsidR="00D34EF9">
        <w:t xml:space="preserve"> kot je razvidno iz njihovih</w:t>
      </w:r>
      <w:r w:rsidR="00682566" w:rsidRPr="00682566">
        <w:t xml:space="preserve"> konsolidiranih računovodskih izkazov za to predhodno poslovno leto</w:t>
      </w:r>
      <w:r w:rsidR="000A4CF2">
        <w:t>,</w:t>
      </w:r>
      <w:r w:rsidR="00682566" w:rsidRPr="00682566">
        <w:t xml:space="preserve"> </w:t>
      </w:r>
      <w:r w:rsidR="00BD0FDD" w:rsidRPr="00682566">
        <w:rPr>
          <w:rFonts w:cs="Arial"/>
          <w:szCs w:val="20"/>
        </w:rPr>
        <w:t>750 ali več mio EUR</w:t>
      </w:r>
      <w:r w:rsidR="00EF4701">
        <w:rPr>
          <w:rFonts w:cs="Arial"/>
          <w:szCs w:val="20"/>
        </w:rPr>
        <w:t>,</w:t>
      </w:r>
      <w:r w:rsidR="00BD0FDD" w:rsidRPr="00682566">
        <w:rPr>
          <w:rFonts w:cs="Arial"/>
          <w:szCs w:val="20"/>
        </w:rPr>
        <w:t xml:space="preserve"> ali od zneska v lokalni valuti, ki je pri</w:t>
      </w:r>
      <w:r w:rsidR="00EF4701">
        <w:rPr>
          <w:rFonts w:cs="Arial"/>
          <w:szCs w:val="20"/>
        </w:rPr>
        <w:t>bližno enakovreden 750 mio EUR v skladu s preračunom</w:t>
      </w:r>
      <w:r w:rsidR="00D34EF9">
        <w:rPr>
          <w:rFonts w:cs="Arial"/>
          <w:szCs w:val="20"/>
        </w:rPr>
        <w:t xml:space="preserve"> v mesecu</w:t>
      </w:r>
      <w:r w:rsidR="00BD0FDD" w:rsidRPr="00682566">
        <w:rPr>
          <w:rFonts w:cs="Arial"/>
          <w:szCs w:val="20"/>
        </w:rPr>
        <w:t xml:space="preserve"> januarj</w:t>
      </w:r>
      <w:r w:rsidR="00D34EF9">
        <w:rPr>
          <w:rFonts w:cs="Arial"/>
          <w:szCs w:val="20"/>
        </w:rPr>
        <w:t>u</w:t>
      </w:r>
      <w:r w:rsidR="00A50F6A">
        <w:rPr>
          <w:rFonts w:cs="Arial"/>
          <w:szCs w:val="20"/>
        </w:rPr>
        <w:t xml:space="preserve"> 2015</w:t>
      </w:r>
      <w:r w:rsidR="00BD0FDD" w:rsidRPr="00682566">
        <w:rPr>
          <w:rFonts w:cs="Arial"/>
          <w:szCs w:val="20"/>
        </w:rPr>
        <w:t>.</w:t>
      </w:r>
      <w:r w:rsidR="00C41D4E">
        <w:rPr>
          <w:rFonts w:cs="Arial"/>
          <w:szCs w:val="20"/>
        </w:rPr>
        <w:t xml:space="preserve"> </w:t>
      </w:r>
      <w:r w:rsidR="00C41D4E" w:rsidRPr="001B090C">
        <w:t xml:space="preserve">V skladu z </w:t>
      </w:r>
      <w:hyperlink r:id="rId14" w:history="1">
        <w:r w:rsidR="0089245C" w:rsidRPr="00062112">
          <w:rPr>
            <w:rStyle w:val="Hiperpovezava"/>
            <w:u w:val="none"/>
          </w:rPr>
          <w:t>OECD smernicam</w:t>
        </w:r>
        <w:r w:rsidR="00651D31">
          <w:rPr>
            <w:rStyle w:val="Hiperpovezava"/>
            <w:u w:val="none"/>
          </w:rPr>
          <w:t>i</w:t>
        </w:r>
        <w:r w:rsidR="0089245C" w:rsidRPr="00062112">
          <w:rPr>
            <w:rStyle w:val="Hiperpovezava"/>
            <w:u w:val="none"/>
          </w:rPr>
          <w:t xml:space="preserve"> glede implementacije poročanja po državah (angl. </w:t>
        </w:r>
        <w:r w:rsidR="0089245C" w:rsidRPr="00062112">
          <w:rPr>
            <w:rStyle w:val="Hiperpovezava"/>
            <w:i/>
            <w:u w:val="none"/>
            <w:lang w:val="en-GB"/>
          </w:rPr>
          <w:t>Guidance on the Implementation of Country-by-Country Reporting</w:t>
        </w:r>
        <w:r w:rsidR="0089245C" w:rsidRPr="00062112">
          <w:rPr>
            <w:rStyle w:val="Hiperpovezava"/>
            <w:u w:val="none"/>
            <w:lang w:val="en-GB"/>
          </w:rPr>
          <w:t>)</w:t>
        </w:r>
      </w:hyperlink>
      <w:r w:rsidR="00C41D4E" w:rsidRPr="00542384">
        <w:t xml:space="preserve"> </w:t>
      </w:r>
      <w:r w:rsidR="00C41D4E">
        <w:t xml:space="preserve">se </w:t>
      </w:r>
      <w:r w:rsidR="00C41D4E" w:rsidRPr="008F3353">
        <w:t xml:space="preserve">preračun </w:t>
      </w:r>
      <w:r w:rsidR="00C41D4E">
        <w:t xml:space="preserve">zneska 750 mio EUR </w:t>
      </w:r>
      <w:r w:rsidR="00C41D4E" w:rsidRPr="008F3353">
        <w:t>iz lokalne valute opravi</w:t>
      </w:r>
      <w:r w:rsidR="00C41D4E">
        <w:t xml:space="preserve"> v</w:t>
      </w:r>
      <w:r w:rsidR="00C41D4E" w:rsidRPr="00A525FE">
        <w:t xml:space="preserve"> jurisdikcij</w:t>
      </w:r>
      <w:r w:rsidR="00C41D4E">
        <w:t>i</w:t>
      </w:r>
      <w:r w:rsidR="00C41D4E" w:rsidRPr="00A525FE">
        <w:t xml:space="preserve"> krovnega matičnega podjetja</w:t>
      </w:r>
      <w:r w:rsidR="00EF4701">
        <w:t>.</w:t>
      </w:r>
    </w:p>
    <w:p w14:paraId="3A144596" w14:textId="77777777" w:rsidR="008701FC" w:rsidRPr="00682566" w:rsidRDefault="008701FC" w:rsidP="00685D96">
      <w:pPr>
        <w:jc w:val="both"/>
        <w:rPr>
          <w:color w:val="FF0000"/>
          <w:szCs w:val="20"/>
        </w:rPr>
      </w:pPr>
    </w:p>
    <w:p w14:paraId="3A144597" w14:textId="77777777" w:rsidR="00DF4C96" w:rsidRPr="00B87D07" w:rsidRDefault="00DF4C96" w:rsidP="00685D96">
      <w:pPr>
        <w:jc w:val="both"/>
        <w:rPr>
          <w:szCs w:val="20"/>
        </w:rPr>
      </w:pPr>
    </w:p>
    <w:p w14:paraId="3A144598" w14:textId="77777777" w:rsidR="00EF4E39" w:rsidRPr="00B87D07" w:rsidRDefault="00477B64" w:rsidP="00DC4738">
      <w:pPr>
        <w:pStyle w:val="Brezrazmikov"/>
        <w:jc w:val="both"/>
      </w:pPr>
      <w:r w:rsidRPr="00B87D07">
        <w:t xml:space="preserve">Vprašanje 2: Katere so mednarodne pravne podlage </w:t>
      </w:r>
      <w:r w:rsidR="00D44043" w:rsidRPr="00B87D07">
        <w:t>za</w:t>
      </w:r>
      <w:r w:rsidRPr="00B87D07">
        <w:t xml:space="preserve"> </w:t>
      </w:r>
      <w:r w:rsidR="00D44043" w:rsidRPr="00B87D07">
        <w:t xml:space="preserve">avtomatično </w:t>
      </w:r>
      <w:r w:rsidRPr="00B87D07">
        <w:t>izmenjavo CbC?</w:t>
      </w:r>
    </w:p>
    <w:p w14:paraId="3A144599" w14:textId="77777777" w:rsidR="00477B64" w:rsidRPr="00B87D07" w:rsidRDefault="00477B64" w:rsidP="00685D96">
      <w:pPr>
        <w:jc w:val="both"/>
        <w:rPr>
          <w:szCs w:val="20"/>
        </w:rPr>
      </w:pPr>
    </w:p>
    <w:p w14:paraId="3A14459A" w14:textId="77777777" w:rsidR="00986AAB" w:rsidRPr="00B87D07" w:rsidRDefault="00986AAB" w:rsidP="00685D96">
      <w:pPr>
        <w:pStyle w:val="podpisi"/>
        <w:jc w:val="both"/>
        <w:rPr>
          <w:rFonts w:cs="Arial"/>
          <w:szCs w:val="20"/>
          <w:lang w:val="sl-SI"/>
        </w:rPr>
      </w:pPr>
      <w:r w:rsidRPr="00B87D07">
        <w:rPr>
          <w:rFonts w:cs="Arial"/>
          <w:szCs w:val="20"/>
          <w:lang w:val="sl-SI"/>
        </w:rPr>
        <w:t>Av</w:t>
      </w:r>
      <w:r w:rsidR="006C6E0D">
        <w:rPr>
          <w:rFonts w:cs="Arial"/>
          <w:szCs w:val="20"/>
          <w:lang w:val="sl-SI"/>
        </w:rPr>
        <w:t>tomatična izmenjava CbC poročil</w:t>
      </w:r>
      <w:r w:rsidRPr="00B87D07">
        <w:rPr>
          <w:rFonts w:cs="Arial"/>
          <w:szCs w:val="20"/>
          <w:lang w:val="sl-SI"/>
        </w:rPr>
        <w:t xml:space="preserve"> je določena </w:t>
      </w:r>
      <w:r w:rsidRPr="00C51378">
        <w:rPr>
          <w:rFonts w:cs="Arial"/>
          <w:szCs w:val="20"/>
          <w:lang w:val="sl-SI"/>
        </w:rPr>
        <w:t xml:space="preserve">s </w:t>
      </w:r>
      <w:hyperlink r:id="rId15" w:history="1">
        <w:r w:rsidRPr="00C51378">
          <w:rPr>
            <w:rStyle w:val="Hiperpovezava"/>
            <w:rFonts w:cs="Arial"/>
            <w:szCs w:val="20"/>
            <w:u w:val="none"/>
            <w:lang w:val="sl-SI"/>
          </w:rPr>
          <w:t>Večstranskim sporazumom med pristojnimi organi o izmenjavi poročil po državah</w:t>
        </w:r>
      </w:hyperlink>
      <w:r w:rsidRPr="00B87D07">
        <w:rPr>
          <w:rFonts w:cs="Arial"/>
          <w:szCs w:val="20"/>
          <w:lang w:val="sl-SI"/>
        </w:rPr>
        <w:t xml:space="preserve"> (</w:t>
      </w:r>
      <w:r w:rsidR="00E36845" w:rsidRPr="00B87D07">
        <w:rPr>
          <w:rFonts w:cs="Arial"/>
          <w:szCs w:val="20"/>
          <w:lang w:val="sl-SI"/>
        </w:rPr>
        <w:t xml:space="preserve">v nadaljevanju </w:t>
      </w:r>
      <w:r w:rsidR="0056677B" w:rsidRPr="00B87D07">
        <w:rPr>
          <w:rFonts w:cs="Arial"/>
          <w:szCs w:val="20"/>
          <w:lang w:val="sl-SI"/>
        </w:rPr>
        <w:t>S</w:t>
      </w:r>
      <w:r w:rsidR="002C6DF9" w:rsidRPr="00B87D07">
        <w:rPr>
          <w:rFonts w:cs="Arial"/>
          <w:szCs w:val="20"/>
          <w:lang w:val="sl-SI"/>
        </w:rPr>
        <w:t>porazum</w:t>
      </w:r>
      <w:r w:rsidR="0056677B" w:rsidRPr="00B87D07">
        <w:rPr>
          <w:rFonts w:cs="Arial"/>
          <w:szCs w:val="20"/>
          <w:lang w:val="sl-SI"/>
        </w:rPr>
        <w:t xml:space="preserve"> med pristojnimi organi</w:t>
      </w:r>
      <w:r w:rsidR="002C6DF9" w:rsidRPr="00B87D07">
        <w:rPr>
          <w:rFonts w:cs="Arial"/>
          <w:szCs w:val="20"/>
          <w:lang w:val="sl-SI"/>
        </w:rPr>
        <w:t xml:space="preserve"> </w:t>
      </w:r>
      <w:r w:rsidRPr="00B87D07">
        <w:rPr>
          <w:rFonts w:cs="Arial"/>
          <w:szCs w:val="20"/>
          <w:lang w:val="sl-SI"/>
        </w:rPr>
        <w:t>CbCR), ki ga je Slovenija podpisala</w:t>
      </w:r>
      <w:r w:rsidRPr="00C51378">
        <w:rPr>
          <w:rFonts w:cs="Arial"/>
          <w:szCs w:val="20"/>
          <w:lang w:val="sl-SI"/>
        </w:rPr>
        <w:t xml:space="preserve"> </w:t>
      </w:r>
      <w:hyperlink r:id="rId16" w:history="1">
        <w:r w:rsidRPr="00C51378">
          <w:rPr>
            <w:rStyle w:val="Hiperpovezava"/>
            <w:rFonts w:cs="Arial"/>
            <w:szCs w:val="20"/>
            <w:u w:val="none"/>
            <w:lang w:val="sl-SI"/>
          </w:rPr>
          <w:t>27. januarja 2016 v Parizu</w:t>
        </w:r>
      </w:hyperlink>
      <w:r w:rsidRPr="00B87D07">
        <w:rPr>
          <w:rFonts w:cs="Arial"/>
          <w:szCs w:val="20"/>
          <w:lang w:val="sl-SI"/>
        </w:rPr>
        <w:t xml:space="preserve">. </w:t>
      </w:r>
      <w:r w:rsidR="0056677B" w:rsidRPr="00B87D07">
        <w:rPr>
          <w:rFonts w:cs="Arial"/>
          <w:szCs w:val="20"/>
          <w:lang w:val="sl-SI"/>
        </w:rPr>
        <w:t xml:space="preserve">Sporazum med pristojnimi organi </w:t>
      </w:r>
      <w:r w:rsidRPr="00B87D07">
        <w:rPr>
          <w:rFonts w:cs="Arial"/>
          <w:szCs w:val="20"/>
          <w:lang w:val="sl-SI"/>
        </w:rPr>
        <w:t xml:space="preserve">CbCR </w:t>
      </w:r>
      <w:r w:rsidR="003A4E20">
        <w:rPr>
          <w:rFonts w:cs="Arial"/>
          <w:szCs w:val="20"/>
          <w:lang w:val="sl-SI"/>
        </w:rPr>
        <w:t>temelji na Konvenciji</w:t>
      </w:r>
      <w:r w:rsidRPr="00B87D07">
        <w:rPr>
          <w:rFonts w:cs="Arial"/>
          <w:szCs w:val="20"/>
          <w:lang w:val="sl-SI"/>
        </w:rPr>
        <w:t xml:space="preserve"> o medsebojni upravni pomoči pri davčnih zadevah, kot je bila spremenjena s Protokolom o spremembi Konvencije o medsebojni upravni pomoči pri davčnih zadevah</w:t>
      </w:r>
      <w:r w:rsidR="00CB203B" w:rsidRPr="00B87D07">
        <w:rPr>
          <w:rFonts w:cs="Arial"/>
          <w:szCs w:val="20"/>
          <w:lang w:val="sl-SI"/>
        </w:rPr>
        <w:t>.</w:t>
      </w:r>
    </w:p>
    <w:p w14:paraId="3A14459B" w14:textId="77777777" w:rsidR="00986AAB" w:rsidRPr="00B87D07" w:rsidRDefault="00986AAB" w:rsidP="00685D96">
      <w:pPr>
        <w:pStyle w:val="podpisi"/>
        <w:jc w:val="both"/>
        <w:rPr>
          <w:rFonts w:cs="Arial"/>
          <w:szCs w:val="20"/>
          <w:lang w:val="sl-SI"/>
        </w:rPr>
      </w:pPr>
    </w:p>
    <w:p w14:paraId="3A14459C" w14:textId="77777777" w:rsidR="00894114" w:rsidRPr="00B87D07" w:rsidRDefault="0056677B" w:rsidP="00685D96">
      <w:pPr>
        <w:pStyle w:val="podpisi"/>
        <w:jc w:val="both"/>
        <w:rPr>
          <w:rFonts w:cs="Arial"/>
          <w:szCs w:val="20"/>
          <w:lang w:val="sl-SI"/>
        </w:rPr>
      </w:pPr>
      <w:r w:rsidRPr="00B87D07">
        <w:rPr>
          <w:rFonts w:cs="Arial"/>
          <w:szCs w:val="20"/>
          <w:lang w:val="sl-SI"/>
        </w:rPr>
        <w:t xml:space="preserve">Sporazum med pristojnimi organi </w:t>
      </w:r>
      <w:r w:rsidR="002C6DF9" w:rsidRPr="00B87D07">
        <w:rPr>
          <w:rFonts w:cs="Arial"/>
          <w:szCs w:val="20"/>
          <w:lang w:val="sl-SI"/>
        </w:rPr>
        <w:t xml:space="preserve">CbCR </w:t>
      </w:r>
      <w:r w:rsidR="00D44043" w:rsidRPr="00B87D07">
        <w:rPr>
          <w:rFonts w:cs="Arial"/>
          <w:szCs w:val="20"/>
          <w:lang w:val="sl-SI"/>
        </w:rPr>
        <w:t xml:space="preserve">je ratificiran z </w:t>
      </w:r>
      <w:hyperlink r:id="rId17" w:history="1">
        <w:r w:rsidR="00D44043" w:rsidRPr="005B3010">
          <w:rPr>
            <w:rStyle w:val="Hiperpovezava"/>
            <w:rFonts w:cs="Arial"/>
            <w:szCs w:val="20"/>
            <w:u w:val="none"/>
            <w:lang w:val="sl-SI"/>
          </w:rPr>
          <w:t xml:space="preserve">Uredbo o ratifikaciji Večstranskega sporazuma med pristojnimi organi </w:t>
        </w:r>
        <w:r w:rsidR="00986AAB" w:rsidRPr="005B3010">
          <w:rPr>
            <w:rStyle w:val="Hiperpovezava"/>
            <w:rFonts w:cs="Arial"/>
            <w:szCs w:val="20"/>
            <w:u w:val="none"/>
            <w:lang w:val="sl-SI"/>
          </w:rPr>
          <w:t>o izmenjavi poročil po državah</w:t>
        </w:r>
      </w:hyperlink>
      <w:r w:rsidR="00986AAB" w:rsidRPr="005B3010">
        <w:rPr>
          <w:rFonts w:cs="Arial"/>
          <w:szCs w:val="20"/>
          <w:lang w:val="sl-SI"/>
        </w:rPr>
        <w:t>.</w:t>
      </w:r>
      <w:r w:rsidR="00D44043" w:rsidRPr="00B87D07">
        <w:rPr>
          <w:rFonts w:cs="Arial"/>
          <w:szCs w:val="20"/>
          <w:lang w:val="sl-SI"/>
        </w:rPr>
        <w:t xml:space="preserve"> Uredba je začela veljati 17. decembra 2016 in je objavljena v</w:t>
      </w:r>
      <w:r w:rsidR="00CE134A" w:rsidRPr="00B87D07">
        <w:rPr>
          <w:rFonts w:cs="Arial"/>
          <w:szCs w:val="20"/>
          <w:lang w:val="sl-SI"/>
        </w:rPr>
        <w:t xml:space="preserve"> </w:t>
      </w:r>
      <w:hyperlink r:id="rId18" w:history="1">
        <w:r w:rsidR="002B1215" w:rsidRPr="00B87D07">
          <w:rPr>
            <w:rStyle w:val="Hiperpovezava"/>
            <w:rFonts w:cs="Arial"/>
            <w:color w:val="auto"/>
            <w:szCs w:val="20"/>
            <w:u w:val="none"/>
            <w:lang w:val="sl-SI"/>
          </w:rPr>
          <w:t>Uradnem listu RS</w:t>
        </w:r>
        <w:r w:rsidR="0022611A" w:rsidRPr="00B87D07">
          <w:rPr>
            <w:rStyle w:val="Hiperpovezava"/>
            <w:rFonts w:cs="Arial"/>
            <w:color w:val="auto"/>
            <w:szCs w:val="20"/>
            <w:u w:val="none"/>
            <w:lang w:val="sl-SI"/>
          </w:rPr>
          <w:t xml:space="preserve"> – Mednarodne pogodbe</w:t>
        </w:r>
        <w:r w:rsidR="002B1215" w:rsidRPr="00B87D07">
          <w:rPr>
            <w:rStyle w:val="Hiperpovezava"/>
            <w:rFonts w:cs="Arial"/>
            <w:color w:val="auto"/>
            <w:szCs w:val="20"/>
            <w:u w:val="none"/>
            <w:lang w:val="sl-SI"/>
          </w:rPr>
          <w:t xml:space="preserve">, št. </w:t>
        </w:r>
        <w:r w:rsidR="0022611A" w:rsidRPr="00B87D07">
          <w:rPr>
            <w:rStyle w:val="Hiperpovezava"/>
            <w:rFonts w:cs="Arial"/>
            <w:color w:val="auto"/>
            <w:szCs w:val="20"/>
            <w:u w:val="none"/>
            <w:lang w:val="sl-SI"/>
          </w:rPr>
          <w:t>17</w:t>
        </w:r>
        <w:r w:rsidR="002B1215" w:rsidRPr="00B87D07">
          <w:rPr>
            <w:rStyle w:val="Hiperpovezava"/>
            <w:rFonts w:cs="Arial"/>
            <w:color w:val="auto"/>
            <w:szCs w:val="20"/>
            <w:u w:val="none"/>
            <w:lang w:val="sl-SI"/>
          </w:rPr>
          <w:t>/16</w:t>
        </w:r>
      </w:hyperlink>
      <w:r w:rsidR="00B56C84" w:rsidRPr="00B87D07">
        <w:rPr>
          <w:rFonts w:cs="Arial"/>
          <w:szCs w:val="20"/>
          <w:lang w:val="sl-SI"/>
        </w:rPr>
        <w:t xml:space="preserve"> (Uradni list RS, št. 81)</w:t>
      </w:r>
      <w:r w:rsidR="00CB7E69" w:rsidRPr="000C2715">
        <w:rPr>
          <w:lang w:val="sl-SI"/>
        </w:rPr>
        <w:t>.</w:t>
      </w:r>
    </w:p>
    <w:p w14:paraId="3A14459D" w14:textId="77777777" w:rsidR="00D44043" w:rsidRPr="00B87D07" w:rsidRDefault="00D44043" w:rsidP="00685D96">
      <w:pPr>
        <w:pStyle w:val="podpisi"/>
        <w:jc w:val="both"/>
        <w:rPr>
          <w:rFonts w:cs="Arial"/>
          <w:szCs w:val="20"/>
          <w:lang w:val="sl-SI"/>
        </w:rPr>
      </w:pPr>
    </w:p>
    <w:p w14:paraId="3A14459E" w14:textId="77777777" w:rsidR="00477B64" w:rsidRPr="00B87D07" w:rsidRDefault="00E10E4F" w:rsidP="00685D96">
      <w:pPr>
        <w:jc w:val="both"/>
        <w:rPr>
          <w:szCs w:val="20"/>
        </w:rPr>
      </w:pPr>
      <w:r w:rsidRPr="00B87D07">
        <w:rPr>
          <w:szCs w:val="20"/>
        </w:rPr>
        <w:t>Na ravni EU</w:t>
      </w:r>
      <w:r w:rsidR="00986AAB" w:rsidRPr="00B87D07">
        <w:rPr>
          <w:szCs w:val="20"/>
        </w:rPr>
        <w:t>,</w:t>
      </w:r>
      <w:r w:rsidRPr="00B87D07">
        <w:rPr>
          <w:szCs w:val="20"/>
        </w:rPr>
        <w:t xml:space="preserve"> pa je pravna podlaga za </w:t>
      </w:r>
      <w:r w:rsidR="00986AAB" w:rsidRPr="00B87D07">
        <w:rPr>
          <w:szCs w:val="20"/>
        </w:rPr>
        <w:t xml:space="preserve">avtomatično izmenjavo </w:t>
      </w:r>
      <w:hyperlink r:id="rId19" w:history="1">
        <w:r w:rsidR="00986AAB" w:rsidRPr="00332B68">
          <w:rPr>
            <w:rStyle w:val="Hiperpovezava"/>
            <w:szCs w:val="20"/>
            <w:u w:val="none"/>
          </w:rPr>
          <w:t>DAC4,</w:t>
        </w:r>
      </w:hyperlink>
      <w:r w:rsidR="00986AAB" w:rsidRPr="00B87D07">
        <w:rPr>
          <w:szCs w:val="20"/>
        </w:rPr>
        <w:t xml:space="preserve"> ki je bil</w:t>
      </w:r>
      <w:r w:rsidR="00FE4CB4">
        <w:rPr>
          <w:szCs w:val="20"/>
        </w:rPr>
        <w:t>a</w:t>
      </w:r>
      <w:r w:rsidRPr="00B87D07">
        <w:rPr>
          <w:szCs w:val="20"/>
        </w:rPr>
        <w:t xml:space="preserve"> sprejet</w:t>
      </w:r>
      <w:r w:rsidR="00FF4FF0" w:rsidRPr="00B87D07">
        <w:rPr>
          <w:szCs w:val="20"/>
        </w:rPr>
        <w:t>a</w:t>
      </w:r>
      <w:r w:rsidRPr="00B87D07">
        <w:rPr>
          <w:szCs w:val="20"/>
        </w:rPr>
        <w:t xml:space="preserve"> 25. maja 2016.</w:t>
      </w:r>
    </w:p>
    <w:p w14:paraId="3A14459F" w14:textId="77777777" w:rsidR="0005497A" w:rsidRPr="00B87D07" w:rsidRDefault="0005497A" w:rsidP="00685D96">
      <w:pPr>
        <w:jc w:val="both"/>
        <w:rPr>
          <w:szCs w:val="20"/>
        </w:rPr>
      </w:pPr>
    </w:p>
    <w:p w14:paraId="3A1445A0" w14:textId="77777777" w:rsidR="00DF4C96" w:rsidRDefault="00DF4C96" w:rsidP="00685D96">
      <w:pPr>
        <w:jc w:val="both"/>
        <w:rPr>
          <w:szCs w:val="20"/>
        </w:rPr>
      </w:pPr>
    </w:p>
    <w:p w14:paraId="1FEB0C74" w14:textId="77777777" w:rsidR="00DC4738" w:rsidRDefault="00DC4738" w:rsidP="00685D96">
      <w:pPr>
        <w:jc w:val="both"/>
        <w:rPr>
          <w:szCs w:val="20"/>
        </w:rPr>
      </w:pPr>
    </w:p>
    <w:p w14:paraId="1749924A" w14:textId="77777777" w:rsidR="00DC4738" w:rsidRDefault="00DC4738" w:rsidP="00685D96">
      <w:pPr>
        <w:jc w:val="both"/>
        <w:rPr>
          <w:szCs w:val="20"/>
        </w:rPr>
      </w:pPr>
    </w:p>
    <w:p w14:paraId="7C7DD3AE" w14:textId="77777777" w:rsidR="00DC4738" w:rsidRPr="00B87D07" w:rsidRDefault="00DC4738" w:rsidP="00685D96">
      <w:pPr>
        <w:jc w:val="both"/>
        <w:rPr>
          <w:szCs w:val="20"/>
        </w:rPr>
      </w:pPr>
    </w:p>
    <w:p w14:paraId="3A1445A1" w14:textId="77777777" w:rsidR="002D1CF2" w:rsidRPr="00B87D07" w:rsidRDefault="002D1CF2" w:rsidP="00DC4738">
      <w:pPr>
        <w:pStyle w:val="Brezrazmikov"/>
        <w:jc w:val="both"/>
      </w:pPr>
      <w:r w:rsidRPr="00B87D07">
        <w:t xml:space="preserve">Vprašanje </w:t>
      </w:r>
      <w:r w:rsidR="00E10E4F" w:rsidRPr="00B87D07">
        <w:t>3</w:t>
      </w:r>
      <w:r w:rsidR="005719CB" w:rsidRPr="00B87D07">
        <w:t xml:space="preserve">: Kako je </w:t>
      </w:r>
      <w:r w:rsidRPr="00B87D07">
        <w:t>CbC</w:t>
      </w:r>
      <w:r w:rsidR="005719CB" w:rsidRPr="00B87D07">
        <w:t xml:space="preserve"> poročanje urejeno v slovenski zakonodaji?</w:t>
      </w:r>
    </w:p>
    <w:p w14:paraId="3A1445A2" w14:textId="77777777" w:rsidR="0043508B" w:rsidRPr="00B87D07" w:rsidRDefault="0043508B" w:rsidP="00685D96">
      <w:pPr>
        <w:pStyle w:val="FURSnaslov1"/>
        <w:jc w:val="both"/>
        <w:rPr>
          <w:lang w:val="sl-SI"/>
        </w:rPr>
      </w:pPr>
    </w:p>
    <w:p w14:paraId="3A1445A3" w14:textId="77777777" w:rsidR="009255B9" w:rsidRPr="00B87D07" w:rsidRDefault="009255B9" w:rsidP="00685D96">
      <w:pPr>
        <w:pStyle w:val="poglavje1"/>
        <w:spacing w:before="0" w:line="260" w:lineRule="atLeast"/>
        <w:jc w:val="both"/>
        <w:rPr>
          <w:bCs/>
          <w:sz w:val="20"/>
          <w:szCs w:val="20"/>
        </w:rPr>
      </w:pPr>
      <w:r w:rsidRPr="00B87D07">
        <w:rPr>
          <w:bCs/>
          <w:sz w:val="20"/>
          <w:szCs w:val="20"/>
        </w:rPr>
        <w:lastRenderedPageBreak/>
        <w:t xml:space="preserve">V slovenski zakonodaji je CbC poročanje urejeno v </w:t>
      </w:r>
      <w:hyperlink r:id="rId20" w:history="1">
        <w:r w:rsidRPr="00A14EFC">
          <w:rPr>
            <w:rStyle w:val="Hiperpovezava"/>
            <w:bCs/>
            <w:sz w:val="20"/>
            <w:szCs w:val="20"/>
            <w:u w:val="none"/>
          </w:rPr>
          <w:t>Zakonu o davčnem postopku</w:t>
        </w:r>
      </w:hyperlink>
      <w:r w:rsidRPr="00B87D07">
        <w:rPr>
          <w:bCs/>
          <w:sz w:val="20"/>
          <w:szCs w:val="20"/>
        </w:rPr>
        <w:t xml:space="preserve"> (Uradni list RS, št. </w:t>
      </w:r>
      <w:r w:rsidRPr="00432A58">
        <w:rPr>
          <w:bCs/>
          <w:sz w:val="20"/>
          <w:szCs w:val="20"/>
        </w:rPr>
        <w:t>13/11</w:t>
      </w:r>
      <w:r w:rsidRPr="00B87D07">
        <w:rPr>
          <w:bCs/>
          <w:sz w:val="20"/>
          <w:szCs w:val="20"/>
        </w:rPr>
        <w:t xml:space="preserve"> – uradno prečiščeno besedilo, </w:t>
      </w:r>
      <w:hyperlink r:id="rId21" w:tgtFrame="_blank" w:tooltip="Zakon o spremembah in dopolnitvah Zakona o davčnem postopku" w:history="1">
        <w:r w:rsidRPr="00B87D07">
          <w:rPr>
            <w:bCs/>
            <w:sz w:val="20"/>
            <w:szCs w:val="20"/>
          </w:rPr>
          <w:t>32/12</w:t>
        </w:r>
      </w:hyperlink>
      <w:r w:rsidRPr="00B87D07">
        <w:rPr>
          <w:bCs/>
          <w:sz w:val="20"/>
          <w:szCs w:val="20"/>
        </w:rPr>
        <w:t xml:space="preserve">, </w:t>
      </w:r>
      <w:hyperlink r:id="rId22" w:tgtFrame="_blank" w:tooltip="Zakon o spremembah in dopolnitvah Zakona o davčnem postopku" w:history="1">
        <w:r w:rsidRPr="00B87D07">
          <w:rPr>
            <w:bCs/>
            <w:sz w:val="20"/>
            <w:szCs w:val="20"/>
          </w:rPr>
          <w:t>94/12</w:t>
        </w:r>
      </w:hyperlink>
      <w:r w:rsidRPr="00B87D07">
        <w:rPr>
          <w:bCs/>
          <w:sz w:val="20"/>
          <w:szCs w:val="20"/>
        </w:rPr>
        <w:t xml:space="preserve">, </w:t>
      </w:r>
      <w:hyperlink r:id="rId23" w:tgtFrame="_blank" w:tooltip="Zakon o davku na nepremičnine" w:history="1">
        <w:r w:rsidRPr="00B87D07">
          <w:rPr>
            <w:bCs/>
            <w:sz w:val="20"/>
            <w:szCs w:val="20"/>
          </w:rPr>
          <w:t>101/13</w:t>
        </w:r>
      </w:hyperlink>
      <w:r w:rsidRPr="00B87D07">
        <w:rPr>
          <w:bCs/>
          <w:sz w:val="20"/>
          <w:szCs w:val="20"/>
        </w:rPr>
        <w:t xml:space="preserve"> – </w:t>
      </w:r>
      <w:proofErr w:type="spellStart"/>
      <w:r w:rsidRPr="00B87D07">
        <w:rPr>
          <w:bCs/>
          <w:sz w:val="20"/>
          <w:szCs w:val="20"/>
        </w:rPr>
        <w:t>ZDavNepr</w:t>
      </w:r>
      <w:proofErr w:type="spellEnd"/>
      <w:r w:rsidRPr="00B87D07">
        <w:rPr>
          <w:bCs/>
          <w:sz w:val="20"/>
          <w:szCs w:val="20"/>
        </w:rPr>
        <w:t xml:space="preserve">, </w:t>
      </w:r>
      <w:hyperlink r:id="rId24" w:tgtFrame="_blank" w:tooltip="Zakon o spremembah in dopolnitvah Zakona o davčnem postopku" w:history="1">
        <w:r w:rsidRPr="00B87D07">
          <w:rPr>
            <w:bCs/>
            <w:sz w:val="20"/>
            <w:szCs w:val="20"/>
          </w:rPr>
          <w:t>111/13</w:t>
        </w:r>
      </w:hyperlink>
      <w:r w:rsidRPr="00B87D07">
        <w:rPr>
          <w:bCs/>
          <w:sz w:val="20"/>
          <w:szCs w:val="20"/>
        </w:rPr>
        <w:t xml:space="preserve">, </w:t>
      </w:r>
      <w:hyperlink r:id="rId25" w:tgtFrame="_blank" w:tooltip="Zakon o finančni upravi" w:history="1">
        <w:r w:rsidRPr="00B87D07">
          <w:rPr>
            <w:bCs/>
            <w:sz w:val="20"/>
            <w:szCs w:val="20"/>
          </w:rPr>
          <w:t>25/14</w:t>
        </w:r>
      </w:hyperlink>
      <w:r w:rsidRPr="00B87D07">
        <w:rPr>
          <w:bCs/>
          <w:sz w:val="20"/>
          <w:szCs w:val="20"/>
        </w:rPr>
        <w:t xml:space="preserve"> – ZFU, </w:t>
      </w:r>
      <w:hyperlink r:id="rId26" w:tgtFrame="_blank" w:tooltip="Zakon o spremembah in dopolnitvah Zakona o inšpekcijskem nadzoru" w:history="1">
        <w:r w:rsidRPr="00B87D07">
          <w:rPr>
            <w:bCs/>
            <w:sz w:val="20"/>
            <w:szCs w:val="20"/>
          </w:rPr>
          <w:t>40/14</w:t>
        </w:r>
      </w:hyperlink>
      <w:r w:rsidRPr="00B87D07">
        <w:rPr>
          <w:bCs/>
          <w:sz w:val="20"/>
          <w:szCs w:val="20"/>
        </w:rPr>
        <w:t xml:space="preserve"> – ZIN-B, </w:t>
      </w:r>
      <w:hyperlink r:id="rId27" w:tgtFrame="_blank" w:tooltip="Zakon o spremembah in dopolnitvah Zakona o davčnem postopku" w:history="1">
        <w:r w:rsidRPr="00B87D07">
          <w:rPr>
            <w:bCs/>
            <w:sz w:val="20"/>
            <w:szCs w:val="20"/>
          </w:rPr>
          <w:t>90/14</w:t>
        </w:r>
      </w:hyperlink>
      <w:r w:rsidRPr="00B87D07">
        <w:rPr>
          <w:bCs/>
          <w:sz w:val="20"/>
          <w:szCs w:val="20"/>
        </w:rPr>
        <w:t xml:space="preserve">, </w:t>
      </w:r>
      <w:hyperlink r:id="rId28" w:tgtFrame="_blank" w:tooltip="Zakon o spremembah in dopolnitvah Zakona o davčnem postopku" w:history="1">
        <w:r w:rsidRPr="00B87D07">
          <w:rPr>
            <w:bCs/>
            <w:sz w:val="20"/>
            <w:szCs w:val="20"/>
          </w:rPr>
          <w:t>91/15</w:t>
        </w:r>
      </w:hyperlink>
      <w:r w:rsidRPr="00B87D07">
        <w:rPr>
          <w:bCs/>
          <w:sz w:val="20"/>
          <w:szCs w:val="20"/>
        </w:rPr>
        <w:t xml:space="preserve"> in </w:t>
      </w:r>
      <w:hyperlink r:id="rId29" w:tgtFrame="_blank" w:tooltip="Zakon o spremembah in dopolnitvah Zakona o davčnem postopku" w:history="1">
        <w:r w:rsidRPr="00DE3D34">
          <w:rPr>
            <w:rStyle w:val="Hiperpovezava"/>
            <w:rFonts w:cs="Times New Roman"/>
            <w:sz w:val="20"/>
            <w:szCs w:val="20"/>
            <w:u w:val="none"/>
            <w:lang w:eastAsia="en-US"/>
          </w:rPr>
          <w:t>63/16</w:t>
        </w:r>
      </w:hyperlink>
      <w:r w:rsidR="005A3E39" w:rsidRPr="00DE3D34">
        <w:rPr>
          <w:rStyle w:val="Hiperpovezava"/>
          <w:rFonts w:cs="Times New Roman"/>
          <w:u w:val="none"/>
          <w:lang w:eastAsia="en-US"/>
        </w:rPr>
        <w:t>,</w:t>
      </w:r>
      <w:r w:rsidR="005A3E39" w:rsidRPr="00B87D07">
        <w:rPr>
          <w:bCs/>
          <w:sz w:val="20"/>
          <w:szCs w:val="20"/>
        </w:rPr>
        <w:t xml:space="preserve"> v nadaljevanju ZDa</w:t>
      </w:r>
      <w:r w:rsidR="00370532" w:rsidRPr="00B87D07">
        <w:rPr>
          <w:bCs/>
          <w:sz w:val="20"/>
          <w:szCs w:val="20"/>
        </w:rPr>
        <w:t>v</w:t>
      </w:r>
      <w:r w:rsidR="005A3E39" w:rsidRPr="00B87D07">
        <w:rPr>
          <w:bCs/>
          <w:sz w:val="20"/>
          <w:szCs w:val="20"/>
        </w:rPr>
        <w:t>P-2</w:t>
      </w:r>
      <w:r w:rsidRPr="00B87D07">
        <w:rPr>
          <w:bCs/>
          <w:sz w:val="20"/>
          <w:szCs w:val="20"/>
        </w:rPr>
        <w:t xml:space="preserve">), ki v členih 248.b, 255.i, 255.j, 255.k, 255.l </w:t>
      </w:r>
      <w:r w:rsidR="00FF4FF0" w:rsidRPr="00B87D07">
        <w:rPr>
          <w:bCs/>
          <w:sz w:val="20"/>
          <w:szCs w:val="20"/>
        </w:rPr>
        <w:t>(</w:t>
      </w:r>
      <w:r w:rsidR="00034250" w:rsidRPr="00B87D07">
        <w:rPr>
          <w:bCs/>
          <w:sz w:val="20"/>
          <w:szCs w:val="20"/>
        </w:rPr>
        <w:t xml:space="preserve">novo </w:t>
      </w:r>
      <w:r w:rsidR="00FF4FF0" w:rsidRPr="00B87D07">
        <w:rPr>
          <w:sz w:val="20"/>
          <w:szCs w:val="20"/>
        </w:rPr>
        <w:t>III.B poglavj</w:t>
      </w:r>
      <w:r w:rsidR="00034250" w:rsidRPr="00B87D07">
        <w:rPr>
          <w:sz w:val="20"/>
          <w:szCs w:val="20"/>
        </w:rPr>
        <w:t>e</w:t>
      </w:r>
      <w:r w:rsidR="00FF4FF0" w:rsidRPr="00B87D07">
        <w:rPr>
          <w:sz w:val="20"/>
          <w:szCs w:val="20"/>
        </w:rPr>
        <w:t xml:space="preserve">) </w:t>
      </w:r>
      <w:r w:rsidRPr="00B87D07">
        <w:rPr>
          <w:bCs/>
          <w:sz w:val="20"/>
          <w:szCs w:val="20"/>
        </w:rPr>
        <w:t>in 397</w:t>
      </w:r>
      <w:r w:rsidR="00914D8E" w:rsidRPr="00B87D07">
        <w:rPr>
          <w:bCs/>
          <w:sz w:val="20"/>
          <w:szCs w:val="20"/>
        </w:rPr>
        <w:t xml:space="preserve"> (dodana 45. točka glede davčnih prekrškov)</w:t>
      </w:r>
      <w:r w:rsidR="0073743E" w:rsidRPr="00B87D07">
        <w:rPr>
          <w:bCs/>
          <w:sz w:val="20"/>
          <w:szCs w:val="20"/>
        </w:rPr>
        <w:t>,</w:t>
      </w:r>
      <w:r w:rsidRPr="00B87D07">
        <w:rPr>
          <w:bCs/>
          <w:sz w:val="20"/>
          <w:szCs w:val="20"/>
        </w:rPr>
        <w:t xml:space="preserve"> v </w:t>
      </w:r>
      <w:r w:rsidRPr="00B87D07">
        <w:rPr>
          <w:sz w:val="20"/>
          <w:szCs w:val="20"/>
        </w:rPr>
        <w:t>slovenski pravni red prenaša</w:t>
      </w:r>
      <w:r w:rsidR="00A14EFC">
        <w:rPr>
          <w:sz w:val="20"/>
          <w:szCs w:val="20"/>
        </w:rPr>
        <w:t xml:space="preserve"> </w:t>
      </w:r>
      <w:hyperlink r:id="rId30" w:history="1">
        <w:r w:rsidR="00A14EFC" w:rsidRPr="00A14EFC">
          <w:rPr>
            <w:rStyle w:val="Hiperpovezava"/>
            <w:sz w:val="20"/>
            <w:szCs w:val="20"/>
            <w:u w:val="none"/>
          </w:rPr>
          <w:t>DAC4.</w:t>
        </w:r>
      </w:hyperlink>
      <w:r w:rsidRPr="00B87D07">
        <w:rPr>
          <w:sz w:val="20"/>
          <w:szCs w:val="20"/>
        </w:rPr>
        <w:t xml:space="preserve"> </w:t>
      </w:r>
    </w:p>
    <w:p w14:paraId="3A1445A5" w14:textId="77777777" w:rsidR="00C8782F" w:rsidRPr="00B87D07" w:rsidRDefault="00FF4FF0" w:rsidP="00685D96">
      <w:pPr>
        <w:jc w:val="both"/>
        <w:rPr>
          <w:szCs w:val="20"/>
        </w:rPr>
      </w:pPr>
      <w:r w:rsidRPr="00B87D07">
        <w:rPr>
          <w:rFonts w:cs="Arial"/>
          <w:szCs w:val="20"/>
        </w:rPr>
        <w:t>Izvajanje pravil za poročanje in izmenjavo</w:t>
      </w:r>
      <w:r w:rsidR="003D0855" w:rsidRPr="00B87D07">
        <w:rPr>
          <w:rFonts w:cs="Arial"/>
          <w:szCs w:val="20"/>
        </w:rPr>
        <w:t xml:space="preserve"> CbC</w:t>
      </w:r>
      <w:r w:rsidRPr="00B87D07">
        <w:rPr>
          <w:rFonts w:cs="Arial"/>
          <w:szCs w:val="20"/>
        </w:rPr>
        <w:t xml:space="preserve"> poro</w:t>
      </w:r>
      <w:r w:rsidR="00A34644">
        <w:rPr>
          <w:rFonts w:cs="Arial"/>
          <w:szCs w:val="20"/>
        </w:rPr>
        <w:t>čil na podlagi III.B poglavja ZD</w:t>
      </w:r>
      <w:r w:rsidRPr="00B87D07">
        <w:rPr>
          <w:rFonts w:cs="Arial"/>
          <w:szCs w:val="20"/>
        </w:rPr>
        <w:t>avP-2</w:t>
      </w:r>
      <w:r w:rsidR="006F47CE" w:rsidRPr="00B87D07">
        <w:rPr>
          <w:rFonts w:cs="Arial"/>
          <w:szCs w:val="20"/>
        </w:rPr>
        <w:t xml:space="preserve">, pa </w:t>
      </w:r>
      <w:r w:rsidRPr="00B87D07">
        <w:rPr>
          <w:rFonts w:cs="Arial"/>
          <w:szCs w:val="20"/>
        </w:rPr>
        <w:t>je določeno s</w:t>
      </w:r>
      <w:r w:rsidR="00964F04" w:rsidRPr="00B87D07">
        <w:rPr>
          <w:rFonts w:cs="Arial"/>
          <w:szCs w:val="20"/>
        </w:rPr>
        <w:t xml:space="preserve"> Pravilnikom o izvajanju Zakona o davčnem postopku (</w:t>
      </w:r>
      <w:r w:rsidR="00067FEA" w:rsidRPr="00B87D07">
        <w:rPr>
          <w:szCs w:val="20"/>
        </w:rPr>
        <w:t xml:space="preserve">Uradni list RS, št. 141/06, 46/07, 102/07, 28/09, 101/11, 24/12, 32/12 – ZDavP-2E, 19/13, 45/14, 97/14, 39/15, 40/16, 85/16 in </w:t>
      </w:r>
      <w:hyperlink r:id="rId31" w:history="1">
        <w:r w:rsidR="00391D4C" w:rsidRPr="00702B6E">
          <w:rPr>
            <w:rStyle w:val="Hiperpovezava"/>
            <w:u w:val="none"/>
          </w:rPr>
          <w:t>30/17</w:t>
        </w:r>
      </w:hyperlink>
      <w:r w:rsidR="006F1517" w:rsidRPr="00B62021">
        <w:rPr>
          <w:rStyle w:val="Hiperpovezava"/>
          <w:color w:val="auto"/>
          <w:szCs w:val="20"/>
          <w:u w:val="none"/>
        </w:rPr>
        <w:t>,</w:t>
      </w:r>
      <w:r w:rsidR="006F1517" w:rsidRPr="00B87D07">
        <w:rPr>
          <w:rStyle w:val="Hiperpovezava"/>
          <w:color w:val="auto"/>
          <w:szCs w:val="20"/>
          <w:u w:val="none"/>
        </w:rPr>
        <w:t xml:space="preserve"> v nadaljevanju</w:t>
      </w:r>
      <w:r w:rsidR="006F1517" w:rsidRPr="00243936">
        <w:rPr>
          <w:rStyle w:val="Hiperpovezava"/>
          <w:color w:val="auto"/>
          <w:szCs w:val="20"/>
          <w:u w:val="none"/>
        </w:rPr>
        <w:t xml:space="preserve"> </w:t>
      </w:r>
      <w:r w:rsidR="006F1517" w:rsidRPr="00391D4C">
        <w:rPr>
          <w:szCs w:val="20"/>
        </w:rPr>
        <w:t>Pravilnik o izvajanju ZDavP-2</w:t>
      </w:r>
      <w:r w:rsidR="00964F04" w:rsidRPr="00B87D07">
        <w:rPr>
          <w:rFonts w:cs="Arial"/>
          <w:szCs w:val="20"/>
        </w:rPr>
        <w:t>)</w:t>
      </w:r>
      <w:r w:rsidRPr="00B87D07">
        <w:rPr>
          <w:rFonts w:cs="Arial"/>
          <w:szCs w:val="20"/>
        </w:rPr>
        <w:t xml:space="preserve">, </w:t>
      </w:r>
      <w:r w:rsidR="00243936">
        <w:rPr>
          <w:rFonts w:cs="Arial"/>
          <w:szCs w:val="20"/>
        </w:rPr>
        <w:t xml:space="preserve">in sicer </w:t>
      </w:r>
      <w:r w:rsidRPr="00B87D07">
        <w:rPr>
          <w:rFonts w:cs="Arial"/>
          <w:szCs w:val="20"/>
        </w:rPr>
        <w:t xml:space="preserve">v </w:t>
      </w:r>
      <w:r w:rsidR="00243936">
        <w:rPr>
          <w:rFonts w:cs="Arial"/>
          <w:szCs w:val="20"/>
        </w:rPr>
        <w:t xml:space="preserve">členih 86.c do 86.g </w:t>
      </w:r>
      <w:r w:rsidR="003227A1">
        <w:rPr>
          <w:rFonts w:cs="Arial"/>
          <w:szCs w:val="20"/>
        </w:rPr>
        <w:t>ter v</w:t>
      </w:r>
      <w:r w:rsidR="00243936">
        <w:rPr>
          <w:rFonts w:cs="Arial"/>
          <w:szCs w:val="20"/>
        </w:rPr>
        <w:t xml:space="preserve"> </w:t>
      </w:r>
      <w:r w:rsidR="002D1768" w:rsidRPr="00243936">
        <w:rPr>
          <w:rFonts w:cs="Arial"/>
          <w:szCs w:val="20"/>
        </w:rPr>
        <w:t>Prilogi</w:t>
      </w:r>
      <w:r w:rsidR="003B7F46" w:rsidRPr="00243936">
        <w:rPr>
          <w:rFonts w:cs="Arial"/>
          <w:szCs w:val="20"/>
        </w:rPr>
        <w:t xml:space="preserve"> 21</w:t>
      </w:r>
      <w:r w:rsidR="00243936">
        <w:rPr>
          <w:rFonts w:cs="Arial"/>
          <w:szCs w:val="20"/>
        </w:rPr>
        <w:t xml:space="preserve">, ki </w:t>
      </w:r>
      <w:r w:rsidR="00964F04" w:rsidRPr="00243936">
        <w:rPr>
          <w:rFonts w:cs="Arial"/>
          <w:szCs w:val="20"/>
        </w:rPr>
        <w:t>vsebuje</w:t>
      </w:r>
      <w:r w:rsidRPr="00243936">
        <w:rPr>
          <w:rFonts w:cs="Arial"/>
          <w:szCs w:val="20"/>
        </w:rPr>
        <w:t xml:space="preserve"> </w:t>
      </w:r>
      <w:r w:rsidR="00964F04" w:rsidRPr="00243936">
        <w:rPr>
          <w:rFonts w:cs="Arial"/>
          <w:szCs w:val="20"/>
        </w:rPr>
        <w:t>N</w:t>
      </w:r>
      <w:r w:rsidR="003B7F46" w:rsidRPr="00243936">
        <w:rPr>
          <w:rFonts w:cs="Arial"/>
          <w:szCs w:val="20"/>
        </w:rPr>
        <w:t xml:space="preserve">avodilo o obliki, vsebini in načinu dostave poročil po državah </w:t>
      </w:r>
      <w:r w:rsidR="00C172BF" w:rsidRPr="00243936">
        <w:rPr>
          <w:rFonts w:cs="Arial"/>
          <w:szCs w:val="20"/>
        </w:rPr>
        <w:t>poročevalcev Mednarodnih skupin podjetij Finančni upravi Republike Slovenije</w:t>
      </w:r>
      <w:r w:rsidR="00A92F1C" w:rsidRPr="00243936">
        <w:rPr>
          <w:rFonts w:cs="Arial"/>
          <w:szCs w:val="20"/>
        </w:rPr>
        <w:t xml:space="preserve"> (v nadaljevanju Navodilo o dostavi CbC poročil)</w:t>
      </w:r>
      <w:r w:rsidR="003B7F46" w:rsidRPr="00243936">
        <w:rPr>
          <w:rFonts w:cs="Arial"/>
          <w:szCs w:val="20"/>
        </w:rPr>
        <w:t>.</w:t>
      </w:r>
      <w:r w:rsidR="003B7F46" w:rsidRPr="00B87D07">
        <w:rPr>
          <w:rFonts w:cs="Arial"/>
          <w:szCs w:val="20"/>
        </w:rPr>
        <w:t xml:space="preserve"> </w:t>
      </w:r>
    </w:p>
    <w:p w14:paraId="3A1445A6" w14:textId="77777777" w:rsidR="00301086" w:rsidRDefault="00301086" w:rsidP="00685D96">
      <w:pPr>
        <w:pStyle w:val="FURSnaslov1"/>
        <w:jc w:val="both"/>
        <w:rPr>
          <w:lang w:val="sl-SI"/>
        </w:rPr>
      </w:pPr>
      <w:bookmarkStart w:id="5" w:name="_Toc405981699"/>
    </w:p>
    <w:p w14:paraId="3A1445A7" w14:textId="77777777" w:rsidR="009F5F9C" w:rsidRDefault="009F5F9C" w:rsidP="00685D96">
      <w:pPr>
        <w:pStyle w:val="FURSnaslov1"/>
        <w:jc w:val="both"/>
        <w:rPr>
          <w:lang w:val="sl-SI"/>
        </w:rPr>
      </w:pPr>
    </w:p>
    <w:p w14:paraId="3A1445A8" w14:textId="77777777" w:rsidR="007C367F" w:rsidRPr="00B87D07" w:rsidRDefault="007C367F" w:rsidP="00DC4738">
      <w:pPr>
        <w:pStyle w:val="Brezrazmikov"/>
        <w:jc w:val="both"/>
      </w:pPr>
      <w:r w:rsidRPr="00B87D07">
        <w:t xml:space="preserve">Vprašanje </w:t>
      </w:r>
      <w:r w:rsidR="00E10E4F" w:rsidRPr="00B87D07">
        <w:t>4</w:t>
      </w:r>
      <w:r w:rsidRPr="00B87D07">
        <w:t xml:space="preserve">: </w:t>
      </w:r>
      <w:bookmarkEnd w:id="5"/>
      <w:r w:rsidR="00950794" w:rsidRPr="00B87D07">
        <w:t xml:space="preserve">Katere podatke je treba </w:t>
      </w:r>
      <w:r w:rsidR="00005E61" w:rsidRPr="00B87D07">
        <w:t>navesti</w:t>
      </w:r>
      <w:r w:rsidR="00EF7C7D" w:rsidRPr="00B87D07">
        <w:t xml:space="preserve"> v CbC</w:t>
      </w:r>
      <w:r w:rsidR="00950794" w:rsidRPr="00B87D07">
        <w:t xml:space="preserve"> poročilu?</w:t>
      </w:r>
    </w:p>
    <w:p w14:paraId="3A1445A9" w14:textId="77777777" w:rsidR="007C367F" w:rsidRPr="00B87D07" w:rsidRDefault="007C367F" w:rsidP="00685D96">
      <w:pPr>
        <w:jc w:val="both"/>
        <w:rPr>
          <w:b/>
          <w:sz w:val="24"/>
        </w:rPr>
      </w:pPr>
    </w:p>
    <w:p w14:paraId="3A1445AA" w14:textId="77777777" w:rsidR="00950794" w:rsidRPr="00B87D07" w:rsidRDefault="008701FC" w:rsidP="00685D96">
      <w:pPr>
        <w:jc w:val="both"/>
      </w:pPr>
      <w:r w:rsidRPr="00B87D07">
        <w:t>Poročeval</w:t>
      </w:r>
      <w:r w:rsidR="000E37CC" w:rsidRPr="00B87D07">
        <w:t>ec mednarodne skupine podjetij mora v CbC poročilu</w:t>
      </w:r>
      <w:r w:rsidRPr="00B87D07">
        <w:t xml:space="preserve"> </w:t>
      </w:r>
      <w:r w:rsidR="000E37CC" w:rsidRPr="00B87D07">
        <w:t>navesti</w:t>
      </w:r>
      <w:r w:rsidRPr="00B87D07">
        <w:t xml:space="preserve"> </w:t>
      </w:r>
      <w:r w:rsidR="000E37CC" w:rsidRPr="00B87D07">
        <w:t>podatke</w:t>
      </w:r>
      <w:r w:rsidR="002C20F2">
        <w:t xml:space="preserve"> v skladu z</w:t>
      </w:r>
      <w:r w:rsidR="00AB5215">
        <w:t xml:space="preserve"> 255.j člen</w:t>
      </w:r>
      <w:r w:rsidR="002C20F2">
        <w:t>om</w:t>
      </w:r>
      <w:r w:rsidR="00AB5215">
        <w:t xml:space="preserve"> ZDavP-2 (</w:t>
      </w:r>
      <w:r w:rsidR="00AB5215" w:rsidRPr="0058174E">
        <w:t xml:space="preserve">Ur. l. št. </w:t>
      </w:r>
      <w:hyperlink r:id="rId32" w:history="1">
        <w:r w:rsidR="00AB5215" w:rsidRPr="001A1C59">
          <w:rPr>
            <w:rStyle w:val="Hiperpovezava"/>
            <w:u w:val="none"/>
          </w:rPr>
          <w:t>63/16</w:t>
        </w:r>
      </w:hyperlink>
      <w:r w:rsidR="00D759F5" w:rsidRPr="0058174E">
        <w:t xml:space="preserve"> z dne 7. 10. 2016</w:t>
      </w:r>
      <w:r w:rsidR="00AB5215" w:rsidRPr="00D759F5">
        <w:t>)</w:t>
      </w:r>
      <w:r w:rsidR="00483DF3">
        <w:t>,</w:t>
      </w:r>
      <w:r w:rsidR="00AB5215" w:rsidRPr="00D759F5">
        <w:t xml:space="preserve"> v povezavi </w:t>
      </w:r>
      <w:r w:rsidR="002C20F2" w:rsidRPr="00D759F5">
        <w:t>s</w:t>
      </w:r>
      <w:r w:rsidR="00AB5215" w:rsidRPr="00D759F5">
        <w:t xml:space="preserve"> Pravilnikom o izvajanju ZDavP-2 (</w:t>
      </w:r>
      <w:r w:rsidR="00AB5215" w:rsidRPr="0058174E">
        <w:t xml:space="preserve">Ur. l. št. </w:t>
      </w:r>
      <w:hyperlink r:id="rId33" w:history="1">
        <w:r w:rsidR="00AB5215" w:rsidRPr="001A1C59">
          <w:rPr>
            <w:rStyle w:val="Hiperpovezava"/>
            <w:u w:val="none"/>
          </w:rPr>
          <w:t>30/17</w:t>
        </w:r>
      </w:hyperlink>
      <w:r w:rsidR="00D759F5" w:rsidRPr="0058174E">
        <w:t xml:space="preserve"> z dne 16. 6. 2017</w:t>
      </w:r>
      <w:r w:rsidR="00AB5215" w:rsidRPr="00D759F5">
        <w:t>)</w:t>
      </w:r>
      <w:r w:rsidR="000E37CC" w:rsidRPr="00D759F5">
        <w:t>:</w:t>
      </w:r>
    </w:p>
    <w:p w14:paraId="3A1445AB" w14:textId="77777777" w:rsidR="006F47CE" w:rsidRPr="00B87D07" w:rsidRDefault="006F47CE" w:rsidP="00685D96"/>
    <w:p w14:paraId="3A1445AC" w14:textId="77777777" w:rsidR="00950794" w:rsidRPr="00B87D07" w:rsidRDefault="00950794" w:rsidP="00685D96">
      <w:pPr>
        <w:pStyle w:val="Odstavekseznama"/>
        <w:numPr>
          <w:ilvl w:val="0"/>
          <w:numId w:val="31"/>
        </w:numPr>
        <w:ind w:left="714" w:hanging="357"/>
        <w:jc w:val="both"/>
      </w:pPr>
      <w:r w:rsidRPr="00B87D07">
        <w:t>zbirne podatke, po posamezni jurisdikciji, v kateri mednarodna skupina podjetij posluje: prihodek</w:t>
      </w:r>
      <w:r w:rsidR="007617D4" w:rsidRPr="00B87D07">
        <w:t xml:space="preserve"> (ločeno </w:t>
      </w:r>
      <w:r w:rsidR="00D54B36" w:rsidRPr="00B87D07">
        <w:t>za</w:t>
      </w:r>
      <w:r w:rsidR="007617D4" w:rsidRPr="00B87D07">
        <w:t xml:space="preserve"> nepovezane in povezane osebe ter skupni znesek</w:t>
      </w:r>
      <w:r w:rsidR="00DF4C96" w:rsidRPr="00B87D07">
        <w:t xml:space="preserve"> prihodkov</w:t>
      </w:r>
      <w:r w:rsidR="007617D4" w:rsidRPr="00B87D07">
        <w:t>)</w:t>
      </w:r>
      <w:r w:rsidRPr="00B87D07">
        <w:t>, dobiček (izguba) pred plačilom davka na dobiček, plačan in obračunan davek od dohodkov, izkazani kapital, nerazporejeni dobiček, število zaposlenih in vrednost opredmetenih sredstev razen denarja in denarnih ustreznikov;</w:t>
      </w:r>
    </w:p>
    <w:p w14:paraId="3A1445AD" w14:textId="77777777" w:rsidR="00220740" w:rsidRPr="00B87D07" w:rsidRDefault="00220740" w:rsidP="00685D96"/>
    <w:p w14:paraId="3A1445AE" w14:textId="77777777" w:rsidR="00F631C6" w:rsidRPr="00B87D07" w:rsidRDefault="000A6F92" w:rsidP="00685D96">
      <w:pPr>
        <w:pStyle w:val="Odstavekseznama"/>
        <w:numPr>
          <w:ilvl w:val="0"/>
          <w:numId w:val="31"/>
        </w:numPr>
        <w:ind w:left="714" w:hanging="357"/>
        <w:jc w:val="both"/>
      </w:pPr>
      <w:r w:rsidRPr="00B87D07">
        <w:t>o</w:t>
      </w:r>
      <w:r w:rsidR="00950794" w:rsidRPr="00B87D07">
        <w:t>predelitev posamezne osebe v sestavi mednarodne skupine podjetij: navedba davčne jurisdikcije in jurisdikcij</w:t>
      </w:r>
      <w:r w:rsidR="003323C8" w:rsidRPr="00B87D07">
        <w:t>e</w:t>
      </w:r>
      <w:r w:rsidR="00950794" w:rsidRPr="00B87D07">
        <w:t xml:space="preserve"> ustanovitve, če se </w:t>
      </w:r>
      <w:r w:rsidR="003323C8" w:rsidRPr="00B87D07">
        <w:t xml:space="preserve">le ta </w:t>
      </w:r>
      <w:r w:rsidR="00950794" w:rsidRPr="00B87D07">
        <w:t>razlikuje od davčne jurisdikcije, ter</w:t>
      </w:r>
      <w:r w:rsidR="003323C8" w:rsidRPr="00B87D07">
        <w:t xml:space="preserve"> navedbo</w:t>
      </w:r>
      <w:r w:rsidR="00950794" w:rsidRPr="00B87D07">
        <w:t xml:space="preserve"> vrst</w:t>
      </w:r>
      <w:r w:rsidR="00D54B36" w:rsidRPr="00B87D07">
        <w:t>e</w:t>
      </w:r>
      <w:r w:rsidR="00950794" w:rsidRPr="00B87D07">
        <w:t xml:space="preserve"> </w:t>
      </w:r>
      <w:r w:rsidR="002C20F2">
        <w:t xml:space="preserve">njene </w:t>
      </w:r>
      <w:r w:rsidR="00950794" w:rsidRPr="00B87D07">
        <w:t>glavn</w:t>
      </w:r>
      <w:r w:rsidR="003323C8" w:rsidRPr="00B87D07">
        <w:t>e</w:t>
      </w:r>
      <w:r w:rsidR="00950794" w:rsidRPr="00B87D07">
        <w:t xml:space="preserve"> poslovn</w:t>
      </w:r>
      <w:r w:rsidR="003323C8" w:rsidRPr="00B87D07">
        <w:t>e</w:t>
      </w:r>
      <w:r w:rsidR="00950794" w:rsidRPr="00B87D07">
        <w:t xml:space="preserve"> dejavnosti</w:t>
      </w:r>
      <w:r w:rsidR="00D5617A">
        <w:t xml:space="preserve">: </w:t>
      </w:r>
      <w:r w:rsidR="00D5617A" w:rsidRPr="001D3710">
        <w:t>raziskave in razvoj, lastništvo ali upravljanj</w:t>
      </w:r>
      <w:r w:rsidR="00D5617A">
        <w:t>e intelektualne lastnine, nabava ali naročila, izdelava ali proizvodnja, prodaja, trženje ali distribucija, upravljanje, vodenje ali podporne storitve, zagotavljanje storitev nepovezanim osebam, finančne storitve znotraj skupine, regulirane finančne storitve, zavarovalništvo, razpolaganje z delnicami ali drugimi lastniškimi instrumenti, mirujoč subjekt, drugo.</w:t>
      </w:r>
    </w:p>
    <w:p w14:paraId="3A1445AF" w14:textId="77777777" w:rsidR="00404B42" w:rsidRPr="00B87D07" w:rsidRDefault="00404B42" w:rsidP="00685D96">
      <w:pPr>
        <w:pStyle w:val="Odstavekseznama"/>
        <w:jc w:val="both"/>
      </w:pPr>
    </w:p>
    <w:p w14:paraId="3A1445B0" w14:textId="77777777" w:rsidR="00D5617A" w:rsidRPr="001D3710" w:rsidRDefault="00AC113F" w:rsidP="00685D96">
      <w:pPr>
        <w:pStyle w:val="Odstavekseznama"/>
        <w:numPr>
          <w:ilvl w:val="0"/>
          <w:numId w:val="31"/>
        </w:numPr>
        <w:ind w:left="714" w:hanging="357"/>
        <w:jc w:val="both"/>
      </w:pPr>
      <w:r>
        <w:t xml:space="preserve">V razdelku </w:t>
      </w:r>
      <w:r w:rsidR="00404B42" w:rsidRPr="00B87D07">
        <w:t xml:space="preserve">dodatne informacije </w:t>
      </w:r>
      <w:r>
        <w:t xml:space="preserve">poročevalec </w:t>
      </w:r>
      <w:r w:rsidRPr="00B87D07">
        <w:t xml:space="preserve"> </w:t>
      </w:r>
      <w:r w:rsidR="00404B42" w:rsidRPr="00B87D07">
        <w:t xml:space="preserve">v angleškem jeziku </w:t>
      </w:r>
      <w:r>
        <w:t xml:space="preserve">predvsem </w:t>
      </w:r>
      <w:r w:rsidR="00404B42" w:rsidRPr="00B87D07">
        <w:t>navede</w:t>
      </w:r>
      <w:r w:rsidR="00E04FE9">
        <w:t>:</w:t>
      </w:r>
    </w:p>
    <w:p w14:paraId="3A1445B1" w14:textId="77777777" w:rsidR="00D5617A" w:rsidRPr="001D3710" w:rsidRDefault="00D5617A" w:rsidP="00685D96">
      <w:pPr>
        <w:pStyle w:val="Odstavekseznama"/>
        <w:numPr>
          <w:ilvl w:val="0"/>
          <w:numId w:val="45"/>
        </w:numPr>
        <w:jc w:val="both"/>
      </w:pPr>
      <w:r w:rsidRPr="001D3710">
        <w:t>in</w:t>
      </w:r>
      <w:r w:rsidRPr="001D3710">
        <w:rPr>
          <w:lang w:val="x-none"/>
        </w:rPr>
        <w:t xml:space="preserve">formacije o viru podatkov </w:t>
      </w:r>
      <w:r w:rsidRPr="001D3710">
        <w:t>(poročila o konsolidiranih računovodskih izkazih, letna računovodska poročila, notranja računovodska poročila za poslovodno odločanje ali finančni izkazi za regulativne namene);</w:t>
      </w:r>
      <w:r w:rsidRPr="001D3710">
        <w:rPr>
          <w:lang w:val="x-none"/>
        </w:rPr>
        <w:t xml:space="preserve"> </w:t>
      </w:r>
    </w:p>
    <w:p w14:paraId="3A1445B2" w14:textId="77777777" w:rsidR="00D5617A" w:rsidRPr="001D3710" w:rsidRDefault="00D5617A" w:rsidP="00685D96">
      <w:pPr>
        <w:pStyle w:val="Odstavekseznama"/>
        <w:numPr>
          <w:ilvl w:val="0"/>
          <w:numId w:val="45"/>
        </w:numPr>
        <w:jc w:val="both"/>
      </w:pPr>
      <w:r w:rsidRPr="001D3710">
        <w:rPr>
          <w:lang w:val="x-none"/>
        </w:rPr>
        <w:t>informacije o spremembi vira podatkov z navedbo razlogov za spremembo in njene posledice;</w:t>
      </w:r>
    </w:p>
    <w:p w14:paraId="3A1445B3" w14:textId="77777777" w:rsidR="00D5617A" w:rsidRPr="001D3710" w:rsidRDefault="00D5617A" w:rsidP="00685D96">
      <w:pPr>
        <w:pStyle w:val="Odstavekseznama"/>
        <w:numPr>
          <w:ilvl w:val="0"/>
          <w:numId w:val="45"/>
        </w:numPr>
        <w:jc w:val="both"/>
        <w:rPr>
          <w:lang w:val="x-none"/>
        </w:rPr>
      </w:pPr>
      <w:r w:rsidRPr="001D3710">
        <w:rPr>
          <w:lang w:val="x-none"/>
        </w:rPr>
        <w:t xml:space="preserve">informacije o uporabljenem menjalnem tečaju </w:t>
      </w:r>
      <w:r w:rsidRPr="001D3710">
        <w:t>(</w:t>
      </w:r>
      <w:r w:rsidR="00B154B0">
        <w:t>v primeru druge valute</w:t>
      </w:r>
      <w:r w:rsidRPr="001D3710">
        <w:t xml:space="preserve"> kot EUR);</w:t>
      </w:r>
    </w:p>
    <w:p w14:paraId="3A1445B4" w14:textId="77777777" w:rsidR="00D5617A" w:rsidRPr="001D3710" w:rsidRDefault="00D5617A" w:rsidP="00685D96">
      <w:pPr>
        <w:pStyle w:val="Odstavekseznama"/>
        <w:numPr>
          <w:ilvl w:val="0"/>
          <w:numId w:val="45"/>
        </w:numPr>
        <w:jc w:val="both"/>
        <w:rPr>
          <w:lang w:val="x-none"/>
        </w:rPr>
      </w:pPr>
      <w:r w:rsidRPr="001D3710">
        <w:rPr>
          <w:lang w:val="x-none"/>
        </w:rPr>
        <w:t xml:space="preserve">informacije o načinu zajema podatkov oseb v sestavi in razloge za morebitno spremembo zajema podatkov in </w:t>
      </w:r>
    </w:p>
    <w:p w14:paraId="3A1445B5" w14:textId="77777777" w:rsidR="00D5617A" w:rsidRPr="001D3710" w:rsidRDefault="00D5617A" w:rsidP="00685D96">
      <w:pPr>
        <w:pStyle w:val="Odstavekseznama"/>
        <w:numPr>
          <w:ilvl w:val="0"/>
          <w:numId w:val="45"/>
        </w:numPr>
        <w:jc w:val="both"/>
        <w:rPr>
          <w:lang w:val="x-none"/>
        </w:rPr>
      </w:pPr>
      <w:r w:rsidRPr="001D3710">
        <w:rPr>
          <w:lang w:val="x-none"/>
        </w:rPr>
        <w:t>druge informacije v zvezi s sestavljanjem CbCR, za katere poročevalec meni, da so pomembne pri ocenjevanju tveganja zavezanca glede transfernih cen in tveganj, povezanih z zniževanjem davčne osnove in preusmerjanjem dobička</w:t>
      </w:r>
      <w:r w:rsidR="00483DF3">
        <w:t xml:space="preserve"> (med drugim naziv mednarodne skupine podjetij, če se razlikuje od naziva poročevalca)</w:t>
      </w:r>
      <w:r w:rsidRPr="001D3710">
        <w:rPr>
          <w:lang w:val="x-none"/>
        </w:rPr>
        <w:t>.</w:t>
      </w:r>
    </w:p>
    <w:p w14:paraId="3A1445B6" w14:textId="77777777" w:rsidR="00F631C6" w:rsidRPr="00D5617A" w:rsidRDefault="00F631C6" w:rsidP="00685D96">
      <w:pPr>
        <w:pStyle w:val="Odstavekseznama"/>
        <w:ind w:left="360"/>
        <w:jc w:val="both"/>
      </w:pPr>
    </w:p>
    <w:p w14:paraId="3A1445B7" w14:textId="77777777" w:rsidR="00382F72" w:rsidRPr="00B87D07" w:rsidRDefault="00382F72" w:rsidP="00685D96">
      <w:pPr>
        <w:pStyle w:val="FURSnaslov1"/>
        <w:jc w:val="both"/>
        <w:rPr>
          <w:lang w:val="sl-SI"/>
        </w:rPr>
      </w:pPr>
    </w:p>
    <w:p w14:paraId="3A1445B8" w14:textId="77777777" w:rsidR="00382F72" w:rsidRPr="00B87D07" w:rsidRDefault="00382F72" w:rsidP="00DC4738">
      <w:pPr>
        <w:pStyle w:val="Brezrazmikov"/>
        <w:jc w:val="both"/>
      </w:pPr>
      <w:r w:rsidRPr="00B87D07">
        <w:t xml:space="preserve">Vprašanje </w:t>
      </w:r>
      <w:r w:rsidR="00E10E4F" w:rsidRPr="00B87D07">
        <w:t>5</w:t>
      </w:r>
      <w:r w:rsidRPr="00B87D07">
        <w:t>: Kako je CbC poročilo treba predložiti Finančni upravi RS?</w:t>
      </w:r>
    </w:p>
    <w:p w14:paraId="3A1445B9" w14:textId="77777777" w:rsidR="00382F72" w:rsidRPr="00B87D07" w:rsidRDefault="00382F72" w:rsidP="00685D96">
      <w:pPr>
        <w:jc w:val="both"/>
        <w:rPr>
          <w:szCs w:val="20"/>
        </w:rPr>
      </w:pPr>
    </w:p>
    <w:p w14:paraId="3A1445BA" w14:textId="77777777" w:rsidR="00A9717C" w:rsidRDefault="00EA75FB" w:rsidP="00685D96">
      <w:pPr>
        <w:jc w:val="both"/>
        <w:rPr>
          <w:rStyle w:val="Hiperpovezava"/>
          <w:rFonts w:cs="Arial"/>
          <w:color w:val="auto"/>
          <w:szCs w:val="20"/>
          <w:u w:val="none"/>
        </w:rPr>
      </w:pPr>
      <w:r w:rsidRPr="00B87D07">
        <w:rPr>
          <w:szCs w:val="20"/>
        </w:rPr>
        <w:t>Poročevalec mednarodne skupine podjetij</w:t>
      </w:r>
      <w:r w:rsidR="00382F72" w:rsidRPr="00B87D07">
        <w:rPr>
          <w:szCs w:val="20"/>
        </w:rPr>
        <w:t>, rezident za davčne namene v RS,</w:t>
      </w:r>
      <w:r w:rsidRPr="00B87D07">
        <w:rPr>
          <w:szCs w:val="20"/>
        </w:rPr>
        <w:t xml:space="preserve"> </w:t>
      </w:r>
      <w:r w:rsidR="00E47B51" w:rsidRPr="00B87D07">
        <w:rPr>
          <w:szCs w:val="20"/>
        </w:rPr>
        <w:t>mora</w:t>
      </w:r>
      <w:r w:rsidR="008D7B77" w:rsidRPr="00B87D07">
        <w:rPr>
          <w:szCs w:val="20"/>
        </w:rPr>
        <w:t xml:space="preserve"> CbC poročilo predložiti</w:t>
      </w:r>
      <w:r w:rsidRPr="00B87D07">
        <w:rPr>
          <w:szCs w:val="20"/>
        </w:rPr>
        <w:t xml:space="preserve"> </w:t>
      </w:r>
      <w:r w:rsidR="00E47B51" w:rsidRPr="00B87D07">
        <w:rPr>
          <w:szCs w:val="20"/>
        </w:rPr>
        <w:t xml:space="preserve">Finančni </w:t>
      </w:r>
      <w:r w:rsidR="00FA46FF" w:rsidRPr="00B87D07">
        <w:rPr>
          <w:szCs w:val="20"/>
        </w:rPr>
        <w:t>u</w:t>
      </w:r>
      <w:r w:rsidR="00E47B51" w:rsidRPr="00B87D07">
        <w:rPr>
          <w:szCs w:val="20"/>
        </w:rPr>
        <w:t xml:space="preserve">pravi RS </w:t>
      </w:r>
      <w:r w:rsidR="00A9717C" w:rsidRPr="00B87D07">
        <w:rPr>
          <w:szCs w:val="20"/>
        </w:rPr>
        <w:t xml:space="preserve">v skladu </w:t>
      </w:r>
      <w:r w:rsidR="00E32281">
        <w:rPr>
          <w:szCs w:val="20"/>
        </w:rPr>
        <w:t xml:space="preserve">s </w:t>
      </w:r>
      <w:hyperlink r:id="rId34" w:history="1">
        <w:r w:rsidR="00E32281" w:rsidRPr="00243936">
          <w:rPr>
            <w:rStyle w:val="Hiperpovezava"/>
            <w:szCs w:val="20"/>
            <w:u w:val="none"/>
          </w:rPr>
          <w:t>Pravilnik</w:t>
        </w:r>
        <w:r w:rsidR="00E32281">
          <w:rPr>
            <w:rStyle w:val="Hiperpovezava"/>
            <w:szCs w:val="20"/>
            <w:u w:val="none"/>
          </w:rPr>
          <w:t>om</w:t>
        </w:r>
        <w:r w:rsidR="00E32281" w:rsidRPr="00243936">
          <w:rPr>
            <w:rStyle w:val="Hiperpovezava"/>
            <w:szCs w:val="20"/>
            <w:u w:val="none"/>
          </w:rPr>
          <w:t xml:space="preserve"> o izvajanju ZDavP-2</w:t>
        </w:r>
      </w:hyperlink>
      <w:r w:rsidR="00E32281">
        <w:rPr>
          <w:rStyle w:val="Hiperpovezava"/>
          <w:szCs w:val="20"/>
          <w:u w:val="none"/>
        </w:rPr>
        <w:t xml:space="preserve"> </w:t>
      </w:r>
      <w:r w:rsidR="00E32281" w:rsidRPr="00E32281">
        <w:rPr>
          <w:rStyle w:val="Hiperpovezava"/>
          <w:color w:val="auto"/>
          <w:szCs w:val="20"/>
          <w:u w:val="none"/>
        </w:rPr>
        <w:t>(</w:t>
      </w:r>
      <w:r w:rsidR="00E32281">
        <w:rPr>
          <w:rFonts w:cs="Arial"/>
          <w:szCs w:val="20"/>
        </w:rPr>
        <w:t xml:space="preserve">členi 86.c do 86.g) in </w:t>
      </w:r>
      <w:r w:rsidR="00A9717C" w:rsidRPr="00D759F5">
        <w:rPr>
          <w:rFonts w:cs="Arial"/>
          <w:szCs w:val="20"/>
        </w:rPr>
        <w:t xml:space="preserve">Navodilom </w:t>
      </w:r>
      <w:r w:rsidR="00A92F1C" w:rsidRPr="00D759F5">
        <w:rPr>
          <w:rFonts w:cs="Arial"/>
          <w:szCs w:val="20"/>
        </w:rPr>
        <w:t>o dostavi CbC poročil</w:t>
      </w:r>
      <w:r w:rsidR="00DD52BE" w:rsidRPr="00D759F5">
        <w:rPr>
          <w:rFonts w:cs="Arial"/>
          <w:szCs w:val="20"/>
        </w:rPr>
        <w:t>, ki</w:t>
      </w:r>
      <w:r w:rsidR="00A9717C" w:rsidRPr="00D759F5">
        <w:rPr>
          <w:rFonts w:cs="Arial"/>
          <w:szCs w:val="20"/>
        </w:rPr>
        <w:t xml:space="preserve"> je objavljeno v Prilogi 21 </w:t>
      </w:r>
      <w:r w:rsidR="00110711">
        <w:t>Pravilnika o izvajanju Z</w:t>
      </w:r>
      <w:r w:rsidR="00E81333">
        <w:t>DavP-2</w:t>
      </w:r>
      <w:r w:rsidR="00110711">
        <w:t xml:space="preserve"> (</w:t>
      </w:r>
      <w:r w:rsidR="00110711" w:rsidRPr="008622BF">
        <w:t xml:space="preserve">Ur. l. RS, št. </w:t>
      </w:r>
      <w:hyperlink r:id="rId35" w:history="1">
        <w:r w:rsidR="00110711" w:rsidRPr="00EE6ED0">
          <w:rPr>
            <w:rStyle w:val="Hiperpovezava"/>
            <w:u w:val="none"/>
          </w:rPr>
          <w:t>30/17</w:t>
        </w:r>
      </w:hyperlink>
      <w:r w:rsidR="00D13DA7" w:rsidRPr="008622BF">
        <w:t xml:space="preserve"> z dne 16. 6. 2017</w:t>
      </w:r>
      <w:r w:rsidR="00110711">
        <w:rPr>
          <w:rStyle w:val="Hiperpovezava"/>
          <w:rFonts w:cs="Arial"/>
          <w:color w:val="auto"/>
          <w:szCs w:val="20"/>
          <w:u w:val="none"/>
        </w:rPr>
        <w:t>).</w:t>
      </w:r>
      <w:r w:rsidR="009451FE">
        <w:rPr>
          <w:rStyle w:val="Hiperpovezava"/>
          <w:rFonts w:cs="Arial"/>
          <w:color w:val="auto"/>
          <w:szCs w:val="20"/>
          <w:u w:val="none"/>
        </w:rPr>
        <w:t xml:space="preserve"> Tehnične zahteve za pošiljanje CbC poročil pa so objavljene na spletni strani F</w:t>
      </w:r>
      <w:r w:rsidR="00D774A4">
        <w:rPr>
          <w:rStyle w:val="Hiperpovezava"/>
          <w:rFonts w:cs="Arial"/>
          <w:color w:val="auto"/>
          <w:szCs w:val="20"/>
          <w:u w:val="none"/>
        </w:rPr>
        <w:t xml:space="preserve">inančne uprave </w:t>
      </w:r>
      <w:r w:rsidR="009451FE">
        <w:rPr>
          <w:rStyle w:val="Hiperpovezava"/>
          <w:rFonts w:cs="Arial"/>
          <w:color w:val="auto"/>
          <w:szCs w:val="20"/>
          <w:u w:val="none"/>
        </w:rPr>
        <w:t xml:space="preserve">RS, </w:t>
      </w:r>
      <w:r w:rsidR="009451FE" w:rsidRPr="00B87D07">
        <w:t xml:space="preserve">na povezavi </w:t>
      </w:r>
      <w:hyperlink r:id="rId36" w:history="1">
        <w:r w:rsidR="009451FE" w:rsidRPr="00B87D07">
          <w:rPr>
            <w:rStyle w:val="Hiperpovezava"/>
            <w:rFonts w:cs="Arial"/>
            <w:color w:val="auto"/>
            <w:szCs w:val="20"/>
            <w:u w:val="none"/>
          </w:rPr>
          <w:t>www.fu.gov.si/cbcr</w:t>
        </w:r>
      </w:hyperlink>
      <w:r w:rsidR="009451FE">
        <w:rPr>
          <w:rFonts w:cs="Arial"/>
          <w:szCs w:val="20"/>
        </w:rPr>
        <w:t>,</w:t>
      </w:r>
      <w:r w:rsidR="009451FE">
        <w:rPr>
          <w:rStyle w:val="Hiperpovezava"/>
          <w:rFonts w:cs="Arial"/>
          <w:color w:val="auto"/>
          <w:szCs w:val="20"/>
          <w:u w:val="none"/>
        </w:rPr>
        <w:t xml:space="preserve"> v rubriki Tehnične informacije.</w:t>
      </w:r>
    </w:p>
    <w:p w14:paraId="682B39AB" w14:textId="77777777" w:rsidR="00DC4738" w:rsidRDefault="00DC4738" w:rsidP="00685D96">
      <w:pPr>
        <w:pStyle w:val="FURSnaslov1"/>
        <w:jc w:val="both"/>
        <w:rPr>
          <w:lang w:val="sl-SI"/>
        </w:rPr>
      </w:pPr>
    </w:p>
    <w:p w14:paraId="5D504E6E" w14:textId="77777777" w:rsidR="00DC4738" w:rsidRDefault="00DC4738" w:rsidP="00685D96">
      <w:pPr>
        <w:pStyle w:val="FURSnaslov1"/>
        <w:jc w:val="both"/>
        <w:rPr>
          <w:lang w:val="sl-SI"/>
        </w:rPr>
      </w:pPr>
    </w:p>
    <w:p w14:paraId="3A1445BC" w14:textId="77777777" w:rsidR="0097777A" w:rsidRPr="00B87D07" w:rsidRDefault="001470A8" w:rsidP="00DC4738">
      <w:pPr>
        <w:pStyle w:val="Brezrazmikov"/>
        <w:jc w:val="both"/>
      </w:pPr>
      <w:r w:rsidRPr="00B87D07">
        <w:t xml:space="preserve">Vprašanje </w:t>
      </w:r>
      <w:r w:rsidR="00E10E4F" w:rsidRPr="00B87D07">
        <w:t>6</w:t>
      </w:r>
      <w:r w:rsidRPr="00B87D07">
        <w:t>: Kdo je poročevalec</w:t>
      </w:r>
      <w:r w:rsidR="00D57ECA" w:rsidRPr="00B87D07">
        <w:t xml:space="preserve"> mednarodne skupine podjetij</w:t>
      </w:r>
      <w:r w:rsidR="0097777A" w:rsidRPr="00B87D07">
        <w:t xml:space="preserve"> in kakšni so roki glede predložitve CbC poročila Finančni upravi RS?</w:t>
      </w:r>
    </w:p>
    <w:p w14:paraId="3A1445BD" w14:textId="77777777" w:rsidR="001470A8" w:rsidRPr="00B87D07" w:rsidRDefault="001470A8" w:rsidP="00685D96">
      <w:pPr>
        <w:jc w:val="both"/>
        <w:rPr>
          <w:rFonts w:cs="Arial"/>
          <w:szCs w:val="20"/>
        </w:rPr>
      </w:pPr>
    </w:p>
    <w:p w14:paraId="3A1445BE" w14:textId="77777777" w:rsidR="006C12AC" w:rsidRPr="00F07530" w:rsidRDefault="003435B0" w:rsidP="00685D96">
      <w:pPr>
        <w:jc w:val="both"/>
        <w:rPr>
          <w:rFonts w:cs="Arial"/>
          <w:szCs w:val="20"/>
        </w:rPr>
      </w:pPr>
      <w:r w:rsidRPr="00B87D07">
        <w:rPr>
          <w:szCs w:val="20"/>
        </w:rPr>
        <w:t xml:space="preserve">V skladu </w:t>
      </w:r>
      <w:r w:rsidRPr="00D44B8B">
        <w:rPr>
          <w:szCs w:val="20"/>
        </w:rPr>
        <w:t>s tretjim odstavkom 255.i člena Z</w:t>
      </w:r>
      <w:r w:rsidR="0022611A" w:rsidRPr="00D44B8B">
        <w:rPr>
          <w:szCs w:val="20"/>
        </w:rPr>
        <w:t>D</w:t>
      </w:r>
      <w:r w:rsidRPr="00D44B8B">
        <w:rPr>
          <w:szCs w:val="20"/>
        </w:rPr>
        <w:t>avP-2</w:t>
      </w:r>
      <w:r w:rsidR="002D5510" w:rsidRPr="00D44B8B">
        <w:rPr>
          <w:rStyle w:val="Hiperpovezava"/>
          <w:color w:val="auto"/>
          <w:szCs w:val="20"/>
          <w:u w:val="none"/>
        </w:rPr>
        <w:t xml:space="preserve"> (</w:t>
      </w:r>
      <w:r w:rsidR="002D5510" w:rsidRPr="00D44B8B">
        <w:t xml:space="preserve">Ur. l. št. </w:t>
      </w:r>
      <w:hyperlink r:id="rId37" w:history="1">
        <w:r w:rsidR="002D5510" w:rsidRPr="00EE6ED0">
          <w:rPr>
            <w:rStyle w:val="Hiperpovezava"/>
            <w:u w:val="none"/>
          </w:rPr>
          <w:t>63/16</w:t>
        </w:r>
      </w:hyperlink>
      <w:r w:rsidR="002D5510" w:rsidRPr="00EE6ED0">
        <w:t>,</w:t>
      </w:r>
      <w:r w:rsidR="002D5510" w:rsidRPr="00D44B8B">
        <w:t xml:space="preserve"> z dne 7. 10. 2016</w:t>
      </w:r>
      <w:r w:rsidR="002D5510" w:rsidRPr="00D759F5">
        <w:t xml:space="preserve">) </w:t>
      </w:r>
      <w:r w:rsidRPr="00B87D07">
        <w:rPr>
          <w:szCs w:val="20"/>
        </w:rPr>
        <w:t xml:space="preserve">se </w:t>
      </w:r>
      <w:r w:rsidR="00ED4542">
        <w:rPr>
          <w:szCs w:val="20"/>
        </w:rPr>
        <w:t xml:space="preserve">v RS </w:t>
      </w:r>
      <w:r w:rsidRPr="00B87D07">
        <w:rPr>
          <w:szCs w:val="20"/>
        </w:rPr>
        <w:t>z</w:t>
      </w:r>
      <w:r w:rsidR="004A3B71" w:rsidRPr="00B87D07">
        <w:rPr>
          <w:szCs w:val="20"/>
        </w:rPr>
        <w:t>a poročevalca</w:t>
      </w:r>
      <w:r w:rsidR="00627AD6" w:rsidRPr="00B87D07">
        <w:rPr>
          <w:szCs w:val="20"/>
        </w:rPr>
        <w:t xml:space="preserve"> </w:t>
      </w:r>
      <w:r w:rsidR="004A3B71" w:rsidRPr="00B87D07">
        <w:rPr>
          <w:szCs w:val="20"/>
        </w:rPr>
        <w:t>šteje krovno matično podjetje</w:t>
      </w:r>
      <w:r w:rsidR="00617A74" w:rsidRPr="00B87D07">
        <w:rPr>
          <w:szCs w:val="20"/>
        </w:rPr>
        <w:t xml:space="preserve">, ki je rezident za davčne namene v </w:t>
      </w:r>
      <w:r w:rsidR="00D61DCE">
        <w:rPr>
          <w:szCs w:val="20"/>
        </w:rPr>
        <w:t>R</w:t>
      </w:r>
      <w:r w:rsidR="00617A74" w:rsidRPr="00B87D07">
        <w:rPr>
          <w:szCs w:val="20"/>
        </w:rPr>
        <w:t>S</w:t>
      </w:r>
      <w:r w:rsidR="00D61DCE">
        <w:rPr>
          <w:szCs w:val="20"/>
        </w:rPr>
        <w:t>.</w:t>
      </w:r>
      <w:r w:rsidR="004A3B71" w:rsidRPr="00B87D07">
        <w:rPr>
          <w:szCs w:val="20"/>
        </w:rPr>
        <w:t xml:space="preserve"> Krovno matično podjetje </w:t>
      </w:r>
      <w:r w:rsidR="00B56C84" w:rsidRPr="00B87D07">
        <w:rPr>
          <w:szCs w:val="20"/>
        </w:rPr>
        <w:t xml:space="preserve">je </w:t>
      </w:r>
      <w:r w:rsidR="004A3B71" w:rsidRPr="00B87D07">
        <w:rPr>
          <w:szCs w:val="20"/>
        </w:rPr>
        <w:t xml:space="preserve">obvezno </w:t>
      </w:r>
      <w:r w:rsidR="005A4420" w:rsidRPr="00B87D07">
        <w:rPr>
          <w:szCs w:val="20"/>
        </w:rPr>
        <w:t>Finančni upravi</w:t>
      </w:r>
      <w:r w:rsidR="001376CB" w:rsidRPr="00B87D07">
        <w:rPr>
          <w:szCs w:val="20"/>
        </w:rPr>
        <w:t xml:space="preserve"> RS </w:t>
      </w:r>
      <w:r w:rsidR="0087094B" w:rsidRPr="009C4158">
        <w:rPr>
          <w:b/>
          <w:szCs w:val="20"/>
        </w:rPr>
        <w:t xml:space="preserve">prvič </w:t>
      </w:r>
      <w:r w:rsidR="004A3B71" w:rsidRPr="009C4158">
        <w:rPr>
          <w:b/>
          <w:szCs w:val="20"/>
        </w:rPr>
        <w:t>predloži</w:t>
      </w:r>
      <w:r w:rsidR="00C86102" w:rsidRPr="009C4158">
        <w:rPr>
          <w:b/>
          <w:szCs w:val="20"/>
        </w:rPr>
        <w:t>ti</w:t>
      </w:r>
      <w:r w:rsidR="004A3B71" w:rsidRPr="009C4158">
        <w:rPr>
          <w:b/>
          <w:szCs w:val="20"/>
        </w:rPr>
        <w:t xml:space="preserve"> CbC poročilo</w:t>
      </w:r>
      <w:r w:rsidR="004A3B71" w:rsidRPr="00B87D07">
        <w:rPr>
          <w:szCs w:val="20"/>
        </w:rPr>
        <w:t xml:space="preserve"> </w:t>
      </w:r>
      <w:r w:rsidR="009C4158" w:rsidRPr="009C4158">
        <w:rPr>
          <w:b/>
          <w:szCs w:val="20"/>
        </w:rPr>
        <w:t>do 31. 12. 2017</w:t>
      </w:r>
      <w:r w:rsidR="009C4158">
        <w:rPr>
          <w:szCs w:val="20"/>
        </w:rPr>
        <w:t xml:space="preserve"> </w:t>
      </w:r>
      <w:r w:rsidR="000549E7" w:rsidRPr="00B4519D">
        <w:rPr>
          <w:b/>
          <w:szCs w:val="20"/>
        </w:rPr>
        <w:t>za p</w:t>
      </w:r>
      <w:r w:rsidR="000549E7" w:rsidRPr="000549E7">
        <w:rPr>
          <w:b/>
          <w:szCs w:val="20"/>
        </w:rPr>
        <w:t>oslovno leto</w:t>
      </w:r>
      <w:r w:rsidR="008E1791">
        <w:rPr>
          <w:b/>
          <w:szCs w:val="20"/>
        </w:rPr>
        <w:t xml:space="preserve"> </w:t>
      </w:r>
      <w:r w:rsidR="000549E7" w:rsidRPr="000549E7">
        <w:rPr>
          <w:b/>
          <w:szCs w:val="20"/>
        </w:rPr>
        <w:t>2016</w:t>
      </w:r>
      <w:r w:rsidR="000549E7">
        <w:rPr>
          <w:szCs w:val="20"/>
        </w:rPr>
        <w:t xml:space="preserve"> (</w:t>
      </w:r>
      <w:r w:rsidR="00753A9B">
        <w:rPr>
          <w:szCs w:val="20"/>
        </w:rPr>
        <w:t xml:space="preserve">če je </w:t>
      </w:r>
      <w:r w:rsidR="009C0616">
        <w:rPr>
          <w:szCs w:val="20"/>
        </w:rPr>
        <w:t>poslovno leto</w:t>
      </w:r>
      <w:r w:rsidR="008E1791">
        <w:rPr>
          <w:szCs w:val="20"/>
        </w:rPr>
        <w:t xml:space="preserve"> </w:t>
      </w:r>
      <w:r w:rsidR="009C0616">
        <w:rPr>
          <w:szCs w:val="20"/>
        </w:rPr>
        <w:t xml:space="preserve">enako koledarskemu letu in </w:t>
      </w:r>
      <w:r w:rsidR="000549E7">
        <w:rPr>
          <w:szCs w:val="20"/>
        </w:rPr>
        <w:t xml:space="preserve">traja </w:t>
      </w:r>
      <w:r w:rsidR="000549E7" w:rsidRPr="000549E7">
        <w:rPr>
          <w:szCs w:val="20"/>
        </w:rPr>
        <w:t xml:space="preserve">od </w:t>
      </w:r>
      <w:r w:rsidR="001376CB" w:rsidRPr="000549E7">
        <w:rPr>
          <w:szCs w:val="20"/>
        </w:rPr>
        <w:t>1. januarju 2016</w:t>
      </w:r>
      <w:r w:rsidR="000549E7" w:rsidRPr="000549E7">
        <w:rPr>
          <w:szCs w:val="20"/>
        </w:rPr>
        <w:t xml:space="preserve"> do 31. decembra 2016)</w:t>
      </w:r>
      <w:r w:rsidR="00B4519D">
        <w:rPr>
          <w:szCs w:val="20"/>
        </w:rPr>
        <w:t xml:space="preserve">, ali </w:t>
      </w:r>
      <w:r w:rsidR="00B4519D" w:rsidRPr="00B87D07">
        <w:rPr>
          <w:szCs w:val="20"/>
        </w:rPr>
        <w:t xml:space="preserve">najpozneje v 12 mesecih od zadnjega dne poslovnega leta </w:t>
      </w:r>
      <w:r w:rsidR="00B4519D">
        <w:rPr>
          <w:szCs w:val="20"/>
        </w:rPr>
        <w:t>mednarodne skupine podjetij.</w:t>
      </w:r>
    </w:p>
    <w:p w14:paraId="3A1445BF" w14:textId="77777777" w:rsidR="00FB6136" w:rsidRPr="00F07530" w:rsidRDefault="00FB6136" w:rsidP="00685D96">
      <w:pPr>
        <w:jc w:val="both"/>
        <w:rPr>
          <w:rFonts w:cs="Arial"/>
          <w:szCs w:val="20"/>
        </w:rPr>
      </w:pPr>
    </w:p>
    <w:p w14:paraId="3A1445C0" w14:textId="77777777" w:rsidR="000549E7" w:rsidRDefault="00D61DCE" w:rsidP="00685D96">
      <w:pPr>
        <w:jc w:val="both"/>
      </w:pPr>
      <w:r>
        <w:rPr>
          <w:rFonts w:cs="Arial"/>
          <w:szCs w:val="20"/>
        </w:rPr>
        <w:t xml:space="preserve">V skladu </w:t>
      </w:r>
      <w:r w:rsidRPr="00D44B8B">
        <w:rPr>
          <w:szCs w:val="20"/>
        </w:rPr>
        <w:t>s četrtim odstavkom 255.i člena ZDavP-2</w:t>
      </w:r>
      <w:r>
        <w:rPr>
          <w:rStyle w:val="Hiperpovezava"/>
          <w:szCs w:val="20"/>
          <w:u w:val="none"/>
        </w:rPr>
        <w:t xml:space="preserve"> </w:t>
      </w:r>
      <w:r w:rsidRPr="00D44B8B">
        <w:rPr>
          <w:rStyle w:val="Hiperpovezava"/>
          <w:color w:val="auto"/>
          <w:szCs w:val="20"/>
          <w:u w:val="none"/>
        </w:rPr>
        <w:t>(</w:t>
      </w:r>
      <w:r w:rsidRPr="00D44B8B">
        <w:t xml:space="preserve">Ur. l. št. </w:t>
      </w:r>
      <w:hyperlink r:id="rId38" w:history="1">
        <w:r w:rsidR="00D44B8B" w:rsidRPr="00EE6ED0">
          <w:rPr>
            <w:rStyle w:val="Hiperpovezava"/>
            <w:u w:val="none"/>
          </w:rPr>
          <w:t>63/16</w:t>
        </w:r>
      </w:hyperlink>
      <w:r w:rsidRPr="00EE6ED0">
        <w:t>,</w:t>
      </w:r>
      <w:r w:rsidRPr="00D44B8B">
        <w:t xml:space="preserve"> z dne 7. 10. 2016</w:t>
      </w:r>
      <w:r w:rsidRPr="00D759F5">
        <w:t xml:space="preserve">) </w:t>
      </w:r>
      <w:r>
        <w:t xml:space="preserve">se v RS za poročevalca šteje tudi oseba v sestavi ali nadomestno matično podjetje, ki je </w:t>
      </w:r>
      <w:r w:rsidR="000549E7">
        <w:t xml:space="preserve">rezident za davčne namene v RS pod pogoji in v skladu z oddelkom II Priloge III </w:t>
      </w:r>
      <w:r w:rsidR="00197D33">
        <w:t>DAC4</w:t>
      </w:r>
      <w:r w:rsidR="000549E7">
        <w:t xml:space="preserve"> in ZDavP-2.</w:t>
      </w:r>
    </w:p>
    <w:p w14:paraId="3A1445C1" w14:textId="77777777" w:rsidR="000549E7" w:rsidRDefault="000549E7" w:rsidP="00685D96">
      <w:pPr>
        <w:jc w:val="both"/>
      </w:pPr>
    </w:p>
    <w:p w14:paraId="3A1445C2" w14:textId="77777777" w:rsidR="00635A75" w:rsidRPr="00B87D07" w:rsidRDefault="00E94808" w:rsidP="00635A75">
      <w:pPr>
        <w:jc w:val="both"/>
        <w:rPr>
          <w:rFonts w:cs="Arial"/>
          <w:szCs w:val="20"/>
        </w:rPr>
      </w:pPr>
      <w:r w:rsidRPr="00F07530">
        <w:rPr>
          <w:rFonts w:cs="Arial"/>
          <w:szCs w:val="20"/>
        </w:rPr>
        <w:t>V primeru,</w:t>
      </w:r>
      <w:r w:rsidRPr="00B87D07">
        <w:rPr>
          <w:rFonts w:cs="Arial"/>
          <w:szCs w:val="20"/>
        </w:rPr>
        <w:t xml:space="preserve"> </w:t>
      </w:r>
      <w:r w:rsidR="00DD28B8" w:rsidRPr="00B87D07">
        <w:rPr>
          <w:rFonts w:cs="Arial"/>
          <w:szCs w:val="20"/>
        </w:rPr>
        <w:t>če</w:t>
      </w:r>
      <w:r w:rsidR="00103232">
        <w:rPr>
          <w:rFonts w:cs="Arial"/>
          <w:szCs w:val="20"/>
        </w:rPr>
        <w:t xml:space="preserve"> je</w:t>
      </w:r>
      <w:r w:rsidRPr="00B87D07">
        <w:rPr>
          <w:rFonts w:cs="Arial"/>
          <w:szCs w:val="20"/>
        </w:rPr>
        <w:t xml:space="preserve"> </w:t>
      </w:r>
      <w:r w:rsidR="00103232">
        <w:rPr>
          <w:rFonts w:cs="Arial"/>
          <w:szCs w:val="20"/>
        </w:rPr>
        <w:t xml:space="preserve">oseba v sestavi, rezident za davčne namene v RS, imenovana za poročevalca s strani mednarodne skupine podjetij (četrti odstavek točke 1 oddelka II </w:t>
      </w:r>
      <w:r w:rsidR="008E1791">
        <w:rPr>
          <w:rFonts w:cs="Arial"/>
          <w:szCs w:val="20"/>
        </w:rPr>
        <w:t>Priloge</w:t>
      </w:r>
      <w:r w:rsidR="00103232">
        <w:rPr>
          <w:rFonts w:cs="Arial"/>
          <w:szCs w:val="20"/>
        </w:rPr>
        <w:t xml:space="preserve"> III</w:t>
      </w:r>
      <w:r w:rsidR="00197D33">
        <w:rPr>
          <w:rFonts w:cs="Arial"/>
          <w:szCs w:val="20"/>
        </w:rPr>
        <w:t xml:space="preserve"> DAC4</w:t>
      </w:r>
      <w:r w:rsidR="00103232">
        <w:rPr>
          <w:rFonts w:cs="Arial"/>
          <w:szCs w:val="20"/>
        </w:rPr>
        <w:t>)</w:t>
      </w:r>
      <w:r w:rsidR="009269DC">
        <w:rPr>
          <w:rFonts w:cs="Arial"/>
          <w:szCs w:val="20"/>
        </w:rPr>
        <w:t>,</w:t>
      </w:r>
      <w:r w:rsidR="00103232">
        <w:rPr>
          <w:rFonts w:cs="Arial"/>
          <w:szCs w:val="20"/>
        </w:rPr>
        <w:t xml:space="preserve"> </w:t>
      </w:r>
      <w:r w:rsidR="00197D33">
        <w:rPr>
          <w:rFonts w:cs="Arial"/>
          <w:szCs w:val="20"/>
        </w:rPr>
        <w:t xml:space="preserve">oziroma </w:t>
      </w:r>
      <w:r w:rsidR="00103232">
        <w:rPr>
          <w:rFonts w:cs="Arial"/>
          <w:szCs w:val="20"/>
        </w:rPr>
        <w:t>oseba v sestavi</w:t>
      </w:r>
      <w:r w:rsidR="00197D33">
        <w:rPr>
          <w:rFonts w:cs="Arial"/>
          <w:szCs w:val="20"/>
        </w:rPr>
        <w:t>, rezident za davčne namene v RS sicer</w:t>
      </w:r>
      <w:r w:rsidR="00103232">
        <w:rPr>
          <w:rFonts w:cs="Arial"/>
          <w:szCs w:val="20"/>
        </w:rPr>
        <w:t xml:space="preserve"> ni imenovana za poročevalca s strani mednarodne skupine podjetij, vendar je zavezana k </w:t>
      </w:r>
      <w:r w:rsidR="00197D33">
        <w:rPr>
          <w:rFonts w:cs="Arial"/>
          <w:szCs w:val="20"/>
        </w:rPr>
        <w:t>predložitvi CbCR,</w:t>
      </w:r>
      <w:r w:rsidR="00103232">
        <w:rPr>
          <w:rFonts w:cs="Arial"/>
          <w:szCs w:val="20"/>
        </w:rPr>
        <w:t xml:space="preserve"> ker za to mednarodno skupino podjetij ne poroča noben</w:t>
      </w:r>
      <w:r w:rsidR="00197D33">
        <w:rPr>
          <w:rFonts w:cs="Arial"/>
          <w:szCs w:val="20"/>
        </w:rPr>
        <w:t>a druga oseba v sestavi (točka 1 oddelka</w:t>
      </w:r>
      <w:r w:rsidR="00103232">
        <w:rPr>
          <w:rFonts w:cs="Arial"/>
          <w:szCs w:val="20"/>
        </w:rPr>
        <w:t xml:space="preserve"> II </w:t>
      </w:r>
      <w:r w:rsidR="00197D33">
        <w:rPr>
          <w:rFonts w:cs="Arial"/>
          <w:szCs w:val="20"/>
        </w:rPr>
        <w:t>Priloge</w:t>
      </w:r>
      <w:r w:rsidR="00103232">
        <w:rPr>
          <w:rFonts w:cs="Arial"/>
          <w:szCs w:val="20"/>
        </w:rPr>
        <w:t xml:space="preserve"> III</w:t>
      </w:r>
      <w:r w:rsidR="00197D33">
        <w:rPr>
          <w:rFonts w:cs="Arial"/>
          <w:szCs w:val="20"/>
        </w:rPr>
        <w:t xml:space="preserve"> DAC4), </w:t>
      </w:r>
      <w:r w:rsidR="00103232">
        <w:rPr>
          <w:rFonts w:cs="Arial"/>
          <w:szCs w:val="20"/>
        </w:rPr>
        <w:t xml:space="preserve">(prva predložitev CbC poročila </w:t>
      </w:r>
      <w:r w:rsidR="00197D33">
        <w:rPr>
          <w:rFonts w:cs="Arial"/>
          <w:szCs w:val="20"/>
        </w:rPr>
        <w:t>d</w:t>
      </w:r>
      <w:r w:rsidR="00103232">
        <w:rPr>
          <w:rFonts w:cs="Arial"/>
          <w:szCs w:val="20"/>
        </w:rPr>
        <w:t>o 31. 12. 2018</w:t>
      </w:r>
      <w:r w:rsidR="00197D33">
        <w:rPr>
          <w:rFonts w:cs="Arial"/>
          <w:szCs w:val="20"/>
        </w:rPr>
        <w:t xml:space="preserve"> za poslovno leto 2017</w:t>
      </w:r>
      <w:r w:rsidR="00103232">
        <w:rPr>
          <w:rFonts w:cs="Arial"/>
          <w:szCs w:val="20"/>
        </w:rPr>
        <w:t>)</w:t>
      </w:r>
      <w:r w:rsidR="004F3439" w:rsidRPr="00B87D07">
        <w:rPr>
          <w:rFonts w:cs="Arial"/>
          <w:szCs w:val="20"/>
        </w:rPr>
        <w:t>,</w:t>
      </w:r>
      <w:r w:rsidRPr="00B87D07">
        <w:rPr>
          <w:rFonts w:cs="Arial"/>
          <w:szCs w:val="20"/>
        </w:rPr>
        <w:t xml:space="preserve"> </w:t>
      </w:r>
      <w:r w:rsidR="00D0107A" w:rsidRPr="00B87D07">
        <w:rPr>
          <w:rFonts w:cs="Arial"/>
          <w:szCs w:val="20"/>
        </w:rPr>
        <w:t xml:space="preserve">predloži </w:t>
      </w:r>
      <w:r w:rsidR="00187925" w:rsidRPr="00B87D07">
        <w:rPr>
          <w:szCs w:val="20"/>
        </w:rPr>
        <w:t xml:space="preserve">CbC </w:t>
      </w:r>
      <w:r w:rsidR="005A4420" w:rsidRPr="00B87D07">
        <w:rPr>
          <w:szCs w:val="20"/>
        </w:rPr>
        <w:t xml:space="preserve">poročilo </w:t>
      </w:r>
      <w:r w:rsidR="00187925" w:rsidRPr="00B87D07">
        <w:rPr>
          <w:szCs w:val="20"/>
        </w:rPr>
        <w:t xml:space="preserve">v skladu </w:t>
      </w:r>
      <w:r w:rsidR="00635A75">
        <w:rPr>
          <w:szCs w:val="20"/>
        </w:rPr>
        <w:t xml:space="preserve">s </w:t>
      </w:r>
      <w:r w:rsidR="002000FE" w:rsidRPr="004B5051">
        <w:rPr>
          <w:szCs w:val="20"/>
        </w:rPr>
        <w:t>Pravilnikom o izvajanju ZDavP-2</w:t>
      </w:r>
      <w:r w:rsidR="002000FE">
        <w:t xml:space="preserve"> </w:t>
      </w:r>
      <w:r w:rsidR="00635A75" w:rsidRPr="00E32281">
        <w:rPr>
          <w:rStyle w:val="Hiperpovezava"/>
          <w:color w:val="auto"/>
          <w:szCs w:val="20"/>
          <w:u w:val="none"/>
        </w:rPr>
        <w:t>(</w:t>
      </w:r>
      <w:r w:rsidR="007D2DD8">
        <w:rPr>
          <w:rStyle w:val="Hiperpovezava"/>
          <w:color w:val="auto"/>
          <w:szCs w:val="20"/>
          <w:u w:val="none"/>
        </w:rPr>
        <w:t xml:space="preserve">členi </w:t>
      </w:r>
      <w:r w:rsidR="007D2DD8" w:rsidRPr="005E1CB8">
        <w:t>86.</w:t>
      </w:r>
      <w:r w:rsidR="007D2DD8">
        <w:t>c</w:t>
      </w:r>
      <w:r w:rsidR="007D2DD8" w:rsidRPr="005E1CB8">
        <w:t xml:space="preserve"> </w:t>
      </w:r>
      <w:r w:rsidR="007D2DD8">
        <w:t>– 86.d in 86.f – 86.g</w:t>
      </w:r>
      <w:r w:rsidR="00635A75">
        <w:rPr>
          <w:rFonts w:cs="Arial"/>
          <w:szCs w:val="20"/>
        </w:rPr>
        <w:t xml:space="preserve">) in </w:t>
      </w:r>
      <w:r w:rsidR="00635A75" w:rsidRPr="00D759F5">
        <w:rPr>
          <w:rFonts w:cs="Arial"/>
          <w:szCs w:val="20"/>
        </w:rPr>
        <w:t xml:space="preserve">Navodilom o dostavi CbC poročil, ki je objavljeno v Prilogi 21 </w:t>
      </w:r>
      <w:r w:rsidR="00635A75">
        <w:t>Pravilnika o izvajanju ZDavP-2 (</w:t>
      </w:r>
      <w:r w:rsidR="00635A75" w:rsidRPr="007C0BC0">
        <w:t xml:space="preserve">Ur. l. RS, št. </w:t>
      </w:r>
      <w:hyperlink r:id="rId39" w:history="1">
        <w:r w:rsidR="007C0BC0" w:rsidRPr="00EE6ED0">
          <w:rPr>
            <w:rStyle w:val="Hiperpovezava"/>
            <w:u w:val="none"/>
          </w:rPr>
          <w:t>30/17</w:t>
        </w:r>
      </w:hyperlink>
      <w:r w:rsidR="007C0BC0">
        <w:t xml:space="preserve"> </w:t>
      </w:r>
      <w:r w:rsidR="00635A75" w:rsidRPr="007C0BC0">
        <w:t>z dne 16. 6. 2017</w:t>
      </w:r>
      <w:r w:rsidR="00635A75">
        <w:rPr>
          <w:rStyle w:val="Hiperpovezava"/>
          <w:rFonts w:cs="Arial"/>
          <w:color w:val="auto"/>
          <w:szCs w:val="20"/>
          <w:u w:val="none"/>
        </w:rPr>
        <w:t>).</w:t>
      </w:r>
    </w:p>
    <w:p w14:paraId="3A1445C3" w14:textId="77777777" w:rsidR="003D2ACC" w:rsidRDefault="003D2ACC" w:rsidP="00685D96">
      <w:pPr>
        <w:jc w:val="both"/>
        <w:rPr>
          <w:szCs w:val="20"/>
        </w:rPr>
      </w:pPr>
    </w:p>
    <w:p w14:paraId="3A1445C4" w14:textId="77777777" w:rsidR="00BB4AEC" w:rsidRPr="00B87D07" w:rsidRDefault="00BB4AEC" w:rsidP="00685D96">
      <w:pPr>
        <w:jc w:val="both"/>
        <w:rPr>
          <w:szCs w:val="20"/>
        </w:rPr>
      </w:pPr>
      <w:r>
        <w:rPr>
          <w:szCs w:val="20"/>
        </w:rPr>
        <w:t>Osebe</w:t>
      </w:r>
      <w:r w:rsidR="0070583E">
        <w:rPr>
          <w:szCs w:val="20"/>
        </w:rPr>
        <w:t xml:space="preserve"> v sestavi</w:t>
      </w:r>
      <w:r>
        <w:rPr>
          <w:szCs w:val="20"/>
        </w:rPr>
        <w:t xml:space="preserve"> iz </w:t>
      </w:r>
      <w:r w:rsidRPr="00D44B8B">
        <w:rPr>
          <w:szCs w:val="20"/>
        </w:rPr>
        <w:t>četrt</w:t>
      </w:r>
      <w:r>
        <w:rPr>
          <w:szCs w:val="20"/>
        </w:rPr>
        <w:t xml:space="preserve">ega </w:t>
      </w:r>
      <w:r w:rsidRPr="00D44B8B">
        <w:rPr>
          <w:szCs w:val="20"/>
        </w:rPr>
        <w:t>odstavk</w:t>
      </w:r>
      <w:r>
        <w:rPr>
          <w:szCs w:val="20"/>
        </w:rPr>
        <w:t xml:space="preserve">a </w:t>
      </w:r>
      <w:r w:rsidRPr="00D44B8B">
        <w:rPr>
          <w:szCs w:val="20"/>
        </w:rPr>
        <w:t>255.i člena ZDavP-2</w:t>
      </w:r>
      <w:r>
        <w:rPr>
          <w:szCs w:val="20"/>
        </w:rPr>
        <w:t xml:space="preserve"> </w:t>
      </w:r>
      <w:r w:rsidR="006C0056">
        <w:rPr>
          <w:szCs w:val="20"/>
        </w:rPr>
        <w:t xml:space="preserve">načeloma </w:t>
      </w:r>
      <w:r>
        <w:rPr>
          <w:szCs w:val="20"/>
        </w:rPr>
        <w:t xml:space="preserve">predložijo CbC poročilo  </w:t>
      </w:r>
      <w:r w:rsidR="00C44C39">
        <w:t>do 31.12.</w:t>
      </w:r>
      <w:r>
        <w:t>2018</w:t>
      </w:r>
      <w:r w:rsidR="006C0056">
        <w:t xml:space="preserve"> </w:t>
      </w:r>
      <w:r w:rsidR="006C0056" w:rsidRPr="006C0056">
        <w:t>(če je poslovno leto enako koledarskemu letu, sicer pa v 12 mesecih po koncu poslovnega leta)</w:t>
      </w:r>
      <w:r>
        <w:t xml:space="preserve"> za poslovno leto</w:t>
      </w:r>
      <w:r w:rsidRPr="00BB4AEC">
        <w:rPr>
          <w:szCs w:val="20"/>
        </w:rPr>
        <w:t>, ki se začne 1. januarja 2017 ali po njem.</w:t>
      </w:r>
    </w:p>
    <w:p w14:paraId="3A1445C5" w14:textId="77777777" w:rsidR="00E20C88" w:rsidRDefault="00E20C88" w:rsidP="00685D96">
      <w:pPr>
        <w:jc w:val="both"/>
        <w:rPr>
          <w:szCs w:val="20"/>
        </w:rPr>
      </w:pPr>
    </w:p>
    <w:p w14:paraId="28EEAD66" w14:textId="77777777" w:rsidR="001A1C59" w:rsidRPr="00B87D07" w:rsidRDefault="001A1C59" w:rsidP="00685D96">
      <w:pPr>
        <w:jc w:val="both"/>
        <w:rPr>
          <w:szCs w:val="20"/>
        </w:rPr>
      </w:pPr>
    </w:p>
    <w:p w14:paraId="3A1445C6" w14:textId="77777777" w:rsidR="00A56AEE" w:rsidRPr="00B87D07" w:rsidRDefault="00EA75FB" w:rsidP="00DC4738">
      <w:pPr>
        <w:pStyle w:val="Brezrazmikov"/>
        <w:jc w:val="both"/>
      </w:pPr>
      <w:bookmarkStart w:id="6" w:name="_Toc468447236"/>
      <w:r w:rsidRPr="00B87D07">
        <w:t>Vprašanje</w:t>
      </w:r>
      <w:r w:rsidR="003D48A1" w:rsidRPr="00B87D07">
        <w:t xml:space="preserve"> </w:t>
      </w:r>
      <w:r w:rsidR="006D2AE1" w:rsidRPr="00B87D07">
        <w:t>7</w:t>
      </w:r>
      <w:r w:rsidRPr="00B87D07">
        <w:t>: K</w:t>
      </w:r>
      <w:r w:rsidR="004B0CA5" w:rsidRPr="00B87D07">
        <w:t>daj se za poročevalca</w:t>
      </w:r>
      <w:r w:rsidR="006D4A13" w:rsidRPr="00B87D07">
        <w:t xml:space="preserve"> mednarodne skupine podjetij</w:t>
      </w:r>
      <w:r w:rsidR="004B0CA5" w:rsidRPr="00B87D07">
        <w:t xml:space="preserve"> šteje oseba v sestavi</w:t>
      </w:r>
      <w:r w:rsidR="00165308" w:rsidRPr="00B87D07">
        <w:t xml:space="preserve"> </w:t>
      </w:r>
      <w:bookmarkEnd w:id="6"/>
      <w:r w:rsidR="00622B2C">
        <w:t>rezident za davčne namene v RS</w:t>
      </w:r>
      <w:r w:rsidR="00A56AEE" w:rsidRPr="00B87D07">
        <w:t>?</w:t>
      </w:r>
    </w:p>
    <w:p w14:paraId="3A1445C7" w14:textId="77777777" w:rsidR="00A56AEE" w:rsidRPr="00B87D07" w:rsidRDefault="00A56AEE" w:rsidP="00685D96">
      <w:pPr>
        <w:pStyle w:val="FURSnaslov1"/>
        <w:jc w:val="both"/>
        <w:rPr>
          <w:lang w:val="sl-SI"/>
        </w:rPr>
      </w:pPr>
    </w:p>
    <w:p w14:paraId="3A1445C8" w14:textId="77777777" w:rsidR="00FB793D" w:rsidRDefault="00DF351E" w:rsidP="00685D96">
      <w:pPr>
        <w:jc w:val="both"/>
        <w:rPr>
          <w:szCs w:val="20"/>
        </w:rPr>
      </w:pPr>
      <w:r w:rsidRPr="00B87D07">
        <w:rPr>
          <w:b/>
          <w:szCs w:val="20"/>
        </w:rPr>
        <w:t xml:space="preserve">V skladu s točko 1 oddelka II Priloge III </w:t>
      </w:r>
      <w:hyperlink r:id="rId40" w:history="1">
        <w:r w:rsidRPr="007F18B9">
          <w:rPr>
            <w:rStyle w:val="Hiperpovezava"/>
            <w:b/>
            <w:szCs w:val="20"/>
            <w:u w:val="none"/>
          </w:rPr>
          <w:t>DAC4</w:t>
        </w:r>
      </w:hyperlink>
      <w:r w:rsidRPr="00B87D07">
        <w:rPr>
          <w:szCs w:val="20"/>
        </w:rPr>
        <w:t xml:space="preserve"> </w:t>
      </w:r>
      <w:r w:rsidR="0059464F" w:rsidRPr="00B87D07">
        <w:rPr>
          <w:rFonts w:cs="Arial"/>
          <w:szCs w:val="20"/>
        </w:rPr>
        <w:t>in v</w:t>
      </w:r>
      <w:r w:rsidR="00FB793D" w:rsidRPr="00B87D07">
        <w:rPr>
          <w:rFonts w:cs="Arial"/>
          <w:szCs w:val="20"/>
        </w:rPr>
        <w:t xml:space="preserve"> skladu s četrtim odstavkom </w:t>
      </w:r>
      <w:r w:rsidR="00FB793D" w:rsidRPr="00B87D07">
        <w:rPr>
          <w:szCs w:val="20"/>
        </w:rPr>
        <w:t>255.i člen</w:t>
      </w:r>
      <w:r w:rsidR="00DF4C96" w:rsidRPr="00B87D07">
        <w:rPr>
          <w:szCs w:val="20"/>
        </w:rPr>
        <w:t>a</w:t>
      </w:r>
      <w:r w:rsidR="00FB793D" w:rsidRPr="00B87D07">
        <w:rPr>
          <w:szCs w:val="20"/>
        </w:rPr>
        <w:t xml:space="preserve"> </w:t>
      </w:r>
      <w:r w:rsidR="00FB793D" w:rsidRPr="00DD3D17">
        <w:rPr>
          <w:szCs w:val="20"/>
        </w:rPr>
        <w:t>ZDavP-2</w:t>
      </w:r>
      <w:r w:rsidR="00325E2B">
        <w:rPr>
          <w:rStyle w:val="Hiperpovezava"/>
          <w:szCs w:val="20"/>
          <w:u w:val="none"/>
        </w:rPr>
        <w:t xml:space="preserve"> </w:t>
      </w:r>
      <w:r w:rsidR="00325E2B" w:rsidRPr="00C374D8">
        <w:rPr>
          <w:rStyle w:val="Hiperpovezava"/>
          <w:color w:val="auto"/>
          <w:szCs w:val="20"/>
          <w:u w:val="none"/>
        </w:rPr>
        <w:t>(</w:t>
      </w:r>
      <w:r w:rsidR="00325E2B" w:rsidRPr="00DD3D17">
        <w:t xml:space="preserve">Ur. l. št. </w:t>
      </w:r>
      <w:hyperlink r:id="rId41" w:history="1">
        <w:r w:rsidR="00DD3D17" w:rsidRPr="001A1C59">
          <w:rPr>
            <w:rStyle w:val="Hiperpovezava"/>
            <w:u w:val="none"/>
          </w:rPr>
          <w:t>63/16</w:t>
        </w:r>
      </w:hyperlink>
      <w:r w:rsidR="00E82EA2">
        <w:t xml:space="preserve"> </w:t>
      </w:r>
      <w:r w:rsidR="00325E2B" w:rsidRPr="00DD3D17">
        <w:t>z dne 7. 10. 2016</w:t>
      </w:r>
      <w:r w:rsidR="00325E2B" w:rsidRPr="00D759F5">
        <w:t>)</w:t>
      </w:r>
      <w:r w:rsidR="00FB793D" w:rsidRPr="00616683">
        <w:rPr>
          <w:szCs w:val="20"/>
        </w:rPr>
        <w:t>,</w:t>
      </w:r>
      <w:r w:rsidR="00FB793D" w:rsidRPr="00B87D07">
        <w:rPr>
          <w:szCs w:val="20"/>
        </w:rPr>
        <w:t xml:space="preserve"> se za poročevalca mednarodne skupine podjetij, ki mora CbC poročilo </w:t>
      </w:r>
      <w:r w:rsidR="00FB793D" w:rsidRPr="00B87D07">
        <w:rPr>
          <w:b/>
          <w:szCs w:val="20"/>
        </w:rPr>
        <w:t>za poslovno leto 2017</w:t>
      </w:r>
      <w:r w:rsidR="00FB793D" w:rsidRPr="00B87D07">
        <w:rPr>
          <w:szCs w:val="20"/>
        </w:rPr>
        <w:t xml:space="preserve"> Finančni </w:t>
      </w:r>
      <w:r w:rsidR="00FA46FF" w:rsidRPr="00B87D07">
        <w:rPr>
          <w:szCs w:val="20"/>
        </w:rPr>
        <w:t>u</w:t>
      </w:r>
      <w:r w:rsidR="00FB793D" w:rsidRPr="00B87D07">
        <w:rPr>
          <w:szCs w:val="20"/>
        </w:rPr>
        <w:t>pravi RS predložiti</w:t>
      </w:r>
      <w:r w:rsidR="007617D4" w:rsidRPr="00B87D07">
        <w:rPr>
          <w:szCs w:val="20"/>
        </w:rPr>
        <w:t xml:space="preserve"> najkasneje</w:t>
      </w:r>
      <w:r w:rsidR="00FB793D" w:rsidRPr="00B87D07">
        <w:rPr>
          <w:szCs w:val="20"/>
        </w:rPr>
        <w:t xml:space="preserve"> do </w:t>
      </w:r>
      <w:r w:rsidR="00FB793D" w:rsidRPr="00B87D07">
        <w:rPr>
          <w:b/>
          <w:szCs w:val="20"/>
        </w:rPr>
        <w:t>31. 12. 2018</w:t>
      </w:r>
      <w:r w:rsidR="007617D4" w:rsidRPr="00B87D07">
        <w:rPr>
          <w:b/>
          <w:szCs w:val="20"/>
        </w:rPr>
        <w:t xml:space="preserve"> </w:t>
      </w:r>
      <w:r w:rsidR="007617D4" w:rsidRPr="00B87D07">
        <w:rPr>
          <w:szCs w:val="20"/>
        </w:rPr>
        <w:t>(če je poslovno leto enako koledarskemu letu</w:t>
      </w:r>
      <w:r w:rsidR="00753A9B">
        <w:rPr>
          <w:szCs w:val="20"/>
        </w:rPr>
        <w:t xml:space="preserve"> in traja od 1. januarja 2017 do 31. decembra 2017</w:t>
      </w:r>
      <w:r w:rsidR="00A924BD">
        <w:rPr>
          <w:szCs w:val="20"/>
        </w:rPr>
        <w:t>)</w:t>
      </w:r>
      <w:r w:rsidR="00CF05E1" w:rsidRPr="00B87D07">
        <w:rPr>
          <w:szCs w:val="20"/>
        </w:rPr>
        <w:t xml:space="preserve">, ali najpozneje v 12 mesecih od zadnjega dne poslovnega leta </w:t>
      </w:r>
      <w:r w:rsidR="00A924BD">
        <w:rPr>
          <w:szCs w:val="20"/>
        </w:rPr>
        <w:t>mednarodne skupine podjetij</w:t>
      </w:r>
      <w:r w:rsidR="00FB793D" w:rsidRPr="00B87D07">
        <w:rPr>
          <w:szCs w:val="20"/>
        </w:rPr>
        <w:t>, šteje tudi oseba v sestavi</w:t>
      </w:r>
      <w:r w:rsidR="00A9323F" w:rsidRPr="00B87D07">
        <w:rPr>
          <w:szCs w:val="20"/>
        </w:rPr>
        <w:t xml:space="preserve">, rezident za davčne namene v </w:t>
      </w:r>
      <w:r w:rsidR="00825043">
        <w:rPr>
          <w:szCs w:val="20"/>
        </w:rPr>
        <w:t>RS</w:t>
      </w:r>
      <w:r w:rsidR="00AF7E57">
        <w:rPr>
          <w:szCs w:val="20"/>
        </w:rPr>
        <w:t xml:space="preserve"> (v nadalj</w:t>
      </w:r>
      <w:r w:rsidR="00392557">
        <w:rPr>
          <w:szCs w:val="20"/>
        </w:rPr>
        <w:t>evanju slovenska oseba v sestavi</w:t>
      </w:r>
      <w:r w:rsidR="00AF7E57">
        <w:rPr>
          <w:szCs w:val="20"/>
        </w:rPr>
        <w:t>)</w:t>
      </w:r>
      <w:r w:rsidR="00A9323F" w:rsidRPr="00B87D07">
        <w:rPr>
          <w:szCs w:val="20"/>
        </w:rPr>
        <w:t>,</w:t>
      </w:r>
      <w:r w:rsidR="00FB793D" w:rsidRPr="00B87D07">
        <w:rPr>
          <w:szCs w:val="20"/>
        </w:rPr>
        <w:t xml:space="preserve"> </w:t>
      </w:r>
      <w:r w:rsidR="0030752C">
        <w:rPr>
          <w:szCs w:val="20"/>
        </w:rPr>
        <w:t xml:space="preserve">če </w:t>
      </w:r>
      <w:r w:rsidR="00E1001C">
        <w:rPr>
          <w:rFonts w:cs="Arial"/>
          <w:szCs w:val="20"/>
        </w:rPr>
        <w:t xml:space="preserve">za to mednarodno skupino podjetij ne poroča nobena druga oseba v sestavi </w:t>
      </w:r>
      <w:r w:rsidR="00F63966" w:rsidRPr="00B87D07">
        <w:rPr>
          <w:szCs w:val="20"/>
        </w:rPr>
        <w:t xml:space="preserve">- </w:t>
      </w:r>
      <w:r w:rsidR="00AB50DE" w:rsidRPr="00B87D07">
        <w:rPr>
          <w:szCs w:val="20"/>
        </w:rPr>
        <w:t xml:space="preserve">gre za </w:t>
      </w:r>
      <w:proofErr w:type="spellStart"/>
      <w:r w:rsidR="00AB50DE" w:rsidRPr="00B87D07">
        <w:rPr>
          <w:szCs w:val="20"/>
        </w:rPr>
        <w:t>t.i</w:t>
      </w:r>
      <w:proofErr w:type="spellEnd"/>
      <w:r w:rsidR="00AB50DE" w:rsidRPr="00B87D07">
        <w:rPr>
          <w:szCs w:val="20"/>
        </w:rPr>
        <w:t>. lokalno predložitev CbC poročila (ang</w:t>
      </w:r>
      <w:r w:rsidR="00A21E47">
        <w:rPr>
          <w:szCs w:val="20"/>
        </w:rPr>
        <w:t>l</w:t>
      </w:r>
      <w:r w:rsidR="00AB50DE" w:rsidRPr="00B87D07">
        <w:rPr>
          <w:szCs w:val="20"/>
        </w:rPr>
        <w:t xml:space="preserve">. </w:t>
      </w:r>
      <w:proofErr w:type="spellStart"/>
      <w:r w:rsidR="00392557" w:rsidRPr="000C2715">
        <w:rPr>
          <w:i/>
          <w:szCs w:val="20"/>
        </w:rPr>
        <w:t>l</w:t>
      </w:r>
      <w:r w:rsidR="00796DBB" w:rsidRPr="000C2715">
        <w:rPr>
          <w:i/>
          <w:szCs w:val="20"/>
        </w:rPr>
        <w:t>ocal</w:t>
      </w:r>
      <w:proofErr w:type="spellEnd"/>
      <w:r w:rsidR="00796DBB" w:rsidRPr="000C2715">
        <w:rPr>
          <w:szCs w:val="20"/>
        </w:rPr>
        <w:t xml:space="preserve"> </w:t>
      </w:r>
      <w:proofErr w:type="spellStart"/>
      <w:r w:rsidR="00AB50DE" w:rsidRPr="000C2715">
        <w:rPr>
          <w:i/>
          <w:szCs w:val="20"/>
        </w:rPr>
        <w:t>filling</w:t>
      </w:r>
      <w:proofErr w:type="spellEnd"/>
      <w:r w:rsidR="00AB50DE" w:rsidRPr="00B87D07">
        <w:rPr>
          <w:szCs w:val="20"/>
        </w:rPr>
        <w:t>)</w:t>
      </w:r>
      <w:r w:rsidR="00FB793D" w:rsidRPr="00B87D07">
        <w:rPr>
          <w:szCs w:val="20"/>
        </w:rPr>
        <w:t xml:space="preserve">. </w:t>
      </w:r>
    </w:p>
    <w:p w14:paraId="3A1445C9" w14:textId="77777777" w:rsidR="00621595" w:rsidRPr="00DF351E" w:rsidRDefault="00621595" w:rsidP="00685D96">
      <w:pPr>
        <w:jc w:val="both"/>
        <w:rPr>
          <w:sz w:val="24"/>
        </w:rPr>
      </w:pPr>
    </w:p>
    <w:p w14:paraId="3A1445CA" w14:textId="77777777" w:rsidR="00FA601D" w:rsidRDefault="00FA601D" w:rsidP="00685D96">
      <w:pPr>
        <w:jc w:val="both"/>
        <w:rPr>
          <w:szCs w:val="20"/>
        </w:rPr>
      </w:pPr>
      <w:bookmarkStart w:id="7" w:name="_Toc468447238"/>
      <w:r w:rsidRPr="00DF351E">
        <w:rPr>
          <w:szCs w:val="20"/>
        </w:rPr>
        <w:t xml:space="preserve">V skladu s točko 1 oddelka II Priloge III </w:t>
      </w:r>
      <w:hyperlink r:id="rId42" w:history="1">
        <w:r w:rsidR="007F18B9" w:rsidRPr="00DF351E">
          <w:rPr>
            <w:rStyle w:val="Hiperpovezava"/>
            <w:szCs w:val="20"/>
            <w:u w:val="none"/>
          </w:rPr>
          <w:t>DAC4</w:t>
        </w:r>
      </w:hyperlink>
      <w:r w:rsidRPr="00B87D07">
        <w:rPr>
          <w:szCs w:val="20"/>
        </w:rPr>
        <w:t xml:space="preserve"> je oseba v sestavi, ki je </w:t>
      </w:r>
      <w:r w:rsidR="0053074B" w:rsidRPr="00B87D07">
        <w:rPr>
          <w:b/>
          <w:szCs w:val="20"/>
        </w:rPr>
        <w:t>(a)</w:t>
      </w:r>
      <w:r w:rsidR="0053074B" w:rsidRPr="00B87D07">
        <w:rPr>
          <w:szCs w:val="20"/>
        </w:rPr>
        <w:t xml:space="preserve"> </w:t>
      </w:r>
      <w:r w:rsidRPr="00B87D07">
        <w:rPr>
          <w:szCs w:val="20"/>
        </w:rPr>
        <w:t>rezident</w:t>
      </w:r>
      <w:r w:rsidR="00892C3B" w:rsidRPr="00B87D07">
        <w:rPr>
          <w:szCs w:val="20"/>
        </w:rPr>
        <w:t xml:space="preserve"> za davčne namene</w:t>
      </w:r>
      <w:r w:rsidRPr="00B87D07">
        <w:rPr>
          <w:szCs w:val="20"/>
        </w:rPr>
        <w:t xml:space="preserve"> v</w:t>
      </w:r>
      <w:r w:rsidR="00DF351E">
        <w:rPr>
          <w:szCs w:val="20"/>
        </w:rPr>
        <w:t xml:space="preserve"> RS</w:t>
      </w:r>
      <w:r w:rsidR="006D4B3E" w:rsidRPr="00B87D07">
        <w:rPr>
          <w:szCs w:val="20"/>
        </w:rPr>
        <w:t>,</w:t>
      </w:r>
      <w:r w:rsidRPr="00B87D07">
        <w:rPr>
          <w:szCs w:val="20"/>
        </w:rPr>
        <w:t xml:space="preserve"> in ni </w:t>
      </w:r>
      <w:r w:rsidR="00CF05E1" w:rsidRPr="00B87D07">
        <w:rPr>
          <w:szCs w:val="20"/>
        </w:rPr>
        <w:t>k</w:t>
      </w:r>
      <w:r w:rsidRPr="00B87D07">
        <w:rPr>
          <w:szCs w:val="20"/>
        </w:rPr>
        <w:t>rovno matično podjet</w:t>
      </w:r>
      <w:r w:rsidR="00137EDE" w:rsidRPr="00B87D07">
        <w:rPr>
          <w:szCs w:val="20"/>
        </w:rPr>
        <w:t>je mednarodne skupine podjetij</w:t>
      </w:r>
      <w:r w:rsidR="004961B9" w:rsidRPr="00B87D07">
        <w:rPr>
          <w:szCs w:val="20"/>
        </w:rPr>
        <w:t xml:space="preserve">, </w:t>
      </w:r>
      <w:r w:rsidR="002C541F" w:rsidRPr="00B87D07">
        <w:rPr>
          <w:szCs w:val="20"/>
        </w:rPr>
        <w:t>in</w:t>
      </w:r>
      <w:r w:rsidR="004961B9" w:rsidRPr="00B87D07">
        <w:rPr>
          <w:szCs w:val="20"/>
        </w:rPr>
        <w:t xml:space="preserve"> ni določenega </w:t>
      </w:r>
      <w:r w:rsidR="002B4AB4" w:rsidRPr="00B87D07">
        <w:rPr>
          <w:szCs w:val="20"/>
        </w:rPr>
        <w:lastRenderedPageBreak/>
        <w:t>nadomestn</w:t>
      </w:r>
      <w:r w:rsidR="004961B9" w:rsidRPr="00B87D07">
        <w:rPr>
          <w:szCs w:val="20"/>
        </w:rPr>
        <w:t>ega</w:t>
      </w:r>
      <w:r w:rsidR="002B4AB4" w:rsidRPr="00B87D07">
        <w:rPr>
          <w:szCs w:val="20"/>
        </w:rPr>
        <w:t xml:space="preserve"> </w:t>
      </w:r>
      <w:r w:rsidR="004961B9" w:rsidRPr="00B87D07">
        <w:rPr>
          <w:szCs w:val="20"/>
        </w:rPr>
        <w:t>podjetja v skupini</w:t>
      </w:r>
      <w:r w:rsidR="00137EDE" w:rsidRPr="00B87D07">
        <w:rPr>
          <w:szCs w:val="20"/>
        </w:rPr>
        <w:t xml:space="preserve">, </w:t>
      </w:r>
      <w:r w:rsidRPr="00B87D07">
        <w:rPr>
          <w:b/>
          <w:szCs w:val="20"/>
        </w:rPr>
        <w:t>dolžno predložiti CbC poročilo</w:t>
      </w:r>
      <w:r w:rsidR="006D4B3E" w:rsidRPr="00B87D07">
        <w:rPr>
          <w:b/>
          <w:szCs w:val="20"/>
        </w:rPr>
        <w:t xml:space="preserve"> F</w:t>
      </w:r>
      <w:r w:rsidR="002C2AE4" w:rsidRPr="00B87D07">
        <w:rPr>
          <w:b/>
          <w:szCs w:val="20"/>
        </w:rPr>
        <w:t xml:space="preserve">inančni </w:t>
      </w:r>
      <w:r w:rsidR="00FA46FF" w:rsidRPr="00B87D07">
        <w:rPr>
          <w:b/>
          <w:szCs w:val="20"/>
        </w:rPr>
        <w:t>u</w:t>
      </w:r>
      <w:r w:rsidR="002C2AE4" w:rsidRPr="00B87D07">
        <w:rPr>
          <w:b/>
          <w:szCs w:val="20"/>
        </w:rPr>
        <w:t xml:space="preserve">pravi </w:t>
      </w:r>
      <w:r w:rsidR="006D4B3E" w:rsidRPr="00B87D07">
        <w:rPr>
          <w:b/>
          <w:szCs w:val="20"/>
        </w:rPr>
        <w:t>RS</w:t>
      </w:r>
      <w:r w:rsidR="002C2AE4" w:rsidRPr="00B87D07">
        <w:rPr>
          <w:b/>
          <w:szCs w:val="20"/>
        </w:rPr>
        <w:t xml:space="preserve"> </w:t>
      </w:r>
      <w:r w:rsidR="001C3342">
        <w:rPr>
          <w:b/>
          <w:szCs w:val="20"/>
        </w:rPr>
        <w:t>(</w:t>
      </w:r>
      <w:r w:rsidR="0043639D">
        <w:rPr>
          <w:b/>
          <w:szCs w:val="20"/>
        </w:rPr>
        <w:t>načeloma</w:t>
      </w:r>
      <w:r w:rsidR="001C3342">
        <w:rPr>
          <w:b/>
          <w:szCs w:val="20"/>
        </w:rPr>
        <w:t>)</w:t>
      </w:r>
      <w:r w:rsidR="0043639D">
        <w:rPr>
          <w:b/>
          <w:szCs w:val="20"/>
        </w:rPr>
        <w:t xml:space="preserve"> </w:t>
      </w:r>
      <w:r w:rsidR="002C2AE4" w:rsidRPr="00B87D07">
        <w:rPr>
          <w:b/>
          <w:szCs w:val="20"/>
        </w:rPr>
        <w:t>do 31. 12. 2018</w:t>
      </w:r>
      <w:r w:rsidR="006D4B3E" w:rsidRPr="00B87D07">
        <w:rPr>
          <w:b/>
          <w:szCs w:val="20"/>
        </w:rPr>
        <w:t xml:space="preserve"> za</w:t>
      </w:r>
      <w:r w:rsidR="006D4B3E" w:rsidRPr="00B87D07">
        <w:rPr>
          <w:szCs w:val="20"/>
        </w:rPr>
        <w:t xml:space="preserve"> </w:t>
      </w:r>
      <w:r w:rsidR="00253B3D">
        <w:rPr>
          <w:b/>
          <w:szCs w:val="20"/>
        </w:rPr>
        <w:t>poslovno leto, ki se začne s 1. 1. 2017</w:t>
      </w:r>
      <w:r w:rsidRPr="00B87D07">
        <w:rPr>
          <w:szCs w:val="20"/>
        </w:rPr>
        <w:t xml:space="preserve">, </w:t>
      </w:r>
      <w:r w:rsidR="00241D1E" w:rsidRPr="00B87D07">
        <w:rPr>
          <w:b/>
          <w:szCs w:val="20"/>
        </w:rPr>
        <w:t xml:space="preserve">samo </w:t>
      </w:r>
      <w:r w:rsidR="00241D1E" w:rsidRPr="00B87D07">
        <w:rPr>
          <w:szCs w:val="20"/>
        </w:rPr>
        <w:t xml:space="preserve">v primerih </w:t>
      </w:r>
      <w:r w:rsidRPr="00B87D07">
        <w:rPr>
          <w:szCs w:val="20"/>
        </w:rPr>
        <w:t>če je</w:t>
      </w:r>
      <w:r w:rsidR="0053074B" w:rsidRPr="00B87D07">
        <w:rPr>
          <w:szCs w:val="20"/>
        </w:rPr>
        <w:t xml:space="preserve"> </w:t>
      </w:r>
      <w:r w:rsidR="0053074B" w:rsidRPr="00B87D07">
        <w:rPr>
          <w:b/>
          <w:szCs w:val="20"/>
        </w:rPr>
        <w:t>(b)</w:t>
      </w:r>
      <w:r w:rsidRPr="00B87D07">
        <w:rPr>
          <w:szCs w:val="20"/>
        </w:rPr>
        <w:t xml:space="preserve"> izpolnjen </w:t>
      </w:r>
      <w:r w:rsidR="002C2AE4" w:rsidRPr="00B87D07">
        <w:rPr>
          <w:b/>
          <w:szCs w:val="20"/>
        </w:rPr>
        <w:t>eden</w:t>
      </w:r>
      <w:r w:rsidRPr="00B87D07">
        <w:rPr>
          <w:b/>
          <w:szCs w:val="20"/>
        </w:rPr>
        <w:t xml:space="preserve"> </w:t>
      </w:r>
      <w:r w:rsidR="006D4B3E" w:rsidRPr="00B87D07">
        <w:rPr>
          <w:b/>
          <w:szCs w:val="20"/>
        </w:rPr>
        <w:t>ali več</w:t>
      </w:r>
      <w:r w:rsidR="006D4B3E" w:rsidRPr="00B87D07">
        <w:rPr>
          <w:szCs w:val="20"/>
        </w:rPr>
        <w:t xml:space="preserve"> </w:t>
      </w:r>
      <w:r w:rsidRPr="00B87D07">
        <w:rPr>
          <w:szCs w:val="20"/>
        </w:rPr>
        <w:t>naslednjih pogojev:</w:t>
      </w:r>
      <w:bookmarkEnd w:id="7"/>
    </w:p>
    <w:p w14:paraId="3A1445CB" w14:textId="77777777" w:rsidR="00ED57D4" w:rsidRPr="00B87D07" w:rsidRDefault="00ED57D4" w:rsidP="00685D96">
      <w:pPr>
        <w:jc w:val="both"/>
        <w:rPr>
          <w:szCs w:val="20"/>
        </w:rPr>
      </w:pPr>
    </w:p>
    <w:p w14:paraId="3A1445CC" w14:textId="77777777" w:rsidR="00FA601D" w:rsidRPr="00B87D07" w:rsidRDefault="00C41946" w:rsidP="00685D96">
      <w:pPr>
        <w:pStyle w:val="Odstavekseznama"/>
        <w:numPr>
          <w:ilvl w:val="0"/>
          <w:numId w:val="22"/>
        </w:numPr>
        <w:jc w:val="both"/>
      </w:pPr>
      <w:bookmarkStart w:id="8" w:name="_Toc468447239"/>
      <w:r w:rsidRPr="00B87D07">
        <w:t>K</w:t>
      </w:r>
      <w:r w:rsidR="00FA601D" w:rsidRPr="00B87D07">
        <w:t>rovno matično podjetje mednarodne skupine podjetij ni dolžno predložiti CbC poročila v svoji jurisdikciji davčnega rezidentstva</w:t>
      </w:r>
      <w:bookmarkEnd w:id="8"/>
      <w:r w:rsidRPr="00B87D07">
        <w:t>.</w:t>
      </w:r>
    </w:p>
    <w:p w14:paraId="3A1445CE" w14:textId="77777777" w:rsidR="00FA601D" w:rsidRDefault="00C41946" w:rsidP="00685D96">
      <w:pPr>
        <w:pStyle w:val="Odstavekseznama"/>
        <w:numPr>
          <w:ilvl w:val="0"/>
          <w:numId w:val="22"/>
        </w:numPr>
        <w:jc w:val="both"/>
      </w:pPr>
      <w:bookmarkStart w:id="9" w:name="_Toc468447240"/>
      <w:r w:rsidRPr="00B87D07">
        <w:t>J</w:t>
      </w:r>
      <w:r w:rsidR="00FA601D" w:rsidRPr="00B87D07">
        <w:t>urisdikcija</w:t>
      </w:r>
      <w:r w:rsidR="00B047D2" w:rsidRPr="00B87D07">
        <w:t xml:space="preserve"> krovnega matičnega podjetja </w:t>
      </w:r>
      <w:r w:rsidR="00330226" w:rsidRPr="00B87D07">
        <w:t>ima</w:t>
      </w:r>
      <w:r w:rsidR="00B047D2" w:rsidRPr="00B87D07">
        <w:t xml:space="preserve"> </w:t>
      </w:r>
      <w:r w:rsidR="002A3909" w:rsidRPr="00B87D07">
        <w:t xml:space="preserve">v veljavi </w:t>
      </w:r>
      <w:r w:rsidR="00F6736A" w:rsidRPr="00B87D07">
        <w:t>m</w:t>
      </w:r>
      <w:r w:rsidR="00330226" w:rsidRPr="00B87D07">
        <w:t>ednarodni sporazum</w:t>
      </w:r>
      <w:r w:rsidR="00124AB5" w:rsidRPr="00B87D07">
        <w:t>, ki omogoča avtomatično izmenjavo informacij</w:t>
      </w:r>
      <w:r w:rsidR="005B2412" w:rsidRPr="00B87D07">
        <w:rPr>
          <w:rStyle w:val="Sprotnaopomba-sklic"/>
        </w:rPr>
        <w:footnoteReference w:id="1"/>
      </w:r>
      <w:r w:rsidR="00182426" w:rsidRPr="00B87D07">
        <w:t xml:space="preserve">; vendar pa </w:t>
      </w:r>
      <w:r w:rsidR="00587ACA">
        <w:t xml:space="preserve">nima v veljavi </w:t>
      </w:r>
      <w:r w:rsidR="00396B30" w:rsidRPr="00B87D07">
        <w:t>Sporazuma med pristojnimi organi</w:t>
      </w:r>
      <w:r w:rsidR="00D53740" w:rsidRPr="00B87D07">
        <w:t xml:space="preserve"> </w:t>
      </w:r>
      <w:r w:rsidR="00EC56A0" w:rsidRPr="00B87D07">
        <w:t>CbC</w:t>
      </w:r>
      <w:r w:rsidR="00611425" w:rsidRPr="00B87D07">
        <w:t>R</w:t>
      </w:r>
      <w:r w:rsidR="00182426" w:rsidRPr="00B87D07">
        <w:t xml:space="preserve"> do roka </w:t>
      </w:r>
      <w:r w:rsidR="00B705D3" w:rsidRPr="00B87D07">
        <w:t>določenega za predložitev CbC poročila (</w:t>
      </w:r>
      <w:r w:rsidR="00BA22CD" w:rsidRPr="00B87D07">
        <w:t>predložitev CbC</w:t>
      </w:r>
      <w:r w:rsidR="00CF05E1" w:rsidRPr="00B87D07">
        <w:t xml:space="preserve"> poročila načeloma</w:t>
      </w:r>
      <w:r w:rsidR="00BA22CD" w:rsidRPr="00B87D07">
        <w:t xml:space="preserve"> do 31. 12. 2018 za poslovno leto 2017)</w:t>
      </w:r>
      <w:bookmarkEnd w:id="9"/>
      <w:r w:rsidRPr="00B87D07">
        <w:t>.</w:t>
      </w:r>
    </w:p>
    <w:p w14:paraId="3A1445CF" w14:textId="77777777" w:rsidR="0086029D" w:rsidRDefault="0086029D" w:rsidP="0086029D">
      <w:pPr>
        <w:pStyle w:val="Odstavekseznama"/>
      </w:pPr>
    </w:p>
    <w:p w14:paraId="3A1445D0" w14:textId="77777777" w:rsidR="00EA75FB" w:rsidRPr="00B87D07" w:rsidRDefault="00BD7D4D" w:rsidP="00685D96">
      <w:pPr>
        <w:pStyle w:val="Odstavekseznama"/>
        <w:numPr>
          <w:ilvl w:val="0"/>
          <w:numId w:val="22"/>
        </w:numPr>
        <w:jc w:val="both"/>
      </w:pPr>
      <w:bookmarkStart w:id="10" w:name="_Toc468447241"/>
      <w:r w:rsidRPr="00B87D07">
        <w:t>Jurisdikcij</w:t>
      </w:r>
      <w:r w:rsidR="008E6038">
        <w:t>a</w:t>
      </w:r>
      <w:r w:rsidR="008142D1">
        <w:t xml:space="preserve"> krovnega matičnega podjetja </w:t>
      </w:r>
      <w:r w:rsidR="008E6038">
        <w:t>ima</w:t>
      </w:r>
      <w:r w:rsidR="008142D1">
        <w:t xml:space="preserve"> </w:t>
      </w:r>
      <w:r w:rsidR="00EC5104" w:rsidRPr="00B87D07">
        <w:t>v veljavi mednarodni sporazum, ki omogoča avtomatično izmenjavo informacij</w:t>
      </w:r>
      <w:r w:rsidRPr="00B87D07">
        <w:t xml:space="preserve">, </w:t>
      </w:r>
      <w:r w:rsidR="00ED2BD3" w:rsidRPr="00B87D07">
        <w:t>in</w:t>
      </w:r>
      <w:r w:rsidR="008142D1">
        <w:t xml:space="preserve"> </w:t>
      </w:r>
      <w:r w:rsidR="00CC45FC">
        <w:t>ima</w:t>
      </w:r>
      <w:r w:rsidR="008E6038">
        <w:t xml:space="preserve"> z RS sklenjen in v </w:t>
      </w:r>
      <w:r w:rsidR="008142D1">
        <w:t>veljavi</w:t>
      </w:r>
      <w:r w:rsidR="00ED2BD3" w:rsidRPr="00B87D07">
        <w:t xml:space="preserve"> </w:t>
      </w:r>
      <w:r w:rsidR="00BC694A" w:rsidRPr="00B87D07">
        <w:t>tudi</w:t>
      </w:r>
      <w:r w:rsidR="00872D62">
        <w:t xml:space="preserve"> </w:t>
      </w:r>
      <w:r w:rsidR="00FF62CE" w:rsidRPr="00B87D07">
        <w:t>Sporazum med pristojnimi organi</w:t>
      </w:r>
      <w:r w:rsidR="001A5045" w:rsidRPr="00B87D07">
        <w:t xml:space="preserve"> CbCR</w:t>
      </w:r>
      <w:r w:rsidR="00872D62">
        <w:t>,</w:t>
      </w:r>
      <w:r w:rsidR="00FF62CE" w:rsidRPr="00B87D07">
        <w:t xml:space="preserve"> </w:t>
      </w:r>
      <w:r w:rsidR="001A5045" w:rsidRPr="00B87D07">
        <w:t xml:space="preserve">vendar </w:t>
      </w:r>
      <w:r w:rsidR="009455C6" w:rsidRPr="00B87D07">
        <w:t xml:space="preserve">je </w:t>
      </w:r>
      <w:r w:rsidRPr="00B87D07">
        <w:t>juris</w:t>
      </w:r>
      <w:r w:rsidR="00427B0D" w:rsidRPr="00B87D07">
        <w:t>dikcija</w:t>
      </w:r>
      <w:r w:rsidR="00BC694A" w:rsidRPr="00B87D07">
        <w:t xml:space="preserve"> </w:t>
      </w:r>
      <w:r w:rsidRPr="00B87D07">
        <w:t>krovnega</w:t>
      </w:r>
      <w:r w:rsidR="00BC694A" w:rsidRPr="00B87D07">
        <w:t xml:space="preserve"> matičnega podjetja</w:t>
      </w:r>
      <w:r w:rsidRPr="00B87D07">
        <w:t xml:space="preserve"> prekinila avtomatično izmenjavo</w:t>
      </w:r>
      <w:r w:rsidR="00ED2BD3" w:rsidRPr="00B87D07">
        <w:t xml:space="preserve"> oziroma </w:t>
      </w:r>
      <w:r w:rsidR="0030798A" w:rsidRPr="00B87D07">
        <w:t xml:space="preserve">jurisdikcija krovnega matičnega podjetja </w:t>
      </w:r>
      <w:r w:rsidR="00872D62">
        <w:t xml:space="preserve">Finančni upravi RS </w:t>
      </w:r>
      <w:r w:rsidR="0030798A" w:rsidRPr="00B87D07">
        <w:t xml:space="preserve">kako drugače ni dosledno avtomatično zagotavljala </w:t>
      </w:r>
      <w:proofErr w:type="spellStart"/>
      <w:r w:rsidR="0030798A" w:rsidRPr="00B87D07">
        <w:t>CbC</w:t>
      </w:r>
      <w:proofErr w:type="spellEnd"/>
      <w:r w:rsidR="0030798A" w:rsidRPr="00B87D07">
        <w:t xml:space="preserve"> poročil (</w:t>
      </w:r>
      <w:proofErr w:type="spellStart"/>
      <w:r w:rsidR="00E96071">
        <w:t>t.i</w:t>
      </w:r>
      <w:proofErr w:type="spellEnd"/>
      <w:r w:rsidR="00E96071">
        <w:t xml:space="preserve">. </w:t>
      </w:r>
      <w:r w:rsidR="00302B2F" w:rsidRPr="00B87D07">
        <w:t>s</w:t>
      </w:r>
      <w:r w:rsidR="00D53740" w:rsidRPr="00B87D07">
        <w:t>istemsk</w:t>
      </w:r>
      <w:r w:rsidR="0030798A" w:rsidRPr="00B87D07">
        <w:t xml:space="preserve">a odpoved), </w:t>
      </w:r>
      <w:r w:rsidR="00D53740" w:rsidRPr="00B87D07">
        <w:t>o čemer je</w:t>
      </w:r>
      <w:r w:rsidR="00BC694A" w:rsidRPr="00B87D07">
        <w:t xml:space="preserve"> jurisdikcija krovnega matičnega podjetja </w:t>
      </w:r>
      <w:r w:rsidR="00D53740" w:rsidRPr="00B87D07">
        <w:t>obvestil</w:t>
      </w:r>
      <w:r w:rsidR="00363C0C" w:rsidRPr="00B87D07">
        <w:t>a</w:t>
      </w:r>
      <w:r w:rsidR="00BC694A" w:rsidRPr="00B87D07">
        <w:t xml:space="preserve"> </w:t>
      </w:r>
      <w:r w:rsidR="00872D62">
        <w:t>Finančno upravo RS</w:t>
      </w:r>
      <w:bookmarkEnd w:id="10"/>
      <w:r w:rsidR="00872D62">
        <w:t>.</w:t>
      </w:r>
    </w:p>
    <w:p w14:paraId="3A1445D1" w14:textId="77777777" w:rsidR="006D4B3E" w:rsidRPr="00B87D07" w:rsidRDefault="006D4B3E" w:rsidP="00685D96">
      <w:pPr>
        <w:rPr>
          <w:b/>
          <w:szCs w:val="20"/>
        </w:rPr>
      </w:pPr>
    </w:p>
    <w:p w14:paraId="3A1445D2" w14:textId="77777777" w:rsidR="005425DF" w:rsidRPr="00B87D07" w:rsidRDefault="00ED18DC" w:rsidP="00685D96">
      <w:pPr>
        <w:jc w:val="both"/>
        <w:rPr>
          <w:szCs w:val="20"/>
        </w:rPr>
      </w:pPr>
      <w:r w:rsidRPr="00B87D07">
        <w:rPr>
          <w:szCs w:val="20"/>
        </w:rPr>
        <w:t>V izogib</w:t>
      </w:r>
      <w:r w:rsidR="00077883">
        <w:rPr>
          <w:szCs w:val="20"/>
        </w:rPr>
        <w:t xml:space="preserve"> </w:t>
      </w:r>
      <w:r w:rsidRPr="00B87D07">
        <w:rPr>
          <w:szCs w:val="20"/>
        </w:rPr>
        <w:t xml:space="preserve">lokalni </w:t>
      </w:r>
      <w:r w:rsidR="0091238B" w:rsidRPr="00B87D07">
        <w:rPr>
          <w:szCs w:val="20"/>
        </w:rPr>
        <w:t>predložitvi</w:t>
      </w:r>
      <w:r w:rsidRPr="00B87D07">
        <w:rPr>
          <w:szCs w:val="20"/>
        </w:rPr>
        <w:t xml:space="preserve"> CbC poročila</w:t>
      </w:r>
      <w:r w:rsidR="000C66A3">
        <w:rPr>
          <w:szCs w:val="20"/>
        </w:rPr>
        <w:t xml:space="preserve"> </w:t>
      </w:r>
      <w:r w:rsidR="000C66A3" w:rsidRPr="00B87D07">
        <w:rPr>
          <w:szCs w:val="20"/>
        </w:rPr>
        <w:t xml:space="preserve">- </w:t>
      </w:r>
      <w:r w:rsidRPr="00B87D07">
        <w:rPr>
          <w:szCs w:val="20"/>
        </w:rPr>
        <w:t>z</w:t>
      </w:r>
      <w:r w:rsidR="00E3614E" w:rsidRPr="00B87D07">
        <w:rPr>
          <w:szCs w:val="20"/>
        </w:rPr>
        <w:t xml:space="preserve"> namenom, da </w:t>
      </w:r>
      <w:r w:rsidR="00077883">
        <w:rPr>
          <w:szCs w:val="20"/>
        </w:rPr>
        <w:t>slovenski</w:t>
      </w:r>
      <w:r w:rsidR="00F9618B">
        <w:rPr>
          <w:szCs w:val="20"/>
        </w:rPr>
        <w:t xml:space="preserve"> </w:t>
      </w:r>
      <w:r w:rsidR="00E3614E" w:rsidRPr="00B87D07">
        <w:rPr>
          <w:szCs w:val="20"/>
        </w:rPr>
        <w:t>osebi v sestavi ne bi bilo treba predlagati CbC poročila</w:t>
      </w:r>
      <w:r w:rsidRPr="00B87D07">
        <w:rPr>
          <w:szCs w:val="20"/>
        </w:rPr>
        <w:t xml:space="preserve"> in da mednarodna skupina podjetij predloži CbC p</w:t>
      </w:r>
      <w:r w:rsidR="00A63DDA">
        <w:rPr>
          <w:szCs w:val="20"/>
        </w:rPr>
        <w:t>oročilo v samo eni jurisdikciji</w:t>
      </w:r>
      <w:r w:rsidR="000C66A3">
        <w:rPr>
          <w:szCs w:val="20"/>
        </w:rPr>
        <w:t xml:space="preserve"> </w:t>
      </w:r>
      <w:r w:rsidR="00083147" w:rsidRPr="00B87D07">
        <w:rPr>
          <w:szCs w:val="20"/>
        </w:rPr>
        <w:t xml:space="preserve">- </w:t>
      </w:r>
      <w:r w:rsidR="00141723" w:rsidRPr="00B87D07">
        <w:rPr>
          <w:szCs w:val="20"/>
        </w:rPr>
        <w:t xml:space="preserve">lahko </w:t>
      </w:r>
      <w:r w:rsidR="00381B5D" w:rsidRPr="00B87D07">
        <w:rPr>
          <w:szCs w:val="20"/>
        </w:rPr>
        <w:t xml:space="preserve">CbC poročilo </w:t>
      </w:r>
      <w:r w:rsidR="009A29D6" w:rsidRPr="00B87D07">
        <w:rPr>
          <w:szCs w:val="20"/>
        </w:rPr>
        <w:t xml:space="preserve">v imenu celotne mednarodne skupine podjetij </w:t>
      </w:r>
      <w:r w:rsidR="005C7F53">
        <w:rPr>
          <w:szCs w:val="20"/>
        </w:rPr>
        <w:t xml:space="preserve">predloži </w:t>
      </w:r>
      <w:r w:rsidR="00381B5D" w:rsidRPr="00B87D07">
        <w:rPr>
          <w:szCs w:val="20"/>
        </w:rPr>
        <w:t xml:space="preserve">nadomestno podjetje </w:t>
      </w:r>
      <w:r w:rsidR="00141723" w:rsidRPr="00B87D07">
        <w:rPr>
          <w:szCs w:val="20"/>
        </w:rPr>
        <w:t>v svoji davčni jurisdikciji</w:t>
      </w:r>
      <w:r w:rsidR="009A29D6" w:rsidRPr="00B87D07">
        <w:rPr>
          <w:szCs w:val="20"/>
        </w:rPr>
        <w:t>.</w:t>
      </w:r>
      <w:r w:rsidR="00620030" w:rsidRPr="00B87D07">
        <w:rPr>
          <w:szCs w:val="20"/>
        </w:rPr>
        <w:t xml:space="preserve"> </w:t>
      </w:r>
      <w:r w:rsidR="00E930D2">
        <w:rPr>
          <w:szCs w:val="20"/>
        </w:rPr>
        <w:t>To pomeni</w:t>
      </w:r>
      <w:r w:rsidR="00F629A1" w:rsidRPr="00B87D07">
        <w:rPr>
          <w:szCs w:val="20"/>
        </w:rPr>
        <w:t xml:space="preserve">, da </w:t>
      </w:r>
      <w:r w:rsidR="00452B09">
        <w:rPr>
          <w:szCs w:val="20"/>
        </w:rPr>
        <w:t xml:space="preserve">slovenska </w:t>
      </w:r>
      <w:r w:rsidR="00F629A1" w:rsidRPr="00B87D07">
        <w:rPr>
          <w:szCs w:val="20"/>
        </w:rPr>
        <w:t>oseba v sestavi ni dolžn</w:t>
      </w:r>
      <w:r w:rsidR="00452B09">
        <w:rPr>
          <w:szCs w:val="20"/>
        </w:rPr>
        <w:t>a</w:t>
      </w:r>
      <w:r w:rsidR="005425DF" w:rsidRPr="00B87D07">
        <w:rPr>
          <w:szCs w:val="20"/>
        </w:rPr>
        <w:t xml:space="preserve"> predložiti CbC poročila</w:t>
      </w:r>
      <w:r w:rsidR="00F629A1" w:rsidRPr="00B87D07">
        <w:rPr>
          <w:szCs w:val="20"/>
        </w:rPr>
        <w:t xml:space="preserve"> </w:t>
      </w:r>
      <w:r w:rsidR="00452B09">
        <w:rPr>
          <w:szCs w:val="20"/>
        </w:rPr>
        <w:t>Finančni upravi RS</w:t>
      </w:r>
      <w:r w:rsidR="005425DF" w:rsidRPr="00B87D07">
        <w:rPr>
          <w:szCs w:val="20"/>
        </w:rPr>
        <w:t>, če medna</w:t>
      </w:r>
      <w:r w:rsidR="00F629A1" w:rsidRPr="00B87D07">
        <w:rPr>
          <w:szCs w:val="20"/>
        </w:rPr>
        <w:t>rodna skupina podjetij imenuje</w:t>
      </w:r>
      <w:r w:rsidR="005425DF" w:rsidRPr="00B87D07">
        <w:rPr>
          <w:szCs w:val="20"/>
        </w:rPr>
        <w:t xml:space="preserve"> </w:t>
      </w:r>
      <w:r w:rsidR="005425DF" w:rsidRPr="00B87D07">
        <w:rPr>
          <w:b/>
          <w:szCs w:val="20"/>
        </w:rPr>
        <w:t>nadomestno podjetje</w:t>
      </w:r>
      <w:r w:rsidR="005A35EF">
        <w:rPr>
          <w:b/>
          <w:szCs w:val="20"/>
        </w:rPr>
        <w:t xml:space="preserve"> </w:t>
      </w:r>
      <w:r w:rsidR="00DA6ABA">
        <w:rPr>
          <w:b/>
          <w:szCs w:val="20"/>
        </w:rPr>
        <w:t>(</w:t>
      </w:r>
      <w:r w:rsidR="005A35EF">
        <w:rPr>
          <w:b/>
          <w:szCs w:val="20"/>
        </w:rPr>
        <w:t>ki ni rezident za davčne</w:t>
      </w:r>
      <w:r w:rsidR="00DA6ABA">
        <w:rPr>
          <w:b/>
          <w:szCs w:val="20"/>
        </w:rPr>
        <w:t xml:space="preserve"> namene</w:t>
      </w:r>
      <w:r w:rsidR="005A35EF">
        <w:rPr>
          <w:b/>
          <w:szCs w:val="20"/>
        </w:rPr>
        <w:t xml:space="preserve"> </w:t>
      </w:r>
      <w:r w:rsidR="006B7701">
        <w:rPr>
          <w:b/>
          <w:szCs w:val="20"/>
        </w:rPr>
        <w:t>v RS</w:t>
      </w:r>
      <w:r w:rsidR="00DA6ABA">
        <w:rPr>
          <w:b/>
          <w:szCs w:val="20"/>
        </w:rPr>
        <w:t>)</w:t>
      </w:r>
      <w:r w:rsidR="005425DF" w:rsidRPr="00B87D07">
        <w:rPr>
          <w:szCs w:val="20"/>
        </w:rPr>
        <w:t>, ki bo CbC poročilo predložilo v svoji jurisdikciji davčnega rezidentstva za celot</w:t>
      </w:r>
      <w:r w:rsidR="009E05BB">
        <w:rPr>
          <w:szCs w:val="20"/>
        </w:rPr>
        <w:t>no mednarodno skupino podjetij in ga bo ta jurisdikcija avtomatično izmenjala.</w:t>
      </w:r>
    </w:p>
    <w:p w14:paraId="3A1445D3" w14:textId="77777777" w:rsidR="005425DF" w:rsidRPr="00B87D07" w:rsidRDefault="005425DF" w:rsidP="00685D96">
      <w:pPr>
        <w:jc w:val="both"/>
        <w:rPr>
          <w:szCs w:val="20"/>
        </w:rPr>
      </w:pPr>
    </w:p>
    <w:p w14:paraId="3A1445D4" w14:textId="77777777" w:rsidR="00E3614E" w:rsidRPr="007D73F1" w:rsidRDefault="00D321DB" w:rsidP="00685D96">
      <w:pPr>
        <w:jc w:val="both"/>
        <w:rPr>
          <w:b/>
          <w:szCs w:val="20"/>
        </w:rPr>
      </w:pPr>
      <w:r w:rsidRPr="00B87D07">
        <w:rPr>
          <w:szCs w:val="20"/>
        </w:rPr>
        <w:t xml:space="preserve">V </w:t>
      </w:r>
      <w:r w:rsidR="002E0F41" w:rsidRPr="00B87D07">
        <w:rPr>
          <w:szCs w:val="20"/>
        </w:rPr>
        <w:t xml:space="preserve">skladu z </w:t>
      </w:r>
      <w:hyperlink r:id="rId43" w:history="1">
        <w:r w:rsidR="00E348AA" w:rsidRPr="00062112">
          <w:rPr>
            <w:rStyle w:val="Hiperpovezava"/>
            <w:u w:val="none"/>
          </w:rPr>
          <w:t xml:space="preserve">OECD </w:t>
        </w:r>
        <w:r w:rsidR="007568ED" w:rsidRPr="00062112">
          <w:rPr>
            <w:rStyle w:val="Hiperpovezava"/>
            <w:u w:val="none"/>
          </w:rPr>
          <w:t>smernicam</w:t>
        </w:r>
        <w:r w:rsidR="002E0F41" w:rsidRPr="00062112">
          <w:rPr>
            <w:rStyle w:val="Hiperpovezava"/>
            <w:u w:val="none"/>
          </w:rPr>
          <w:t xml:space="preserve"> </w:t>
        </w:r>
        <w:r w:rsidR="000D6C2C" w:rsidRPr="00062112">
          <w:rPr>
            <w:rStyle w:val="Hiperpovezava"/>
            <w:u w:val="none"/>
          </w:rPr>
          <w:t>glede</w:t>
        </w:r>
        <w:r w:rsidR="00E348AA" w:rsidRPr="00062112">
          <w:rPr>
            <w:rStyle w:val="Hiperpovezava"/>
            <w:u w:val="none"/>
          </w:rPr>
          <w:t xml:space="preserve"> </w:t>
        </w:r>
        <w:r w:rsidR="002E0F41" w:rsidRPr="00062112">
          <w:rPr>
            <w:rStyle w:val="Hiperpovezava"/>
            <w:u w:val="none"/>
          </w:rPr>
          <w:t>implementacij</w:t>
        </w:r>
        <w:r w:rsidR="000D6C2C" w:rsidRPr="00062112">
          <w:rPr>
            <w:rStyle w:val="Hiperpovezava"/>
            <w:u w:val="none"/>
          </w:rPr>
          <w:t>e</w:t>
        </w:r>
        <w:r w:rsidR="002E0F41" w:rsidRPr="00062112">
          <w:rPr>
            <w:rStyle w:val="Hiperpovezava"/>
            <w:u w:val="none"/>
          </w:rPr>
          <w:t xml:space="preserve"> </w:t>
        </w:r>
        <w:r w:rsidR="00DD2AD2" w:rsidRPr="00062112">
          <w:rPr>
            <w:rStyle w:val="Hiperpovezava"/>
            <w:u w:val="none"/>
          </w:rPr>
          <w:t>poročanja po državah</w:t>
        </w:r>
        <w:r w:rsidR="002E0F41" w:rsidRPr="00062112">
          <w:rPr>
            <w:rStyle w:val="Hiperpovezava"/>
            <w:u w:val="none"/>
          </w:rPr>
          <w:t xml:space="preserve"> (angl. </w:t>
        </w:r>
        <w:r w:rsidR="002E0F41" w:rsidRPr="00062112">
          <w:rPr>
            <w:rStyle w:val="Hiperpovezava"/>
            <w:i/>
            <w:u w:val="none"/>
            <w:lang w:val="en-GB"/>
          </w:rPr>
          <w:t>Guidance on the Implementation of Country-by-Country Reporting</w:t>
        </w:r>
        <w:r w:rsidR="002E0F41" w:rsidRPr="00062112">
          <w:rPr>
            <w:rStyle w:val="Hiperpovezava"/>
            <w:u w:val="none"/>
            <w:lang w:val="en-GB"/>
          </w:rPr>
          <w:t>)</w:t>
        </w:r>
      </w:hyperlink>
      <w:r w:rsidR="004E3C6F">
        <w:rPr>
          <w:rStyle w:val="Hiperpovezava"/>
          <w:u w:val="none"/>
        </w:rPr>
        <w:t xml:space="preserve"> </w:t>
      </w:r>
      <w:r w:rsidR="007568ED" w:rsidRPr="00062112">
        <w:rPr>
          <w:rStyle w:val="Hiperpovezava"/>
          <w:color w:val="auto"/>
          <w:u w:val="none"/>
        </w:rPr>
        <w:t xml:space="preserve">in OECD </w:t>
      </w:r>
      <w:r w:rsidR="0021384F">
        <w:rPr>
          <w:rStyle w:val="Hiperpovezava"/>
          <w:color w:val="auto"/>
          <w:u w:val="none"/>
        </w:rPr>
        <w:t>priročnikom</w:t>
      </w:r>
      <w:r w:rsidR="007568ED" w:rsidRPr="00062112">
        <w:rPr>
          <w:rStyle w:val="Hiperpovezava"/>
          <w:color w:val="auto"/>
          <w:u w:val="none"/>
        </w:rPr>
        <w:t xml:space="preserve"> za učinkovito </w:t>
      </w:r>
      <w:r w:rsidR="00FC77B8">
        <w:rPr>
          <w:rStyle w:val="Hiperpovezava"/>
          <w:color w:val="auto"/>
          <w:u w:val="none"/>
        </w:rPr>
        <w:t>izvajanje</w:t>
      </w:r>
      <w:r w:rsidR="009E0061">
        <w:rPr>
          <w:rStyle w:val="Hiperpovezava"/>
          <w:color w:val="auto"/>
          <w:u w:val="none"/>
        </w:rPr>
        <w:t xml:space="preserve"> poročanja</w:t>
      </w:r>
      <w:r w:rsidR="007568ED" w:rsidRPr="00062112">
        <w:rPr>
          <w:rStyle w:val="Hiperpovezava"/>
          <w:color w:val="auto"/>
          <w:u w:val="none"/>
        </w:rPr>
        <w:t xml:space="preserve"> po državah</w:t>
      </w:r>
      <w:r w:rsidR="00062112" w:rsidRPr="00062112">
        <w:rPr>
          <w:rStyle w:val="Hiperpovezava"/>
          <w:color w:val="auto"/>
          <w:u w:val="none"/>
        </w:rPr>
        <w:t xml:space="preserve"> (</w:t>
      </w:r>
      <w:proofErr w:type="gramStart"/>
      <w:r w:rsidR="00062112" w:rsidRPr="00062112">
        <w:rPr>
          <w:rStyle w:val="Hiperpovezava"/>
          <w:color w:val="auto"/>
          <w:u w:val="none"/>
        </w:rPr>
        <w:t>angl</w:t>
      </w:r>
      <w:proofErr w:type="gramEnd"/>
      <w:r w:rsidR="00062112" w:rsidRPr="00062112">
        <w:rPr>
          <w:rStyle w:val="Hiperpovezava"/>
          <w:color w:val="auto"/>
          <w:u w:val="none"/>
        </w:rPr>
        <w:t xml:space="preserve">. </w:t>
      </w:r>
      <w:hyperlink r:id="rId44" w:history="1">
        <w:r w:rsidR="00062112" w:rsidRPr="009C581D">
          <w:rPr>
            <w:rStyle w:val="Hiperpovezava"/>
            <w:i/>
            <w:u w:val="none"/>
            <w:lang w:val="en-GB"/>
          </w:rPr>
          <w:t xml:space="preserve">Country-by-Country Reporting: </w:t>
        </w:r>
        <w:r w:rsidR="009C581D" w:rsidRPr="009C581D">
          <w:rPr>
            <w:rStyle w:val="Hiperpovezava"/>
            <w:i/>
            <w:u w:val="none"/>
            <w:lang w:val="en-GB"/>
          </w:rPr>
          <w:t>Handbook on Effective Implementation</w:t>
        </w:r>
      </w:hyperlink>
      <w:r w:rsidR="00062112" w:rsidRPr="00062112">
        <w:rPr>
          <w:rStyle w:val="Hiperpovezava"/>
          <w:color w:val="auto"/>
          <w:u w:val="none"/>
        </w:rPr>
        <w:t>)</w:t>
      </w:r>
      <w:r w:rsidR="007568ED" w:rsidRPr="00062112">
        <w:rPr>
          <w:rStyle w:val="Hiperpovezava"/>
          <w:color w:val="auto"/>
          <w:u w:val="none"/>
        </w:rPr>
        <w:t>,</w:t>
      </w:r>
      <w:r w:rsidR="002E0F41" w:rsidRPr="00062112">
        <w:t xml:space="preserve"> </w:t>
      </w:r>
      <w:r w:rsidR="002E0F41" w:rsidRPr="00705E19">
        <w:t>je</w:t>
      </w:r>
      <w:r w:rsidR="002E0F41" w:rsidRPr="00B87D07">
        <w:t xml:space="preserve"> v </w:t>
      </w:r>
      <w:r w:rsidRPr="00B87D07">
        <w:rPr>
          <w:szCs w:val="20"/>
        </w:rPr>
        <w:t>splošnem n</w:t>
      </w:r>
      <w:r w:rsidR="009A29D6" w:rsidRPr="00B87D07">
        <w:rPr>
          <w:szCs w:val="20"/>
        </w:rPr>
        <w:t>adomestno poročanje mo</w:t>
      </w:r>
      <w:r w:rsidR="002B4165">
        <w:rPr>
          <w:szCs w:val="20"/>
        </w:rPr>
        <w:t xml:space="preserve">žno </w:t>
      </w:r>
      <w:proofErr w:type="gramStart"/>
      <w:r w:rsidR="001F6898" w:rsidRPr="001F6898">
        <w:rPr>
          <w:b/>
          <w:szCs w:val="20"/>
        </w:rPr>
        <w:t>n</w:t>
      </w:r>
      <w:r w:rsidR="007D73F1" w:rsidRPr="007D73F1">
        <w:rPr>
          <w:b/>
          <w:szCs w:val="20"/>
        </w:rPr>
        <w:t>a</w:t>
      </w:r>
      <w:proofErr w:type="gramEnd"/>
      <w:r w:rsidR="007D73F1" w:rsidRPr="007D73F1">
        <w:rPr>
          <w:b/>
          <w:szCs w:val="20"/>
        </w:rPr>
        <w:t xml:space="preserve"> dva načina</w:t>
      </w:r>
      <w:r w:rsidR="009A29D6" w:rsidRPr="007D73F1">
        <w:rPr>
          <w:b/>
          <w:szCs w:val="20"/>
        </w:rPr>
        <w:t xml:space="preserve">: </w:t>
      </w:r>
    </w:p>
    <w:p w14:paraId="3A1445D5" w14:textId="77777777" w:rsidR="008B0407" w:rsidRPr="00B87D07" w:rsidRDefault="008B0407" w:rsidP="00685D96">
      <w:pPr>
        <w:jc w:val="both"/>
        <w:rPr>
          <w:szCs w:val="20"/>
        </w:rPr>
      </w:pPr>
    </w:p>
    <w:p w14:paraId="3A1445D6" w14:textId="77777777" w:rsidR="00E74EE4" w:rsidRDefault="004659B3" w:rsidP="00685D96">
      <w:pPr>
        <w:pStyle w:val="Odstavekseznama"/>
        <w:numPr>
          <w:ilvl w:val="0"/>
          <w:numId w:val="42"/>
        </w:numPr>
        <w:jc w:val="both"/>
        <w:rPr>
          <w:b/>
        </w:rPr>
      </w:pPr>
      <w:r w:rsidRPr="00B87D07">
        <w:t>Oseba v sestavi mednarodne skupine podjetij, ki ni krovno matično podjetje</w:t>
      </w:r>
      <w:r w:rsidR="00BE62EB" w:rsidRPr="00B87D07">
        <w:t>,</w:t>
      </w:r>
      <w:r w:rsidRPr="00B87D07">
        <w:t xml:space="preserve"> </w:t>
      </w:r>
      <w:r w:rsidR="00BA1333" w:rsidRPr="00B87D07">
        <w:t xml:space="preserve">je </w:t>
      </w:r>
      <w:r w:rsidR="00444A89" w:rsidRPr="00B87D07">
        <w:t>določeno</w:t>
      </w:r>
      <w:r w:rsidR="00BA1333" w:rsidRPr="00B87D07">
        <w:t xml:space="preserve"> za predložitev CbC poročila za celotno mednarodno skupino podjetij</w:t>
      </w:r>
      <w:r w:rsidRPr="00B87D07">
        <w:t xml:space="preserve"> </w:t>
      </w:r>
      <w:r w:rsidR="00F2448F" w:rsidRPr="00B87D07">
        <w:t xml:space="preserve">v svoji </w:t>
      </w:r>
      <w:r w:rsidR="00F2448F" w:rsidRPr="00B87D07">
        <w:lastRenderedPageBreak/>
        <w:t>davčni jurisdikciji</w:t>
      </w:r>
      <w:r w:rsidR="00C577BA" w:rsidRPr="00B87D07">
        <w:t xml:space="preserve"> – </w:t>
      </w:r>
      <w:r w:rsidR="00BE62EB" w:rsidRPr="00B87D07">
        <w:t xml:space="preserve">gre za </w:t>
      </w:r>
      <w:r w:rsidR="00C577BA" w:rsidRPr="004C7152">
        <w:rPr>
          <w:b/>
        </w:rPr>
        <w:t xml:space="preserve">nadomestno </w:t>
      </w:r>
      <w:r w:rsidR="00D0372D" w:rsidRPr="004C7152">
        <w:rPr>
          <w:b/>
        </w:rPr>
        <w:t xml:space="preserve">matično podjetje mednarodne skupine podjetij </w:t>
      </w:r>
      <w:r w:rsidR="00C577BA" w:rsidRPr="004C7152">
        <w:rPr>
          <w:b/>
        </w:rPr>
        <w:t xml:space="preserve">(angl. </w:t>
      </w:r>
      <w:proofErr w:type="spellStart"/>
      <w:r w:rsidR="004C7152" w:rsidRPr="000C2715">
        <w:rPr>
          <w:b/>
          <w:i/>
        </w:rPr>
        <w:t>s</w:t>
      </w:r>
      <w:r w:rsidR="00C577BA" w:rsidRPr="000C2715">
        <w:rPr>
          <w:b/>
          <w:i/>
        </w:rPr>
        <w:t>urrogate</w:t>
      </w:r>
      <w:proofErr w:type="spellEnd"/>
      <w:r w:rsidR="00C577BA" w:rsidRPr="000C2715">
        <w:rPr>
          <w:b/>
          <w:i/>
        </w:rPr>
        <w:t xml:space="preserve"> </w:t>
      </w:r>
      <w:proofErr w:type="spellStart"/>
      <w:r w:rsidR="00C577BA" w:rsidRPr="000C2715">
        <w:rPr>
          <w:b/>
          <w:i/>
        </w:rPr>
        <w:t>parent</w:t>
      </w:r>
      <w:proofErr w:type="spellEnd"/>
      <w:r w:rsidR="00C577BA" w:rsidRPr="000C2715">
        <w:rPr>
          <w:b/>
          <w:i/>
        </w:rPr>
        <w:t xml:space="preserve"> </w:t>
      </w:r>
      <w:proofErr w:type="spellStart"/>
      <w:r w:rsidR="00C577BA" w:rsidRPr="000C2715">
        <w:rPr>
          <w:b/>
          <w:i/>
        </w:rPr>
        <w:t>entity</w:t>
      </w:r>
      <w:proofErr w:type="spellEnd"/>
      <w:r w:rsidR="00C577BA" w:rsidRPr="004C7152">
        <w:rPr>
          <w:b/>
        </w:rPr>
        <w:t>)</w:t>
      </w:r>
      <w:r w:rsidR="00EB6FCA" w:rsidRPr="004C7152">
        <w:rPr>
          <w:b/>
        </w:rPr>
        <w:t xml:space="preserve">. </w:t>
      </w:r>
    </w:p>
    <w:p w14:paraId="3A1445D7" w14:textId="77777777" w:rsidR="00F31023" w:rsidRPr="004C7152" w:rsidRDefault="00F31023" w:rsidP="00F31023">
      <w:pPr>
        <w:pStyle w:val="Odstavekseznama"/>
        <w:jc w:val="both"/>
        <w:rPr>
          <w:b/>
        </w:rPr>
      </w:pPr>
    </w:p>
    <w:p w14:paraId="3A1445D8" w14:textId="77777777" w:rsidR="00E74EE4" w:rsidRDefault="00444A89" w:rsidP="00685D96">
      <w:pPr>
        <w:pStyle w:val="Odstavekseznama"/>
        <w:numPr>
          <w:ilvl w:val="0"/>
          <w:numId w:val="42"/>
        </w:numPr>
        <w:jc w:val="both"/>
        <w:rPr>
          <w:rStyle w:val="Hiperpovezava"/>
          <w:color w:val="auto"/>
          <w:u w:val="none"/>
        </w:rPr>
      </w:pPr>
      <w:r w:rsidRPr="00B87D07">
        <w:t>Nekatere jurisdikcije</w:t>
      </w:r>
      <w:r w:rsidR="00F446BF" w:rsidRPr="00B87D07">
        <w:t>, kjer sicer predložitev CbC poročila, za določeno poslovno leto do roka določenega za predložitev CbC poročila</w:t>
      </w:r>
      <w:r w:rsidR="004933D8" w:rsidRPr="00B87D07">
        <w:t xml:space="preserve"> ni obvezna</w:t>
      </w:r>
      <w:r w:rsidR="00F446BF" w:rsidRPr="00B87D07">
        <w:t>,</w:t>
      </w:r>
      <w:r w:rsidR="000E7887" w:rsidRPr="00B87D07">
        <w:t xml:space="preserve"> </w:t>
      </w:r>
      <w:r w:rsidR="000E7887" w:rsidRPr="00CE0994">
        <w:rPr>
          <w:b/>
        </w:rPr>
        <w:t>dovol</w:t>
      </w:r>
      <w:r w:rsidRPr="00CE0994">
        <w:rPr>
          <w:b/>
        </w:rPr>
        <w:t xml:space="preserve">ijo </w:t>
      </w:r>
      <w:r w:rsidR="00CE0994" w:rsidRPr="00CE0994">
        <w:rPr>
          <w:b/>
        </w:rPr>
        <w:t>krovnim matičnim podjetjem</w:t>
      </w:r>
      <w:r w:rsidR="001D171B">
        <w:rPr>
          <w:b/>
        </w:rPr>
        <w:t xml:space="preserve">, da </w:t>
      </w:r>
      <w:r w:rsidRPr="00CE0994">
        <w:rPr>
          <w:b/>
        </w:rPr>
        <w:t>p</w:t>
      </w:r>
      <w:r w:rsidRPr="00747ACD">
        <w:rPr>
          <w:b/>
        </w:rPr>
        <w:t xml:space="preserve">rostovoljno </w:t>
      </w:r>
      <w:r w:rsidR="00FA3583" w:rsidRPr="00747ACD">
        <w:rPr>
          <w:b/>
        </w:rPr>
        <w:t>predloži</w:t>
      </w:r>
      <w:r w:rsidR="00FA3583">
        <w:rPr>
          <w:b/>
        </w:rPr>
        <w:t>jo</w:t>
      </w:r>
      <w:r w:rsidR="001D171B">
        <w:rPr>
          <w:b/>
        </w:rPr>
        <w:t xml:space="preserve"> CbC poročilo </w:t>
      </w:r>
      <w:r w:rsidRPr="00747ACD">
        <w:rPr>
          <w:b/>
        </w:rPr>
        <w:t xml:space="preserve">(ang. </w:t>
      </w:r>
      <w:proofErr w:type="spellStart"/>
      <w:r w:rsidR="00747ACD" w:rsidRPr="000C2715">
        <w:rPr>
          <w:b/>
          <w:i/>
        </w:rPr>
        <w:t>v</w:t>
      </w:r>
      <w:r w:rsidR="00116442" w:rsidRPr="000C2715">
        <w:rPr>
          <w:b/>
          <w:i/>
        </w:rPr>
        <w:t>oluntary</w:t>
      </w:r>
      <w:proofErr w:type="spellEnd"/>
      <w:r w:rsidRPr="000C2715">
        <w:rPr>
          <w:b/>
          <w:i/>
        </w:rPr>
        <w:t xml:space="preserve"> </w:t>
      </w:r>
      <w:proofErr w:type="spellStart"/>
      <w:r w:rsidRPr="000C2715">
        <w:rPr>
          <w:b/>
          <w:i/>
        </w:rPr>
        <w:t>filling</w:t>
      </w:r>
      <w:proofErr w:type="spellEnd"/>
      <w:r w:rsidRPr="00747ACD">
        <w:rPr>
          <w:b/>
        </w:rPr>
        <w:t>)</w:t>
      </w:r>
      <w:r w:rsidR="00CD7B7F" w:rsidRPr="00747ACD">
        <w:rPr>
          <w:b/>
        </w:rPr>
        <w:t>.</w:t>
      </w:r>
      <w:r w:rsidR="00CD7B7F" w:rsidRPr="00B87D07">
        <w:t xml:space="preserve"> </w:t>
      </w:r>
      <w:r w:rsidR="00FA3583">
        <w:t xml:space="preserve">V tem primeru se </w:t>
      </w:r>
      <w:r w:rsidR="00F446BF" w:rsidRPr="00B87D07">
        <w:t>krovno matično podjetje</w:t>
      </w:r>
      <w:r w:rsidR="00FA3583">
        <w:t>, ki</w:t>
      </w:r>
      <w:r w:rsidR="00C577BA" w:rsidRPr="00B87D07">
        <w:t xml:space="preserve"> </w:t>
      </w:r>
      <w:r w:rsidR="00F446BF" w:rsidRPr="00B87D07">
        <w:t>prostovoljno predloži CbC poročilo v svoji davčni jurisdikciji</w:t>
      </w:r>
      <w:r w:rsidR="003D2ACC" w:rsidRPr="00B87D07">
        <w:t xml:space="preserve"> </w:t>
      </w:r>
      <w:r w:rsidR="00FA3583">
        <w:t>imenuje</w:t>
      </w:r>
      <w:r w:rsidR="005B4BB5" w:rsidRPr="00B87D07">
        <w:t xml:space="preserve"> </w:t>
      </w:r>
      <w:r w:rsidR="005B4BB5" w:rsidRPr="00747ACD">
        <w:rPr>
          <w:b/>
        </w:rPr>
        <w:t xml:space="preserve">matično nadomestno podjetje </w:t>
      </w:r>
      <w:r w:rsidR="003D2ACC" w:rsidRPr="00747ACD">
        <w:rPr>
          <w:b/>
        </w:rPr>
        <w:t xml:space="preserve">(angl. </w:t>
      </w:r>
      <w:proofErr w:type="spellStart"/>
      <w:r w:rsidR="00747ACD" w:rsidRPr="000C2715">
        <w:rPr>
          <w:b/>
          <w:i/>
        </w:rPr>
        <w:t>p</w:t>
      </w:r>
      <w:r w:rsidR="00116442" w:rsidRPr="000C2715">
        <w:rPr>
          <w:b/>
          <w:i/>
        </w:rPr>
        <w:t>arent</w:t>
      </w:r>
      <w:proofErr w:type="spellEnd"/>
      <w:r w:rsidR="003D2ACC" w:rsidRPr="000C2715">
        <w:rPr>
          <w:b/>
          <w:i/>
        </w:rPr>
        <w:t xml:space="preserve"> </w:t>
      </w:r>
      <w:proofErr w:type="spellStart"/>
      <w:r w:rsidR="003D2ACC" w:rsidRPr="000C2715">
        <w:rPr>
          <w:b/>
          <w:i/>
        </w:rPr>
        <w:t>surrogate</w:t>
      </w:r>
      <w:proofErr w:type="spellEnd"/>
      <w:r w:rsidR="003D2ACC" w:rsidRPr="000C2715">
        <w:rPr>
          <w:b/>
          <w:i/>
        </w:rPr>
        <w:t xml:space="preserve"> </w:t>
      </w:r>
      <w:proofErr w:type="spellStart"/>
      <w:r w:rsidR="003D2ACC" w:rsidRPr="000C2715">
        <w:rPr>
          <w:b/>
          <w:i/>
        </w:rPr>
        <w:t>entity</w:t>
      </w:r>
      <w:proofErr w:type="spellEnd"/>
      <w:r w:rsidR="003D2ACC" w:rsidRPr="00B87D07">
        <w:t>)</w:t>
      </w:r>
      <w:r w:rsidR="00F446BF" w:rsidRPr="00B87D07">
        <w:t>.</w:t>
      </w:r>
      <w:r w:rsidR="006942D7" w:rsidRPr="00B87D07">
        <w:t xml:space="preserve"> </w:t>
      </w:r>
      <w:r w:rsidR="00CD73B5">
        <w:t xml:space="preserve">Obstoječ seznam jurisdikcij, z navedeno ureditvijo </w:t>
      </w:r>
      <w:r w:rsidR="0051179C" w:rsidRPr="00B87D07">
        <w:t>je</w:t>
      </w:r>
      <w:r w:rsidR="00CD73B5">
        <w:t>:</w:t>
      </w:r>
      <w:r w:rsidR="00513015" w:rsidRPr="00B87D07">
        <w:t xml:space="preserve"> </w:t>
      </w:r>
      <w:proofErr w:type="spellStart"/>
      <w:r w:rsidR="00513015" w:rsidRPr="00B87D07">
        <w:t>Hong</w:t>
      </w:r>
      <w:proofErr w:type="spellEnd"/>
      <w:r w:rsidR="00513015" w:rsidRPr="00B87D07">
        <w:t xml:space="preserve"> </w:t>
      </w:r>
      <w:proofErr w:type="spellStart"/>
      <w:r w:rsidR="00513015" w:rsidRPr="00B87D07">
        <w:t>Kong</w:t>
      </w:r>
      <w:proofErr w:type="spellEnd"/>
      <w:r w:rsidR="00513015" w:rsidRPr="00B87D07">
        <w:t xml:space="preserve">, Otok Man, Japonska, Nigerija, Ruska </w:t>
      </w:r>
      <w:r w:rsidR="009472A0" w:rsidRPr="00B87D07">
        <w:t>F</w:t>
      </w:r>
      <w:r w:rsidR="00513015" w:rsidRPr="00B87D07">
        <w:t>ederacija, Singapur, Švica, ZDA.</w:t>
      </w:r>
      <w:r w:rsidR="00CD73B5">
        <w:t xml:space="preserve"> </w:t>
      </w:r>
      <w:r w:rsidR="00531043">
        <w:t>Celoten s</w:t>
      </w:r>
      <w:r w:rsidR="00CD73B5">
        <w:t>eznam</w:t>
      </w:r>
      <w:r w:rsidR="00531043">
        <w:t xml:space="preserve"> jurisdikcij glede ureditve CbC poročanja </w:t>
      </w:r>
      <w:r w:rsidR="00CD73B5">
        <w:t xml:space="preserve">je dostopen na </w:t>
      </w:r>
      <w:hyperlink r:id="rId45" w:history="1">
        <w:r w:rsidR="00CD73B5" w:rsidRPr="00D5666C">
          <w:rPr>
            <w:rStyle w:val="Hiperpovezava"/>
            <w:u w:val="none"/>
          </w:rPr>
          <w:t>spletni strani OECD</w:t>
        </w:r>
        <w:r w:rsidR="0074469A" w:rsidRPr="00D5666C">
          <w:rPr>
            <w:rStyle w:val="Hiperpovezava"/>
            <w:u w:val="none"/>
          </w:rPr>
          <w:t>.</w:t>
        </w:r>
      </w:hyperlink>
      <w:r w:rsidR="00CD73B5">
        <w:t xml:space="preserve"> </w:t>
      </w:r>
    </w:p>
    <w:p w14:paraId="3A1445D9" w14:textId="77777777" w:rsidR="00513015" w:rsidRPr="00B87D07" w:rsidRDefault="00513015" w:rsidP="00685D96">
      <w:pPr>
        <w:pStyle w:val="Odstavekseznama"/>
      </w:pPr>
    </w:p>
    <w:p w14:paraId="3A1445DA" w14:textId="77777777" w:rsidR="006F31E7" w:rsidRPr="0067652A" w:rsidRDefault="00F67F53" w:rsidP="00685D96">
      <w:pPr>
        <w:jc w:val="both"/>
        <w:rPr>
          <w:b/>
          <w:szCs w:val="20"/>
        </w:rPr>
      </w:pPr>
      <w:r w:rsidRPr="00B87D07">
        <w:t xml:space="preserve">V obeh primerih </w:t>
      </w:r>
      <w:r w:rsidR="00C157D8" w:rsidRPr="00B87D07">
        <w:t xml:space="preserve">nadomestnega poročanja </w:t>
      </w:r>
      <w:r w:rsidRPr="00B87D07">
        <w:t>bo jurisdikcija, kjer nadomestno podjetje v imenu celotne mednar</w:t>
      </w:r>
      <w:r w:rsidR="00ED74F7" w:rsidRPr="00B87D07">
        <w:t>odne skupine podjetij predloži</w:t>
      </w:r>
      <w:r w:rsidRPr="00B87D07">
        <w:t xml:space="preserve"> CbC</w:t>
      </w:r>
      <w:r w:rsidR="00C157D8" w:rsidRPr="00B87D07">
        <w:t xml:space="preserve"> poročilo, avtomatično posredovala</w:t>
      </w:r>
      <w:r w:rsidRPr="00B87D07">
        <w:t xml:space="preserve"> CbC poročilo vsem drugim pristojnim organom v jurisdikcijah, v katerih je na podlagi podatkov iz CbC poročila ena ali več oseb v sestavi mednarodne skupine podjetij bodisi rezident za davčne namene ali pa prek stalne poslovne enote opravlja dejavnost v zvezi s katero je obdavčena</w:t>
      </w:r>
      <w:r w:rsidR="002A3909" w:rsidRPr="00B87D07">
        <w:t xml:space="preserve">, in ima jurisdikcija v veljavi </w:t>
      </w:r>
      <w:r w:rsidR="00906427" w:rsidRPr="00B87D07">
        <w:t>mednarodni sporazum, ki omogoča avtomatično izmenjavo informacij</w:t>
      </w:r>
      <w:r w:rsidR="005C25E3" w:rsidRPr="00B87D07">
        <w:t>,</w:t>
      </w:r>
      <w:r w:rsidR="00906427" w:rsidRPr="00B87D07">
        <w:t xml:space="preserve"> in imata jurisdikciji</w:t>
      </w:r>
      <w:r w:rsidR="005C25E3" w:rsidRPr="00B87D07">
        <w:t xml:space="preserve"> </w:t>
      </w:r>
      <w:r w:rsidR="00733FA5">
        <w:t xml:space="preserve">v </w:t>
      </w:r>
      <w:r w:rsidR="00733FA5" w:rsidRPr="0067652A">
        <w:t xml:space="preserve">veljavi </w:t>
      </w:r>
      <w:r w:rsidR="0067652A" w:rsidRPr="0067652A">
        <w:t>Sporazum</w:t>
      </w:r>
      <w:r w:rsidR="00733FA5" w:rsidRPr="0067652A">
        <w:t xml:space="preserve"> med pristojnimi organi CbCR</w:t>
      </w:r>
      <w:r w:rsidR="0067652A" w:rsidRPr="0067652A">
        <w:t>.</w:t>
      </w:r>
    </w:p>
    <w:p w14:paraId="3A1445DB" w14:textId="77777777" w:rsidR="0067652A" w:rsidRDefault="0067652A" w:rsidP="00685D96">
      <w:pPr>
        <w:jc w:val="both"/>
        <w:rPr>
          <w:szCs w:val="20"/>
        </w:rPr>
      </w:pPr>
    </w:p>
    <w:p w14:paraId="3A1445DC" w14:textId="77777777" w:rsidR="00473152" w:rsidRPr="00B87D07" w:rsidRDefault="00FB3D94" w:rsidP="00685D96">
      <w:pPr>
        <w:jc w:val="both"/>
        <w:rPr>
          <w:szCs w:val="20"/>
        </w:rPr>
      </w:pPr>
      <w:r w:rsidRPr="00F83763">
        <w:rPr>
          <w:b/>
          <w:szCs w:val="20"/>
        </w:rPr>
        <w:t>Slovenska o</w:t>
      </w:r>
      <w:r w:rsidR="00CD69C3" w:rsidRPr="00F83763">
        <w:rPr>
          <w:b/>
          <w:szCs w:val="20"/>
        </w:rPr>
        <w:t>seba v sestavi</w:t>
      </w:r>
      <w:r w:rsidR="00083147">
        <w:rPr>
          <w:szCs w:val="20"/>
        </w:rPr>
        <w:t xml:space="preserve"> torej </w:t>
      </w:r>
      <w:r w:rsidR="00083147" w:rsidRPr="007B191C">
        <w:rPr>
          <w:b/>
          <w:szCs w:val="20"/>
        </w:rPr>
        <w:t>ni dolžna</w:t>
      </w:r>
      <w:r w:rsidR="00CD69C3" w:rsidRPr="00B87D07">
        <w:rPr>
          <w:szCs w:val="20"/>
        </w:rPr>
        <w:t xml:space="preserve"> predložiti </w:t>
      </w:r>
      <w:r w:rsidR="00473152" w:rsidRPr="00B87D07">
        <w:rPr>
          <w:szCs w:val="20"/>
        </w:rPr>
        <w:t xml:space="preserve">CbC poročila </w:t>
      </w:r>
      <w:r w:rsidR="00CD69C3" w:rsidRPr="00B87D07">
        <w:rPr>
          <w:szCs w:val="20"/>
        </w:rPr>
        <w:t>Finančni upravi</w:t>
      </w:r>
      <w:r w:rsidR="00D82284" w:rsidRPr="00B87D07">
        <w:rPr>
          <w:szCs w:val="20"/>
        </w:rPr>
        <w:t xml:space="preserve"> RS</w:t>
      </w:r>
      <w:r w:rsidR="00CD69C3" w:rsidRPr="00B87D07">
        <w:rPr>
          <w:szCs w:val="20"/>
        </w:rPr>
        <w:t>, kadar</w:t>
      </w:r>
      <w:r w:rsidR="00671706">
        <w:rPr>
          <w:szCs w:val="20"/>
        </w:rPr>
        <w:t xml:space="preserve"> so </w:t>
      </w:r>
      <w:r w:rsidR="00671706" w:rsidRPr="00F83763">
        <w:rPr>
          <w:b/>
          <w:szCs w:val="20"/>
        </w:rPr>
        <w:t>kumulativno izpolnjeni vsi pogoji</w:t>
      </w:r>
      <w:r w:rsidR="00473152" w:rsidRPr="00F83763">
        <w:rPr>
          <w:b/>
          <w:szCs w:val="20"/>
        </w:rPr>
        <w:t>:</w:t>
      </w:r>
      <w:r w:rsidR="00473152" w:rsidRPr="00B87D07">
        <w:rPr>
          <w:szCs w:val="20"/>
        </w:rPr>
        <w:t xml:space="preserve"> </w:t>
      </w:r>
    </w:p>
    <w:p w14:paraId="3A1445DD" w14:textId="77777777" w:rsidR="00416940" w:rsidRPr="00B87D07" w:rsidRDefault="00416940" w:rsidP="00685D96">
      <w:pPr>
        <w:rPr>
          <w:szCs w:val="20"/>
        </w:rPr>
      </w:pPr>
    </w:p>
    <w:p w14:paraId="3A1445DE" w14:textId="77777777" w:rsidR="009D4474" w:rsidRPr="00B87D07" w:rsidRDefault="009D4474" w:rsidP="00685D96">
      <w:pPr>
        <w:pStyle w:val="Odstavekseznama"/>
        <w:numPr>
          <w:ilvl w:val="0"/>
          <w:numId w:val="41"/>
        </w:numPr>
        <w:jc w:val="both"/>
      </w:pPr>
      <w:r w:rsidRPr="00B87D07">
        <w:t xml:space="preserve">CbC poročilo </w:t>
      </w:r>
      <w:r w:rsidR="00416940" w:rsidRPr="00B87D07">
        <w:t>predloži</w:t>
      </w:r>
      <w:r w:rsidRPr="00B87D07">
        <w:t xml:space="preserve"> nadomestno podjetje v svoji jurisdikciji davčnega </w:t>
      </w:r>
      <w:r w:rsidR="00416940" w:rsidRPr="00B87D07">
        <w:t>rezidentstva</w:t>
      </w:r>
      <w:r w:rsidR="00417AA5" w:rsidRPr="00B87D07">
        <w:t xml:space="preserve"> in </w:t>
      </w:r>
      <w:r w:rsidR="007B191C">
        <w:t xml:space="preserve">slovenska </w:t>
      </w:r>
      <w:r w:rsidR="00417AA5" w:rsidRPr="00B87D07">
        <w:t>oseb</w:t>
      </w:r>
      <w:r w:rsidR="00BE3254" w:rsidRPr="00B87D07">
        <w:t>a</w:t>
      </w:r>
      <w:r w:rsidR="00417AA5" w:rsidRPr="00B87D07">
        <w:t xml:space="preserve"> v sestavi predl</w:t>
      </w:r>
      <w:r w:rsidR="00BE3254" w:rsidRPr="00B87D07">
        <w:t>oži Obvestilo CbCR</w:t>
      </w:r>
      <w:r w:rsidR="00CE4EA2">
        <w:t xml:space="preserve"> </w:t>
      </w:r>
      <w:r w:rsidR="00CE4EA2" w:rsidRPr="00B87D07">
        <w:t>Finančni upravi RS</w:t>
      </w:r>
      <w:r w:rsidR="00CE4EA2">
        <w:t>,</w:t>
      </w:r>
      <w:r w:rsidR="00BE3254" w:rsidRPr="00B87D07">
        <w:t xml:space="preserve"> kjer navede</w:t>
      </w:r>
      <w:r w:rsidR="00417AA5" w:rsidRPr="00B87D07">
        <w:t xml:space="preserve"> </w:t>
      </w:r>
      <w:r w:rsidR="0075250F">
        <w:t>naziv poročeval</w:t>
      </w:r>
      <w:r w:rsidR="00417AA5" w:rsidRPr="00B87D07">
        <w:t>c</w:t>
      </w:r>
      <w:r w:rsidR="0075250F">
        <w:t>a</w:t>
      </w:r>
      <w:r w:rsidR="00417AA5" w:rsidRPr="00B87D07">
        <w:t xml:space="preserve"> za celotno</w:t>
      </w:r>
      <w:r w:rsidR="003149AF">
        <w:t xml:space="preserve"> mednarodno</w:t>
      </w:r>
      <w:r w:rsidR="00417AA5" w:rsidRPr="00B87D07">
        <w:t xml:space="preserve"> skupino</w:t>
      </w:r>
      <w:r w:rsidR="003149AF">
        <w:t xml:space="preserve"> podjetij</w:t>
      </w:r>
      <w:r w:rsidR="008C237A">
        <w:t>.</w:t>
      </w:r>
    </w:p>
    <w:p w14:paraId="3A1445DF" w14:textId="77777777" w:rsidR="00C52118" w:rsidRPr="00B87D07" w:rsidRDefault="00C52118" w:rsidP="00685D96">
      <w:pPr>
        <w:pStyle w:val="Odstavekseznama"/>
        <w:jc w:val="both"/>
      </w:pPr>
    </w:p>
    <w:p w14:paraId="3A1445E0" w14:textId="77777777" w:rsidR="009D4474" w:rsidRPr="00B87D07" w:rsidRDefault="008C237A" w:rsidP="00685D96">
      <w:pPr>
        <w:pStyle w:val="Odstavekseznama"/>
        <w:numPr>
          <w:ilvl w:val="0"/>
          <w:numId w:val="41"/>
        </w:numPr>
        <w:jc w:val="both"/>
      </w:pPr>
      <w:r>
        <w:t>J</w:t>
      </w:r>
      <w:r w:rsidR="009D4474" w:rsidRPr="00B87D07">
        <w:t xml:space="preserve">urisdikcija nadomestnega podjetja zahteva predložitev </w:t>
      </w:r>
      <w:r w:rsidR="0035047C" w:rsidRPr="00B87D07">
        <w:t xml:space="preserve">vseh </w:t>
      </w:r>
      <w:r w:rsidR="003F5F90" w:rsidRPr="00B87D07">
        <w:t xml:space="preserve">podatkov </w:t>
      </w:r>
      <w:r w:rsidR="00CE01D4" w:rsidRPr="00B87D07">
        <w:t xml:space="preserve">v </w:t>
      </w:r>
      <w:r w:rsidR="009D4474" w:rsidRPr="00B87D07">
        <w:t>Cb</w:t>
      </w:r>
      <w:r w:rsidR="00CE01D4" w:rsidRPr="00B87D07">
        <w:t>C poročilu</w:t>
      </w:r>
      <w:r w:rsidR="009D4474" w:rsidRPr="00B87D07">
        <w:t xml:space="preserve"> kot je predviden</w:t>
      </w:r>
      <w:r w:rsidR="00634840" w:rsidRPr="00B87D07">
        <w:t>o v Obrazcu poročila po državah v skladu z</w:t>
      </w:r>
      <w:r w:rsidR="005A526D" w:rsidRPr="00B87D07">
        <w:t xml:space="preserve"> minimalnim standardom, določenim v</w:t>
      </w:r>
      <w:r w:rsidR="00634840" w:rsidRPr="00B87D07">
        <w:t xml:space="preserve"> </w:t>
      </w:r>
      <w:hyperlink r:id="rId46" w:anchor=".WYgei1tPqUl" w:history="1">
        <w:r w:rsidR="00634840" w:rsidRPr="00765584">
          <w:rPr>
            <w:rStyle w:val="Hiperpovezava"/>
            <w:u w:val="none"/>
          </w:rPr>
          <w:t>OECD Kon</w:t>
        </w:r>
        <w:r w:rsidR="005A526D" w:rsidRPr="00765584">
          <w:rPr>
            <w:rStyle w:val="Hiperpovezava"/>
            <w:u w:val="none"/>
          </w:rPr>
          <w:t>čnem poročilu</w:t>
        </w:r>
        <w:r w:rsidR="00634840" w:rsidRPr="00765584">
          <w:rPr>
            <w:rStyle w:val="Hiperpovezava"/>
            <w:u w:val="none"/>
          </w:rPr>
          <w:t xml:space="preserve"> o Ukrepu 13 iz leta 2015</w:t>
        </w:r>
      </w:hyperlink>
      <w:r w:rsidR="00634840" w:rsidRPr="00B87D07">
        <w:t xml:space="preserve"> oziroma</w:t>
      </w:r>
      <w:r w:rsidR="00BE1C2A" w:rsidRPr="00B87D07">
        <w:t xml:space="preserve"> v skladu z</w:t>
      </w:r>
      <w:r w:rsidR="00634840" w:rsidRPr="00B87D07">
        <w:t xml:space="preserve"> </w:t>
      </w:r>
      <w:hyperlink r:id="rId47" w:history="1">
        <w:r w:rsidR="00BE54E1" w:rsidRPr="00AC62BA">
          <w:rPr>
            <w:rStyle w:val="Hiperpovezava"/>
            <w:u w:val="none"/>
          </w:rPr>
          <w:t>DAC4</w:t>
        </w:r>
      </w:hyperlink>
      <w:r w:rsidR="00634840" w:rsidRPr="00AC62BA">
        <w:t xml:space="preserve"> </w:t>
      </w:r>
      <w:r w:rsidR="00634840" w:rsidRPr="00B87D07">
        <w:t xml:space="preserve">do roka določenega za predložitev CbC poročila (predložitev CbC poročila načeloma do 31. </w:t>
      </w:r>
      <w:r>
        <w:t>12. 2018 za poslovno leto 2017).</w:t>
      </w:r>
    </w:p>
    <w:p w14:paraId="3A1445E1" w14:textId="77777777" w:rsidR="00C52118" w:rsidRPr="00B87D07" w:rsidRDefault="00C52118" w:rsidP="00685D96">
      <w:pPr>
        <w:pStyle w:val="Odstavekseznama"/>
        <w:jc w:val="both"/>
      </w:pPr>
    </w:p>
    <w:p w14:paraId="3A1445E2" w14:textId="77777777" w:rsidR="00F523B0" w:rsidRPr="00B87D07" w:rsidRDefault="008C237A" w:rsidP="00685D96">
      <w:pPr>
        <w:pStyle w:val="Odstavekseznama"/>
        <w:numPr>
          <w:ilvl w:val="0"/>
          <w:numId w:val="41"/>
        </w:numPr>
        <w:jc w:val="both"/>
      </w:pPr>
      <w:r>
        <w:t>J</w:t>
      </w:r>
      <w:r w:rsidR="003B31D5" w:rsidRPr="00B87D07">
        <w:t>urisdikcij</w:t>
      </w:r>
      <w:r w:rsidR="0074684A">
        <w:t>i n</w:t>
      </w:r>
      <w:r w:rsidR="00163933" w:rsidRPr="00B87D07">
        <w:t>adomestnega</w:t>
      </w:r>
      <w:r w:rsidR="00F523B0" w:rsidRPr="00B87D07">
        <w:t xml:space="preserve"> podjetja</w:t>
      </w:r>
      <w:r w:rsidR="0074684A">
        <w:t xml:space="preserve"> </w:t>
      </w:r>
      <w:r w:rsidR="00D7724A" w:rsidRPr="00B87D07">
        <w:t>ima v veljavi mednarodni sporazum, ki omogoča avtomatično izmenjavo informaci</w:t>
      </w:r>
      <w:r w:rsidR="00F86038" w:rsidRPr="00B87D07">
        <w:t xml:space="preserve">j in </w:t>
      </w:r>
      <w:r w:rsidR="001235A2">
        <w:t xml:space="preserve">ima </w:t>
      </w:r>
      <w:r w:rsidR="00D23BF3">
        <w:t>z</w:t>
      </w:r>
      <w:r w:rsidR="001235A2">
        <w:t xml:space="preserve"> RS</w:t>
      </w:r>
      <w:r w:rsidR="00C26FE0">
        <w:t xml:space="preserve"> sklenjen in </w:t>
      </w:r>
      <w:r w:rsidR="00F86038" w:rsidRPr="00B87D07">
        <w:t xml:space="preserve">v veljavi </w:t>
      </w:r>
      <w:r w:rsidR="00D720D7" w:rsidRPr="00B87D07">
        <w:t xml:space="preserve">Sporazum med pristojnimi organi </w:t>
      </w:r>
      <w:r w:rsidR="00F86038" w:rsidRPr="00B87D07">
        <w:t>CbCR</w:t>
      </w:r>
      <w:r w:rsidR="00F523B0" w:rsidRPr="00B87D07">
        <w:t xml:space="preserve"> do roka določenega za predložitev CbC poročila (predložitev CbC poročila načeloma do 31. 12. 2018 za poslovno leto 2017)</w:t>
      </w:r>
      <w:r>
        <w:t>.</w:t>
      </w:r>
    </w:p>
    <w:p w14:paraId="3A1445E3" w14:textId="77777777" w:rsidR="00C52118" w:rsidRPr="00B87D07" w:rsidRDefault="00C52118" w:rsidP="00685D96">
      <w:pPr>
        <w:pStyle w:val="Odstavekseznama"/>
        <w:jc w:val="both"/>
      </w:pPr>
    </w:p>
    <w:p w14:paraId="3A1445E4" w14:textId="77777777" w:rsidR="00C52118" w:rsidRPr="00B87D07" w:rsidRDefault="008C237A" w:rsidP="00685D96">
      <w:pPr>
        <w:pStyle w:val="Odstavekseznama"/>
        <w:numPr>
          <w:ilvl w:val="0"/>
          <w:numId w:val="41"/>
        </w:numPr>
        <w:jc w:val="both"/>
      </w:pPr>
      <w:r>
        <w:t>J</w:t>
      </w:r>
      <w:r w:rsidR="00C52118" w:rsidRPr="00B87D07">
        <w:t>urisdikcija nadomestnega podjetja ni obvestila</w:t>
      </w:r>
      <w:r w:rsidR="008812BB">
        <w:t xml:space="preserve"> </w:t>
      </w:r>
      <w:r w:rsidR="008D4A7C">
        <w:t xml:space="preserve">Finančne uprave </w:t>
      </w:r>
      <w:r w:rsidR="008812BB">
        <w:t>RS</w:t>
      </w:r>
      <w:r w:rsidR="00C52118" w:rsidRPr="00B87D07">
        <w:t xml:space="preserve"> </w:t>
      </w:r>
      <w:r w:rsidR="00C70907" w:rsidRPr="00B87D07">
        <w:t xml:space="preserve">o </w:t>
      </w:r>
      <w:r w:rsidR="00D364DE">
        <w:t>sistemski od</w:t>
      </w:r>
      <w:r>
        <w:t>povedi.</w:t>
      </w:r>
    </w:p>
    <w:p w14:paraId="3A1445E5" w14:textId="77777777" w:rsidR="00163933" w:rsidRPr="00B87D07" w:rsidRDefault="00163933" w:rsidP="00685D96">
      <w:pPr>
        <w:pStyle w:val="Odstavekseznama"/>
        <w:jc w:val="both"/>
      </w:pPr>
    </w:p>
    <w:p w14:paraId="3A1445E6" w14:textId="77777777" w:rsidR="001E7397" w:rsidRDefault="008C237A" w:rsidP="00685D96">
      <w:pPr>
        <w:pStyle w:val="Odstavekseznama"/>
        <w:numPr>
          <w:ilvl w:val="0"/>
          <w:numId w:val="41"/>
        </w:numPr>
        <w:jc w:val="both"/>
      </w:pPr>
      <w:r>
        <w:t>J</w:t>
      </w:r>
      <w:r w:rsidR="00163933" w:rsidRPr="00B87D07">
        <w:t xml:space="preserve">urisdikcija nadomestnega podjetja bo </w:t>
      </w:r>
      <w:r w:rsidR="00D65EF9" w:rsidRPr="00B87D07">
        <w:t>avtomatično</w:t>
      </w:r>
      <w:r w:rsidR="00D60A7F" w:rsidRPr="00B87D07">
        <w:t xml:space="preserve"> izmenjala</w:t>
      </w:r>
      <w:r w:rsidR="003151F6" w:rsidRPr="00B87D07">
        <w:t xml:space="preserve"> CbC poročilo.</w:t>
      </w:r>
    </w:p>
    <w:p w14:paraId="3A1445E7" w14:textId="77777777" w:rsidR="001E7397" w:rsidRDefault="001E7397" w:rsidP="00685D96">
      <w:pPr>
        <w:pStyle w:val="Odstavekseznama"/>
      </w:pPr>
    </w:p>
    <w:p w14:paraId="3A1445FA" w14:textId="77777777" w:rsidR="00236C7A" w:rsidRDefault="00236C7A" w:rsidP="00DC4738">
      <w:pPr>
        <w:pStyle w:val="Brezrazmikov"/>
        <w:jc w:val="both"/>
      </w:pPr>
    </w:p>
    <w:p w14:paraId="3A1445FC" w14:textId="77777777" w:rsidR="005D2C99" w:rsidRPr="00B87D07" w:rsidRDefault="00347202" w:rsidP="00DC4738">
      <w:pPr>
        <w:pStyle w:val="Brezrazmikov"/>
        <w:jc w:val="both"/>
      </w:pPr>
      <w:r w:rsidRPr="00B87D07">
        <w:t xml:space="preserve">Vprašanje </w:t>
      </w:r>
      <w:r w:rsidR="00BB19C9" w:rsidRPr="00B87D07">
        <w:t>8</w:t>
      </w:r>
      <w:r w:rsidRPr="00B87D07">
        <w:t>: Kd</w:t>
      </w:r>
      <w:r w:rsidR="00311387" w:rsidRPr="00B87D07">
        <w:t>o</w:t>
      </w:r>
      <w:r w:rsidRPr="00B87D07">
        <w:t xml:space="preserve"> ne predloži</w:t>
      </w:r>
      <w:r w:rsidR="00301086">
        <w:t xml:space="preserve"> </w:t>
      </w:r>
      <w:r w:rsidR="00301086" w:rsidRPr="00B87D07">
        <w:t>CbC poročila</w:t>
      </w:r>
      <w:r w:rsidR="00301086">
        <w:t>?</w:t>
      </w:r>
    </w:p>
    <w:p w14:paraId="3A1445FD" w14:textId="77777777" w:rsidR="00347202" w:rsidRPr="00B87D07" w:rsidRDefault="00347202" w:rsidP="00685D96">
      <w:pPr>
        <w:pStyle w:val="FURSnaslov1"/>
        <w:jc w:val="both"/>
        <w:rPr>
          <w:lang w:val="sl-SI"/>
        </w:rPr>
      </w:pPr>
    </w:p>
    <w:p w14:paraId="3A1445FE" w14:textId="77777777" w:rsidR="00A04AAC" w:rsidRPr="00A525FE" w:rsidRDefault="00347202" w:rsidP="00685D96">
      <w:pPr>
        <w:jc w:val="both"/>
      </w:pPr>
      <w:r w:rsidRPr="00B87D07">
        <w:t xml:space="preserve">V skladu s </w:t>
      </w:r>
      <w:r w:rsidRPr="00A8250E">
        <w:t>petim odstavkom 255.i člena</w:t>
      </w:r>
      <w:r w:rsidRPr="007E30F4">
        <w:t xml:space="preserve"> </w:t>
      </w:r>
      <w:r w:rsidRPr="00A8250E">
        <w:t>Z</w:t>
      </w:r>
      <w:r w:rsidR="00FA46FF" w:rsidRPr="00A8250E">
        <w:t>D</w:t>
      </w:r>
      <w:r w:rsidRPr="00A8250E">
        <w:t>avP-2</w:t>
      </w:r>
      <w:r w:rsidR="006C6CD4">
        <w:rPr>
          <w:rStyle w:val="Hiperpovezava"/>
          <w:u w:val="none"/>
        </w:rPr>
        <w:t xml:space="preserve"> </w:t>
      </w:r>
      <w:r w:rsidR="006C6CD4" w:rsidRPr="00A8250E">
        <w:rPr>
          <w:rStyle w:val="Hiperpovezava"/>
          <w:color w:val="auto"/>
          <w:u w:val="none"/>
        </w:rPr>
        <w:t>(</w:t>
      </w:r>
      <w:r w:rsidR="006C6CD4" w:rsidRPr="00A8250E">
        <w:t xml:space="preserve">Ur. l. št. </w:t>
      </w:r>
      <w:hyperlink r:id="rId48" w:history="1">
        <w:r w:rsidR="006C6CD4" w:rsidRPr="00BE3062">
          <w:rPr>
            <w:rStyle w:val="Hiperpovezava"/>
            <w:u w:val="none"/>
          </w:rPr>
          <w:t>63/16</w:t>
        </w:r>
      </w:hyperlink>
      <w:r w:rsidR="006C6CD4" w:rsidRPr="00A8250E">
        <w:t>, z dne 7. 10. 2016</w:t>
      </w:r>
      <w:r w:rsidR="006C6CD4" w:rsidRPr="00D759F5">
        <w:t xml:space="preserve">) </w:t>
      </w:r>
      <w:r w:rsidR="00541C52" w:rsidRPr="00B87D07">
        <w:t xml:space="preserve">CbC poročila ni dolžna predložiti </w:t>
      </w:r>
      <w:r w:rsidRPr="00C832F3">
        <w:rPr>
          <w:b/>
        </w:rPr>
        <w:t>izvzeta mednarodna skupina podjetij</w:t>
      </w:r>
      <w:r w:rsidRPr="00B87D07">
        <w:t>. Za izvzeto mednarodno skupino podjetij se</w:t>
      </w:r>
      <w:r w:rsidR="00DC1A76">
        <w:t xml:space="preserve"> v skladu z </w:t>
      </w:r>
      <w:hyperlink r:id="rId49" w:history="1">
        <w:r w:rsidR="00AD3FAA" w:rsidRPr="007F18B9">
          <w:rPr>
            <w:rStyle w:val="Hiperpovezava"/>
            <w:b/>
            <w:szCs w:val="20"/>
            <w:u w:val="none"/>
          </w:rPr>
          <w:t>DAC4</w:t>
        </w:r>
      </w:hyperlink>
      <w:r w:rsidR="00AD3FAA" w:rsidRPr="00B87D07">
        <w:rPr>
          <w:szCs w:val="20"/>
        </w:rPr>
        <w:t xml:space="preserve"> </w:t>
      </w:r>
      <w:r w:rsidRPr="00B87D07">
        <w:t xml:space="preserve">šteje </w:t>
      </w:r>
      <w:r w:rsidR="00BD48D3">
        <w:t>mednarodna skupina podjetij</w:t>
      </w:r>
      <w:r w:rsidRPr="00B87D07">
        <w:t xml:space="preserve">, katere </w:t>
      </w:r>
      <w:r w:rsidR="002A5224">
        <w:t>letni</w:t>
      </w:r>
      <w:r w:rsidRPr="00B87D07">
        <w:t xml:space="preserve"> konsolidirani prihod</w:t>
      </w:r>
      <w:r w:rsidR="002A5224">
        <w:t>ek</w:t>
      </w:r>
      <w:r w:rsidRPr="00B87D07">
        <w:t xml:space="preserve"> </w:t>
      </w:r>
      <w:r w:rsidR="008D2010">
        <w:t xml:space="preserve">je </w:t>
      </w:r>
      <w:r w:rsidRPr="00B87D07">
        <w:t>v poslovnem letu</w:t>
      </w:r>
      <w:r w:rsidR="002A5224">
        <w:t>, ki je</w:t>
      </w:r>
      <w:r w:rsidRPr="00B87D07">
        <w:t xml:space="preserve"> neposredno pred poslovnim letom poročanja</w:t>
      </w:r>
      <w:r w:rsidR="00030F31">
        <w:t xml:space="preserve"> kot</w:t>
      </w:r>
      <w:r w:rsidR="00030F31" w:rsidRPr="00B87D07">
        <w:t xml:space="preserve"> je razvidno iz njenih konsolidiranih računovodskih izkazov za </w:t>
      </w:r>
      <w:r w:rsidR="00030F31">
        <w:t xml:space="preserve">to </w:t>
      </w:r>
      <w:r w:rsidR="00030F31" w:rsidRPr="00B87D07">
        <w:t>predhodno poslovno leto</w:t>
      </w:r>
      <w:r w:rsidR="00030F31">
        <w:t>,</w:t>
      </w:r>
      <w:r w:rsidR="00CE1949">
        <w:t xml:space="preserve"> </w:t>
      </w:r>
      <w:r w:rsidRPr="00B87D07">
        <w:t xml:space="preserve">manjši od 750 mio EUR ali </w:t>
      </w:r>
      <w:r w:rsidR="00DE2CD3">
        <w:t xml:space="preserve">manjši </w:t>
      </w:r>
      <w:r w:rsidR="00501CB8">
        <w:t xml:space="preserve">od zneska, ki je po preračunu </w:t>
      </w:r>
      <w:r w:rsidR="00885485">
        <w:t>v lokalni valut</w:t>
      </w:r>
      <w:r w:rsidR="00FE4CB4">
        <w:t>i</w:t>
      </w:r>
      <w:r w:rsidR="00885485">
        <w:t xml:space="preserve"> </w:t>
      </w:r>
      <w:r w:rsidR="00501CB8">
        <w:t xml:space="preserve">v skladu s tečajnico meseca januarja </w:t>
      </w:r>
      <w:r w:rsidRPr="00B87D07">
        <w:t>približn</w:t>
      </w:r>
      <w:r w:rsidR="002A49D3">
        <w:t>o enakovreden 750 mio EUR</w:t>
      </w:r>
      <w:r w:rsidRPr="00B87D07">
        <w:t>.</w:t>
      </w:r>
      <w:r w:rsidR="002319AC">
        <w:t xml:space="preserve"> </w:t>
      </w:r>
      <w:r w:rsidR="00A525FE" w:rsidRPr="001B090C">
        <w:t xml:space="preserve">V skladu </w:t>
      </w:r>
      <w:r w:rsidR="009465CF" w:rsidRPr="001B090C">
        <w:t xml:space="preserve">z </w:t>
      </w:r>
      <w:hyperlink r:id="rId50" w:history="1">
        <w:r w:rsidR="009465CF" w:rsidRPr="00062112">
          <w:rPr>
            <w:rStyle w:val="Hiperpovezava"/>
            <w:u w:val="none"/>
          </w:rPr>
          <w:t xml:space="preserve">OECD smernicam </w:t>
        </w:r>
        <w:r w:rsidR="009465CF" w:rsidRPr="00062112">
          <w:rPr>
            <w:rStyle w:val="Hiperpovezava"/>
            <w:u w:val="none"/>
          </w:rPr>
          <w:lastRenderedPageBreak/>
          <w:t xml:space="preserve">glede implementacije poročanja po državah (angl. </w:t>
        </w:r>
        <w:r w:rsidR="009465CF" w:rsidRPr="00062112">
          <w:rPr>
            <w:rStyle w:val="Hiperpovezava"/>
            <w:i/>
            <w:u w:val="none"/>
            <w:lang w:val="en-GB"/>
          </w:rPr>
          <w:t>Guidance on the Implementation of Country-by-Country Reporting</w:t>
        </w:r>
        <w:r w:rsidR="009465CF" w:rsidRPr="00062112">
          <w:rPr>
            <w:rStyle w:val="Hiperpovezava"/>
            <w:u w:val="none"/>
            <w:lang w:val="en-GB"/>
          </w:rPr>
          <w:t>)</w:t>
        </w:r>
      </w:hyperlink>
      <w:r w:rsidR="003A5FBB">
        <w:rPr>
          <w:rStyle w:val="Hiperpovezava"/>
          <w:u w:val="none"/>
        </w:rPr>
        <w:t xml:space="preserve">, </w:t>
      </w:r>
      <w:r w:rsidR="005F04FC">
        <w:t>s</w:t>
      </w:r>
      <w:r w:rsidR="008F3353">
        <w:t xml:space="preserve">e </w:t>
      </w:r>
      <w:r w:rsidR="008F3353" w:rsidRPr="008F3353">
        <w:t xml:space="preserve">preračun </w:t>
      </w:r>
      <w:r w:rsidR="00145328">
        <w:t xml:space="preserve">zneska 750 mio EUR </w:t>
      </w:r>
      <w:r w:rsidR="008F3353" w:rsidRPr="008F3353">
        <w:t xml:space="preserve">iz lokalne valute </w:t>
      </w:r>
      <w:r w:rsidR="005F04FC" w:rsidRPr="008F3353">
        <w:t>opravi</w:t>
      </w:r>
      <w:r w:rsidR="005F04FC">
        <w:t xml:space="preserve"> v</w:t>
      </w:r>
      <w:r w:rsidR="00A04AAC" w:rsidRPr="00A525FE">
        <w:t xml:space="preserve"> jurisdikcij</w:t>
      </w:r>
      <w:r w:rsidR="005F04FC">
        <w:t>i</w:t>
      </w:r>
      <w:r w:rsidR="00A04AAC" w:rsidRPr="00A525FE">
        <w:t xml:space="preserve"> krovnega matičnega podjetja. To pomeni, če</w:t>
      </w:r>
      <w:r w:rsidR="00A525FE" w:rsidRPr="00A525FE">
        <w:t xml:space="preserve"> je znesek </w:t>
      </w:r>
      <w:r w:rsidR="00C24B1B">
        <w:t>letnega konsolidiranega</w:t>
      </w:r>
      <w:r w:rsidR="00A525FE" w:rsidRPr="00A525FE">
        <w:t xml:space="preserve"> prihodk</w:t>
      </w:r>
      <w:r w:rsidR="00C24B1B">
        <w:t>a</w:t>
      </w:r>
      <w:r w:rsidR="00A525FE" w:rsidRPr="00A525FE">
        <w:t xml:space="preserve"> mednarodne skupine podjetij,</w:t>
      </w:r>
      <w:r w:rsidR="00E24C0F">
        <w:t xml:space="preserve"> kot je razvidno </w:t>
      </w:r>
      <w:r w:rsidR="00E24C0F" w:rsidRPr="00B87D07">
        <w:t>iz njenih konsolidiranih računovodskih izkazov</w:t>
      </w:r>
      <w:r w:rsidR="00E24C0F">
        <w:t xml:space="preserve"> </w:t>
      </w:r>
      <w:r w:rsidR="00E24C0F" w:rsidRPr="00B87D07">
        <w:t>v poslovnem letu neposredno pred poslovnim letom poročanja</w:t>
      </w:r>
      <w:r w:rsidR="00E24C0F">
        <w:t>,</w:t>
      </w:r>
      <w:r w:rsidR="00A525FE" w:rsidRPr="00A525FE">
        <w:t xml:space="preserve"> </w:t>
      </w:r>
      <w:r w:rsidR="00C357CF">
        <w:t>glede na preračun</w:t>
      </w:r>
      <w:r w:rsidR="00A525FE" w:rsidRPr="00A525FE">
        <w:t xml:space="preserve"> v jurisdikciji krovnega matičnega podjetja</w:t>
      </w:r>
      <w:r w:rsidR="00475D70">
        <w:t xml:space="preserve"> </w:t>
      </w:r>
      <w:r w:rsidR="00C357CF">
        <w:t xml:space="preserve">v lokalni valuti </w:t>
      </w:r>
      <w:r w:rsidR="00E24C0F">
        <w:t xml:space="preserve">po tečajnici </w:t>
      </w:r>
      <w:r w:rsidR="00475D70">
        <w:t>mesec</w:t>
      </w:r>
      <w:r w:rsidR="00E24C0F">
        <w:t>a</w:t>
      </w:r>
      <w:r w:rsidR="00475D70">
        <w:t xml:space="preserve"> januarju 2015</w:t>
      </w:r>
      <w:r w:rsidR="00C357CF">
        <w:t>,</w:t>
      </w:r>
      <w:r w:rsidR="00852ED0">
        <w:t xml:space="preserve"> </w:t>
      </w:r>
      <w:r w:rsidR="00E24C0F">
        <w:t>manjši od</w:t>
      </w:r>
      <w:r w:rsidR="00852ED0">
        <w:t xml:space="preserve"> 750 mio E</w:t>
      </w:r>
      <w:r w:rsidR="00E24C0F">
        <w:t>UR, je</w:t>
      </w:r>
      <w:r w:rsidR="00CD543A">
        <w:t xml:space="preserve"> </w:t>
      </w:r>
      <w:r w:rsidR="00A04AAC" w:rsidRPr="00A525FE">
        <w:t xml:space="preserve">slovenska oseba v sestavi </w:t>
      </w:r>
      <w:r w:rsidR="00A525FE" w:rsidRPr="00A525FE">
        <w:t>del izvzete mednarodne skupine podjetij</w:t>
      </w:r>
      <w:r w:rsidR="00E24C0F">
        <w:t>, ki ni d</w:t>
      </w:r>
      <w:r w:rsidR="00A04AAC" w:rsidRPr="00A525FE">
        <w:t xml:space="preserve">olžna </w:t>
      </w:r>
      <w:r w:rsidR="00A525FE" w:rsidRPr="00A525FE">
        <w:t xml:space="preserve">predložiti CbC poročila </w:t>
      </w:r>
      <w:r w:rsidR="00E24C0F">
        <w:t xml:space="preserve">v </w:t>
      </w:r>
      <w:r w:rsidR="00B00A79">
        <w:t>j</w:t>
      </w:r>
      <w:r w:rsidR="00E24C0F">
        <w:t xml:space="preserve">urisdikciji </w:t>
      </w:r>
      <w:r w:rsidR="00B00A79">
        <w:t>krovnega matičnega podjetja</w:t>
      </w:r>
      <w:r w:rsidR="006B638B">
        <w:t xml:space="preserve"> in slovenska oseba v sestavi ni dolžna predložiti Obvestila CbCR Finančni upravi RS</w:t>
      </w:r>
      <w:r w:rsidR="00284EAB">
        <w:t xml:space="preserve">. </w:t>
      </w:r>
      <w:r w:rsidR="00E24C0F">
        <w:t xml:space="preserve"> </w:t>
      </w:r>
    </w:p>
    <w:p w14:paraId="7363EBA4" w14:textId="77777777" w:rsidR="00DC4738" w:rsidRDefault="00DC4738" w:rsidP="00DC4738">
      <w:pPr>
        <w:pStyle w:val="Brezrazmikov"/>
        <w:jc w:val="both"/>
      </w:pPr>
    </w:p>
    <w:p w14:paraId="5B53D662" w14:textId="77777777" w:rsidR="00DC4738" w:rsidRDefault="00DC4738" w:rsidP="00DC4738">
      <w:pPr>
        <w:pStyle w:val="Brezrazmikov"/>
        <w:jc w:val="both"/>
      </w:pPr>
    </w:p>
    <w:p w14:paraId="3A144601" w14:textId="77777777" w:rsidR="00087B67" w:rsidRDefault="0006787C" w:rsidP="00DC4738">
      <w:pPr>
        <w:pStyle w:val="Brezrazmikov"/>
        <w:jc w:val="both"/>
      </w:pPr>
      <w:r w:rsidRPr="00B87D07">
        <w:t xml:space="preserve">Vprašanje </w:t>
      </w:r>
      <w:r w:rsidR="00BB19C9" w:rsidRPr="00B87D07">
        <w:t>9</w:t>
      </w:r>
      <w:r w:rsidRPr="00B87D07">
        <w:t>: K</w:t>
      </w:r>
      <w:r w:rsidR="007003F3">
        <w:t>a</w:t>
      </w:r>
      <w:r w:rsidR="007A50F6">
        <w:t>teri davčni zavezan</w:t>
      </w:r>
      <w:r w:rsidR="007003F3">
        <w:t>c</w:t>
      </w:r>
      <w:r w:rsidR="007A50F6">
        <w:t xml:space="preserve">i so </w:t>
      </w:r>
      <w:r w:rsidR="009000EF">
        <w:t>dolžn</w:t>
      </w:r>
      <w:r w:rsidR="007A50F6">
        <w:t>i</w:t>
      </w:r>
      <w:r w:rsidR="009000EF">
        <w:t xml:space="preserve"> </w:t>
      </w:r>
      <w:r w:rsidR="007003F3">
        <w:t>predložiti obvestilo o obveznosti poročanja po državah mednarodne skupine podjetij (Obvestilo CbCR)</w:t>
      </w:r>
      <w:r w:rsidR="009000EF">
        <w:t xml:space="preserve"> Finančni upravi RS</w:t>
      </w:r>
      <w:r w:rsidR="007003F3">
        <w:t>?</w:t>
      </w:r>
    </w:p>
    <w:p w14:paraId="3A144602" w14:textId="77777777" w:rsidR="007003F3" w:rsidRDefault="007003F3" w:rsidP="00685D96">
      <w:pPr>
        <w:pStyle w:val="FURSnaslov1"/>
        <w:jc w:val="both"/>
        <w:rPr>
          <w:lang w:val="sl-SI"/>
        </w:rPr>
      </w:pPr>
    </w:p>
    <w:p w14:paraId="3A144603" w14:textId="77777777" w:rsidR="00F4196C" w:rsidRPr="00F4196C" w:rsidRDefault="00F4196C" w:rsidP="00685D96">
      <w:pPr>
        <w:jc w:val="both"/>
        <w:rPr>
          <w:rFonts w:ascii="Calibri" w:hAnsi="Calibri"/>
          <w:szCs w:val="22"/>
        </w:rPr>
      </w:pPr>
      <w:r w:rsidRPr="00F4196C">
        <w:t>Vsak davčni zavezanec, ki bo oddajal davčni obračun DDPO, se bo moral opredeliti, ali je del mednarodne skupine podjetij, katere skupni konsolidirani prihod</w:t>
      </w:r>
      <w:r w:rsidR="0024539C">
        <w:t>ek</w:t>
      </w:r>
      <w:r w:rsidRPr="00F4196C">
        <w:t xml:space="preserve"> v poslovnem letu neposredno pred poslovnim letom poročanja </w:t>
      </w:r>
      <w:r w:rsidR="0024539C">
        <w:t>je</w:t>
      </w:r>
      <w:r w:rsidR="0024539C" w:rsidRPr="00F4196C">
        <w:t xml:space="preserve"> </w:t>
      </w:r>
      <w:r w:rsidRPr="00F4196C">
        <w:t xml:space="preserve">enak ali presega 750 mio evrov. Pri tej opredelitvi mora zavezanec upoštevati opredelitve izrazov kot so določeni v oddelku I </w:t>
      </w:r>
      <w:r w:rsidR="0022586C">
        <w:t>P</w:t>
      </w:r>
      <w:r w:rsidRPr="00F4196C">
        <w:t xml:space="preserve">riloge III </w:t>
      </w:r>
      <w:hyperlink r:id="rId51" w:history="1">
        <w:r w:rsidR="004D5B71" w:rsidRPr="007F18B9">
          <w:rPr>
            <w:rStyle w:val="Hiperpovezava"/>
            <w:b/>
            <w:szCs w:val="20"/>
            <w:u w:val="none"/>
          </w:rPr>
          <w:t>DAC4</w:t>
        </w:r>
      </w:hyperlink>
      <w:r w:rsidRPr="00F4196C">
        <w:t xml:space="preserve">, kjer je opredeljeno, da skupina pomeni skupino več podjetij, povezanih z lastništvom ali nadzorom tako, da se od nje zahteva priprava konsolidiranih računovodskih izkazov za namene finančnega poročanja v skladu z veljavnimi računovodskimi načeli ali bi se od nje to zahtevalo, če bi se z lastniškimi deleži kateregakoli podjetja trgovalo na trgu vrednostnih papirjev. </w:t>
      </w:r>
    </w:p>
    <w:p w14:paraId="3A144604" w14:textId="77777777" w:rsidR="00F4196C" w:rsidRDefault="00F4196C" w:rsidP="00685D96">
      <w:pPr>
        <w:rPr>
          <w:color w:val="1F497D"/>
        </w:rPr>
      </w:pPr>
    </w:p>
    <w:p w14:paraId="3A144605" w14:textId="77777777" w:rsidR="00E26A0F" w:rsidRPr="00351E65" w:rsidRDefault="00E26A0F" w:rsidP="00685D96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351E65">
        <w:rPr>
          <w:rFonts w:ascii="Arial" w:hAnsi="Arial" w:cs="Arial"/>
          <w:sz w:val="20"/>
          <w:szCs w:val="20"/>
        </w:rPr>
        <w:t xml:space="preserve">Vsebina in način predlaganja obvestila o obveznosti poročanja po državah mednarodne skupine podjetij </w:t>
      </w:r>
      <w:r w:rsidR="00296865">
        <w:rPr>
          <w:rFonts w:ascii="Arial" w:hAnsi="Arial" w:cs="Arial"/>
          <w:sz w:val="20"/>
          <w:szCs w:val="20"/>
        </w:rPr>
        <w:t>F</w:t>
      </w:r>
      <w:r w:rsidR="007003F3">
        <w:rPr>
          <w:rFonts w:ascii="Arial" w:hAnsi="Arial" w:cs="Arial"/>
          <w:sz w:val="20"/>
          <w:szCs w:val="20"/>
        </w:rPr>
        <w:t xml:space="preserve">inančni upravi </w:t>
      </w:r>
      <w:r w:rsidR="00296865">
        <w:rPr>
          <w:rFonts w:ascii="Arial" w:hAnsi="Arial" w:cs="Arial"/>
          <w:sz w:val="20"/>
          <w:szCs w:val="20"/>
        </w:rPr>
        <w:t xml:space="preserve">RS </w:t>
      </w:r>
      <w:r w:rsidRPr="00351E65">
        <w:rPr>
          <w:rFonts w:ascii="Arial" w:hAnsi="Arial" w:cs="Arial"/>
          <w:sz w:val="20"/>
          <w:szCs w:val="20"/>
        </w:rPr>
        <w:t xml:space="preserve">(v nadaljevanju </w:t>
      </w:r>
      <w:hyperlink r:id="rId52" w:history="1">
        <w:r w:rsidR="0022586C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O</w:t>
        </w:r>
        <w:r w:rsidRPr="00351E6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bvestilo CbCR</w:t>
        </w:r>
      </w:hyperlink>
      <w:r w:rsidRPr="00351E6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)</w:t>
      </w:r>
      <w:r w:rsidR="0029686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Pr="00351E65">
        <w:rPr>
          <w:rFonts w:ascii="Arial" w:hAnsi="Arial" w:cs="Arial"/>
          <w:sz w:val="20"/>
          <w:szCs w:val="20"/>
        </w:rPr>
        <w:t xml:space="preserve">sta določena s </w:t>
      </w:r>
      <w:r w:rsidR="007E2025">
        <w:rPr>
          <w:rFonts w:ascii="Arial" w:hAnsi="Arial" w:cs="Arial"/>
          <w:sz w:val="20"/>
          <w:szCs w:val="20"/>
        </w:rPr>
        <w:t xml:space="preserve">86.e členom </w:t>
      </w:r>
      <w:r w:rsidR="00351E65" w:rsidRPr="00351E65">
        <w:rPr>
          <w:rFonts w:ascii="Arial" w:hAnsi="Arial" w:cs="Arial"/>
          <w:sz w:val="20"/>
          <w:szCs w:val="20"/>
          <w:lang w:eastAsia="en-US"/>
        </w:rPr>
        <w:t>Pravilnik</w:t>
      </w:r>
      <w:r w:rsidR="007E2025">
        <w:rPr>
          <w:rFonts w:ascii="Arial" w:hAnsi="Arial" w:cs="Arial"/>
          <w:sz w:val="20"/>
          <w:szCs w:val="20"/>
          <w:lang w:eastAsia="en-US"/>
        </w:rPr>
        <w:t>a</w:t>
      </w:r>
      <w:r w:rsidR="00351E65" w:rsidRPr="00351E65">
        <w:rPr>
          <w:rFonts w:ascii="Arial" w:hAnsi="Arial" w:cs="Arial"/>
          <w:sz w:val="20"/>
          <w:szCs w:val="20"/>
          <w:lang w:eastAsia="en-US"/>
        </w:rPr>
        <w:t xml:space="preserve"> o izvajanju Z</w:t>
      </w:r>
      <w:r w:rsidR="008035B2">
        <w:rPr>
          <w:rFonts w:ascii="Arial" w:hAnsi="Arial" w:cs="Arial"/>
          <w:sz w:val="20"/>
          <w:szCs w:val="20"/>
          <w:lang w:eastAsia="en-US"/>
        </w:rPr>
        <w:t>DavP-2</w:t>
      </w:r>
      <w:r w:rsidR="00351E65" w:rsidRPr="00351E65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B11134" w:rsidRPr="00D5666C">
        <w:rPr>
          <w:rFonts w:ascii="Arial" w:hAnsi="Arial" w:cs="Arial"/>
          <w:sz w:val="20"/>
          <w:szCs w:val="20"/>
        </w:rPr>
        <w:t xml:space="preserve">Ur. l. RS, št. </w:t>
      </w:r>
      <w:hyperlink r:id="rId53" w:history="1">
        <w:r w:rsidR="00D5666C" w:rsidRPr="00D5666C">
          <w:rPr>
            <w:rStyle w:val="Hiperpovezava"/>
            <w:rFonts w:ascii="Arial" w:hAnsi="Arial" w:cs="Arial"/>
            <w:sz w:val="20"/>
            <w:szCs w:val="20"/>
            <w:u w:val="none"/>
          </w:rPr>
          <w:t>30/17</w:t>
        </w:r>
      </w:hyperlink>
      <w:r w:rsidR="00D5666C">
        <w:t xml:space="preserve"> </w:t>
      </w:r>
      <w:r w:rsidR="00B11134" w:rsidRPr="00D5666C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z dne 16. 6. 2017</w:t>
      </w:r>
      <w:r w:rsidR="00351E65" w:rsidRPr="00D5666C">
        <w:rPr>
          <w:rFonts w:ascii="Arial" w:hAnsi="Arial" w:cs="Arial"/>
          <w:sz w:val="20"/>
          <w:szCs w:val="20"/>
          <w:lang w:eastAsia="en-US"/>
        </w:rPr>
        <w:t xml:space="preserve">). </w:t>
      </w:r>
    </w:p>
    <w:p w14:paraId="3A144606" w14:textId="77777777" w:rsidR="00351E65" w:rsidRPr="00B87D07" w:rsidRDefault="00351E65" w:rsidP="00685D96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</w:p>
    <w:p w14:paraId="3A144607" w14:textId="77777777" w:rsidR="00E26A0F" w:rsidRPr="0034069F" w:rsidRDefault="00E26A0F" w:rsidP="00685D96">
      <w:pPr>
        <w:pStyle w:val="Navadensplet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87D07">
        <w:rPr>
          <w:rFonts w:ascii="Arial" w:hAnsi="Arial" w:cs="Arial"/>
          <w:sz w:val="20"/>
          <w:szCs w:val="20"/>
        </w:rPr>
        <w:t>Obrazec z metodologijo za izpolnjevanje obrazca</w:t>
      </w:r>
      <w:r w:rsidR="00D954CD">
        <w:rPr>
          <w:rFonts w:ascii="Arial" w:hAnsi="Arial" w:cs="Arial"/>
          <w:sz w:val="20"/>
          <w:szCs w:val="20"/>
        </w:rPr>
        <w:t>,</w:t>
      </w:r>
      <w:r w:rsidRPr="00B87D07">
        <w:rPr>
          <w:rFonts w:ascii="Arial" w:hAnsi="Arial" w:cs="Arial"/>
          <w:sz w:val="20"/>
          <w:szCs w:val="20"/>
        </w:rPr>
        <w:t xml:space="preserve"> je objavljen na spletni strani Finančne uprave RS v rubriki </w:t>
      </w:r>
      <w:hyperlink r:id="rId54" w:anchor="c226" w:history="1">
        <w:r w:rsidRPr="0034069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Obrazci Obračuna davka od dohodkov pravnih oseb</w:t>
        </w:r>
      </w:hyperlink>
      <w:r w:rsidRPr="0034069F">
        <w:rPr>
          <w:rFonts w:ascii="Arial" w:hAnsi="Arial" w:cs="Arial"/>
          <w:sz w:val="20"/>
          <w:szCs w:val="20"/>
        </w:rPr>
        <w:t>.</w:t>
      </w:r>
    </w:p>
    <w:p w14:paraId="3A144608" w14:textId="77777777" w:rsidR="00E26A0F" w:rsidRDefault="00E26A0F" w:rsidP="00685D96">
      <w:pPr>
        <w:rPr>
          <w:color w:val="1F497D"/>
        </w:rPr>
      </w:pPr>
    </w:p>
    <w:p w14:paraId="3A144609" w14:textId="77777777" w:rsidR="00F4196C" w:rsidRPr="00F73A28" w:rsidRDefault="00F73A28" w:rsidP="00685D96">
      <w:pPr>
        <w:jc w:val="both"/>
      </w:pPr>
      <w:r w:rsidRPr="00F73A28">
        <w:t>V primeru, da ima slovenska oseba v sestavi</w:t>
      </w:r>
      <w:r w:rsidR="00E26A0F">
        <w:t xml:space="preserve"> </w:t>
      </w:r>
      <w:r w:rsidRPr="00F73A28">
        <w:t xml:space="preserve">v </w:t>
      </w:r>
      <w:r w:rsidR="00F4196C" w:rsidRPr="00F73A28">
        <w:t>neposredni oziroma posredni lasti</w:t>
      </w:r>
      <w:r w:rsidRPr="00F73A28">
        <w:t xml:space="preserve"> vključene družbe</w:t>
      </w:r>
      <w:r w:rsidR="00F4196C" w:rsidRPr="00F73A28">
        <w:t xml:space="preserve">, </w:t>
      </w:r>
      <w:r w:rsidR="00E26A0F">
        <w:t>kot je razvidno v</w:t>
      </w:r>
      <w:r w:rsidR="00F4196C" w:rsidRPr="00F73A28">
        <w:t xml:space="preserve"> </w:t>
      </w:r>
      <w:r w:rsidR="00E26A0F">
        <w:t xml:space="preserve">njenih </w:t>
      </w:r>
      <w:r w:rsidR="00E26A0F" w:rsidRPr="00F73A28">
        <w:t xml:space="preserve">konsolidiranih računovodskih izkazih, </w:t>
      </w:r>
      <w:r w:rsidRPr="00F73A28">
        <w:t xml:space="preserve">so tudi </w:t>
      </w:r>
      <w:r w:rsidR="00E26A0F">
        <w:t xml:space="preserve">te </w:t>
      </w:r>
      <w:r w:rsidRPr="00F73A28">
        <w:t>družbe</w:t>
      </w:r>
      <w:r w:rsidR="00F4196C" w:rsidRPr="00F73A28">
        <w:t xml:space="preserve"> </w:t>
      </w:r>
      <w:r w:rsidRPr="00F73A28">
        <w:t xml:space="preserve">dolžne predložiti </w:t>
      </w:r>
      <w:r>
        <w:t>Obvestilo CbCR.</w:t>
      </w:r>
    </w:p>
    <w:p w14:paraId="3A14460A" w14:textId="77777777" w:rsidR="00F4196C" w:rsidRDefault="00F4196C" w:rsidP="00685D96">
      <w:pPr>
        <w:rPr>
          <w:color w:val="1F497D"/>
        </w:rPr>
      </w:pPr>
    </w:p>
    <w:p w14:paraId="3A14460B" w14:textId="77777777" w:rsidR="00FD0B0C" w:rsidRDefault="00357DA5" w:rsidP="00FD0B0C">
      <w:pPr>
        <w:jc w:val="both"/>
        <w:rPr>
          <w:rFonts w:ascii="Calibri" w:hAnsi="Calibri"/>
          <w:szCs w:val="22"/>
        </w:rPr>
      </w:pPr>
      <w:r>
        <w:t xml:space="preserve">Obvestilo CbCR morajo oddati davčni zavezanci, katerim se davčno obdobje konča 30. 6. 2017 ali kasneje. </w:t>
      </w:r>
      <w:r w:rsidR="000A554D" w:rsidRPr="00B87D07">
        <w:rPr>
          <w:rStyle w:val="Hiperpovezava"/>
          <w:color w:val="auto"/>
          <w:szCs w:val="20"/>
          <w:u w:val="none"/>
        </w:rPr>
        <w:t>Pravilnik o izvajanju ZDavP-2</w:t>
      </w:r>
      <w:r w:rsidR="000A554D">
        <w:t xml:space="preserve"> </w:t>
      </w:r>
      <w:r>
        <w:t>(</w:t>
      </w:r>
      <w:r w:rsidRPr="00605BFC">
        <w:t xml:space="preserve">Ur. l. RS, št. </w:t>
      </w:r>
      <w:hyperlink r:id="rId55" w:history="1">
        <w:r w:rsidR="00605BFC" w:rsidRPr="00D5666C">
          <w:rPr>
            <w:rStyle w:val="Hiperpovezava"/>
            <w:rFonts w:cs="Arial"/>
            <w:szCs w:val="20"/>
            <w:u w:val="none"/>
          </w:rPr>
          <w:t>30/17</w:t>
        </w:r>
      </w:hyperlink>
      <w:r w:rsidR="00605BFC">
        <w:t xml:space="preserve"> </w:t>
      </w:r>
      <w:r w:rsidR="000A554D" w:rsidRPr="00605BFC">
        <w:rPr>
          <w:rStyle w:val="Hiperpovezava"/>
          <w:color w:val="auto"/>
          <w:u w:val="none"/>
        </w:rPr>
        <w:t>z dne 16. 6. 2017</w:t>
      </w:r>
      <w:r w:rsidRPr="00605BFC">
        <w:t>)  </w:t>
      </w:r>
      <w:r>
        <w:t>je namreč pričel veljati 1. 7. 2017, zato so zavezanci, ki imajo poslovno leto različno od koledarskega leta in se to obdobje konča 30. 6. 2017 ali kasneje, dolžni hkrati z davčnim obračunom DDPO za to obdobje oddati tudi Obvestilo CbCR</w:t>
      </w:r>
      <w:r w:rsidR="00FD0B0C">
        <w:t>. Izjema glede navedenega velja le za zavezance</w:t>
      </w:r>
      <w:r w:rsidR="002661B0">
        <w:t xml:space="preserve">, </w:t>
      </w:r>
      <w:r w:rsidR="00FD0B0C">
        <w:t xml:space="preserve">ki </w:t>
      </w:r>
      <w:r w:rsidR="008D7367">
        <w:t xml:space="preserve">so del </w:t>
      </w:r>
      <w:r w:rsidR="008D7367" w:rsidRPr="008D7367">
        <w:t>izvzete mednarodne skupine podjetij</w:t>
      </w:r>
      <w:r w:rsidR="00E11E46">
        <w:t>.</w:t>
      </w:r>
    </w:p>
    <w:p w14:paraId="3A14460C" w14:textId="77777777" w:rsidR="00FD0B0C" w:rsidRDefault="00FD0B0C" w:rsidP="00FD0B0C">
      <w:pPr>
        <w:jc w:val="both"/>
      </w:pPr>
    </w:p>
    <w:p w14:paraId="3A14460D" w14:textId="77777777" w:rsidR="00D115CD" w:rsidRDefault="00D115CD" w:rsidP="00685D96">
      <w:pPr>
        <w:jc w:val="both"/>
        <w:rPr>
          <w:sz w:val="22"/>
          <w:szCs w:val="22"/>
        </w:rPr>
      </w:pPr>
    </w:p>
    <w:p w14:paraId="3A14460E" w14:textId="77777777" w:rsidR="00EB3EC5" w:rsidRPr="00B87D07" w:rsidRDefault="00EB3EC5" w:rsidP="00DC4738">
      <w:pPr>
        <w:pStyle w:val="Brezrazmikov"/>
        <w:jc w:val="both"/>
      </w:pPr>
      <w:r w:rsidRPr="00B87D07">
        <w:t>Vprašanje 1</w:t>
      </w:r>
      <w:r w:rsidR="00BB19C9" w:rsidRPr="00B87D07">
        <w:t>0</w:t>
      </w:r>
      <w:r w:rsidRPr="00B87D07">
        <w:t>: K</w:t>
      </w:r>
      <w:r w:rsidR="00F7793A">
        <w:t>ateri davčni zavezanc</w:t>
      </w:r>
      <w:r w:rsidR="007A50F6">
        <w:t>i</w:t>
      </w:r>
      <w:r w:rsidR="00F7793A">
        <w:t xml:space="preserve"> n</w:t>
      </w:r>
      <w:r w:rsidR="008F0B99">
        <w:t>i</w:t>
      </w:r>
      <w:r w:rsidR="007A50F6">
        <w:t>so</w:t>
      </w:r>
      <w:r w:rsidR="008F0B99">
        <w:t xml:space="preserve"> dolžn</w:t>
      </w:r>
      <w:r w:rsidR="007A50F6">
        <w:t>i</w:t>
      </w:r>
      <w:r w:rsidR="00F7793A">
        <w:t xml:space="preserve"> predloži</w:t>
      </w:r>
      <w:r w:rsidR="008F0B99">
        <w:t>ti</w:t>
      </w:r>
      <w:r w:rsidR="00F7793A">
        <w:t xml:space="preserve"> </w:t>
      </w:r>
      <w:r w:rsidR="000A503E">
        <w:t>O</w:t>
      </w:r>
      <w:r w:rsidR="00AE14C9">
        <w:t xml:space="preserve">bvestila </w:t>
      </w:r>
      <w:r w:rsidRPr="00B87D07">
        <w:t>CbC</w:t>
      </w:r>
      <w:r w:rsidR="007417EB">
        <w:t>R</w:t>
      </w:r>
      <w:r w:rsidR="00DD5938">
        <w:t xml:space="preserve"> Finančni upravi RS</w:t>
      </w:r>
      <w:r w:rsidRPr="00B87D07">
        <w:t>?</w:t>
      </w:r>
    </w:p>
    <w:p w14:paraId="3A14460F" w14:textId="77777777" w:rsidR="00EB3EC5" w:rsidRPr="00B87D07" w:rsidRDefault="00EB3EC5" w:rsidP="00685D96">
      <w:pPr>
        <w:jc w:val="both"/>
        <w:rPr>
          <w:rFonts w:cs="Arial"/>
          <w:b/>
          <w:sz w:val="24"/>
        </w:rPr>
      </w:pPr>
    </w:p>
    <w:p w14:paraId="3A144610" w14:textId="77777777" w:rsidR="00914CE7" w:rsidRPr="00A525FE" w:rsidRDefault="00EB3EC5" w:rsidP="00685D96">
      <w:pPr>
        <w:jc w:val="both"/>
      </w:pPr>
      <w:r w:rsidRPr="00B87D07">
        <w:rPr>
          <w:rFonts w:cs="Arial"/>
          <w:szCs w:val="20"/>
        </w:rPr>
        <w:t>Obvestila CbC</w:t>
      </w:r>
      <w:r w:rsidR="00652905">
        <w:rPr>
          <w:rFonts w:cs="Arial"/>
          <w:szCs w:val="20"/>
        </w:rPr>
        <w:t>R</w:t>
      </w:r>
      <w:r w:rsidR="00DD5938">
        <w:rPr>
          <w:rFonts w:cs="Arial"/>
          <w:szCs w:val="20"/>
        </w:rPr>
        <w:t xml:space="preserve"> Finančni upravi RS</w:t>
      </w:r>
      <w:r w:rsidRPr="00B87D07">
        <w:rPr>
          <w:rFonts w:cs="Arial"/>
          <w:szCs w:val="20"/>
        </w:rPr>
        <w:t xml:space="preserve"> </w:t>
      </w:r>
      <w:r w:rsidR="00B263B4">
        <w:rPr>
          <w:rFonts w:cs="Arial"/>
          <w:szCs w:val="20"/>
        </w:rPr>
        <w:t>ni treba predložiti slovenskemu davčnemu</w:t>
      </w:r>
      <w:r w:rsidRPr="00B87D07">
        <w:rPr>
          <w:rFonts w:cs="Arial"/>
          <w:szCs w:val="20"/>
        </w:rPr>
        <w:t xml:space="preserve"> zavezanc</w:t>
      </w:r>
      <w:r w:rsidR="00B263B4">
        <w:rPr>
          <w:rFonts w:cs="Arial"/>
          <w:szCs w:val="20"/>
        </w:rPr>
        <w:t>u</w:t>
      </w:r>
      <w:r w:rsidRPr="00B87D07">
        <w:rPr>
          <w:rFonts w:cs="Arial"/>
          <w:szCs w:val="20"/>
        </w:rPr>
        <w:t xml:space="preserve">, ki </w:t>
      </w:r>
      <w:r w:rsidR="00D21A54">
        <w:rPr>
          <w:rFonts w:cs="Arial"/>
          <w:szCs w:val="20"/>
        </w:rPr>
        <w:t xml:space="preserve">je del </w:t>
      </w:r>
      <w:r w:rsidR="00D21A54">
        <w:t>izvzete mednarodne</w:t>
      </w:r>
      <w:r w:rsidR="005800BB">
        <w:t xml:space="preserve"> skupine</w:t>
      </w:r>
      <w:r w:rsidR="00D21A54">
        <w:t xml:space="preserve"> podjetij – skupin</w:t>
      </w:r>
      <w:r w:rsidR="00142C7E">
        <w:t>a</w:t>
      </w:r>
      <w:r w:rsidR="00D21A54">
        <w:t>, ki ji ni treba predložiti CbC poročila, ker je njen letni konsolidirani prihodek v poslovnem letu, ki je neposredno pred poslovnim</w:t>
      </w:r>
      <w:r w:rsidR="00914CE7">
        <w:t xml:space="preserve"> letom poročanja</w:t>
      </w:r>
      <w:r w:rsidR="00D21A54">
        <w:t xml:space="preserve"> kot je razvidno iz njenih konsolidiranih računovodskih izkazov za to predhodno poslovno leto</w:t>
      </w:r>
      <w:r w:rsidR="005800BB">
        <w:t>,</w:t>
      </w:r>
      <w:r w:rsidR="00D21A54">
        <w:t xml:space="preserve"> manj</w:t>
      </w:r>
      <w:r w:rsidR="00DD5938">
        <w:t>ši</w:t>
      </w:r>
      <w:r w:rsidR="00D21A54">
        <w:t xml:space="preserve"> </w:t>
      </w:r>
      <w:r w:rsidR="005800BB">
        <w:t>od</w:t>
      </w:r>
      <w:r w:rsidR="00D21A54">
        <w:t xml:space="preserve"> 750 mio EUR</w:t>
      </w:r>
      <w:r w:rsidR="00DD5938">
        <w:t>, ali</w:t>
      </w:r>
      <w:r w:rsidR="00DD5938">
        <w:rPr>
          <w:szCs w:val="20"/>
        </w:rPr>
        <w:t xml:space="preserve"> </w:t>
      </w:r>
      <w:r w:rsidR="00DE2CD3">
        <w:rPr>
          <w:szCs w:val="20"/>
        </w:rPr>
        <w:t xml:space="preserve">manjši </w:t>
      </w:r>
      <w:r w:rsidR="00DD5938">
        <w:t xml:space="preserve">od zneska, ki je po preračunu v skladu s tečajnico meseca januarja </w:t>
      </w:r>
      <w:r w:rsidR="00DD5938" w:rsidRPr="00B87D07">
        <w:t>v lokalni valuti</w:t>
      </w:r>
      <w:r w:rsidR="00DD5938">
        <w:t xml:space="preserve"> </w:t>
      </w:r>
      <w:r w:rsidR="00DD5938" w:rsidRPr="00B87D07">
        <w:t>približn</w:t>
      </w:r>
      <w:r w:rsidR="00DD5938">
        <w:t xml:space="preserve">o enakovreden 750 mio EUR. </w:t>
      </w:r>
      <w:r w:rsidR="00081C31" w:rsidRPr="001B090C">
        <w:t xml:space="preserve">V skladu z </w:t>
      </w:r>
      <w:hyperlink r:id="rId56" w:history="1">
        <w:r w:rsidR="00081C31" w:rsidRPr="00062112">
          <w:rPr>
            <w:rStyle w:val="Hiperpovezava"/>
            <w:u w:val="none"/>
          </w:rPr>
          <w:t xml:space="preserve">OECD smernicam glede implementacije poročanja po državah (angl. </w:t>
        </w:r>
        <w:r w:rsidR="00081C31" w:rsidRPr="00062112">
          <w:rPr>
            <w:rStyle w:val="Hiperpovezava"/>
            <w:i/>
            <w:u w:val="none"/>
            <w:lang w:val="en-GB"/>
          </w:rPr>
          <w:t>Guidance on the Implementation of Country-by-Country Reporting</w:t>
        </w:r>
        <w:r w:rsidR="00081C31" w:rsidRPr="00062112">
          <w:rPr>
            <w:rStyle w:val="Hiperpovezava"/>
            <w:u w:val="none"/>
            <w:lang w:val="en-GB"/>
          </w:rPr>
          <w:t>)</w:t>
        </w:r>
      </w:hyperlink>
      <w:r w:rsidR="00081C31">
        <w:rPr>
          <w:rStyle w:val="Hiperpovezava"/>
          <w:u w:val="none"/>
        </w:rPr>
        <w:t xml:space="preserve">, </w:t>
      </w:r>
      <w:r w:rsidR="00914CE7">
        <w:t xml:space="preserve">se </w:t>
      </w:r>
      <w:r w:rsidR="00914CE7" w:rsidRPr="008F3353">
        <w:t xml:space="preserve">preračun </w:t>
      </w:r>
      <w:r w:rsidR="00914CE7">
        <w:t xml:space="preserve">zneska 750 mio EUR </w:t>
      </w:r>
      <w:r w:rsidR="00914CE7" w:rsidRPr="008F3353">
        <w:t>iz lokalne valute opravi</w:t>
      </w:r>
      <w:r w:rsidR="00914CE7">
        <w:t xml:space="preserve"> v</w:t>
      </w:r>
      <w:r w:rsidR="00914CE7" w:rsidRPr="00A525FE">
        <w:t xml:space="preserve"> jurisdikcij</w:t>
      </w:r>
      <w:r w:rsidR="00914CE7">
        <w:t>i</w:t>
      </w:r>
      <w:r w:rsidR="00914CE7" w:rsidRPr="00A525FE">
        <w:t xml:space="preserve"> krovnega matičnega podjetja. To pomeni, če je znesek </w:t>
      </w:r>
      <w:r w:rsidR="00914CE7">
        <w:t>letnega konsolidiranega</w:t>
      </w:r>
      <w:r w:rsidR="00914CE7" w:rsidRPr="00A525FE">
        <w:t xml:space="preserve"> prihodk</w:t>
      </w:r>
      <w:r w:rsidR="00914CE7">
        <w:t>a</w:t>
      </w:r>
      <w:r w:rsidR="00914CE7" w:rsidRPr="00A525FE">
        <w:t xml:space="preserve"> mednarodne skupine podjetij,</w:t>
      </w:r>
      <w:r w:rsidR="00914CE7">
        <w:t xml:space="preserve"> kot je razvidno </w:t>
      </w:r>
      <w:r w:rsidR="00914CE7" w:rsidRPr="00B87D07">
        <w:t>iz njenih konsolidiranih računovodskih izkazov</w:t>
      </w:r>
      <w:r w:rsidR="00914CE7">
        <w:t xml:space="preserve"> </w:t>
      </w:r>
      <w:r w:rsidR="00914CE7" w:rsidRPr="00B87D07">
        <w:t>v poslovnem letu neposredno pred poslovnim letom poročanja</w:t>
      </w:r>
      <w:r w:rsidR="00914CE7">
        <w:t>,</w:t>
      </w:r>
      <w:r w:rsidR="00914CE7" w:rsidRPr="00A525FE">
        <w:t xml:space="preserve"> </w:t>
      </w:r>
      <w:r w:rsidR="00914CE7">
        <w:t>glede na preračun</w:t>
      </w:r>
      <w:r w:rsidR="00914CE7" w:rsidRPr="00A525FE">
        <w:t xml:space="preserve"> v jurisdikciji krovnega matičnega podjetja</w:t>
      </w:r>
      <w:r w:rsidR="00914CE7">
        <w:t xml:space="preserve"> v lokalni valuti po tečajnici meseca januarju 2015, manjši od 750 mio EUR, je </w:t>
      </w:r>
      <w:r w:rsidR="00914CE7" w:rsidRPr="00A525FE">
        <w:t>slovenska oseba v sestavi del izvzete mednarodne skupine podjetij</w:t>
      </w:r>
      <w:r w:rsidR="00914CE7">
        <w:t>, ki ni d</w:t>
      </w:r>
      <w:r w:rsidR="00914CE7" w:rsidRPr="00A525FE">
        <w:t xml:space="preserve">olžna predložiti CbC poročila </w:t>
      </w:r>
      <w:r w:rsidR="00914CE7">
        <w:t xml:space="preserve">v jurisdikciji krovnega matičnega podjetja in </w:t>
      </w:r>
      <w:r w:rsidR="00EA77D3">
        <w:t xml:space="preserve">slovenska oseba v sestavi </w:t>
      </w:r>
      <w:r w:rsidR="00914CE7">
        <w:t xml:space="preserve">ni dolžna predložiti </w:t>
      </w:r>
      <w:r w:rsidR="00EA77D3">
        <w:t xml:space="preserve">Obvestila CbCR </w:t>
      </w:r>
      <w:r w:rsidR="007440F4">
        <w:t>Finančni upravi RS.</w:t>
      </w:r>
    </w:p>
    <w:p w14:paraId="3A144611" w14:textId="77777777" w:rsidR="00914CE7" w:rsidRDefault="00914CE7" w:rsidP="00685D96">
      <w:pPr>
        <w:jc w:val="both"/>
      </w:pPr>
    </w:p>
    <w:p w14:paraId="3A144612" w14:textId="77777777" w:rsidR="00FD0B0C" w:rsidRPr="00A525FE" w:rsidRDefault="00E11E46" w:rsidP="00685D96">
      <w:pPr>
        <w:jc w:val="both"/>
      </w:pPr>
      <w:r>
        <w:t xml:space="preserve">Obvestila CbCR tudi niso dolžni predložiti </w:t>
      </w:r>
      <w:r w:rsidR="00FD0B0C">
        <w:t>zavezanc</w:t>
      </w:r>
      <w:r>
        <w:t>i</w:t>
      </w:r>
      <w:r w:rsidR="00FD0B0C">
        <w:t xml:space="preserve">, ki imajo davčno obdobje različno od koledarskega leta in se to obdobje konča </w:t>
      </w:r>
      <w:r w:rsidR="008D7367">
        <w:t xml:space="preserve">pred </w:t>
      </w:r>
      <w:r w:rsidR="00FD0B0C">
        <w:t>30. 6. 2017</w:t>
      </w:r>
      <w:r>
        <w:t>.</w:t>
      </w:r>
    </w:p>
    <w:p w14:paraId="3A544558" w14:textId="77777777" w:rsidR="00DC4738" w:rsidRDefault="00DC4738" w:rsidP="00685D96">
      <w:pPr>
        <w:pStyle w:val="FURSnaslov1"/>
        <w:jc w:val="both"/>
        <w:rPr>
          <w:lang w:val="sl-SI"/>
        </w:rPr>
      </w:pPr>
    </w:p>
    <w:p w14:paraId="4DF50F58" w14:textId="77777777" w:rsidR="00DC4738" w:rsidRDefault="00DC4738" w:rsidP="00685D96">
      <w:pPr>
        <w:pStyle w:val="FURSnaslov1"/>
        <w:jc w:val="both"/>
        <w:rPr>
          <w:lang w:val="sl-SI"/>
        </w:rPr>
      </w:pPr>
    </w:p>
    <w:p w14:paraId="3A144615" w14:textId="77777777" w:rsidR="000731C8" w:rsidRPr="00B87D07" w:rsidRDefault="000731C8" w:rsidP="00DC4738">
      <w:pPr>
        <w:pStyle w:val="Brezrazmikov"/>
        <w:jc w:val="both"/>
      </w:pPr>
      <w:r w:rsidRPr="00B87D07">
        <w:t>Vprašanje 1</w:t>
      </w:r>
      <w:r w:rsidR="00BB19C9" w:rsidRPr="00B87D07">
        <w:t>1</w:t>
      </w:r>
      <w:r w:rsidRPr="00B87D07">
        <w:t xml:space="preserve">: Kakšna je razlika med </w:t>
      </w:r>
      <w:r w:rsidR="00614CF0" w:rsidRPr="00B87D07">
        <w:t>O</w:t>
      </w:r>
      <w:r w:rsidRPr="00B87D07">
        <w:t xml:space="preserve">bvestilom </w:t>
      </w:r>
      <w:r w:rsidR="00603F06" w:rsidRPr="00B87D07">
        <w:t xml:space="preserve">CbCR </w:t>
      </w:r>
      <w:r w:rsidRPr="00B87D07">
        <w:t>in CbC</w:t>
      </w:r>
      <w:r w:rsidR="00614CF0" w:rsidRPr="00B87D07">
        <w:t xml:space="preserve"> poročilom</w:t>
      </w:r>
      <w:r w:rsidRPr="00B87D07">
        <w:t>?</w:t>
      </w:r>
    </w:p>
    <w:p w14:paraId="3A144616" w14:textId="77777777" w:rsidR="006D2AE1" w:rsidRPr="00B87D07" w:rsidRDefault="006D2AE1" w:rsidP="00685D96">
      <w:pPr>
        <w:jc w:val="both"/>
        <w:rPr>
          <w:rFonts w:cs="Arial"/>
          <w:szCs w:val="20"/>
        </w:rPr>
      </w:pPr>
    </w:p>
    <w:p w14:paraId="3A144617" w14:textId="77777777" w:rsidR="00DA6DF2" w:rsidRPr="00B87D07" w:rsidRDefault="000731C8" w:rsidP="00685D96">
      <w:pPr>
        <w:pStyle w:val="Odstavekseznama"/>
        <w:numPr>
          <w:ilvl w:val="0"/>
          <w:numId w:val="44"/>
        </w:numPr>
        <w:jc w:val="both"/>
      </w:pPr>
      <w:r w:rsidRPr="00B87D07">
        <w:rPr>
          <w:b/>
        </w:rPr>
        <w:t>Obvestilo</w:t>
      </w:r>
      <w:r w:rsidR="00510C9B" w:rsidRPr="00B87D07">
        <w:rPr>
          <w:b/>
        </w:rPr>
        <w:t xml:space="preserve"> CbCR</w:t>
      </w:r>
      <w:r w:rsidR="00510C9B" w:rsidRPr="00B87D07">
        <w:t xml:space="preserve"> </w:t>
      </w:r>
      <w:r w:rsidR="00614CF0" w:rsidRPr="00B87D07">
        <w:t xml:space="preserve">predložijo zavezanci </w:t>
      </w:r>
      <w:r w:rsidR="004F3206" w:rsidRPr="00B87D07">
        <w:t xml:space="preserve">v skladu s </w:t>
      </w:r>
      <w:r w:rsidR="004F3206" w:rsidRPr="005E1CB8">
        <w:t>86.</w:t>
      </w:r>
      <w:r w:rsidR="0075049C" w:rsidRPr="005E1CB8">
        <w:t>e</w:t>
      </w:r>
      <w:r w:rsidR="004F3206" w:rsidRPr="005E1CB8">
        <w:t xml:space="preserve"> členom</w:t>
      </w:r>
      <w:r w:rsidR="00DA6DF2" w:rsidRPr="00B87D07">
        <w:t xml:space="preserve"> </w:t>
      </w:r>
      <w:r w:rsidR="00393B8B">
        <w:rPr>
          <w:lang w:eastAsia="en-US"/>
        </w:rPr>
        <w:t xml:space="preserve">Pravilnika o izvajanju </w:t>
      </w:r>
      <w:r w:rsidR="009D0D9E">
        <w:rPr>
          <w:lang w:eastAsia="en-US"/>
        </w:rPr>
        <w:t>ZDavP-2</w:t>
      </w:r>
      <w:r w:rsidR="00393B8B">
        <w:rPr>
          <w:lang w:eastAsia="en-US"/>
        </w:rPr>
        <w:t xml:space="preserve"> (</w:t>
      </w:r>
      <w:r w:rsidR="00D433FB" w:rsidRPr="008B7BA3">
        <w:t xml:space="preserve">Ur. l. RS, št. </w:t>
      </w:r>
      <w:hyperlink r:id="rId57" w:history="1">
        <w:r w:rsidR="008B7BA3" w:rsidRPr="00D5666C">
          <w:rPr>
            <w:rStyle w:val="Hiperpovezava"/>
            <w:u w:val="none"/>
          </w:rPr>
          <w:t>30/17</w:t>
        </w:r>
      </w:hyperlink>
      <w:r w:rsidR="008B7BA3">
        <w:t xml:space="preserve"> </w:t>
      </w:r>
      <w:r w:rsidR="00D433FB" w:rsidRPr="008B7BA3">
        <w:rPr>
          <w:rStyle w:val="Hiperpovezava"/>
          <w:color w:val="auto"/>
          <w:u w:val="none"/>
        </w:rPr>
        <w:t>z dne 16. 6. 2017</w:t>
      </w:r>
      <w:r w:rsidR="00393B8B" w:rsidRPr="008B7BA3">
        <w:rPr>
          <w:lang w:eastAsia="en-US"/>
        </w:rPr>
        <w:t>).  </w:t>
      </w:r>
      <w:r w:rsidR="00DA6DF2" w:rsidRPr="00B87D07">
        <w:t>Obvestilo CbCR morajo izpolniti davčni zavezanci, ki so del (osebe v sestavi) mednarodne skupine podjetij, ki vključuje dve ali več podjetij, katerih davčno rezidentstvo je v različnih davčnih jurisdikcijah oziroma vključuje podjetje, ki je rezident za davčne namene v eni jurisdikciji in hkrati zavezan k plačilu davka v zvezi z dejavnostjo, ki se opravlja prek poslovne enote v drugi jurisdikciji, če so skupni konsolidirani prihodki takšne skupine podjetij v poslovnem letu neposredno pred poslovnim letom poročanja enaki ali presegajo 750</w:t>
      </w:r>
      <w:r w:rsidR="00A71B21" w:rsidRPr="00B87D07">
        <w:t xml:space="preserve"> mio EUR</w:t>
      </w:r>
      <w:r w:rsidR="00DA6DF2" w:rsidRPr="00B87D07">
        <w:t>.</w:t>
      </w:r>
    </w:p>
    <w:p w14:paraId="3A144618" w14:textId="77777777" w:rsidR="00D35726" w:rsidRPr="00B87D07" w:rsidRDefault="00D35726" w:rsidP="00685D96">
      <w:pPr>
        <w:jc w:val="both"/>
      </w:pPr>
    </w:p>
    <w:p w14:paraId="3A144619" w14:textId="77777777" w:rsidR="0041531B" w:rsidRPr="00B87D07" w:rsidRDefault="00DA6DF2" w:rsidP="00685D96">
      <w:pPr>
        <w:pStyle w:val="Odstavekseznama"/>
        <w:jc w:val="both"/>
      </w:pPr>
      <w:r w:rsidRPr="00B87D07">
        <w:t xml:space="preserve">Obvestilo CbCR morajo davčni zavezanci predložiti </w:t>
      </w:r>
      <w:r w:rsidR="007603AC">
        <w:t>Finančni uprav</w:t>
      </w:r>
      <w:r w:rsidR="00D951D0">
        <w:t>i</w:t>
      </w:r>
      <w:r w:rsidR="007603AC">
        <w:t xml:space="preserve"> RS</w:t>
      </w:r>
      <w:r w:rsidRPr="00B87D07">
        <w:t xml:space="preserve"> v elektronski obliki, hkrati s predložitvijo davčnega obračuna davka od dohodkov pravnih oseb</w:t>
      </w:r>
      <w:r w:rsidR="00D951D0">
        <w:t>.</w:t>
      </w:r>
    </w:p>
    <w:p w14:paraId="3A14461A" w14:textId="77777777" w:rsidR="00D35726" w:rsidRPr="00B87D07" w:rsidRDefault="00D35726" w:rsidP="00685D96">
      <w:pPr>
        <w:jc w:val="both"/>
      </w:pPr>
    </w:p>
    <w:p w14:paraId="3A14461B" w14:textId="77777777" w:rsidR="00F24056" w:rsidRPr="00B87D07" w:rsidRDefault="00DA6DF2" w:rsidP="00685D96">
      <w:pPr>
        <w:ind w:left="720"/>
        <w:jc w:val="both"/>
        <w:rPr>
          <w:rFonts w:cs="Arial"/>
          <w:szCs w:val="20"/>
        </w:rPr>
      </w:pPr>
      <w:r w:rsidRPr="00B87D07">
        <w:t>Obvestilo CbCR</w:t>
      </w:r>
      <w:r w:rsidR="00BC5BE6" w:rsidRPr="00B87D07">
        <w:t xml:space="preserve"> se</w:t>
      </w:r>
      <w:r w:rsidRPr="00B87D07">
        <w:t xml:space="preserve"> davčnemu organu</w:t>
      </w:r>
      <w:r w:rsidR="00BC5BE6" w:rsidRPr="00B87D07">
        <w:t xml:space="preserve"> prvič</w:t>
      </w:r>
      <w:r w:rsidRPr="00B87D07">
        <w:t xml:space="preserve"> predloži z davčnim obračunom DDPO za leto 2017</w:t>
      </w:r>
      <w:r w:rsidR="00196ECB" w:rsidRPr="00B87D07">
        <w:t xml:space="preserve"> (predložitev do </w:t>
      </w:r>
      <w:r w:rsidR="00104025" w:rsidRPr="00B87D07">
        <w:t>31. 3. 2018)</w:t>
      </w:r>
      <w:r w:rsidRPr="00B87D07">
        <w:t>.</w:t>
      </w:r>
      <w:r w:rsidR="00F24056">
        <w:t xml:space="preserve"> Obvestilo CbCR morajo oddati tudi davčni zavezanci, katerim se davčno obdobje konča 30. 6. 2017 ali kasneje. Pravilnik </w:t>
      </w:r>
      <w:r w:rsidR="00AD01F4">
        <w:t>o izvajanju ZDavP-2 (</w:t>
      </w:r>
      <w:r w:rsidR="00AD01F4" w:rsidRPr="00AA2BD2">
        <w:t xml:space="preserve">Ur. l. RS, št. </w:t>
      </w:r>
      <w:hyperlink r:id="rId58" w:history="1">
        <w:r w:rsidR="00AA2BD2" w:rsidRPr="00D5666C">
          <w:rPr>
            <w:rStyle w:val="Hiperpovezava"/>
            <w:rFonts w:cs="Arial"/>
            <w:szCs w:val="20"/>
            <w:u w:val="none"/>
          </w:rPr>
          <w:t>30/17</w:t>
        </w:r>
      </w:hyperlink>
      <w:r w:rsidR="00AA2BD2">
        <w:rPr>
          <w:rFonts w:cs="Arial"/>
          <w:szCs w:val="20"/>
        </w:rPr>
        <w:t xml:space="preserve"> </w:t>
      </w:r>
      <w:r w:rsidR="00F14AB3" w:rsidRPr="00AA2BD2">
        <w:rPr>
          <w:rStyle w:val="Hiperpovezava"/>
          <w:color w:val="auto"/>
          <w:u w:val="none"/>
        </w:rPr>
        <w:t>z dne 16. 6. 2017</w:t>
      </w:r>
      <w:r w:rsidR="00AD01F4" w:rsidRPr="00AA2BD2">
        <w:t xml:space="preserve">) </w:t>
      </w:r>
      <w:r w:rsidR="00F24056">
        <w:t xml:space="preserve">je namreč pričel veljati 1. 7. 2017, zato so zavezanci, ki imajo poslovno leto različno od koledarskega leta in se to obdobje konča 30. 6. 2017 ali kasneje, dolžni hkrati z davčnim obračunom DDPO za to obdobje oddati tudi Obvestilo CbCR. </w:t>
      </w:r>
    </w:p>
    <w:p w14:paraId="3A14461C" w14:textId="77777777" w:rsidR="00DA6DF2" w:rsidRPr="00B87D07" w:rsidRDefault="00DA6DF2" w:rsidP="00685D96">
      <w:pPr>
        <w:pStyle w:val="Odstavekseznama"/>
        <w:jc w:val="both"/>
      </w:pPr>
    </w:p>
    <w:p w14:paraId="3A14461D" w14:textId="77777777" w:rsidR="00603F06" w:rsidRPr="00B87D07" w:rsidRDefault="00603F06" w:rsidP="00685D96">
      <w:pPr>
        <w:jc w:val="both"/>
      </w:pPr>
    </w:p>
    <w:p w14:paraId="3A14461E" w14:textId="77777777" w:rsidR="0041531B" w:rsidRPr="00B87D07" w:rsidRDefault="00F53EC5" w:rsidP="00685D96">
      <w:pPr>
        <w:pStyle w:val="Odstavekseznama"/>
        <w:numPr>
          <w:ilvl w:val="0"/>
          <w:numId w:val="44"/>
        </w:numPr>
        <w:jc w:val="both"/>
      </w:pPr>
      <w:r w:rsidRPr="00B87D07">
        <w:rPr>
          <w:b/>
        </w:rPr>
        <w:t>CbC</w:t>
      </w:r>
      <w:r w:rsidR="00DA6DF2" w:rsidRPr="00B87D07">
        <w:rPr>
          <w:b/>
        </w:rPr>
        <w:t xml:space="preserve"> poročilo</w:t>
      </w:r>
      <w:r w:rsidRPr="00B87D07">
        <w:t xml:space="preserve"> </w:t>
      </w:r>
      <w:r w:rsidR="0041531B" w:rsidRPr="00B87D07">
        <w:t xml:space="preserve">predložijo zavezanci v skladu </w:t>
      </w:r>
      <w:r w:rsidR="000D2FDE">
        <w:t>s</w:t>
      </w:r>
      <w:r w:rsidR="0041531B" w:rsidRPr="00B87D07">
        <w:t xml:space="preserve"> </w:t>
      </w:r>
      <w:r w:rsidR="009F4C7E" w:rsidRPr="005E1CB8">
        <w:t>86.</w:t>
      </w:r>
      <w:r w:rsidR="009F4C7E">
        <w:t>c</w:t>
      </w:r>
      <w:r w:rsidR="009F4C7E" w:rsidRPr="005E1CB8">
        <w:t xml:space="preserve"> </w:t>
      </w:r>
      <w:r w:rsidR="009F4C7E">
        <w:t>– 86.d</w:t>
      </w:r>
      <w:r w:rsidR="000D2FDE">
        <w:t xml:space="preserve"> in</w:t>
      </w:r>
      <w:r w:rsidR="009F4C7E">
        <w:t xml:space="preserve"> 86.f – 86.g </w:t>
      </w:r>
      <w:r w:rsidR="009F4C7E" w:rsidRPr="005E1CB8">
        <w:t>člen</w:t>
      </w:r>
      <w:r w:rsidR="009F4C7E">
        <w:t>i</w:t>
      </w:r>
      <w:r w:rsidR="009F4C7E" w:rsidRPr="00B87D07">
        <w:t xml:space="preserve"> </w:t>
      </w:r>
      <w:r w:rsidR="009F4C7E">
        <w:rPr>
          <w:lang w:eastAsia="en-US"/>
        </w:rPr>
        <w:t xml:space="preserve">Pravilnika o izvajanju ZDavP-2 ter v skladu z </w:t>
      </w:r>
      <w:hyperlink r:id="rId59" w:history="1">
        <w:r w:rsidR="0041531B" w:rsidRPr="000013B5">
          <w:rPr>
            <w:rStyle w:val="Hiperpovezava"/>
            <w:u w:val="none"/>
          </w:rPr>
          <w:t xml:space="preserve">Navodilom o obliki, vsebini in načinu dostave poročil po državah poročevalcev </w:t>
        </w:r>
        <w:r w:rsidR="007E5D3D">
          <w:rPr>
            <w:rStyle w:val="Hiperpovezava"/>
            <w:u w:val="none"/>
          </w:rPr>
          <w:t>m</w:t>
        </w:r>
        <w:r w:rsidR="0041531B" w:rsidRPr="000013B5">
          <w:rPr>
            <w:rStyle w:val="Hiperpovezava"/>
            <w:u w:val="none"/>
          </w:rPr>
          <w:t>ednarodnih skupin podjetij Finančni upravi Republike Slovenije</w:t>
        </w:r>
      </w:hyperlink>
      <w:r w:rsidR="0041531B" w:rsidRPr="000013B5">
        <w:t xml:space="preserve">, </w:t>
      </w:r>
      <w:r w:rsidR="0041531B" w:rsidRPr="00B87D07">
        <w:t xml:space="preserve">ki je objavljeno </w:t>
      </w:r>
      <w:r w:rsidR="009C4533">
        <w:t xml:space="preserve">Pravilnika o spremembah in dopolnitvah </w:t>
      </w:r>
      <w:r w:rsidR="009C4533">
        <w:rPr>
          <w:lang w:eastAsia="en-US"/>
        </w:rPr>
        <w:t>Pravilnika o izvajanju ZDavP-2 (</w:t>
      </w:r>
      <w:r w:rsidR="00247AEF" w:rsidRPr="00E37C5C">
        <w:rPr>
          <w:lang w:eastAsia="en-US"/>
        </w:rPr>
        <w:t>Ur. l. RS</w:t>
      </w:r>
      <w:r w:rsidR="009C4533" w:rsidRPr="00E37C5C">
        <w:rPr>
          <w:lang w:eastAsia="en-US"/>
        </w:rPr>
        <w:t xml:space="preserve"> št. </w:t>
      </w:r>
      <w:hyperlink r:id="rId60" w:history="1">
        <w:r w:rsidR="00E37C5C" w:rsidRPr="00D5666C">
          <w:rPr>
            <w:rStyle w:val="Hiperpovezava"/>
            <w:u w:val="none"/>
          </w:rPr>
          <w:t>30/17</w:t>
        </w:r>
      </w:hyperlink>
      <w:r w:rsidR="00E37C5C">
        <w:t xml:space="preserve"> </w:t>
      </w:r>
      <w:r w:rsidR="00247AEF" w:rsidRPr="00E37C5C">
        <w:rPr>
          <w:rStyle w:val="Hiperpovezava"/>
          <w:color w:val="auto"/>
          <w:u w:val="none"/>
          <w:lang w:eastAsia="en-US"/>
        </w:rPr>
        <w:t>z dne 16. 6. 2017</w:t>
      </w:r>
      <w:r w:rsidR="009C4533" w:rsidRPr="00E37C5C">
        <w:rPr>
          <w:lang w:eastAsia="en-US"/>
        </w:rPr>
        <w:t>).</w:t>
      </w:r>
    </w:p>
    <w:p w14:paraId="3A14461F" w14:textId="77777777" w:rsidR="001D0579" w:rsidRPr="00B87D07" w:rsidRDefault="001D0579" w:rsidP="00685D96">
      <w:pPr>
        <w:jc w:val="both"/>
        <w:rPr>
          <w:b/>
        </w:rPr>
      </w:pPr>
    </w:p>
    <w:p w14:paraId="3A144620" w14:textId="77777777" w:rsidR="0041531B" w:rsidRPr="00B87D07" w:rsidRDefault="00396130" w:rsidP="00685D96">
      <w:pPr>
        <w:pStyle w:val="Odstavekseznama"/>
        <w:jc w:val="both"/>
      </w:pPr>
      <w:r w:rsidRPr="00B87D07">
        <w:t>CbC poročilo predloži poročevalec mednarodne skupine podjetij, ki je krovno matično podjetje mednarodne skupine podjetij, davčni rezident v R</w:t>
      </w:r>
      <w:r w:rsidR="00D951D0">
        <w:t>S</w:t>
      </w:r>
      <w:r w:rsidRPr="00B87D07">
        <w:t xml:space="preserve">. Pod pogoji in v skladu z oddelkom II Priloge III </w:t>
      </w:r>
      <w:hyperlink r:id="rId61" w:history="1">
        <w:r w:rsidR="00266F33" w:rsidRPr="007F18B9">
          <w:rPr>
            <w:rStyle w:val="Hiperpovezava"/>
            <w:b/>
            <w:u w:val="none"/>
          </w:rPr>
          <w:t>DAC4</w:t>
        </w:r>
      </w:hyperlink>
      <w:r w:rsidR="00266F33">
        <w:rPr>
          <w:rStyle w:val="Hiperpovezava"/>
          <w:b/>
          <w:u w:val="none"/>
        </w:rPr>
        <w:t xml:space="preserve"> </w:t>
      </w:r>
      <w:r w:rsidRPr="00B87D07">
        <w:t>in ZDavP-2, pa se za poročevalca šteje tudi oseba v sestavi ali nadomestno matično podjetje.</w:t>
      </w:r>
      <w:r w:rsidR="00CE5C67" w:rsidRPr="00B87D07">
        <w:t xml:space="preserve"> </w:t>
      </w:r>
    </w:p>
    <w:p w14:paraId="3A144621" w14:textId="77777777" w:rsidR="00D35726" w:rsidRPr="00B87D07" w:rsidRDefault="00D35726" w:rsidP="00685D96">
      <w:pPr>
        <w:jc w:val="both"/>
      </w:pPr>
    </w:p>
    <w:p w14:paraId="3A144622" w14:textId="77777777" w:rsidR="00DF7410" w:rsidRPr="00B87D07" w:rsidRDefault="0041531B" w:rsidP="00685D96">
      <w:pPr>
        <w:pStyle w:val="Odstavekseznama"/>
        <w:jc w:val="both"/>
      </w:pPr>
      <w:r w:rsidRPr="00B87D07">
        <w:t>CbC poročilo</w:t>
      </w:r>
      <w:r w:rsidR="00BC5BE6" w:rsidRPr="00B87D07">
        <w:t xml:space="preserve"> </w:t>
      </w:r>
      <w:r w:rsidR="007B756C">
        <w:t xml:space="preserve">bodo krovna matična podjetja, rezidenti za davčne namene v RS, </w:t>
      </w:r>
      <w:r w:rsidR="00237E3D">
        <w:t>Finančni uprav</w:t>
      </w:r>
      <w:r w:rsidR="00274DBF">
        <w:t>i</w:t>
      </w:r>
      <w:r w:rsidR="00237E3D">
        <w:t xml:space="preserve"> RS</w:t>
      </w:r>
      <w:r w:rsidRPr="00B87D07">
        <w:t xml:space="preserve"> </w:t>
      </w:r>
      <w:r w:rsidR="00BC5BE6" w:rsidRPr="00B87D07">
        <w:t xml:space="preserve">prvič </w:t>
      </w:r>
      <w:r w:rsidRPr="00B87D07">
        <w:t>predloži</w:t>
      </w:r>
      <w:r w:rsidR="007B756C">
        <w:t>li</w:t>
      </w:r>
      <w:r w:rsidR="00274DBF">
        <w:t xml:space="preserve"> do 31. 12. 2017</w:t>
      </w:r>
      <w:r w:rsidR="00890BE3" w:rsidRPr="00B87D07">
        <w:t>,</w:t>
      </w:r>
      <w:r w:rsidR="00BE1514" w:rsidRPr="00B87D07">
        <w:t xml:space="preserve"> </w:t>
      </w:r>
      <w:r w:rsidR="00BC5BE6" w:rsidRPr="00B87D07">
        <w:t>za poslovno leto</w:t>
      </w:r>
      <w:r w:rsidR="00844B37">
        <w:t xml:space="preserve"> 2016</w:t>
      </w:r>
      <w:r w:rsidR="00BC5BE6" w:rsidRPr="00B87D07">
        <w:t xml:space="preserve"> mednarodne skupine podjetij</w:t>
      </w:r>
      <w:r w:rsidR="008D7367">
        <w:t xml:space="preserve"> (če je poslovno leto enako koledarskemu</w:t>
      </w:r>
      <w:r w:rsidR="00330D21">
        <w:t xml:space="preserve"> letu,</w:t>
      </w:r>
      <w:r w:rsidR="008D7367">
        <w:t xml:space="preserve"> sicer pa v 12 mesecih po koncu poslovnega leta)</w:t>
      </w:r>
      <w:r w:rsidR="00844B37">
        <w:t>.</w:t>
      </w:r>
    </w:p>
    <w:p w14:paraId="3A144623" w14:textId="77777777" w:rsidR="000731C8" w:rsidRPr="00B87D07" w:rsidRDefault="000731C8" w:rsidP="00685D96">
      <w:pPr>
        <w:pStyle w:val="FURSnaslov1"/>
        <w:jc w:val="both"/>
        <w:rPr>
          <w:b w:val="0"/>
          <w:lang w:val="sl-SI"/>
        </w:rPr>
      </w:pPr>
    </w:p>
    <w:p w14:paraId="3A144624" w14:textId="77777777" w:rsidR="00F53EC5" w:rsidRDefault="00F53EC5" w:rsidP="00685D96">
      <w:pPr>
        <w:pStyle w:val="FURSnaslov1"/>
        <w:jc w:val="both"/>
        <w:rPr>
          <w:lang w:val="sl-SI"/>
        </w:rPr>
      </w:pPr>
    </w:p>
    <w:p w14:paraId="2CE98A9F" w14:textId="77777777" w:rsidR="00DC4738" w:rsidRDefault="00DC4738" w:rsidP="00685D96">
      <w:pPr>
        <w:pStyle w:val="FURSnaslov1"/>
        <w:jc w:val="both"/>
        <w:rPr>
          <w:lang w:val="sl-SI"/>
        </w:rPr>
      </w:pPr>
    </w:p>
    <w:p w14:paraId="3A144625" w14:textId="77777777" w:rsidR="008068A2" w:rsidRPr="00B87D07" w:rsidRDefault="008068A2" w:rsidP="00DC4738">
      <w:pPr>
        <w:pStyle w:val="Brezrazmikov"/>
        <w:jc w:val="both"/>
      </w:pPr>
      <w:r w:rsidRPr="00B87D07">
        <w:t>Vprašanje</w:t>
      </w:r>
      <w:r w:rsidR="00F95FF9" w:rsidRPr="00B87D07">
        <w:t xml:space="preserve"> 1</w:t>
      </w:r>
      <w:r w:rsidR="00BB19C9" w:rsidRPr="00B87D07">
        <w:t>2</w:t>
      </w:r>
      <w:r w:rsidRPr="00B87D07">
        <w:t>: Za kakšn</w:t>
      </w:r>
      <w:r w:rsidR="000D2FDE">
        <w:t>e</w:t>
      </w:r>
      <w:r w:rsidRPr="00B87D07">
        <w:t xml:space="preserve"> namen</w:t>
      </w:r>
      <w:r w:rsidR="000D2FDE">
        <w:t>e</w:t>
      </w:r>
      <w:r w:rsidRPr="00B87D07">
        <w:t xml:space="preserve"> se podatki iz CbC poročila uporabljajo?</w:t>
      </w:r>
    </w:p>
    <w:p w14:paraId="3A144626" w14:textId="77777777" w:rsidR="008068A2" w:rsidRPr="00B87D07" w:rsidRDefault="008068A2" w:rsidP="00685D96">
      <w:pPr>
        <w:pStyle w:val="FURSnaslov1"/>
        <w:jc w:val="both"/>
        <w:rPr>
          <w:lang w:val="sl-SI"/>
        </w:rPr>
      </w:pPr>
    </w:p>
    <w:p w14:paraId="3A144627" w14:textId="77777777" w:rsidR="008068A2" w:rsidRDefault="00FD3393" w:rsidP="00685D96">
      <w:pPr>
        <w:jc w:val="both"/>
      </w:pPr>
      <w:r>
        <w:t>Na podlagi 255.k člena ZDavP-2, sme d</w:t>
      </w:r>
      <w:r w:rsidR="008068A2" w:rsidRPr="00B87D07">
        <w:t xml:space="preserve">avčni organ </w:t>
      </w:r>
      <w:r>
        <w:t>podatke</w:t>
      </w:r>
      <w:r w:rsidR="007B0A7E">
        <w:t>,</w:t>
      </w:r>
      <w:r>
        <w:t xml:space="preserve"> pridobljene iz CbC poročil</w:t>
      </w:r>
      <w:r w:rsidR="008068A2" w:rsidRPr="00B87D07">
        <w:t xml:space="preserve">, uporabiti </w:t>
      </w:r>
      <w:r>
        <w:t>za analiziranje tveganja</w:t>
      </w:r>
      <w:r w:rsidR="008068A2" w:rsidRPr="00B87D07">
        <w:t>, povezan</w:t>
      </w:r>
      <w:r>
        <w:t>ega</w:t>
      </w:r>
      <w:r w:rsidR="008068A2" w:rsidRPr="00B87D07">
        <w:t xml:space="preserve"> z določanjem transfernih cen</w:t>
      </w:r>
      <w:r>
        <w:t xml:space="preserve"> pri davčnem zavezancu; analiziranje tveganj, povezanih z </w:t>
      </w:r>
      <w:r w:rsidR="007B0A7E">
        <w:t>zniževanjem</w:t>
      </w:r>
      <w:r>
        <w:t xml:space="preserve"> davčne osnove in preusmerjanjem dobička</w:t>
      </w:r>
      <w:r w:rsidR="007B0A7E">
        <w:t>;</w:t>
      </w:r>
      <w:r>
        <w:t xml:space="preserve"> ter za ekonomsko in statistično</w:t>
      </w:r>
      <w:r w:rsidR="008068A2" w:rsidRPr="00B87D07">
        <w:t xml:space="preserve"> an</w:t>
      </w:r>
      <w:r>
        <w:t>alizo</w:t>
      </w:r>
      <w:r w:rsidR="008068A2" w:rsidRPr="00B87D07">
        <w:t xml:space="preserve">. </w:t>
      </w:r>
    </w:p>
    <w:p w14:paraId="3A144628" w14:textId="77777777" w:rsidR="000D2FDE" w:rsidRDefault="000D2FDE" w:rsidP="00685D96">
      <w:pPr>
        <w:jc w:val="both"/>
      </w:pPr>
    </w:p>
    <w:p w14:paraId="3A144629" w14:textId="77777777" w:rsidR="000D2FDE" w:rsidRDefault="000D2FDE" w:rsidP="00685D96">
      <w:pPr>
        <w:jc w:val="both"/>
      </w:pPr>
      <w:r>
        <w:t>Prilagodite transferne cene, ki jo izvede davčni organ na podlagi CbCR za namene 16. člena Z</w:t>
      </w:r>
      <w:r w:rsidR="00811EDA">
        <w:t>akona o davku od dohodkov pravnih oseb (ZDDPO-2)</w:t>
      </w:r>
      <w:r>
        <w:t xml:space="preserve">, ni dovoljena. </w:t>
      </w:r>
    </w:p>
    <w:p w14:paraId="3A14462A" w14:textId="77777777" w:rsidR="00FD3393" w:rsidRDefault="00FD3393" w:rsidP="00685D96">
      <w:pPr>
        <w:jc w:val="both"/>
      </w:pPr>
    </w:p>
    <w:p w14:paraId="3A14462B" w14:textId="77777777" w:rsidR="00FD3393" w:rsidRPr="00B87D07" w:rsidRDefault="00FD3393" w:rsidP="00685D96">
      <w:pPr>
        <w:jc w:val="both"/>
      </w:pPr>
      <w:r>
        <w:t xml:space="preserve">Sme pa davčni organ podatke iz CbC poročila uporabiti kot podlago za </w:t>
      </w:r>
      <w:r w:rsidR="00D17F6D">
        <w:t>nadaljnje</w:t>
      </w:r>
      <w:r>
        <w:t xml:space="preserve"> poizvedbe o poslih mednarodne skupine podjetij v zvezi z določanjem transfernih cen ali o drugih davčnih zadevah v postopku davčnega nadzora, na podlagi katerih se ustrezno obdavči dohodek oseb v sestavi.</w:t>
      </w:r>
    </w:p>
    <w:p w14:paraId="3A14462C" w14:textId="77777777" w:rsidR="00E93193" w:rsidRPr="00B87D07" w:rsidRDefault="00E93193" w:rsidP="00685D96">
      <w:pPr>
        <w:jc w:val="both"/>
      </w:pPr>
    </w:p>
    <w:p w14:paraId="3A14462D" w14:textId="77777777" w:rsidR="00E93193" w:rsidRPr="00B87D07" w:rsidRDefault="00E93193" w:rsidP="00685D96">
      <w:pPr>
        <w:jc w:val="both"/>
      </w:pPr>
    </w:p>
    <w:p w14:paraId="3A14462E" w14:textId="77777777" w:rsidR="006665B8" w:rsidRPr="00B87D07" w:rsidRDefault="006665B8" w:rsidP="00DC4738">
      <w:pPr>
        <w:pStyle w:val="Brezrazmikov"/>
        <w:jc w:val="both"/>
      </w:pPr>
      <w:r w:rsidRPr="00B87D07">
        <w:t>Vprašanje 1</w:t>
      </w:r>
      <w:r w:rsidR="00BB19C9" w:rsidRPr="00B87D07">
        <w:t>3</w:t>
      </w:r>
      <w:r w:rsidRPr="00B87D07">
        <w:t xml:space="preserve">: Kje </w:t>
      </w:r>
      <w:r w:rsidR="00C23171" w:rsidRPr="00B87D07">
        <w:t xml:space="preserve">so na voljo </w:t>
      </w:r>
      <w:r w:rsidRPr="00B87D07">
        <w:t>dodatne informacije?</w:t>
      </w:r>
    </w:p>
    <w:p w14:paraId="3A14462F" w14:textId="77777777" w:rsidR="006665B8" w:rsidRPr="00B87D07" w:rsidRDefault="006665B8" w:rsidP="00685D96">
      <w:pPr>
        <w:rPr>
          <w:b/>
          <w:sz w:val="24"/>
        </w:rPr>
      </w:pPr>
    </w:p>
    <w:p w14:paraId="3A144630" w14:textId="77777777" w:rsidR="009D7FEE" w:rsidRDefault="001D46A1" w:rsidP="00685D96">
      <w:pPr>
        <w:jc w:val="both"/>
        <w:rPr>
          <w:rFonts w:cs="Arial"/>
          <w:szCs w:val="20"/>
        </w:rPr>
      </w:pPr>
      <w:r w:rsidRPr="00B87D07">
        <w:t xml:space="preserve">Bistvene informacije </w:t>
      </w:r>
      <w:r w:rsidR="00E47860" w:rsidRPr="00B87D07">
        <w:t xml:space="preserve">in novosti </w:t>
      </w:r>
      <w:r w:rsidRPr="00B87D07">
        <w:t>glede CbC</w:t>
      </w:r>
      <w:r w:rsidR="004B1866">
        <w:t xml:space="preserve"> poročanja</w:t>
      </w:r>
      <w:r w:rsidRPr="00B87D07">
        <w:t xml:space="preserve"> so na voljo na spletni strani Finančne uprave RS, na povezavi </w:t>
      </w:r>
      <w:hyperlink r:id="rId62" w:history="1">
        <w:r w:rsidRPr="00B87D07">
          <w:rPr>
            <w:rStyle w:val="Hiperpovezava"/>
            <w:rFonts w:cs="Arial"/>
            <w:color w:val="auto"/>
            <w:szCs w:val="20"/>
            <w:u w:val="none"/>
          </w:rPr>
          <w:t>www.fu.gov.si/cbcr</w:t>
        </w:r>
      </w:hyperlink>
      <w:r w:rsidR="009D7FEE">
        <w:rPr>
          <w:rFonts w:cs="Arial"/>
          <w:szCs w:val="20"/>
        </w:rPr>
        <w:t>.</w:t>
      </w:r>
    </w:p>
    <w:p w14:paraId="3A144631" w14:textId="77777777" w:rsidR="00844B37" w:rsidRDefault="00844B37" w:rsidP="00685D96">
      <w:pPr>
        <w:jc w:val="both"/>
        <w:rPr>
          <w:rFonts w:cs="Arial"/>
          <w:szCs w:val="20"/>
        </w:rPr>
      </w:pPr>
    </w:p>
    <w:p w14:paraId="3A144632" w14:textId="77777777" w:rsidR="002B63B0" w:rsidRDefault="009F2B26" w:rsidP="00685D96">
      <w:pPr>
        <w:jc w:val="both"/>
        <w:rPr>
          <w:rStyle w:val="Hiperpovezava"/>
          <w:color w:val="auto"/>
          <w:u w:val="none"/>
        </w:rPr>
      </w:pPr>
      <w:r w:rsidRPr="00B87D07">
        <w:t>Za dodatna vprašanja</w:t>
      </w:r>
      <w:r w:rsidR="001D46A1" w:rsidRPr="00B87D07">
        <w:t xml:space="preserve"> </w:t>
      </w:r>
      <w:r w:rsidRPr="00B87D07">
        <w:t>je na voljo e-poštni naslov</w:t>
      </w:r>
      <w:r w:rsidR="006665B8" w:rsidRPr="00B87D07">
        <w:t xml:space="preserve">: </w:t>
      </w:r>
      <w:hyperlink r:id="rId63" w:history="1">
        <w:r w:rsidR="00634539" w:rsidRPr="00B87D07">
          <w:rPr>
            <w:rStyle w:val="Hiperpovezava"/>
            <w:color w:val="auto"/>
            <w:u w:val="none"/>
          </w:rPr>
          <w:t>cbcr.fu@gov.si</w:t>
        </w:r>
      </w:hyperlink>
      <w:r w:rsidR="002B63B0">
        <w:rPr>
          <w:rStyle w:val="Hiperpovezava"/>
          <w:color w:val="auto"/>
          <w:u w:val="none"/>
        </w:rPr>
        <w:t>.</w:t>
      </w:r>
    </w:p>
    <w:p w14:paraId="3A144633" w14:textId="77777777" w:rsidR="006665B8" w:rsidRDefault="006665B8" w:rsidP="00685D96">
      <w:pPr>
        <w:jc w:val="both"/>
      </w:pPr>
    </w:p>
    <w:p w14:paraId="3A144634" w14:textId="77777777" w:rsidR="00A46F7F" w:rsidRDefault="00A46F7F" w:rsidP="00685D96">
      <w:pPr>
        <w:jc w:val="both"/>
      </w:pPr>
    </w:p>
    <w:p w14:paraId="3A144635" w14:textId="77777777" w:rsidR="00A46F7F" w:rsidRPr="00B87D07" w:rsidRDefault="00A46F7F" w:rsidP="00685D96">
      <w:pPr>
        <w:jc w:val="both"/>
      </w:pPr>
    </w:p>
    <w:p w14:paraId="3A144636" w14:textId="77777777" w:rsidR="00634539" w:rsidRPr="00B87D07" w:rsidRDefault="00634539" w:rsidP="00685D96">
      <w:pPr>
        <w:pStyle w:val="FURSnaslov1"/>
        <w:jc w:val="both"/>
        <w:rPr>
          <w:b w:val="0"/>
          <w:sz w:val="20"/>
          <w:lang w:val="sl-SI"/>
        </w:rPr>
      </w:pPr>
    </w:p>
    <w:sectPr w:rsidR="00634539" w:rsidRPr="00B87D07" w:rsidSect="00783310">
      <w:headerReference w:type="default" r:id="rId64"/>
      <w:footerReference w:type="default" r:id="rId65"/>
      <w:headerReference w:type="first" r:id="rId66"/>
      <w:footerReference w:type="first" r:id="rId67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44639" w14:textId="77777777" w:rsidR="00442D4D" w:rsidRDefault="00442D4D">
      <w:r>
        <w:separator/>
      </w:r>
    </w:p>
  </w:endnote>
  <w:endnote w:type="continuationSeparator" w:id="0">
    <w:p w14:paraId="3A14463A" w14:textId="77777777" w:rsidR="00442D4D" w:rsidRDefault="0044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4463C" w14:textId="77777777" w:rsidR="00114431" w:rsidRDefault="00114431" w:rsidP="009F30FB">
    <w:pPr>
      <w:pStyle w:val="Noga"/>
      <w:jc w:val="right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DC473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44657" w14:textId="77777777" w:rsidR="00114431" w:rsidRDefault="00114431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44637" w14:textId="77777777" w:rsidR="00442D4D" w:rsidRDefault="00442D4D">
      <w:r>
        <w:separator/>
      </w:r>
    </w:p>
  </w:footnote>
  <w:footnote w:type="continuationSeparator" w:id="0">
    <w:p w14:paraId="3A144638" w14:textId="77777777" w:rsidR="00442D4D" w:rsidRDefault="00442D4D">
      <w:r>
        <w:continuationSeparator/>
      </w:r>
    </w:p>
  </w:footnote>
  <w:footnote w:id="1">
    <w:p w14:paraId="3A14465A" w14:textId="77777777" w:rsidR="00114431" w:rsidRPr="002278EC" w:rsidRDefault="00114431" w:rsidP="00E07805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2278EC">
        <w:rPr>
          <w:rStyle w:val="Sprotnaopomba-sklic"/>
        </w:rPr>
        <w:footnoteRef/>
      </w:r>
      <w:r w:rsidRPr="002278EC">
        <w:t xml:space="preserve"> </w:t>
      </w:r>
      <w:r w:rsidRPr="002278EC">
        <w:rPr>
          <w:sz w:val="16"/>
          <w:szCs w:val="16"/>
        </w:rPr>
        <w:t xml:space="preserve">V skladu s </w:t>
      </w:r>
      <w:hyperlink r:id="rId1" w:anchor=".WX7qMVtPqUk" w:history="1">
        <w:r w:rsidRPr="006A4EE6">
          <w:rPr>
            <w:rStyle w:val="Hiperpovezava"/>
            <w:sz w:val="16"/>
            <w:szCs w:val="16"/>
            <w:u w:val="none"/>
          </w:rPr>
          <w:t>OECD Končnim poročilom o Ukrepu 13 iz leta 2015</w:t>
        </w:r>
      </w:hyperlink>
      <w:r w:rsidRPr="002278EC">
        <w:rPr>
          <w:sz w:val="16"/>
          <w:szCs w:val="16"/>
        </w:rPr>
        <w:t xml:space="preserve"> (angl. </w:t>
      </w:r>
      <w:proofErr w:type="spellStart"/>
      <w:r w:rsidRPr="000C2715">
        <w:rPr>
          <w:i/>
          <w:sz w:val="16"/>
          <w:szCs w:val="16"/>
        </w:rPr>
        <w:t>Action</w:t>
      </w:r>
      <w:proofErr w:type="spellEnd"/>
      <w:r w:rsidRPr="000C2715">
        <w:rPr>
          <w:i/>
          <w:sz w:val="16"/>
          <w:szCs w:val="16"/>
        </w:rPr>
        <w:t xml:space="preserve"> 13: 2015 </w:t>
      </w:r>
      <w:proofErr w:type="spellStart"/>
      <w:r w:rsidRPr="000C2715">
        <w:rPr>
          <w:i/>
          <w:sz w:val="16"/>
          <w:szCs w:val="16"/>
        </w:rPr>
        <w:t>Final</w:t>
      </w:r>
      <w:proofErr w:type="spellEnd"/>
      <w:r w:rsidRPr="000C2715">
        <w:rPr>
          <w:i/>
          <w:sz w:val="16"/>
          <w:szCs w:val="16"/>
        </w:rPr>
        <w:t xml:space="preserve"> </w:t>
      </w:r>
      <w:proofErr w:type="spellStart"/>
      <w:r w:rsidRPr="000C2715">
        <w:rPr>
          <w:i/>
          <w:sz w:val="16"/>
          <w:szCs w:val="16"/>
        </w:rPr>
        <w:t>Report</w:t>
      </w:r>
      <w:proofErr w:type="spellEnd"/>
      <w:r w:rsidRPr="002278EC">
        <w:rPr>
          <w:sz w:val="16"/>
          <w:szCs w:val="16"/>
        </w:rPr>
        <w:t xml:space="preserve">), je lahko mednarodni sporazum, ki omogoča avtomatično izmenjavo informacij, eden izmed treh sledečih: </w:t>
      </w:r>
    </w:p>
    <w:p w14:paraId="3A14465B" w14:textId="77777777" w:rsidR="00114431" w:rsidRPr="002278EC" w:rsidRDefault="00114431" w:rsidP="006F6B02">
      <w:pPr>
        <w:pStyle w:val="Sprotnaopomba-besedilo"/>
        <w:jc w:val="both"/>
        <w:rPr>
          <w:sz w:val="16"/>
          <w:szCs w:val="16"/>
        </w:rPr>
      </w:pPr>
    </w:p>
    <w:p w14:paraId="3A14465C" w14:textId="77777777" w:rsidR="00114431" w:rsidRPr="002278EC" w:rsidRDefault="00DC4738" w:rsidP="00E07805">
      <w:pPr>
        <w:pStyle w:val="Sprotnaopomba-besedilo"/>
        <w:numPr>
          <w:ilvl w:val="0"/>
          <w:numId w:val="38"/>
        </w:numPr>
        <w:spacing w:line="240" w:lineRule="auto"/>
        <w:ind w:left="714" w:hanging="357"/>
        <w:jc w:val="both"/>
        <w:rPr>
          <w:rFonts w:cs="Arial"/>
          <w:sz w:val="16"/>
          <w:szCs w:val="16"/>
        </w:rPr>
      </w:pPr>
      <w:hyperlink r:id="rId2" w:history="1">
        <w:r w:rsidR="00114431" w:rsidRPr="002278EC">
          <w:rPr>
            <w:rStyle w:val="Hiperpovezava"/>
            <w:color w:val="auto"/>
            <w:sz w:val="16"/>
            <w:szCs w:val="16"/>
            <w:u w:val="none"/>
          </w:rPr>
          <w:t>Konvencija OECD in Sveta Evrope o medsebojni upravni pomoči v davčnih zadevah in njen dopolnitveni protokol</w:t>
        </w:r>
      </w:hyperlink>
      <w:r w:rsidR="00114431" w:rsidRPr="002278EC">
        <w:rPr>
          <w:rStyle w:val="Krepko"/>
          <w:b w:val="0"/>
          <w:sz w:val="16"/>
          <w:szCs w:val="16"/>
        </w:rPr>
        <w:t xml:space="preserve">. </w:t>
      </w:r>
      <w:hyperlink r:id="rId3" w:history="1">
        <w:r w:rsidR="00114431" w:rsidRPr="002278EC">
          <w:rPr>
            <w:rStyle w:val="Hiperpovezava"/>
            <w:sz w:val="16"/>
            <w:szCs w:val="16"/>
            <w:u w:val="none"/>
          </w:rPr>
          <w:t>S</w:t>
        </w:r>
        <w:r w:rsidR="00114431" w:rsidRPr="002278EC">
          <w:rPr>
            <w:rStyle w:val="Hiperpovezava"/>
            <w:rFonts w:eastAsiaTheme="minorHAnsi" w:cs="Arial"/>
            <w:sz w:val="16"/>
            <w:szCs w:val="16"/>
            <w:u w:val="none"/>
          </w:rPr>
          <w:t>eznam držav</w:t>
        </w:r>
      </w:hyperlink>
      <w:r w:rsidR="00114431" w:rsidRPr="002278EC">
        <w:rPr>
          <w:rFonts w:eastAsiaTheme="minorHAnsi" w:cs="Arial"/>
          <w:sz w:val="16"/>
          <w:szCs w:val="16"/>
        </w:rPr>
        <w:t xml:space="preserve">, ki so podpisale konvencijo oziroma protokol </w:t>
      </w:r>
      <w:r w:rsidR="00114431">
        <w:rPr>
          <w:rFonts w:eastAsiaTheme="minorHAnsi" w:cs="Arial"/>
          <w:sz w:val="16"/>
          <w:szCs w:val="16"/>
        </w:rPr>
        <w:t>pripravlja OECD.</w:t>
      </w:r>
    </w:p>
    <w:p w14:paraId="3A14465D" w14:textId="77777777" w:rsidR="00114431" w:rsidRPr="002278EC" w:rsidRDefault="00114431" w:rsidP="006F6B02">
      <w:pPr>
        <w:pStyle w:val="Sprotnaopomba-besedilo"/>
        <w:jc w:val="both"/>
        <w:rPr>
          <w:rFonts w:cs="Arial"/>
          <w:sz w:val="16"/>
          <w:szCs w:val="16"/>
        </w:rPr>
      </w:pPr>
    </w:p>
    <w:p w14:paraId="3A14465E" w14:textId="77777777" w:rsidR="00114431" w:rsidRPr="00671706" w:rsidRDefault="00114431" w:rsidP="00671706">
      <w:pPr>
        <w:pStyle w:val="Default"/>
        <w:numPr>
          <w:ilvl w:val="0"/>
          <w:numId w:val="40"/>
        </w:numPr>
        <w:jc w:val="both"/>
        <w:rPr>
          <w:color w:val="auto"/>
          <w:sz w:val="16"/>
          <w:szCs w:val="16"/>
          <w:lang w:val="sl-SI"/>
        </w:rPr>
      </w:pPr>
      <w:r w:rsidRPr="002278EC">
        <w:rPr>
          <w:bCs/>
          <w:color w:val="auto"/>
          <w:sz w:val="16"/>
          <w:szCs w:val="16"/>
          <w:lang w:val="sl-SI"/>
        </w:rPr>
        <w:t>Bilateralne konvencije o izogibanju dvojnega obdavčevanja dohodkov in premoženja (KIDO)</w:t>
      </w:r>
      <w:r w:rsidRPr="002278EC">
        <w:rPr>
          <w:color w:val="auto"/>
          <w:sz w:val="16"/>
          <w:szCs w:val="16"/>
          <w:lang w:val="sl-SI"/>
        </w:rPr>
        <w:t xml:space="preserve">, ki temelji na Vzorčni davčni konvenciji OECD, ki v 26. členu kot enega od načinov izmenjave informacij definira tudi avtomatično izmenjavo informacij in jih je Slovenija podpisala z drugimi državami. V Sloveniji v tem trenutku velja 57 bilateralnih konvencij. </w:t>
      </w:r>
      <w:r>
        <w:rPr>
          <w:color w:val="auto"/>
          <w:sz w:val="16"/>
          <w:szCs w:val="16"/>
          <w:lang w:val="sl-SI"/>
        </w:rPr>
        <w:t>Na spletni strani Finančne uprave RS je</w:t>
      </w:r>
      <w:r w:rsidRPr="002278EC">
        <w:rPr>
          <w:rFonts w:eastAsia="Times New Roman"/>
          <w:color w:val="auto"/>
          <w:sz w:val="16"/>
          <w:szCs w:val="16"/>
          <w:lang w:val="sl-SI" w:eastAsia="sl-SI"/>
        </w:rPr>
        <w:t xml:space="preserve"> objavljen </w:t>
      </w:r>
      <w:hyperlink r:id="rId4" w:anchor="c78" w:history="1">
        <w:r w:rsidRPr="00671706">
          <w:rPr>
            <w:rStyle w:val="Hiperpovezava"/>
            <w:rFonts w:eastAsia="Times New Roman"/>
            <w:sz w:val="16"/>
            <w:szCs w:val="16"/>
            <w:lang w:val="sl-SI" w:eastAsia="sl-SI"/>
          </w:rPr>
          <w:t xml:space="preserve">seznam veljavnih konvencij. </w:t>
        </w:r>
      </w:hyperlink>
    </w:p>
    <w:p w14:paraId="3A14465F" w14:textId="77777777" w:rsidR="00114431" w:rsidRPr="002278EC" w:rsidRDefault="00114431" w:rsidP="00671706">
      <w:pPr>
        <w:pStyle w:val="Default"/>
        <w:ind w:left="720"/>
        <w:jc w:val="both"/>
        <w:rPr>
          <w:color w:val="auto"/>
          <w:sz w:val="16"/>
          <w:szCs w:val="16"/>
          <w:lang w:val="sl-SI"/>
        </w:rPr>
      </w:pPr>
      <w:r w:rsidRPr="002278EC">
        <w:rPr>
          <w:rFonts w:eastAsia="Times New Roman"/>
          <w:color w:val="auto"/>
          <w:sz w:val="16"/>
          <w:szCs w:val="16"/>
          <w:lang w:val="sl-SI" w:eastAsia="sl-SI"/>
        </w:rPr>
        <w:t xml:space="preserve"> </w:t>
      </w:r>
    </w:p>
    <w:p w14:paraId="3A144660" w14:textId="77777777" w:rsidR="00114431" w:rsidRPr="002278EC" w:rsidRDefault="00114431" w:rsidP="006F6B02">
      <w:pPr>
        <w:pStyle w:val="Default"/>
        <w:numPr>
          <w:ilvl w:val="0"/>
          <w:numId w:val="40"/>
        </w:numPr>
        <w:jc w:val="both"/>
        <w:rPr>
          <w:color w:val="auto"/>
          <w:sz w:val="16"/>
          <w:szCs w:val="16"/>
          <w:lang w:val="sl-SI"/>
        </w:rPr>
      </w:pPr>
      <w:r w:rsidRPr="002278EC">
        <w:rPr>
          <w:rStyle w:val="Krepko"/>
          <w:b w:val="0"/>
          <w:color w:val="auto"/>
          <w:sz w:val="16"/>
          <w:szCs w:val="16"/>
          <w:lang w:val="sl-SI"/>
        </w:rPr>
        <w:t>Bilateralne sporazume o izmenjavi informacij v davčnih zadevah (TIEA)</w:t>
      </w:r>
      <w:r w:rsidRPr="002278EC">
        <w:rPr>
          <w:color w:val="auto"/>
          <w:sz w:val="16"/>
          <w:szCs w:val="16"/>
          <w:lang w:val="sl-SI"/>
        </w:rPr>
        <w:t>. Slovenija je sklenila 3 TIEA sporazume (Otok Man,</w:t>
      </w:r>
      <w:r w:rsidRPr="00134493">
        <w:rPr>
          <w:color w:val="auto"/>
          <w:sz w:val="16"/>
          <w:szCs w:val="16"/>
          <w:lang w:val="en-GB"/>
        </w:rPr>
        <w:t xml:space="preserve"> Guernsey</w:t>
      </w:r>
      <w:r w:rsidRPr="002278EC">
        <w:rPr>
          <w:color w:val="auto"/>
          <w:sz w:val="16"/>
          <w:szCs w:val="16"/>
          <w:lang w:val="sl-SI"/>
        </w:rPr>
        <w:t xml:space="preserve"> in Jersey). </w:t>
      </w:r>
    </w:p>
    <w:p w14:paraId="3A144661" w14:textId="77777777" w:rsidR="00114431" w:rsidRPr="002278EC" w:rsidRDefault="00114431" w:rsidP="006F6B02">
      <w:pPr>
        <w:pStyle w:val="Default"/>
        <w:jc w:val="both"/>
        <w:rPr>
          <w:color w:val="auto"/>
          <w:sz w:val="16"/>
          <w:szCs w:val="16"/>
          <w:lang w:val="sl-SI"/>
        </w:rPr>
      </w:pPr>
    </w:p>
    <w:p w14:paraId="3A144662" w14:textId="77777777" w:rsidR="00114431" w:rsidRPr="001A1C59" w:rsidRDefault="00114431" w:rsidP="006F6B02">
      <w:pPr>
        <w:pStyle w:val="Default"/>
        <w:jc w:val="both"/>
        <w:rPr>
          <w:color w:val="auto"/>
          <w:sz w:val="16"/>
          <w:szCs w:val="16"/>
          <w:lang w:val="sl-SI"/>
        </w:rPr>
      </w:pPr>
      <w:r w:rsidRPr="002278EC">
        <w:rPr>
          <w:color w:val="auto"/>
          <w:sz w:val="16"/>
          <w:szCs w:val="16"/>
          <w:lang w:val="sl-SI"/>
        </w:rPr>
        <w:t xml:space="preserve">Več informacij o pravnih podlagah za mednarodno izmenjavo informacij na davčnem področju je na voljo tudi </w:t>
      </w:r>
      <w:r w:rsidRPr="001A1C59">
        <w:rPr>
          <w:color w:val="auto"/>
          <w:sz w:val="16"/>
          <w:szCs w:val="16"/>
          <w:lang w:val="sl-SI"/>
        </w:rPr>
        <w:t xml:space="preserve">na </w:t>
      </w:r>
      <w:hyperlink r:id="rId5" w:history="1">
        <w:r w:rsidRPr="001A1C59">
          <w:rPr>
            <w:rStyle w:val="Hiperpovezava"/>
            <w:sz w:val="16"/>
            <w:szCs w:val="16"/>
            <w:u w:val="none"/>
            <w:lang w:val="sl-SI"/>
          </w:rPr>
          <w:t>spletni strani Finančne uprave RS</w:t>
        </w:r>
      </w:hyperlink>
      <w:r w:rsidR="005E4F05" w:rsidRPr="001A1C59">
        <w:rPr>
          <w:color w:val="auto"/>
          <w:sz w:val="16"/>
          <w:szCs w:val="16"/>
          <w:lang w:val="sl-SI"/>
        </w:rPr>
        <w:t>.</w:t>
      </w:r>
    </w:p>
    <w:p w14:paraId="3A144663" w14:textId="77777777" w:rsidR="00114431" w:rsidRPr="00486B2A" w:rsidRDefault="00114431" w:rsidP="006616A1">
      <w:pPr>
        <w:pStyle w:val="Default"/>
        <w:rPr>
          <w:sz w:val="16"/>
          <w:szCs w:val="16"/>
          <w:lang w:val="sl-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4463B" w14:textId="77777777" w:rsidR="00114431" w:rsidRPr="00110CBD" w:rsidRDefault="0011443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14431" w:rsidRPr="008F3500" w14:paraId="3A14464E" w14:textId="77777777">
      <w:trPr>
        <w:cantSplit/>
        <w:trHeight w:hRule="exact" w:val="847"/>
      </w:trPr>
      <w:tc>
        <w:tcPr>
          <w:tcW w:w="567" w:type="dxa"/>
        </w:tcPr>
        <w:p w14:paraId="3A14463D" w14:textId="77777777" w:rsidR="00114431" w:rsidRDefault="0011443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3A14463E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3F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0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1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2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3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4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5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6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7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8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9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A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B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C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  <w:p w14:paraId="3A14464D" w14:textId="77777777" w:rsidR="00114431" w:rsidRPr="006D42D9" w:rsidRDefault="0011443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A14464F" w14:textId="77777777" w:rsidR="00114431" w:rsidRPr="008F3500" w:rsidRDefault="00114431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A144658" wp14:editId="3A14465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7B055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A144650" w14:textId="77777777" w:rsidR="00114431" w:rsidRPr="008F3500" w:rsidRDefault="00114431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3A144651" w14:textId="77777777" w:rsidR="00114431" w:rsidRDefault="00114431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3A144652" w14:textId="77777777" w:rsidR="00114431" w:rsidRPr="008F3500" w:rsidRDefault="00114431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3A144653" w14:textId="77777777" w:rsidR="00114431" w:rsidRPr="008F3500" w:rsidRDefault="0011443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3A144654" w14:textId="77777777" w:rsidR="00114431" w:rsidRPr="008F3500" w:rsidRDefault="0011443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3A144655" w14:textId="77777777" w:rsidR="00114431" w:rsidRPr="008F3500" w:rsidRDefault="0011443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3A144656" w14:textId="77777777" w:rsidR="00114431" w:rsidRPr="008F3500" w:rsidRDefault="0011443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D96"/>
    <w:multiLevelType w:val="hybridMultilevel"/>
    <w:tmpl w:val="83CED6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3D6"/>
    <w:multiLevelType w:val="hybridMultilevel"/>
    <w:tmpl w:val="691E3DD2"/>
    <w:lvl w:ilvl="0" w:tplc="565465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E019F"/>
    <w:multiLevelType w:val="hybridMultilevel"/>
    <w:tmpl w:val="8CE48B2E"/>
    <w:lvl w:ilvl="0" w:tplc="F654AA0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0EC9"/>
    <w:multiLevelType w:val="hybridMultilevel"/>
    <w:tmpl w:val="6C383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B2437"/>
    <w:multiLevelType w:val="hybridMultilevel"/>
    <w:tmpl w:val="FB98C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53FF"/>
    <w:multiLevelType w:val="hybridMultilevel"/>
    <w:tmpl w:val="7FD47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1038"/>
    <w:multiLevelType w:val="hybridMultilevel"/>
    <w:tmpl w:val="14F45B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33481A"/>
    <w:multiLevelType w:val="hybridMultilevel"/>
    <w:tmpl w:val="E6C6CA0E"/>
    <w:lvl w:ilvl="0" w:tplc="96523E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46AA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B4C69C6"/>
    <w:multiLevelType w:val="multilevel"/>
    <w:tmpl w:val="0424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1CB73F15"/>
    <w:multiLevelType w:val="hybridMultilevel"/>
    <w:tmpl w:val="95C89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795E"/>
    <w:multiLevelType w:val="hybridMultilevel"/>
    <w:tmpl w:val="E116B97E"/>
    <w:lvl w:ilvl="0" w:tplc="F654AA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D4CF2"/>
    <w:multiLevelType w:val="hybridMultilevel"/>
    <w:tmpl w:val="CC743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241F"/>
    <w:multiLevelType w:val="multilevel"/>
    <w:tmpl w:val="C254BE34"/>
    <w:numStyleLink w:val="Slog1"/>
  </w:abstractNum>
  <w:abstractNum w:abstractNumId="16" w15:restartNumberingAfterBreak="0">
    <w:nsid w:val="270E0B55"/>
    <w:multiLevelType w:val="hybridMultilevel"/>
    <w:tmpl w:val="E4AC4A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10DAF"/>
    <w:multiLevelType w:val="hybridMultilevel"/>
    <w:tmpl w:val="48B228DE"/>
    <w:lvl w:ilvl="0" w:tplc="DA322D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266"/>
    <w:multiLevelType w:val="hybridMultilevel"/>
    <w:tmpl w:val="77F42AFA"/>
    <w:lvl w:ilvl="0" w:tplc="27C4CC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F6E76"/>
    <w:multiLevelType w:val="hybridMultilevel"/>
    <w:tmpl w:val="0A828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A264B9"/>
    <w:multiLevelType w:val="hybridMultilevel"/>
    <w:tmpl w:val="80DAA93E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E25A7"/>
    <w:multiLevelType w:val="hybridMultilevel"/>
    <w:tmpl w:val="80DAA93E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D00EA"/>
    <w:multiLevelType w:val="multilevel"/>
    <w:tmpl w:val="C254BE34"/>
    <w:styleLink w:val="Slog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F1813"/>
    <w:multiLevelType w:val="multilevel"/>
    <w:tmpl w:val="871228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3EFA3C17"/>
    <w:multiLevelType w:val="multilevel"/>
    <w:tmpl w:val="84F29C9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415113F3"/>
    <w:multiLevelType w:val="hybridMultilevel"/>
    <w:tmpl w:val="DEF271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BC11DF"/>
    <w:multiLevelType w:val="hybridMultilevel"/>
    <w:tmpl w:val="856635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6693B"/>
    <w:multiLevelType w:val="hybridMultilevel"/>
    <w:tmpl w:val="76F2C3A2"/>
    <w:lvl w:ilvl="0" w:tplc="2C02C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91CC2"/>
    <w:multiLevelType w:val="hybridMultilevel"/>
    <w:tmpl w:val="BB588F62"/>
    <w:lvl w:ilvl="0" w:tplc="D1B0FE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D450CDC"/>
    <w:multiLevelType w:val="hybridMultilevel"/>
    <w:tmpl w:val="2736C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36AA6"/>
    <w:multiLevelType w:val="hybridMultilevel"/>
    <w:tmpl w:val="80DAA93E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35533"/>
    <w:multiLevelType w:val="hybridMultilevel"/>
    <w:tmpl w:val="80DAA93E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120C8"/>
    <w:multiLevelType w:val="hybridMultilevel"/>
    <w:tmpl w:val="B08A31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653EB"/>
    <w:multiLevelType w:val="hybridMultilevel"/>
    <w:tmpl w:val="A91AF1C4"/>
    <w:lvl w:ilvl="0" w:tplc="BD226B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22658"/>
    <w:multiLevelType w:val="hybridMultilevel"/>
    <w:tmpl w:val="B99C270A"/>
    <w:lvl w:ilvl="0" w:tplc="0852911E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910C1"/>
    <w:multiLevelType w:val="hybridMultilevel"/>
    <w:tmpl w:val="00785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51662"/>
    <w:multiLevelType w:val="hybridMultilevel"/>
    <w:tmpl w:val="C7DCE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DB30B4"/>
    <w:multiLevelType w:val="hybridMultilevel"/>
    <w:tmpl w:val="396EA5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22475"/>
    <w:multiLevelType w:val="hybridMultilevel"/>
    <w:tmpl w:val="43C2CD4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76C4F"/>
    <w:multiLevelType w:val="hybridMultilevel"/>
    <w:tmpl w:val="B3DEE72C"/>
    <w:lvl w:ilvl="0" w:tplc="73DAFB6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3B2E"/>
    <w:multiLevelType w:val="hybridMultilevel"/>
    <w:tmpl w:val="3B361A2A"/>
    <w:lvl w:ilvl="0" w:tplc="0424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4" w15:restartNumberingAfterBreak="0">
    <w:nsid w:val="787A454A"/>
    <w:multiLevelType w:val="hybridMultilevel"/>
    <w:tmpl w:val="8634F12C"/>
    <w:lvl w:ilvl="0" w:tplc="74F2D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B5346"/>
    <w:multiLevelType w:val="hybridMultilevel"/>
    <w:tmpl w:val="DBFAAB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7"/>
  </w:num>
  <w:num w:numId="4">
    <w:abstractNumId w:val="2"/>
  </w:num>
  <w:num w:numId="5">
    <w:abstractNumId w:val="8"/>
  </w:num>
  <w:num w:numId="6">
    <w:abstractNumId w:val="31"/>
  </w:num>
  <w:num w:numId="7">
    <w:abstractNumId w:val="7"/>
  </w:num>
  <w:num w:numId="8">
    <w:abstractNumId w:val="25"/>
  </w:num>
  <w:num w:numId="9">
    <w:abstractNumId w:val="0"/>
  </w:num>
  <w:num w:numId="10">
    <w:abstractNumId w:val="35"/>
  </w:num>
  <w:num w:numId="11">
    <w:abstractNumId w:val="30"/>
  </w:num>
  <w:num w:numId="12">
    <w:abstractNumId w:val="11"/>
  </w:num>
  <w:num w:numId="13">
    <w:abstractNumId w:val="18"/>
  </w:num>
  <w:num w:numId="14">
    <w:abstractNumId w:val="5"/>
  </w:num>
  <w:num w:numId="15">
    <w:abstractNumId w:val="41"/>
  </w:num>
  <w:num w:numId="16">
    <w:abstractNumId w:val="3"/>
  </w:num>
  <w:num w:numId="17">
    <w:abstractNumId w:val="13"/>
  </w:num>
  <w:num w:numId="18">
    <w:abstractNumId w:val="19"/>
  </w:num>
  <w:num w:numId="19">
    <w:abstractNumId w:val="45"/>
  </w:num>
  <w:num w:numId="20">
    <w:abstractNumId w:val="10"/>
  </w:num>
  <w:num w:numId="21">
    <w:abstractNumId w:val="40"/>
  </w:num>
  <w:num w:numId="22">
    <w:abstractNumId w:val="22"/>
  </w:num>
  <w:num w:numId="23">
    <w:abstractNumId w:val="42"/>
  </w:num>
  <w:num w:numId="24">
    <w:abstractNumId w:val="33"/>
  </w:num>
  <w:num w:numId="25">
    <w:abstractNumId w:val="21"/>
  </w:num>
  <w:num w:numId="26">
    <w:abstractNumId w:val="15"/>
  </w:num>
  <w:num w:numId="27">
    <w:abstractNumId w:val="23"/>
  </w:num>
  <w:num w:numId="28">
    <w:abstractNumId w:val="1"/>
  </w:num>
  <w:num w:numId="29">
    <w:abstractNumId w:val="26"/>
  </w:num>
  <w:num w:numId="30">
    <w:abstractNumId w:val="34"/>
  </w:num>
  <w:num w:numId="31">
    <w:abstractNumId w:val="28"/>
  </w:num>
  <w:num w:numId="32">
    <w:abstractNumId w:val="32"/>
  </w:num>
  <w:num w:numId="33">
    <w:abstractNumId w:val="36"/>
  </w:num>
  <w:num w:numId="34">
    <w:abstractNumId w:val="9"/>
  </w:num>
  <w:num w:numId="35">
    <w:abstractNumId w:val="17"/>
  </w:num>
  <w:num w:numId="36">
    <w:abstractNumId w:val="44"/>
  </w:num>
  <w:num w:numId="37">
    <w:abstractNumId w:val="29"/>
  </w:num>
  <w:num w:numId="38">
    <w:abstractNumId w:val="12"/>
  </w:num>
  <w:num w:numId="39">
    <w:abstractNumId w:val="16"/>
  </w:num>
  <w:num w:numId="40">
    <w:abstractNumId w:val="38"/>
  </w:num>
  <w:num w:numId="41">
    <w:abstractNumId w:val="4"/>
  </w:num>
  <w:num w:numId="42">
    <w:abstractNumId w:val="14"/>
  </w:num>
  <w:num w:numId="43">
    <w:abstractNumId w:val="6"/>
  </w:num>
  <w:num w:numId="44">
    <w:abstractNumId w:val="37"/>
  </w:num>
  <w:num w:numId="45">
    <w:abstractNumId w:val="4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FF"/>
    <w:rsid w:val="000013B5"/>
    <w:rsid w:val="00001925"/>
    <w:rsid w:val="000042C7"/>
    <w:rsid w:val="00004528"/>
    <w:rsid w:val="00005E61"/>
    <w:rsid w:val="000063FF"/>
    <w:rsid w:val="00006490"/>
    <w:rsid w:val="00006C47"/>
    <w:rsid w:val="000076E5"/>
    <w:rsid w:val="000110D8"/>
    <w:rsid w:val="000128B8"/>
    <w:rsid w:val="00015F02"/>
    <w:rsid w:val="00017BC5"/>
    <w:rsid w:val="00021C7E"/>
    <w:rsid w:val="00023A88"/>
    <w:rsid w:val="00025A7A"/>
    <w:rsid w:val="00030F31"/>
    <w:rsid w:val="0003148D"/>
    <w:rsid w:val="00031DD7"/>
    <w:rsid w:val="000326C2"/>
    <w:rsid w:val="00032E37"/>
    <w:rsid w:val="00033944"/>
    <w:rsid w:val="00034250"/>
    <w:rsid w:val="0003740C"/>
    <w:rsid w:val="00042646"/>
    <w:rsid w:val="00046B7C"/>
    <w:rsid w:val="00053BAF"/>
    <w:rsid w:val="0005497A"/>
    <w:rsid w:val="000549E7"/>
    <w:rsid w:val="00055E2C"/>
    <w:rsid w:val="000567EE"/>
    <w:rsid w:val="00062112"/>
    <w:rsid w:val="00064C16"/>
    <w:rsid w:val="00065C1C"/>
    <w:rsid w:val="0006787C"/>
    <w:rsid w:val="00067FEA"/>
    <w:rsid w:val="000731C8"/>
    <w:rsid w:val="00075A83"/>
    <w:rsid w:val="00075B29"/>
    <w:rsid w:val="00077363"/>
    <w:rsid w:val="00077883"/>
    <w:rsid w:val="000805EA"/>
    <w:rsid w:val="00081492"/>
    <w:rsid w:val="00081C31"/>
    <w:rsid w:val="00083147"/>
    <w:rsid w:val="000832AB"/>
    <w:rsid w:val="0008352D"/>
    <w:rsid w:val="00083C01"/>
    <w:rsid w:val="000861EA"/>
    <w:rsid w:val="00087B67"/>
    <w:rsid w:val="00090A21"/>
    <w:rsid w:val="00090DA2"/>
    <w:rsid w:val="00091FD5"/>
    <w:rsid w:val="00093D38"/>
    <w:rsid w:val="000A04D9"/>
    <w:rsid w:val="000A2D42"/>
    <w:rsid w:val="000A3ED0"/>
    <w:rsid w:val="000A4033"/>
    <w:rsid w:val="000A4CF2"/>
    <w:rsid w:val="000A4F7C"/>
    <w:rsid w:val="000A503E"/>
    <w:rsid w:val="000A554D"/>
    <w:rsid w:val="000A5784"/>
    <w:rsid w:val="000A5EC3"/>
    <w:rsid w:val="000A6041"/>
    <w:rsid w:val="000A6F92"/>
    <w:rsid w:val="000A7238"/>
    <w:rsid w:val="000A78AD"/>
    <w:rsid w:val="000B0B21"/>
    <w:rsid w:val="000B4337"/>
    <w:rsid w:val="000B6244"/>
    <w:rsid w:val="000B6F89"/>
    <w:rsid w:val="000C11DE"/>
    <w:rsid w:val="000C2273"/>
    <w:rsid w:val="000C2715"/>
    <w:rsid w:val="000C472E"/>
    <w:rsid w:val="000C66A3"/>
    <w:rsid w:val="000C7EF1"/>
    <w:rsid w:val="000D176A"/>
    <w:rsid w:val="000D1B4C"/>
    <w:rsid w:val="000D255F"/>
    <w:rsid w:val="000D2FDE"/>
    <w:rsid w:val="000D5C40"/>
    <w:rsid w:val="000D6C2C"/>
    <w:rsid w:val="000E060B"/>
    <w:rsid w:val="000E07DB"/>
    <w:rsid w:val="000E37CC"/>
    <w:rsid w:val="000E46F7"/>
    <w:rsid w:val="000E50D3"/>
    <w:rsid w:val="000E5311"/>
    <w:rsid w:val="000E7887"/>
    <w:rsid w:val="000F6AF2"/>
    <w:rsid w:val="000F6F04"/>
    <w:rsid w:val="000F78F4"/>
    <w:rsid w:val="00100F42"/>
    <w:rsid w:val="00103232"/>
    <w:rsid w:val="00104025"/>
    <w:rsid w:val="0010403B"/>
    <w:rsid w:val="001064A7"/>
    <w:rsid w:val="001065D3"/>
    <w:rsid w:val="00110711"/>
    <w:rsid w:val="00113AF4"/>
    <w:rsid w:val="00114431"/>
    <w:rsid w:val="00116442"/>
    <w:rsid w:val="00117FC8"/>
    <w:rsid w:val="001202BF"/>
    <w:rsid w:val="00122B98"/>
    <w:rsid w:val="00122D03"/>
    <w:rsid w:val="001235A2"/>
    <w:rsid w:val="0012434B"/>
    <w:rsid w:val="00124967"/>
    <w:rsid w:val="00124AB5"/>
    <w:rsid w:val="001270C0"/>
    <w:rsid w:val="00127EC9"/>
    <w:rsid w:val="00133443"/>
    <w:rsid w:val="00133F06"/>
    <w:rsid w:val="00134493"/>
    <w:rsid w:val="00134AE5"/>
    <w:rsid w:val="001357B2"/>
    <w:rsid w:val="00136792"/>
    <w:rsid w:val="00137590"/>
    <w:rsid w:val="001376CB"/>
    <w:rsid w:val="00137EDE"/>
    <w:rsid w:val="00140ACD"/>
    <w:rsid w:val="00141256"/>
    <w:rsid w:val="00141723"/>
    <w:rsid w:val="00141A19"/>
    <w:rsid w:val="00141E8A"/>
    <w:rsid w:val="00142C7E"/>
    <w:rsid w:val="00142FF7"/>
    <w:rsid w:val="00145328"/>
    <w:rsid w:val="00146461"/>
    <w:rsid w:val="001470A8"/>
    <w:rsid w:val="00150811"/>
    <w:rsid w:val="00151451"/>
    <w:rsid w:val="00151727"/>
    <w:rsid w:val="00151D7E"/>
    <w:rsid w:val="0015391E"/>
    <w:rsid w:val="00154FC0"/>
    <w:rsid w:val="00155182"/>
    <w:rsid w:val="00155813"/>
    <w:rsid w:val="0016090C"/>
    <w:rsid w:val="00162624"/>
    <w:rsid w:val="00163665"/>
    <w:rsid w:val="00163933"/>
    <w:rsid w:val="00163FED"/>
    <w:rsid w:val="00164DAA"/>
    <w:rsid w:val="00165308"/>
    <w:rsid w:val="001653EE"/>
    <w:rsid w:val="00166D60"/>
    <w:rsid w:val="00170D6B"/>
    <w:rsid w:val="0017158B"/>
    <w:rsid w:val="0017501C"/>
    <w:rsid w:val="001762CF"/>
    <w:rsid w:val="00180576"/>
    <w:rsid w:val="00182426"/>
    <w:rsid w:val="0018747B"/>
    <w:rsid w:val="001875C6"/>
    <w:rsid w:val="00187925"/>
    <w:rsid w:val="001914B2"/>
    <w:rsid w:val="0019357B"/>
    <w:rsid w:val="00194634"/>
    <w:rsid w:val="00196ECB"/>
    <w:rsid w:val="00197D33"/>
    <w:rsid w:val="001A1C59"/>
    <w:rsid w:val="001A3774"/>
    <w:rsid w:val="001A3BA5"/>
    <w:rsid w:val="001A4ED2"/>
    <w:rsid w:val="001A5045"/>
    <w:rsid w:val="001A57C9"/>
    <w:rsid w:val="001A7DA9"/>
    <w:rsid w:val="001B090C"/>
    <w:rsid w:val="001B1294"/>
    <w:rsid w:val="001B417D"/>
    <w:rsid w:val="001B7968"/>
    <w:rsid w:val="001C0A0A"/>
    <w:rsid w:val="001C0B3C"/>
    <w:rsid w:val="001C3342"/>
    <w:rsid w:val="001C3CE9"/>
    <w:rsid w:val="001D0579"/>
    <w:rsid w:val="001D089B"/>
    <w:rsid w:val="001D0BAE"/>
    <w:rsid w:val="001D171B"/>
    <w:rsid w:val="001D26AD"/>
    <w:rsid w:val="001D46A1"/>
    <w:rsid w:val="001D69B4"/>
    <w:rsid w:val="001D7C37"/>
    <w:rsid w:val="001E2E26"/>
    <w:rsid w:val="001E3967"/>
    <w:rsid w:val="001E52CA"/>
    <w:rsid w:val="001E623E"/>
    <w:rsid w:val="001E7397"/>
    <w:rsid w:val="001F228B"/>
    <w:rsid w:val="001F420B"/>
    <w:rsid w:val="001F6898"/>
    <w:rsid w:val="001F7BC0"/>
    <w:rsid w:val="002000FE"/>
    <w:rsid w:val="00200C6D"/>
    <w:rsid w:val="00201015"/>
    <w:rsid w:val="00202A77"/>
    <w:rsid w:val="002056B7"/>
    <w:rsid w:val="00205A1D"/>
    <w:rsid w:val="00205B11"/>
    <w:rsid w:val="00207C67"/>
    <w:rsid w:val="0021071B"/>
    <w:rsid w:val="002113BC"/>
    <w:rsid w:val="0021384F"/>
    <w:rsid w:val="00213DBE"/>
    <w:rsid w:val="002157B5"/>
    <w:rsid w:val="002174D1"/>
    <w:rsid w:val="0022044C"/>
    <w:rsid w:val="00220740"/>
    <w:rsid w:val="00220C4B"/>
    <w:rsid w:val="0022221F"/>
    <w:rsid w:val="002222F3"/>
    <w:rsid w:val="00222522"/>
    <w:rsid w:val="00223F84"/>
    <w:rsid w:val="00224609"/>
    <w:rsid w:val="0022586C"/>
    <w:rsid w:val="0022611A"/>
    <w:rsid w:val="002266CE"/>
    <w:rsid w:val="002278EC"/>
    <w:rsid w:val="0023010E"/>
    <w:rsid w:val="002301A5"/>
    <w:rsid w:val="00231058"/>
    <w:rsid w:val="002319AC"/>
    <w:rsid w:val="0023241C"/>
    <w:rsid w:val="00232899"/>
    <w:rsid w:val="002341C3"/>
    <w:rsid w:val="0023431F"/>
    <w:rsid w:val="00236C7A"/>
    <w:rsid w:val="00236E74"/>
    <w:rsid w:val="00237BA5"/>
    <w:rsid w:val="00237E3D"/>
    <w:rsid w:val="00237E47"/>
    <w:rsid w:val="0024046C"/>
    <w:rsid w:val="00241D1E"/>
    <w:rsid w:val="002424B7"/>
    <w:rsid w:val="0024354A"/>
    <w:rsid w:val="00243936"/>
    <w:rsid w:val="00243EE7"/>
    <w:rsid w:val="0024539C"/>
    <w:rsid w:val="00246007"/>
    <w:rsid w:val="00246852"/>
    <w:rsid w:val="00247AEF"/>
    <w:rsid w:val="00253B3D"/>
    <w:rsid w:val="00253EC7"/>
    <w:rsid w:val="00255914"/>
    <w:rsid w:val="00257E22"/>
    <w:rsid w:val="002648F8"/>
    <w:rsid w:val="002661B0"/>
    <w:rsid w:val="00266F33"/>
    <w:rsid w:val="00266FE6"/>
    <w:rsid w:val="00267181"/>
    <w:rsid w:val="00271CE5"/>
    <w:rsid w:val="00271FC9"/>
    <w:rsid w:val="0027274D"/>
    <w:rsid w:val="002736AB"/>
    <w:rsid w:val="00274428"/>
    <w:rsid w:val="00274DBF"/>
    <w:rsid w:val="00276664"/>
    <w:rsid w:val="00276914"/>
    <w:rsid w:val="002806B2"/>
    <w:rsid w:val="00280E92"/>
    <w:rsid w:val="002811C8"/>
    <w:rsid w:val="002814A2"/>
    <w:rsid w:val="00282020"/>
    <w:rsid w:val="002834FB"/>
    <w:rsid w:val="00284EAB"/>
    <w:rsid w:val="00285D88"/>
    <w:rsid w:val="00286399"/>
    <w:rsid w:val="002868A2"/>
    <w:rsid w:val="0029182D"/>
    <w:rsid w:val="002932B1"/>
    <w:rsid w:val="00296865"/>
    <w:rsid w:val="00296FC9"/>
    <w:rsid w:val="002A1C3E"/>
    <w:rsid w:val="002A2FC0"/>
    <w:rsid w:val="002A32F7"/>
    <w:rsid w:val="002A3909"/>
    <w:rsid w:val="002A43C4"/>
    <w:rsid w:val="002A49D3"/>
    <w:rsid w:val="002A4FC6"/>
    <w:rsid w:val="002A5224"/>
    <w:rsid w:val="002A5510"/>
    <w:rsid w:val="002A75A7"/>
    <w:rsid w:val="002B071B"/>
    <w:rsid w:val="002B1215"/>
    <w:rsid w:val="002B15D4"/>
    <w:rsid w:val="002B3409"/>
    <w:rsid w:val="002B3F36"/>
    <w:rsid w:val="002B4165"/>
    <w:rsid w:val="002B4AB4"/>
    <w:rsid w:val="002B63B0"/>
    <w:rsid w:val="002B64F7"/>
    <w:rsid w:val="002C204A"/>
    <w:rsid w:val="002C20F2"/>
    <w:rsid w:val="002C2AE4"/>
    <w:rsid w:val="002C541F"/>
    <w:rsid w:val="002C6DF9"/>
    <w:rsid w:val="002D0AB1"/>
    <w:rsid w:val="002D1768"/>
    <w:rsid w:val="002D1CF2"/>
    <w:rsid w:val="002D42E1"/>
    <w:rsid w:val="002D4C5A"/>
    <w:rsid w:val="002D5510"/>
    <w:rsid w:val="002E0F41"/>
    <w:rsid w:val="002E1453"/>
    <w:rsid w:val="002E362A"/>
    <w:rsid w:val="002E3925"/>
    <w:rsid w:val="002E6844"/>
    <w:rsid w:val="002F2FCA"/>
    <w:rsid w:val="002F5651"/>
    <w:rsid w:val="00300910"/>
    <w:rsid w:val="00301086"/>
    <w:rsid w:val="00302B2F"/>
    <w:rsid w:val="00302BDE"/>
    <w:rsid w:val="0030752C"/>
    <w:rsid w:val="003078FE"/>
    <w:rsid w:val="0030798A"/>
    <w:rsid w:val="00310CEB"/>
    <w:rsid w:val="00311387"/>
    <w:rsid w:val="003118FD"/>
    <w:rsid w:val="00311BFF"/>
    <w:rsid w:val="00312776"/>
    <w:rsid w:val="003135AA"/>
    <w:rsid w:val="00313D63"/>
    <w:rsid w:val="003149AF"/>
    <w:rsid w:val="00314B7B"/>
    <w:rsid w:val="003151F6"/>
    <w:rsid w:val="003227A1"/>
    <w:rsid w:val="003237E2"/>
    <w:rsid w:val="00324A74"/>
    <w:rsid w:val="00325658"/>
    <w:rsid w:val="00325E2B"/>
    <w:rsid w:val="00327704"/>
    <w:rsid w:val="00330226"/>
    <w:rsid w:val="00330D21"/>
    <w:rsid w:val="00331D78"/>
    <w:rsid w:val="003323C8"/>
    <w:rsid w:val="00332B68"/>
    <w:rsid w:val="00335A18"/>
    <w:rsid w:val="00336C24"/>
    <w:rsid w:val="0034069F"/>
    <w:rsid w:val="00342BA0"/>
    <w:rsid w:val="003432EE"/>
    <w:rsid w:val="003435B0"/>
    <w:rsid w:val="00343740"/>
    <w:rsid w:val="0034571E"/>
    <w:rsid w:val="00346144"/>
    <w:rsid w:val="00347202"/>
    <w:rsid w:val="00347634"/>
    <w:rsid w:val="00347CB7"/>
    <w:rsid w:val="0035047C"/>
    <w:rsid w:val="00351585"/>
    <w:rsid w:val="00351812"/>
    <w:rsid w:val="00351BBC"/>
    <w:rsid w:val="00351E65"/>
    <w:rsid w:val="00352374"/>
    <w:rsid w:val="00352577"/>
    <w:rsid w:val="00352915"/>
    <w:rsid w:val="00352D12"/>
    <w:rsid w:val="00352ED0"/>
    <w:rsid w:val="00355001"/>
    <w:rsid w:val="00355CA6"/>
    <w:rsid w:val="00356FD5"/>
    <w:rsid w:val="00357CAC"/>
    <w:rsid w:val="00357DA5"/>
    <w:rsid w:val="003601A0"/>
    <w:rsid w:val="00361234"/>
    <w:rsid w:val="00361961"/>
    <w:rsid w:val="00361BC6"/>
    <w:rsid w:val="003636BF"/>
    <w:rsid w:val="00363C0C"/>
    <w:rsid w:val="00366035"/>
    <w:rsid w:val="003700D5"/>
    <w:rsid w:val="00370532"/>
    <w:rsid w:val="00370629"/>
    <w:rsid w:val="00370AA7"/>
    <w:rsid w:val="00371DC4"/>
    <w:rsid w:val="00372433"/>
    <w:rsid w:val="00372852"/>
    <w:rsid w:val="0037479F"/>
    <w:rsid w:val="00374E5F"/>
    <w:rsid w:val="00380273"/>
    <w:rsid w:val="00381B5D"/>
    <w:rsid w:val="00382793"/>
    <w:rsid w:val="00382F72"/>
    <w:rsid w:val="0038391E"/>
    <w:rsid w:val="003845B4"/>
    <w:rsid w:val="003850A5"/>
    <w:rsid w:val="00387B1A"/>
    <w:rsid w:val="00391314"/>
    <w:rsid w:val="00391D4C"/>
    <w:rsid w:val="00392557"/>
    <w:rsid w:val="00393B8B"/>
    <w:rsid w:val="00394455"/>
    <w:rsid w:val="00395F3E"/>
    <w:rsid w:val="00396130"/>
    <w:rsid w:val="00396B30"/>
    <w:rsid w:val="0039748E"/>
    <w:rsid w:val="00397D96"/>
    <w:rsid w:val="003A091F"/>
    <w:rsid w:val="003A26BF"/>
    <w:rsid w:val="003A2861"/>
    <w:rsid w:val="003A2D21"/>
    <w:rsid w:val="003A3FC2"/>
    <w:rsid w:val="003A4990"/>
    <w:rsid w:val="003A4E20"/>
    <w:rsid w:val="003A5FBB"/>
    <w:rsid w:val="003A639B"/>
    <w:rsid w:val="003A6B93"/>
    <w:rsid w:val="003B312C"/>
    <w:rsid w:val="003B31D5"/>
    <w:rsid w:val="003B602C"/>
    <w:rsid w:val="003B6E20"/>
    <w:rsid w:val="003B7F46"/>
    <w:rsid w:val="003B7F73"/>
    <w:rsid w:val="003C180E"/>
    <w:rsid w:val="003C4BE7"/>
    <w:rsid w:val="003C5253"/>
    <w:rsid w:val="003C564D"/>
    <w:rsid w:val="003C6815"/>
    <w:rsid w:val="003D0855"/>
    <w:rsid w:val="003D0B70"/>
    <w:rsid w:val="003D2ACC"/>
    <w:rsid w:val="003D4681"/>
    <w:rsid w:val="003D48A1"/>
    <w:rsid w:val="003D4B01"/>
    <w:rsid w:val="003D6735"/>
    <w:rsid w:val="003D6836"/>
    <w:rsid w:val="003E13BE"/>
    <w:rsid w:val="003E193E"/>
    <w:rsid w:val="003E1C74"/>
    <w:rsid w:val="003E379A"/>
    <w:rsid w:val="003E4B71"/>
    <w:rsid w:val="003E64B8"/>
    <w:rsid w:val="003E720C"/>
    <w:rsid w:val="003F4375"/>
    <w:rsid w:val="003F5F59"/>
    <w:rsid w:val="003F5F90"/>
    <w:rsid w:val="003F6786"/>
    <w:rsid w:val="003F6899"/>
    <w:rsid w:val="00402134"/>
    <w:rsid w:val="00404B42"/>
    <w:rsid w:val="004057F0"/>
    <w:rsid w:val="0040798B"/>
    <w:rsid w:val="00407BFA"/>
    <w:rsid w:val="0041227E"/>
    <w:rsid w:val="0041531B"/>
    <w:rsid w:val="00416940"/>
    <w:rsid w:val="00416CE8"/>
    <w:rsid w:val="00417AA5"/>
    <w:rsid w:val="004232E9"/>
    <w:rsid w:val="00424C80"/>
    <w:rsid w:val="00424CB8"/>
    <w:rsid w:val="004258E2"/>
    <w:rsid w:val="004259A3"/>
    <w:rsid w:val="00427B0D"/>
    <w:rsid w:val="004303B8"/>
    <w:rsid w:val="004303BD"/>
    <w:rsid w:val="004304DD"/>
    <w:rsid w:val="00430E1B"/>
    <w:rsid w:val="00432A58"/>
    <w:rsid w:val="004332CB"/>
    <w:rsid w:val="0043382E"/>
    <w:rsid w:val="0043442F"/>
    <w:rsid w:val="0043508B"/>
    <w:rsid w:val="0043639D"/>
    <w:rsid w:val="00442215"/>
    <w:rsid w:val="00442606"/>
    <w:rsid w:val="00442D4D"/>
    <w:rsid w:val="00444A89"/>
    <w:rsid w:val="00446180"/>
    <w:rsid w:val="00450C3C"/>
    <w:rsid w:val="00451241"/>
    <w:rsid w:val="00452B09"/>
    <w:rsid w:val="004541D9"/>
    <w:rsid w:val="004545E6"/>
    <w:rsid w:val="0045687D"/>
    <w:rsid w:val="0045688C"/>
    <w:rsid w:val="0046053A"/>
    <w:rsid w:val="004610BF"/>
    <w:rsid w:val="004623E5"/>
    <w:rsid w:val="00462E9C"/>
    <w:rsid w:val="00463013"/>
    <w:rsid w:val="004631DE"/>
    <w:rsid w:val="004634C1"/>
    <w:rsid w:val="004645C7"/>
    <w:rsid w:val="004649FF"/>
    <w:rsid w:val="004659B3"/>
    <w:rsid w:val="00467469"/>
    <w:rsid w:val="0047031E"/>
    <w:rsid w:val="0047099C"/>
    <w:rsid w:val="00473152"/>
    <w:rsid w:val="00474A84"/>
    <w:rsid w:val="00475746"/>
    <w:rsid w:val="00475D70"/>
    <w:rsid w:val="00477358"/>
    <w:rsid w:val="00477B64"/>
    <w:rsid w:val="00481EA5"/>
    <w:rsid w:val="004829C1"/>
    <w:rsid w:val="00483606"/>
    <w:rsid w:val="00483DF3"/>
    <w:rsid w:val="0048589D"/>
    <w:rsid w:val="004858B5"/>
    <w:rsid w:val="00486ADD"/>
    <w:rsid w:val="00486B2A"/>
    <w:rsid w:val="00490F46"/>
    <w:rsid w:val="0049148D"/>
    <w:rsid w:val="004915A4"/>
    <w:rsid w:val="004922CE"/>
    <w:rsid w:val="00492507"/>
    <w:rsid w:val="00492DB1"/>
    <w:rsid w:val="004933D8"/>
    <w:rsid w:val="0049598B"/>
    <w:rsid w:val="004961B9"/>
    <w:rsid w:val="004973F3"/>
    <w:rsid w:val="004A1B3E"/>
    <w:rsid w:val="004A30BC"/>
    <w:rsid w:val="004A37EC"/>
    <w:rsid w:val="004A3B71"/>
    <w:rsid w:val="004A3C8E"/>
    <w:rsid w:val="004A4120"/>
    <w:rsid w:val="004A492D"/>
    <w:rsid w:val="004A5201"/>
    <w:rsid w:val="004A64D9"/>
    <w:rsid w:val="004A6D4A"/>
    <w:rsid w:val="004A745F"/>
    <w:rsid w:val="004A7546"/>
    <w:rsid w:val="004B0CA5"/>
    <w:rsid w:val="004B1866"/>
    <w:rsid w:val="004B4770"/>
    <w:rsid w:val="004B5051"/>
    <w:rsid w:val="004B6BC8"/>
    <w:rsid w:val="004C50D0"/>
    <w:rsid w:val="004C7152"/>
    <w:rsid w:val="004D1CB8"/>
    <w:rsid w:val="004D5B71"/>
    <w:rsid w:val="004D6BCE"/>
    <w:rsid w:val="004E02EE"/>
    <w:rsid w:val="004E1DAC"/>
    <w:rsid w:val="004E3C6F"/>
    <w:rsid w:val="004E6EA3"/>
    <w:rsid w:val="004F1995"/>
    <w:rsid w:val="004F1B79"/>
    <w:rsid w:val="004F3206"/>
    <w:rsid w:val="004F3439"/>
    <w:rsid w:val="004F3A40"/>
    <w:rsid w:val="004F4C0B"/>
    <w:rsid w:val="004F56A0"/>
    <w:rsid w:val="0050198F"/>
    <w:rsid w:val="00501CB8"/>
    <w:rsid w:val="00501E07"/>
    <w:rsid w:val="00506EE9"/>
    <w:rsid w:val="00510C9B"/>
    <w:rsid w:val="00510F66"/>
    <w:rsid w:val="0051179C"/>
    <w:rsid w:val="00513015"/>
    <w:rsid w:val="00516308"/>
    <w:rsid w:val="00516837"/>
    <w:rsid w:val="00516973"/>
    <w:rsid w:val="005175D1"/>
    <w:rsid w:val="00523C6A"/>
    <w:rsid w:val="00523E52"/>
    <w:rsid w:val="00525507"/>
    <w:rsid w:val="005259AA"/>
    <w:rsid w:val="00526246"/>
    <w:rsid w:val="0052647E"/>
    <w:rsid w:val="00526DC5"/>
    <w:rsid w:val="0053074B"/>
    <w:rsid w:val="00531043"/>
    <w:rsid w:val="00531741"/>
    <w:rsid w:val="005317F8"/>
    <w:rsid w:val="00532594"/>
    <w:rsid w:val="00532DAD"/>
    <w:rsid w:val="00534738"/>
    <w:rsid w:val="005355E0"/>
    <w:rsid w:val="005356E2"/>
    <w:rsid w:val="00537D7B"/>
    <w:rsid w:val="00540CF1"/>
    <w:rsid w:val="00541C52"/>
    <w:rsid w:val="00541D8E"/>
    <w:rsid w:val="00542384"/>
    <w:rsid w:val="005425DF"/>
    <w:rsid w:val="00542E50"/>
    <w:rsid w:val="00546029"/>
    <w:rsid w:val="005543EC"/>
    <w:rsid w:val="00555461"/>
    <w:rsid w:val="0055616D"/>
    <w:rsid w:val="0055628C"/>
    <w:rsid w:val="00561930"/>
    <w:rsid w:val="00562094"/>
    <w:rsid w:val="00565509"/>
    <w:rsid w:val="0056677B"/>
    <w:rsid w:val="00567106"/>
    <w:rsid w:val="00567181"/>
    <w:rsid w:val="0057134C"/>
    <w:rsid w:val="005719CB"/>
    <w:rsid w:val="00571E4D"/>
    <w:rsid w:val="00575126"/>
    <w:rsid w:val="00577343"/>
    <w:rsid w:val="005800BB"/>
    <w:rsid w:val="0058174E"/>
    <w:rsid w:val="00583977"/>
    <w:rsid w:val="00587ACA"/>
    <w:rsid w:val="0059102A"/>
    <w:rsid w:val="00593DD0"/>
    <w:rsid w:val="005941C9"/>
    <w:rsid w:val="0059464F"/>
    <w:rsid w:val="005946A3"/>
    <w:rsid w:val="00596E54"/>
    <w:rsid w:val="005973DA"/>
    <w:rsid w:val="005A075D"/>
    <w:rsid w:val="005A35EF"/>
    <w:rsid w:val="005A3A40"/>
    <w:rsid w:val="005A3E39"/>
    <w:rsid w:val="005A4420"/>
    <w:rsid w:val="005A499E"/>
    <w:rsid w:val="005A526D"/>
    <w:rsid w:val="005A65D1"/>
    <w:rsid w:val="005A6E39"/>
    <w:rsid w:val="005B0568"/>
    <w:rsid w:val="005B0EA0"/>
    <w:rsid w:val="005B2412"/>
    <w:rsid w:val="005B3010"/>
    <w:rsid w:val="005B3DD5"/>
    <w:rsid w:val="005B4BB5"/>
    <w:rsid w:val="005B71AD"/>
    <w:rsid w:val="005B7659"/>
    <w:rsid w:val="005C0250"/>
    <w:rsid w:val="005C16C8"/>
    <w:rsid w:val="005C25E3"/>
    <w:rsid w:val="005C2972"/>
    <w:rsid w:val="005C326E"/>
    <w:rsid w:val="005C39EE"/>
    <w:rsid w:val="005C3E6E"/>
    <w:rsid w:val="005C42B8"/>
    <w:rsid w:val="005C56F2"/>
    <w:rsid w:val="005C627A"/>
    <w:rsid w:val="005C6BEB"/>
    <w:rsid w:val="005C6F76"/>
    <w:rsid w:val="005C7F53"/>
    <w:rsid w:val="005D1448"/>
    <w:rsid w:val="005D17D2"/>
    <w:rsid w:val="005D2C99"/>
    <w:rsid w:val="005D4DF6"/>
    <w:rsid w:val="005D50F2"/>
    <w:rsid w:val="005D69C2"/>
    <w:rsid w:val="005D7B87"/>
    <w:rsid w:val="005E1CB8"/>
    <w:rsid w:val="005E1D3C"/>
    <w:rsid w:val="005E2521"/>
    <w:rsid w:val="005E4F05"/>
    <w:rsid w:val="005E62D7"/>
    <w:rsid w:val="005F04FC"/>
    <w:rsid w:val="005F1A55"/>
    <w:rsid w:val="005F1BF2"/>
    <w:rsid w:val="005F21E1"/>
    <w:rsid w:val="005F320C"/>
    <w:rsid w:val="005F4AC0"/>
    <w:rsid w:val="005F4D75"/>
    <w:rsid w:val="005F4DED"/>
    <w:rsid w:val="00600996"/>
    <w:rsid w:val="00600BD3"/>
    <w:rsid w:val="0060237A"/>
    <w:rsid w:val="00603496"/>
    <w:rsid w:val="00603F06"/>
    <w:rsid w:val="00605BFC"/>
    <w:rsid w:val="006109B8"/>
    <w:rsid w:val="00611425"/>
    <w:rsid w:val="00611B86"/>
    <w:rsid w:val="00613EA4"/>
    <w:rsid w:val="00614CF0"/>
    <w:rsid w:val="00616683"/>
    <w:rsid w:val="00616A7C"/>
    <w:rsid w:val="00617873"/>
    <w:rsid w:val="00617A74"/>
    <w:rsid w:val="00620030"/>
    <w:rsid w:val="00621595"/>
    <w:rsid w:val="00622B2C"/>
    <w:rsid w:val="00625105"/>
    <w:rsid w:val="00627845"/>
    <w:rsid w:val="00627AD6"/>
    <w:rsid w:val="0063080B"/>
    <w:rsid w:val="0063138C"/>
    <w:rsid w:val="006321F9"/>
    <w:rsid w:val="00632253"/>
    <w:rsid w:val="006342E3"/>
    <w:rsid w:val="006342EC"/>
    <w:rsid w:val="00634539"/>
    <w:rsid w:val="00634840"/>
    <w:rsid w:val="00634D55"/>
    <w:rsid w:val="00634E7D"/>
    <w:rsid w:val="006354F5"/>
    <w:rsid w:val="006356AB"/>
    <w:rsid w:val="00635A75"/>
    <w:rsid w:val="006411E2"/>
    <w:rsid w:val="00641F3B"/>
    <w:rsid w:val="00642714"/>
    <w:rsid w:val="00643C4E"/>
    <w:rsid w:val="0064418B"/>
    <w:rsid w:val="006455CE"/>
    <w:rsid w:val="006472C9"/>
    <w:rsid w:val="00651D31"/>
    <w:rsid w:val="00652905"/>
    <w:rsid w:val="00652C56"/>
    <w:rsid w:val="00655094"/>
    <w:rsid w:val="00657CF7"/>
    <w:rsid w:val="006616A1"/>
    <w:rsid w:val="00662D23"/>
    <w:rsid w:val="00663AA2"/>
    <w:rsid w:val="00663D71"/>
    <w:rsid w:val="0066418D"/>
    <w:rsid w:val="0066566E"/>
    <w:rsid w:val="00665D00"/>
    <w:rsid w:val="00666286"/>
    <w:rsid w:val="00666466"/>
    <w:rsid w:val="006665B8"/>
    <w:rsid w:val="00671706"/>
    <w:rsid w:val="0067204C"/>
    <w:rsid w:val="0067419E"/>
    <w:rsid w:val="0067474E"/>
    <w:rsid w:val="00674E46"/>
    <w:rsid w:val="0067652A"/>
    <w:rsid w:val="00677BC4"/>
    <w:rsid w:val="00682566"/>
    <w:rsid w:val="0068279D"/>
    <w:rsid w:val="00682DC8"/>
    <w:rsid w:val="00683CEB"/>
    <w:rsid w:val="00685D96"/>
    <w:rsid w:val="006917C8"/>
    <w:rsid w:val="00694129"/>
    <w:rsid w:val="006942D7"/>
    <w:rsid w:val="00696606"/>
    <w:rsid w:val="00697729"/>
    <w:rsid w:val="006A33DF"/>
    <w:rsid w:val="006A4EE6"/>
    <w:rsid w:val="006B0C05"/>
    <w:rsid w:val="006B2343"/>
    <w:rsid w:val="006B638B"/>
    <w:rsid w:val="006B7701"/>
    <w:rsid w:val="006B7D6B"/>
    <w:rsid w:val="006C0056"/>
    <w:rsid w:val="006C053F"/>
    <w:rsid w:val="006C12AC"/>
    <w:rsid w:val="006C1922"/>
    <w:rsid w:val="006C60ED"/>
    <w:rsid w:val="006C6CD4"/>
    <w:rsid w:val="006C6E0D"/>
    <w:rsid w:val="006C72DB"/>
    <w:rsid w:val="006D27B7"/>
    <w:rsid w:val="006D2AE1"/>
    <w:rsid w:val="006D2C29"/>
    <w:rsid w:val="006D2E4F"/>
    <w:rsid w:val="006D2FCD"/>
    <w:rsid w:val="006D336A"/>
    <w:rsid w:val="006D42D9"/>
    <w:rsid w:val="006D45E8"/>
    <w:rsid w:val="006D4A13"/>
    <w:rsid w:val="006D4B3E"/>
    <w:rsid w:val="006D5A20"/>
    <w:rsid w:val="006D768E"/>
    <w:rsid w:val="006D7A32"/>
    <w:rsid w:val="006E1A32"/>
    <w:rsid w:val="006E2CD7"/>
    <w:rsid w:val="006E461E"/>
    <w:rsid w:val="006F00E6"/>
    <w:rsid w:val="006F1517"/>
    <w:rsid w:val="006F31E7"/>
    <w:rsid w:val="006F3E4A"/>
    <w:rsid w:val="006F47CE"/>
    <w:rsid w:val="006F6B02"/>
    <w:rsid w:val="007003F3"/>
    <w:rsid w:val="00702B6E"/>
    <w:rsid w:val="007038D3"/>
    <w:rsid w:val="00703A8D"/>
    <w:rsid w:val="00704BBA"/>
    <w:rsid w:val="0070583E"/>
    <w:rsid w:val="00705E19"/>
    <w:rsid w:val="00705FA9"/>
    <w:rsid w:val="00710667"/>
    <w:rsid w:val="00710FBD"/>
    <w:rsid w:val="007140D5"/>
    <w:rsid w:val="007142D8"/>
    <w:rsid w:val="00715CAF"/>
    <w:rsid w:val="007174F4"/>
    <w:rsid w:val="00720C3F"/>
    <w:rsid w:val="00721D95"/>
    <w:rsid w:val="00723AD9"/>
    <w:rsid w:val="00726463"/>
    <w:rsid w:val="00727611"/>
    <w:rsid w:val="00733017"/>
    <w:rsid w:val="00733B34"/>
    <w:rsid w:val="00733FA5"/>
    <w:rsid w:val="00734501"/>
    <w:rsid w:val="0073743E"/>
    <w:rsid w:val="007417EB"/>
    <w:rsid w:val="00742B86"/>
    <w:rsid w:val="00743C7C"/>
    <w:rsid w:val="007440F4"/>
    <w:rsid w:val="007444EF"/>
    <w:rsid w:val="0074469A"/>
    <w:rsid w:val="007450D5"/>
    <w:rsid w:val="0074684A"/>
    <w:rsid w:val="00747109"/>
    <w:rsid w:val="00747ACD"/>
    <w:rsid w:val="0075049C"/>
    <w:rsid w:val="00751D38"/>
    <w:rsid w:val="0075250F"/>
    <w:rsid w:val="00752CB4"/>
    <w:rsid w:val="00753A9B"/>
    <w:rsid w:val="007541AB"/>
    <w:rsid w:val="00754842"/>
    <w:rsid w:val="0075578A"/>
    <w:rsid w:val="007568ED"/>
    <w:rsid w:val="007603AC"/>
    <w:rsid w:val="007617D4"/>
    <w:rsid w:val="00765584"/>
    <w:rsid w:val="0076576B"/>
    <w:rsid w:val="00765C25"/>
    <w:rsid w:val="00766101"/>
    <w:rsid w:val="0076793A"/>
    <w:rsid w:val="00770CF2"/>
    <w:rsid w:val="00770D7E"/>
    <w:rsid w:val="007721A5"/>
    <w:rsid w:val="00773D69"/>
    <w:rsid w:val="007740D7"/>
    <w:rsid w:val="00780D83"/>
    <w:rsid w:val="00781BB1"/>
    <w:rsid w:val="00783310"/>
    <w:rsid w:val="00787989"/>
    <w:rsid w:val="007916A1"/>
    <w:rsid w:val="00793033"/>
    <w:rsid w:val="007933D9"/>
    <w:rsid w:val="00796885"/>
    <w:rsid w:val="00796DBB"/>
    <w:rsid w:val="007A065F"/>
    <w:rsid w:val="007A0887"/>
    <w:rsid w:val="007A27F5"/>
    <w:rsid w:val="007A38D0"/>
    <w:rsid w:val="007A4A6D"/>
    <w:rsid w:val="007A50F6"/>
    <w:rsid w:val="007A6DD6"/>
    <w:rsid w:val="007A7C62"/>
    <w:rsid w:val="007B0A7E"/>
    <w:rsid w:val="007B191C"/>
    <w:rsid w:val="007B23C1"/>
    <w:rsid w:val="007B310F"/>
    <w:rsid w:val="007B4754"/>
    <w:rsid w:val="007B61D2"/>
    <w:rsid w:val="007B756C"/>
    <w:rsid w:val="007C0BC0"/>
    <w:rsid w:val="007C0F3F"/>
    <w:rsid w:val="007C1358"/>
    <w:rsid w:val="007C1E28"/>
    <w:rsid w:val="007C367F"/>
    <w:rsid w:val="007D195E"/>
    <w:rsid w:val="007D1AD4"/>
    <w:rsid w:val="007D1BCF"/>
    <w:rsid w:val="007D1D40"/>
    <w:rsid w:val="007D2357"/>
    <w:rsid w:val="007D2DD8"/>
    <w:rsid w:val="007D3691"/>
    <w:rsid w:val="007D73F1"/>
    <w:rsid w:val="007D75CF"/>
    <w:rsid w:val="007D76E0"/>
    <w:rsid w:val="007E0633"/>
    <w:rsid w:val="007E2025"/>
    <w:rsid w:val="007E30F4"/>
    <w:rsid w:val="007E5D3D"/>
    <w:rsid w:val="007E6DC5"/>
    <w:rsid w:val="007E786D"/>
    <w:rsid w:val="007F1424"/>
    <w:rsid w:val="007F1784"/>
    <w:rsid w:val="007F18B9"/>
    <w:rsid w:val="007F199C"/>
    <w:rsid w:val="008025A1"/>
    <w:rsid w:val="00802D29"/>
    <w:rsid w:val="008035B2"/>
    <w:rsid w:val="008055E8"/>
    <w:rsid w:val="00805939"/>
    <w:rsid w:val="008068A2"/>
    <w:rsid w:val="00810743"/>
    <w:rsid w:val="00810B14"/>
    <w:rsid w:val="00810FBF"/>
    <w:rsid w:val="00811EDA"/>
    <w:rsid w:val="00812E86"/>
    <w:rsid w:val="00813623"/>
    <w:rsid w:val="008142D1"/>
    <w:rsid w:val="008142D8"/>
    <w:rsid w:val="00814D83"/>
    <w:rsid w:val="0081531F"/>
    <w:rsid w:val="00815B28"/>
    <w:rsid w:val="00820388"/>
    <w:rsid w:val="00821C40"/>
    <w:rsid w:val="00822368"/>
    <w:rsid w:val="00824DA1"/>
    <w:rsid w:val="00825043"/>
    <w:rsid w:val="00826218"/>
    <w:rsid w:val="008270A7"/>
    <w:rsid w:val="00830B91"/>
    <w:rsid w:val="00832AF6"/>
    <w:rsid w:val="0083358D"/>
    <w:rsid w:val="00834DF5"/>
    <w:rsid w:val="00836148"/>
    <w:rsid w:val="00836566"/>
    <w:rsid w:val="0083721B"/>
    <w:rsid w:val="00837C34"/>
    <w:rsid w:val="00837DC6"/>
    <w:rsid w:val="00841FE2"/>
    <w:rsid w:val="00844B37"/>
    <w:rsid w:val="0084673F"/>
    <w:rsid w:val="00847155"/>
    <w:rsid w:val="008512ED"/>
    <w:rsid w:val="00851CDC"/>
    <w:rsid w:val="00852ED0"/>
    <w:rsid w:val="00855D35"/>
    <w:rsid w:val="008568FD"/>
    <w:rsid w:val="00857781"/>
    <w:rsid w:val="00857FCC"/>
    <w:rsid w:val="0086029D"/>
    <w:rsid w:val="00860ADB"/>
    <w:rsid w:val="00860D11"/>
    <w:rsid w:val="008622BF"/>
    <w:rsid w:val="00863C05"/>
    <w:rsid w:val="00867BF4"/>
    <w:rsid w:val="008701FC"/>
    <w:rsid w:val="0087094B"/>
    <w:rsid w:val="0087257A"/>
    <w:rsid w:val="00872D62"/>
    <w:rsid w:val="00874EC2"/>
    <w:rsid w:val="0087547A"/>
    <w:rsid w:val="00876D42"/>
    <w:rsid w:val="00877D09"/>
    <w:rsid w:val="0088043C"/>
    <w:rsid w:val="00880B7B"/>
    <w:rsid w:val="00880BD4"/>
    <w:rsid w:val="008812BB"/>
    <w:rsid w:val="00885485"/>
    <w:rsid w:val="008858AB"/>
    <w:rsid w:val="00887E1E"/>
    <w:rsid w:val="008906C9"/>
    <w:rsid w:val="00890BE3"/>
    <w:rsid w:val="0089245C"/>
    <w:rsid w:val="00892C3B"/>
    <w:rsid w:val="0089345F"/>
    <w:rsid w:val="00894114"/>
    <w:rsid w:val="00894F80"/>
    <w:rsid w:val="0089586E"/>
    <w:rsid w:val="00896063"/>
    <w:rsid w:val="00896EB3"/>
    <w:rsid w:val="008A0578"/>
    <w:rsid w:val="008A0E9F"/>
    <w:rsid w:val="008A0FD4"/>
    <w:rsid w:val="008A1781"/>
    <w:rsid w:val="008A417E"/>
    <w:rsid w:val="008A5923"/>
    <w:rsid w:val="008A6278"/>
    <w:rsid w:val="008A66C3"/>
    <w:rsid w:val="008A7828"/>
    <w:rsid w:val="008A7B05"/>
    <w:rsid w:val="008A7D32"/>
    <w:rsid w:val="008B0407"/>
    <w:rsid w:val="008B27EB"/>
    <w:rsid w:val="008B2845"/>
    <w:rsid w:val="008B2C6D"/>
    <w:rsid w:val="008B45CA"/>
    <w:rsid w:val="008B5E04"/>
    <w:rsid w:val="008B7BA3"/>
    <w:rsid w:val="008C0EC5"/>
    <w:rsid w:val="008C16E5"/>
    <w:rsid w:val="008C1930"/>
    <w:rsid w:val="008C237A"/>
    <w:rsid w:val="008C31C8"/>
    <w:rsid w:val="008C5738"/>
    <w:rsid w:val="008C5B88"/>
    <w:rsid w:val="008C6B85"/>
    <w:rsid w:val="008C6F72"/>
    <w:rsid w:val="008C735F"/>
    <w:rsid w:val="008C77AD"/>
    <w:rsid w:val="008D04F0"/>
    <w:rsid w:val="008D111A"/>
    <w:rsid w:val="008D12A8"/>
    <w:rsid w:val="008D2010"/>
    <w:rsid w:val="008D2666"/>
    <w:rsid w:val="008D4A7C"/>
    <w:rsid w:val="008D4D13"/>
    <w:rsid w:val="008D58A1"/>
    <w:rsid w:val="008D7367"/>
    <w:rsid w:val="008D7B77"/>
    <w:rsid w:val="008D7B98"/>
    <w:rsid w:val="008E1791"/>
    <w:rsid w:val="008E2D1E"/>
    <w:rsid w:val="008E32CD"/>
    <w:rsid w:val="008E6038"/>
    <w:rsid w:val="008E6EA3"/>
    <w:rsid w:val="008E7FF7"/>
    <w:rsid w:val="008F0B99"/>
    <w:rsid w:val="008F185D"/>
    <w:rsid w:val="008F3353"/>
    <w:rsid w:val="008F3500"/>
    <w:rsid w:val="008F405E"/>
    <w:rsid w:val="008F71C8"/>
    <w:rsid w:val="009000EF"/>
    <w:rsid w:val="00901842"/>
    <w:rsid w:val="009018D9"/>
    <w:rsid w:val="009020F3"/>
    <w:rsid w:val="00902E56"/>
    <w:rsid w:val="00905DB5"/>
    <w:rsid w:val="00906427"/>
    <w:rsid w:val="009067EA"/>
    <w:rsid w:val="0091038B"/>
    <w:rsid w:val="00911367"/>
    <w:rsid w:val="00911F0A"/>
    <w:rsid w:val="0091238B"/>
    <w:rsid w:val="00912D34"/>
    <w:rsid w:val="00913370"/>
    <w:rsid w:val="00914CE7"/>
    <w:rsid w:val="00914D8E"/>
    <w:rsid w:val="00914FDD"/>
    <w:rsid w:val="009150EB"/>
    <w:rsid w:val="0092057C"/>
    <w:rsid w:val="00920FC7"/>
    <w:rsid w:val="00921C26"/>
    <w:rsid w:val="00922087"/>
    <w:rsid w:val="009239DE"/>
    <w:rsid w:val="00924E3C"/>
    <w:rsid w:val="009255B9"/>
    <w:rsid w:val="009257C3"/>
    <w:rsid w:val="0092683D"/>
    <w:rsid w:val="009269DC"/>
    <w:rsid w:val="00930EE5"/>
    <w:rsid w:val="009428AC"/>
    <w:rsid w:val="00943D92"/>
    <w:rsid w:val="00944334"/>
    <w:rsid w:val="009451FE"/>
    <w:rsid w:val="009455C6"/>
    <w:rsid w:val="009465CF"/>
    <w:rsid w:val="00946FA8"/>
    <w:rsid w:val="009472A0"/>
    <w:rsid w:val="00950759"/>
    <w:rsid w:val="00950794"/>
    <w:rsid w:val="00951DA4"/>
    <w:rsid w:val="00953250"/>
    <w:rsid w:val="00953BFF"/>
    <w:rsid w:val="009541F3"/>
    <w:rsid w:val="00954F83"/>
    <w:rsid w:val="00957FB9"/>
    <w:rsid w:val="009612BB"/>
    <w:rsid w:val="00961C1C"/>
    <w:rsid w:val="00963DE4"/>
    <w:rsid w:val="00964F04"/>
    <w:rsid w:val="009670D5"/>
    <w:rsid w:val="00967E82"/>
    <w:rsid w:val="00972143"/>
    <w:rsid w:val="009724A8"/>
    <w:rsid w:val="00973139"/>
    <w:rsid w:val="00973889"/>
    <w:rsid w:val="009743D8"/>
    <w:rsid w:val="009749C1"/>
    <w:rsid w:val="0097777A"/>
    <w:rsid w:val="00983330"/>
    <w:rsid w:val="00984FD5"/>
    <w:rsid w:val="0098539F"/>
    <w:rsid w:val="00986032"/>
    <w:rsid w:val="00986AAB"/>
    <w:rsid w:val="00990388"/>
    <w:rsid w:val="00995159"/>
    <w:rsid w:val="009A29D6"/>
    <w:rsid w:val="009A3D5A"/>
    <w:rsid w:val="009A65FC"/>
    <w:rsid w:val="009A79A0"/>
    <w:rsid w:val="009B3613"/>
    <w:rsid w:val="009B3AD5"/>
    <w:rsid w:val="009B4111"/>
    <w:rsid w:val="009B43B4"/>
    <w:rsid w:val="009B45BF"/>
    <w:rsid w:val="009B45C6"/>
    <w:rsid w:val="009B5F73"/>
    <w:rsid w:val="009B7AC3"/>
    <w:rsid w:val="009B7B1E"/>
    <w:rsid w:val="009C0616"/>
    <w:rsid w:val="009C0852"/>
    <w:rsid w:val="009C142F"/>
    <w:rsid w:val="009C3734"/>
    <w:rsid w:val="009C4158"/>
    <w:rsid w:val="009C4533"/>
    <w:rsid w:val="009C46E0"/>
    <w:rsid w:val="009C581D"/>
    <w:rsid w:val="009D0D9E"/>
    <w:rsid w:val="009D282C"/>
    <w:rsid w:val="009D4474"/>
    <w:rsid w:val="009D6348"/>
    <w:rsid w:val="009D7FEE"/>
    <w:rsid w:val="009E0061"/>
    <w:rsid w:val="009E05BB"/>
    <w:rsid w:val="009E41BC"/>
    <w:rsid w:val="009E61E9"/>
    <w:rsid w:val="009E6AC6"/>
    <w:rsid w:val="009F0336"/>
    <w:rsid w:val="009F28EC"/>
    <w:rsid w:val="009F2978"/>
    <w:rsid w:val="009F2B26"/>
    <w:rsid w:val="009F30FB"/>
    <w:rsid w:val="009F4C7E"/>
    <w:rsid w:val="009F5D25"/>
    <w:rsid w:val="009F5F9C"/>
    <w:rsid w:val="00A000F2"/>
    <w:rsid w:val="00A014C1"/>
    <w:rsid w:val="00A02472"/>
    <w:rsid w:val="00A02AF0"/>
    <w:rsid w:val="00A03600"/>
    <w:rsid w:val="00A04AAC"/>
    <w:rsid w:val="00A05D7C"/>
    <w:rsid w:val="00A05E8B"/>
    <w:rsid w:val="00A05FF6"/>
    <w:rsid w:val="00A070B7"/>
    <w:rsid w:val="00A07331"/>
    <w:rsid w:val="00A078B1"/>
    <w:rsid w:val="00A102DE"/>
    <w:rsid w:val="00A108F1"/>
    <w:rsid w:val="00A11263"/>
    <w:rsid w:val="00A125C5"/>
    <w:rsid w:val="00A12D5C"/>
    <w:rsid w:val="00A13B9D"/>
    <w:rsid w:val="00A14EFC"/>
    <w:rsid w:val="00A1524C"/>
    <w:rsid w:val="00A17BA8"/>
    <w:rsid w:val="00A205D9"/>
    <w:rsid w:val="00A21918"/>
    <w:rsid w:val="00A21E47"/>
    <w:rsid w:val="00A2381C"/>
    <w:rsid w:val="00A24F1E"/>
    <w:rsid w:val="00A25773"/>
    <w:rsid w:val="00A259A0"/>
    <w:rsid w:val="00A26445"/>
    <w:rsid w:val="00A26741"/>
    <w:rsid w:val="00A3153F"/>
    <w:rsid w:val="00A3347F"/>
    <w:rsid w:val="00A3355E"/>
    <w:rsid w:val="00A34644"/>
    <w:rsid w:val="00A34D43"/>
    <w:rsid w:val="00A35441"/>
    <w:rsid w:val="00A35C38"/>
    <w:rsid w:val="00A35DD3"/>
    <w:rsid w:val="00A41662"/>
    <w:rsid w:val="00A41BAF"/>
    <w:rsid w:val="00A4219D"/>
    <w:rsid w:val="00A440F2"/>
    <w:rsid w:val="00A46F7F"/>
    <w:rsid w:val="00A5039D"/>
    <w:rsid w:val="00A50F6A"/>
    <w:rsid w:val="00A525FE"/>
    <w:rsid w:val="00A52ACF"/>
    <w:rsid w:val="00A56AEE"/>
    <w:rsid w:val="00A61123"/>
    <w:rsid w:val="00A612D0"/>
    <w:rsid w:val="00A636DE"/>
    <w:rsid w:val="00A63757"/>
    <w:rsid w:val="00A63DDA"/>
    <w:rsid w:val="00A65EE7"/>
    <w:rsid w:val="00A70133"/>
    <w:rsid w:val="00A71B21"/>
    <w:rsid w:val="00A72072"/>
    <w:rsid w:val="00A72683"/>
    <w:rsid w:val="00A730A1"/>
    <w:rsid w:val="00A73642"/>
    <w:rsid w:val="00A73D50"/>
    <w:rsid w:val="00A76C80"/>
    <w:rsid w:val="00A77370"/>
    <w:rsid w:val="00A77777"/>
    <w:rsid w:val="00A8250E"/>
    <w:rsid w:val="00A83D4A"/>
    <w:rsid w:val="00A8409D"/>
    <w:rsid w:val="00A85D28"/>
    <w:rsid w:val="00A86B32"/>
    <w:rsid w:val="00A909D6"/>
    <w:rsid w:val="00A911BE"/>
    <w:rsid w:val="00A924BD"/>
    <w:rsid w:val="00A92F1C"/>
    <w:rsid w:val="00A9323F"/>
    <w:rsid w:val="00A93673"/>
    <w:rsid w:val="00A951C0"/>
    <w:rsid w:val="00A95E31"/>
    <w:rsid w:val="00A9717C"/>
    <w:rsid w:val="00AA1EBE"/>
    <w:rsid w:val="00AA2BD2"/>
    <w:rsid w:val="00AA4F20"/>
    <w:rsid w:val="00AA60C8"/>
    <w:rsid w:val="00AA65D5"/>
    <w:rsid w:val="00AB3484"/>
    <w:rsid w:val="00AB50DE"/>
    <w:rsid w:val="00AB5215"/>
    <w:rsid w:val="00AB5D58"/>
    <w:rsid w:val="00AC08AC"/>
    <w:rsid w:val="00AC08F8"/>
    <w:rsid w:val="00AC113F"/>
    <w:rsid w:val="00AC36C6"/>
    <w:rsid w:val="00AC39EE"/>
    <w:rsid w:val="00AC3C69"/>
    <w:rsid w:val="00AC4067"/>
    <w:rsid w:val="00AC5C16"/>
    <w:rsid w:val="00AC62BA"/>
    <w:rsid w:val="00AD0124"/>
    <w:rsid w:val="00AD01F4"/>
    <w:rsid w:val="00AD22B5"/>
    <w:rsid w:val="00AD2721"/>
    <w:rsid w:val="00AD2AC1"/>
    <w:rsid w:val="00AD3FAA"/>
    <w:rsid w:val="00AD6C35"/>
    <w:rsid w:val="00AE086D"/>
    <w:rsid w:val="00AE14C9"/>
    <w:rsid w:val="00AE2508"/>
    <w:rsid w:val="00AE4DBC"/>
    <w:rsid w:val="00AE5F1F"/>
    <w:rsid w:val="00AE7030"/>
    <w:rsid w:val="00AF0936"/>
    <w:rsid w:val="00AF1010"/>
    <w:rsid w:val="00AF10BA"/>
    <w:rsid w:val="00AF209F"/>
    <w:rsid w:val="00AF2E9B"/>
    <w:rsid w:val="00AF520D"/>
    <w:rsid w:val="00AF663D"/>
    <w:rsid w:val="00AF6E60"/>
    <w:rsid w:val="00AF7E57"/>
    <w:rsid w:val="00B00A79"/>
    <w:rsid w:val="00B0190C"/>
    <w:rsid w:val="00B02855"/>
    <w:rsid w:val="00B03C90"/>
    <w:rsid w:val="00B047D2"/>
    <w:rsid w:val="00B049E5"/>
    <w:rsid w:val="00B06050"/>
    <w:rsid w:val="00B11134"/>
    <w:rsid w:val="00B1337D"/>
    <w:rsid w:val="00B154B0"/>
    <w:rsid w:val="00B155A5"/>
    <w:rsid w:val="00B170BC"/>
    <w:rsid w:val="00B17141"/>
    <w:rsid w:val="00B17D2F"/>
    <w:rsid w:val="00B20897"/>
    <w:rsid w:val="00B234B7"/>
    <w:rsid w:val="00B23743"/>
    <w:rsid w:val="00B24DCF"/>
    <w:rsid w:val="00B263B4"/>
    <w:rsid w:val="00B27607"/>
    <w:rsid w:val="00B30743"/>
    <w:rsid w:val="00B31575"/>
    <w:rsid w:val="00B317FD"/>
    <w:rsid w:val="00B31DB9"/>
    <w:rsid w:val="00B348C3"/>
    <w:rsid w:val="00B3794B"/>
    <w:rsid w:val="00B403BC"/>
    <w:rsid w:val="00B4154A"/>
    <w:rsid w:val="00B415ED"/>
    <w:rsid w:val="00B42C42"/>
    <w:rsid w:val="00B435AE"/>
    <w:rsid w:val="00B43A04"/>
    <w:rsid w:val="00B44C36"/>
    <w:rsid w:val="00B4519D"/>
    <w:rsid w:val="00B45716"/>
    <w:rsid w:val="00B46706"/>
    <w:rsid w:val="00B51C48"/>
    <w:rsid w:val="00B55683"/>
    <w:rsid w:val="00B56C84"/>
    <w:rsid w:val="00B56CC5"/>
    <w:rsid w:val="00B56CE8"/>
    <w:rsid w:val="00B57206"/>
    <w:rsid w:val="00B579BC"/>
    <w:rsid w:val="00B61514"/>
    <w:rsid w:val="00B62021"/>
    <w:rsid w:val="00B621FE"/>
    <w:rsid w:val="00B63EBF"/>
    <w:rsid w:val="00B6418D"/>
    <w:rsid w:val="00B64244"/>
    <w:rsid w:val="00B650DB"/>
    <w:rsid w:val="00B65D43"/>
    <w:rsid w:val="00B705D3"/>
    <w:rsid w:val="00B77640"/>
    <w:rsid w:val="00B77718"/>
    <w:rsid w:val="00B77923"/>
    <w:rsid w:val="00B80F6A"/>
    <w:rsid w:val="00B81BB4"/>
    <w:rsid w:val="00B81D35"/>
    <w:rsid w:val="00B8404F"/>
    <w:rsid w:val="00B8547D"/>
    <w:rsid w:val="00B85B37"/>
    <w:rsid w:val="00B8751C"/>
    <w:rsid w:val="00B87D07"/>
    <w:rsid w:val="00B909AC"/>
    <w:rsid w:val="00B91547"/>
    <w:rsid w:val="00B91CA0"/>
    <w:rsid w:val="00B933BA"/>
    <w:rsid w:val="00B94775"/>
    <w:rsid w:val="00B94862"/>
    <w:rsid w:val="00B94949"/>
    <w:rsid w:val="00B97590"/>
    <w:rsid w:val="00BA1333"/>
    <w:rsid w:val="00BA22CD"/>
    <w:rsid w:val="00BA714E"/>
    <w:rsid w:val="00BA7B61"/>
    <w:rsid w:val="00BB19C9"/>
    <w:rsid w:val="00BB27FB"/>
    <w:rsid w:val="00BB3578"/>
    <w:rsid w:val="00BB4AEC"/>
    <w:rsid w:val="00BB6A47"/>
    <w:rsid w:val="00BC31C4"/>
    <w:rsid w:val="00BC5BE6"/>
    <w:rsid w:val="00BC694A"/>
    <w:rsid w:val="00BC702B"/>
    <w:rsid w:val="00BC78CC"/>
    <w:rsid w:val="00BD0FDD"/>
    <w:rsid w:val="00BD12D6"/>
    <w:rsid w:val="00BD1C11"/>
    <w:rsid w:val="00BD323B"/>
    <w:rsid w:val="00BD3DD6"/>
    <w:rsid w:val="00BD48D3"/>
    <w:rsid w:val="00BD7483"/>
    <w:rsid w:val="00BD7D4D"/>
    <w:rsid w:val="00BE0392"/>
    <w:rsid w:val="00BE0413"/>
    <w:rsid w:val="00BE05CD"/>
    <w:rsid w:val="00BE07A4"/>
    <w:rsid w:val="00BE094A"/>
    <w:rsid w:val="00BE1514"/>
    <w:rsid w:val="00BE1C2A"/>
    <w:rsid w:val="00BE24EF"/>
    <w:rsid w:val="00BE3062"/>
    <w:rsid w:val="00BE3254"/>
    <w:rsid w:val="00BE4471"/>
    <w:rsid w:val="00BE4655"/>
    <w:rsid w:val="00BE54E1"/>
    <w:rsid w:val="00BE5977"/>
    <w:rsid w:val="00BE62EB"/>
    <w:rsid w:val="00BE64D8"/>
    <w:rsid w:val="00BF2460"/>
    <w:rsid w:val="00BF4B32"/>
    <w:rsid w:val="00C03E36"/>
    <w:rsid w:val="00C04232"/>
    <w:rsid w:val="00C0463C"/>
    <w:rsid w:val="00C04F29"/>
    <w:rsid w:val="00C05335"/>
    <w:rsid w:val="00C0660F"/>
    <w:rsid w:val="00C069EE"/>
    <w:rsid w:val="00C113A8"/>
    <w:rsid w:val="00C12555"/>
    <w:rsid w:val="00C157D8"/>
    <w:rsid w:val="00C15995"/>
    <w:rsid w:val="00C15D83"/>
    <w:rsid w:val="00C15F6F"/>
    <w:rsid w:val="00C17059"/>
    <w:rsid w:val="00C172BF"/>
    <w:rsid w:val="00C1771B"/>
    <w:rsid w:val="00C22B88"/>
    <w:rsid w:val="00C23171"/>
    <w:rsid w:val="00C24B1B"/>
    <w:rsid w:val="00C250D5"/>
    <w:rsid w:val="00C254EF"/>
    <w:rsid w:val="00C25E96"/>
    <w:rsid w:val="00C26203"/>
    <w:rsid w:val="00C26AAC"/>
    <w:rsid w:val="00C26FE0"/>
    <w:rsid w:val="00C27429"/>
    <w:rsid w:val="00C276FD"/>
    <w:rsid w:val="00C32198"/>
    <w:rsid w:val="00C33982"/>
    <w:rsid w:val="00C3505F"/>
    <w:rsid w:val="00C357CF"/>
    <w:rsid w:val="00C361CD"/>
    <w:rsid w:val="00C36BBA"/>
    <w:rsid w:val="00C3706E"/>
    <w:rsid w:val="00C374D8"/>
    <w:rsid w:val="00C3793C"/>
    <w:rsid w:val="00C41946"/>
    <w:rsid w:val="00C41D4E"/>
    <w:rsid w:val="00C41E89"/>
    <w:rsid w:val="00C41FBA"/>
    <w:rsid w:val="00C44C39"/>
    <w:rsid w:val="00C47F8D"/>
    <w:rsid w:val="00C508A8"/>
    <w:rsid w:val="00C51378"/>
    <w:rsid w:val="00C52118"/>
    <w:rsid w:val="00C53326"/>
    <w:rsid w:val="00C541E7"/>
    <w:rsid w:val="00C54B92"/>
    <w:rsid w:val="00C54C79"/>
    <w:rsid w:val="00C57364"/>
    <w:rsid w:val="00C577BA"/>
    <w:rsid w:val="00C61917"/>
    <w:rsid w:val="00C620A7"/>
    <w:rsid w:val="00C63E03"/>
    <w:rsid w:val="00C6643F"/>
    <w:rsid w:val="00C669F0"/>
    <w:rsid w:val="00C673FB"/>
    <w:rsid w:val="00C67631"/>
    <w:rsid w:val="00C70039"/>
    <w:rsid w:val="00C70907"/>
    <w:rsid w:val="00C70C35"/>
    <w:rsid w:val="00C721AD"/>
    <w:rsid w:val="00C74731"/>
    <w:rsid w:val="00C74D73"/>
    <w:rsid w:val="00C77B2B"/>
    <w:rsid w:val="00C81391"/>
    <w:rsid w:val="00C81748"/>
    <w:rsid w:val="00C82EF7"/>
    <w:rsid w:val="00C832F3"/>
    <w:rsid w:val="00C86102"/>
    <w:rsid w:val="00C8782F"/>
    <w:rsid w:val="00C92898"/>
    <w:rsid w:val="00C93D2D"/>
    <w:rsid w:val="00C942A3"/>
    <w:rsid w:val="00CA0088"/>
    <w:rsid w:val="00CA15B2"/>
    <w:rsid w:val="00CA1C66"/>
    <w:rsid w:val="00CA2057"/>
    <w:rsid w:val="00CA2448"/>
    <w:rsid w:val="00CA2CB9"/>
    <w:rsid w:val="00CA2E42"/>
    <w:rsid w:val="00CA4DDF"/>
    <w:rsid w:val="00CA5747"/>
    <w:rsid w:val="00CA699D"/>
    <w:rsid w:val="00CB14B2"/>
    <w:rsid w:val="00CB203B"/>
    <w:rsid w:val="00CB38FC"/>
    <w:rsid w:val="00CB3D68"/>
    <w:rsid w:val="00CB4560"/>
    <w:rsid w:val="00CB4582"/>
    <w:rsid w:val="00CB5784"/>
    <w:rsid w:val="00CB7E69"/>
    <w:rsid w:val="00CC087F"/>
    <w:rsid w:val="00CC0DCB"/>
    <w:rsid w:val="00CC0FBD"/>
    <w:rsid w:val="00CC179C"/>
    <w:rsid w:val="00CC17F9"/>
    <w:rsid w:val="00CC18C6"/>
    <w:rsid w:val="00CC45FC"/>
    <w:rsid w:val="00CC4C92"/>
    <w:rsid w:val="00CC7619"/>
    <w:rsid w:val="00CC7EEE"/>
    <w:rsid w:val="00CC7FF3"/>
    <w:rsid w:val="00CD044A"/>
    <w:rsid w:val="00CD075A"/>
    <w:rsid w:val="00CD2923"/>
    <w:rsid w:val="00CD2DA2"/>
    <w:rsid w:val="00CD40AA"/>
    <w:rsid w:val="00CD419E"/>
    <w:rsid w:val="00CD4426"/>
    <w:rsid w:val="00CD543A"/>
    <w:rsid w:val="00CD69C3"/>
    <w:rsid w:val="00CD73B5"/>
    <w:rsid w:val="00CD7B7F"/>
    <w:rsid w:val="00CD7EE7"/>
    <w:rsid w:val="00CE01D4"/>
    <w:rsid w:val="00CE0994"/>
    <w:rsid w:val="00CE134A"/>
    <w:rsid w:val="00CE1949"/>
    <w:rsid w:val="00CE1C6D"/>
    <w:rsid w:val="00CE2BB9"/>
    <w:rsid w:val="00CE4EA2"/>
    <w:rsid w:val="00CE5C67"/>
    <w:rsid w:val="00CE5EAA"/>
    <w:rsid w:val="00CE7514"/>
    <w:rsid w:val="00CF05E1"/>
    <w:rsid w:val="00CF2C64"/>
    <w:rsid w:val="00CF3616"/>
    <w:rsid w:val="00CF375C"/>
    <w:rsid w:val="00CF4FFC"/>
    <w:rsid w:val="00D002C3"/>
    <w:rsid w:val="00D0107A"/>
    <w:rsid w:val="00D0337E"/>
    <w:rsid w:val="00D0372D"/>
    <w:rsid w:val="00D0508E"/>
    <w:rsid w:val="00D05218"/>
    <w:rsid w:val="00D105D3"/>
    <w:rsid w:val="00D115CD"/>
    <w:rsid w:val="00D13DA7"/>
    <w:rsid w:val="00D1531A"/>
    <w:rsid w:val="00D17F6D"/>
    <w:rsid w:val="00D21A54"/>
    <w:rsid w:val="00D2263A"/>
    <w:rsid w:val="00D22C33"/>
    <w:rsid w:val="00D2362D"/>
    <w:rsid w:val="00D23BF3"/>
    <w:rsid w:val="00D248DE"/>
    <w:rsid w:val="00D321DB"/>
    <w:rsid w:val="00D3392B"/>
    <w:rsid w:val="00D34EF9"/>
    <w:rsid w:val="00D35726"/>
    <w:rsid w:val="00D364DE"/>
    <w:rsid w:val="00D36F0F"/>
    <w:rsid w:val="00D42C12"/>
    <w:rsid w:val="00D433FB"/>
    <w:rsid w:val="00D44043"/>
    <w:rsid w:val="00D44B8B"/>
    <w:rsid w:val="00D50B2C"/>
    <w:rsid w:val="00D51137"/>
    <w:rsid w:val="00D52761"/>
    <w:rsid w:val="00D53085"/>
    <w:rsid w:val="00D53740"/>
    <w:rsid w:val="00D54B36"/>
    <w:rsid w:val="00D55728"/>
    <w:rsid w:val="00D5617A"/>
    <w:rsid w:val="00D5666C"/>
    <w:rsid w:val="00D56824"/>
    <w:rsid w:val="00D56838"/>
    <w:rsid w:val="00D57025"/>
    <w:rsid w:val="00D57ECA"/>
    <w:rsid w:val="00D60A7F"/>
    <w:rsid w:val="00D61DCE"/>
    <w:rsid w:val="00D647ED"/>
    <w:rsid w:val="00D65EF9"/>
    <w:rsid w:val="00D6781C"/>
    <w:rsid w:val="00D720D7"/>
    <w:rsid w:val="00D722DD"/>
    <w:rsid w:val="00D72D65"/>
    <w:rsid w:val="00D735FE"/>
    <w:rsid w:val="00D7408C"/>
    <w:rsid w:val="00D7573E"/>
    <w:rsid w:val="00D759F5"/>
    <w:rsid w:val="00D76677"/>
    <w:rsid w:val="00D7724A"/>
    <w:rsid w:val="00D774A4"/>
    <w:rsid w:val="00D77B04"/>
    <w:rsid w:val="00D8032C"/>
    <w:rsid w:val="00D8056C"/>
    <w:rsid w:val="00D8107A"/>
    <w:rsid w:val="00D82284"/>
    <w:rsid w:val="00D83EDA"/>
    <w:rsid w:val="00D84CF2"/>
    <w:rsid w:val="00D85244"/>
    <w:rsid w:val="00D8542D"/>
    <w:rsid w:val="00D86CA4"/>
    <w:rsid w:val="00D87C5C"/>
    <w:rsid w:val="00D927E0"/>
    <w:rsid w:val="00D9363D"/>
    <w:rsid w:val="00D951D0"/>
    <w:rsid w:val="00D954CD"/>
    <w:rsid w:val="00D97ED3"/>
    <w:rsid w:val="00DA2271"/>
    <w:rsid w:val="00DA29A5"/>
    <w:rsid w:val="00DA2C9A"/>
    <w:rsid w:val="00DA3667"/>
    <w:rsid w:val="00DA45AF"/>
    <w:rsid w:val="00DA5FE3"/>
    <w:rsid w:val="00DA6ABA"/>
    <w:rsid w:val="00DA6C18"/>
    <w:rsid w:val="00DA6DF2"/>
    <w:rsid w:val="00DB1B16"/>
    <w:rsid w:val="00DB4B02"/>
    <w:rsid w:val="00DB59E1"/>
    <w:rsid w:val="00DB6A04"/>
    <w:rsid w:val="00DC0D3F"/>
    <w:rsid w:val="00DC1A76"/>
    <w:rsid w:val="00DC1B08"/>
    <w:rsid w:val="00DC34DC"/>
    <w:rsid w:val="00DC4738"/>
    <w:rsid w:val="00DC4CD6"/>
    <w:rsid w:val="00DC5312"/>
    <w:rsid w:val="00DC65EE"/>
    <w:rsid w:val="00DC6A71"/>
    <w:rsid w:val="00DD132D"/>
    <w:rsid w:val="00DD1E31"/>
    <w:rsid w:val="00DD28B8"/>
    <w:rsid w:val="00DD2AD2"/>
    <w:rsid w:val="00DD357C"/>
    <w:rsid w:val="00DD3D17"/>
    <w:rsid w:val="00DD4330"/>
    <w:rsid w:val="00DD4F16"/>
    <w:rsid w:val="00DD52BE"/>
    <w:rsid w:val="00DD5938"/>
    <w:rsid w:val="00DE068B"/>
    <w:rsid w:val="00DE2CD3"/>
    <w:rsid w:val="00DE2E25"/>
    <w:rsid w:val="00DE3D34"/>
    <w:rsid w:val="00DE3D91"/>
    <w:rsid w:val="00DE51BF"/>
    <w:rsid w:val="00DE5267"/>
    <w:rsid w:val="00DE5B46"/>
    <w:rsid w:val="00DE6B65"/>
    <w:rsid w:val="00DF1E1A"/>
    <w:rsid w:val="00DF2F81"/>
    <w:rsid w:val="00DF351E"/>
    <w:rsid w:val="00DF4C96"/>
    <w:rsid w:val="00DF7410"/>
    <w:rsid w:val="00DF7ED8"/>
    <w:rsid w:val="00E01374"/>
    <w:rsid w:val="00E02426"/>
    <w:rsid w:val="00E028C8"/>
    <w:rsid w:val="00E0357D"/>
    <w:rsid w:val="00E04FE9"/>
    <w:rsid w:val="00E075E9"/>
    <w:rsid w:val="00E07805"/>
    <w:rsid w:val="00E07A94"/>
    <w:rsid w:val="00E1001C"/>
    <w:rsid w:val="00E10E4F"/>
    <w:rsid w:val="00E11E46"/>
    <w:rsid w:val="00E13A95"/>
    <w:rsid w:val="00E13FE7"/>
    <w:rsid w:val="00E15CBD"/>
    <w:rsid w:val="00E16BE7"/>
    <w:rsid w:val="00E20C88"/>
    <w:rsid w:val="00E23B37"/>
    <w:rsid w:val="00E24C0F"/>
    <w:rsid w:val="00E24EC2"/>
    <w:rsid w:val="00E25B42"/>
    <w:rsid w:val="00E2693D"/>
    <w:rsid w:val="00E26A0F"/>
    <w:rsid w:val="00E27333"/>
    <w:rsid w:val="00E31020"/>
    <w:rsid w:val="00E31124"/>
    <w:rsid w:val="00E32281"/>
    <w:rsid w:val="00E333CD"/>
    <w:rsid w:val="00E348AA"/>
    <w:rsid w:val="00E3614E"/>
    <w:rsid w:val="00E36845"/>
    <w:rsid w:val="00E37C5C"/>
    <w:rsid w:val="00E4257E"/>
    <w:rsid w:val="00E426B9"/>
    <w:rsid w:val="00E43A5F"/>
    <w:rsid w:val="00E44EE6"/>
    <w:rsid w:val="00E45276"/>
    <w:rsid w:val="00E47860"/>
    <w:rsid w:val="00E47B51"/>
    <w:rsid w:val="00E51A0E"/>
    <w:rsid w:val="00E5317B"/>
    <w:rsid w:val="00E63822"/>
    <w:rsid w:val="00E6503D"/>
    <w:rsid w:val="00E6569F"/>
    <w:rsid w:val="00E704E3"/>
    <w:rsid w:val="00E74EE4"/>
    <w:rsid w:val="00E75893"/>
    <w:rsid w:val="00E75904"/>
    <w:rsid w:val="00E801A4"/>
    <w:rsid w:val="00E8061D"/>
    <w:rsid w:val="00E81333"/>
    <w:rsid w:val="00E82EA2"/>
    <w:rsid w:val="00E8423C"/>
    <w:rsid w:val="00E842C8"/>
    <w:rsid w:val="00E84481"/>
    <w:rsid w:val="00E853E8"/>
    <w:rsid w:val="00E8560D"/>
    <w:rsid w:val="00E90D37"/>
    <w:rsid w:val="00E92590"/>
    <w:rsid w:val="00E930D2"/>
    <w:rsid w:val="00E93193"/>
    <w:rsid w:val="00E94808"/>
    <w:rsid w:val="00E96071"/>
    <w:rsid w:val="00E96745"/>
    <w:rsid w:val="00E96D00"/>
    <w:rsid w:val="00E96FA5"/>
    <w:rsid w:val="00E97F56"/>
    <w:rsid w:val="00EA0C81"/>
    <w:rsid w:val="00EA1A57"/>
    <w:rsid w:val="00EA6A3C"/>
    <w:rsid w:val="00EA6D53"/>
    <w:rsid w:val="00EA75FB"/>
    <w:rsid w:val="00EA77D3"/>
    <w:rsid w:val="00EA7AC2"/>
    <w:rsid w:val="00EA7D13"/>
    <w:rsid w:val="00EB022E"/>
    <w:rsid w:val="00EB1CBF"/>
    <w:rsid w:val="00EB1EC0"/>
    <w:rsid w:val="00EB2537"/>
    <w:rsid w:val="00EB258C"/>
    <w:rsid w:val="00EB322C"/>
    <w:rsid w:val="00EB3410"/>
    <w:rsid w:val="00EB3EC5"/>
    <w:rsid w:val="00EB4658"/>
    <w:rsid w:val="00EB4765"/>
    <w:rsid w:val="00EB635B"/>
    <w:rsid w:val="00EB673C"/>
    <w:rsid w:val="00EB6FCA"/>
    <w:rsid w:val="00EC0060"/>
    <w:rsid w:val="00EC0152"/>
    <w:rsid w:val="00EC021C"/>
    <w:rsid w:val="00EC1929"/>
    <w:rsid w:val="00EC1A4A"/>
    <w:rsid w:val="00EC2AB9"/>
    <w:rsid w:val="00EC4CE1"/>
    <w:rsid w:val="00EC5104"/>
    <w:rsid w:val="00EC56A0"/>
    <w:rsid w:val="00ED0C1D"/>
    <w:rsid w:val="00ED11F6"/>
    <w:rsid w:val="00ED1276"/>
    <w:rsid w:val="00ED18DC"/>
    <w:rsid w:val="00ED2BD3"/>
    <w:rsid w:val="00ED4542"/>
    <w:rsid w:val="00ED5634"/>
    <w:rsid w:val="00ED57D4"/>
    <w:rsid w:val="00ED74F7"/>
    <w:rsid w:val="00ED7B6A"/>
    <w:rsid w:val="00ED7C81"/>
    <w:rsid w:val="00ED7E82"/>
    <w:rsid w:val="00EE4BD4"/>
    <w:rsid w:val="00EE5F37"/>
    <w:rsid w:val="00EE659A"/>
    <w:rsid w:val="00EE6836"/>
    <w:rsid w:val="00EE6D93"/>
    <w:rsid w:val="00EE6ED0"/>
    <w:rsid w:val="00EF375F"/>
    <w:rsid w:val="00EF4701"/>
    <w:rsid w:val="00EF4E39"/>
    <w:rsid w:val="00EF5C46"/>
    <w:rsid w:val="00EF6F5A"/>
    <w:rsid w:val="00EF7C7D"/>
    <w:rsid w:val="00F007FD"/>
    <w:rsid w:val="00F00AB7"/>
    <w:rsid w:val="00F01D35"/>
    <w:rsid w:val="00F02CDA"/>
    <w:rsid w:val="00F03196"/>
    <w:rsid w:val="00F03C52"/>
    <w:rsid w:val="00F07530"/>
    <w:rsid w:val="00F11F8F"/>
    <w:rsid w:val="00F1287B"/>
    <w:rsid w:val="00F1377E"/>
    <w:rsid w:val="00F14AB3"/>
    <w:rsid w:val="00F1552D"/>
    <w:rsid w:val="00F163CB"/>
    <w:rsid w:val="00F17DB1"/>
    <w:rsid w:val="00F22264"/>
    <w:rsid w:val="00F24056"/>
    <w:rsid w:val="00F240BB"/>
    <w:rsid w:val="00F2448F"/>
    <w:rsid w:val="00F2663B"/>
    <w:rsid w:val="00F26A2A"/>
    <w:rsid w:val="00F302B2"/>
    <w:rsid w:val="00F308E7"/>
    <w:rsid w:val="00F31023"/>
    <w:rsid w:val="00F3209C"/>
    <w:rsid w:val="00F3260D"/>
    <w:rsid w:val="00F33606"/>
    <w:rsid w:val="00F358F8"/>
    <w:rsid w:val="00F40DF0"/>
    <w:rsid w:val="00F418EA"/>
    <w:rsid w:val="00F4196C"/>
    <w:rsid w:val="00F419F2"/>
    <w:rsid w:val="00F446BF"/>
    <w:rsid w:val="00F451A5"/>
    <w:rsid w:val="00F46724"/>
    <w:rsid w:val="00F46E6F"/>
    <w:rsid w:val="00F523B0"/>
    <w:rsid w:val="00F53EC5"/>
    <w:rsid w:val="00F57FED"/>
    <w:rsid w:val="00F6081E"/>
    <w:rsid w:val="00F629A1"/>
    <w:rsid w:val="00F631C6"/>
    <w:rsid w:val="00F63966"/>
    <w:rsid w:val="00F6547D"/>
    <w:rsid w:val="00F6736A"/>
    <w:rsid w:val="00F67F53"/>
    <w:rsid w:val="00F721B7"/>
    <w:rsid w:val="00F72B68"/>
    <w:rsid w:val="00F72DE0"/>
    <w:rsid w:val="00F73748"/>
    <w:rsid w:val="00F7394D"/>
    <w:rsid w:val="00F73A28"/>
    <w:rsid w:val="00F7437C"/>
    <w:rsid w:val="00F764DF"/>
    <w:rsid w:val="00F76F7A"/>
    <w:rsid w:val="00F77355"/>
    <w:rsid w:val="00F776F8"/>
    <w:rsid w:val="00F777DA"/>
    <w:rsid w:val="00F7793A"/>
    <w:rsid w:val="00F825FF"/>
    <w:rsid w:val="00F83763"/>
    <w:rsid w:val="00F843A5"/>
    <w:rsid w:val="00F84432"/>
    <w:rsid w:val="00F86038"/>
    <w:rsid w:val="00F90440"/>
    <w:rsid w:val="00F907E8"/>
    <w:rsid w:val="00F90FD0"/>
    <w:rsid w:val="00F924E9"/>
    <w:rsid w:val="00F93DFA"/>
    <w:rsid w:val="00F94053"/>
    <w:rsid w:val="00F950F3"/>
    <w:rsid w:val="00F95FF9"/>
    <w:rsid w:val="00F9618B"/>
    <w:rsid w:val="00F96598"/>
    <w:rsid w:val="00F96A08"/>
    <w:rsid w:val="00F975E1"/>
    <w:rsid w:val="00FA196C"/>
    <w:rsid w:val="00FA3583"/>
    <w:rsid w:val="00FA3767"/>
    <w:rsid w:val="00FA46FF"/>
    <w:rsid w:val="00FA601D"/>
    <w:rsid w:val="00FA7014"/>
    <w:rsid w:val="00FA78B0"/>
    <w:rsid w:val="00FB39BE"/>
    <w:rsid w:val="00FB3D94"/>
    <w:rsid w:val="00FB4663"/>
    <w:rsid w:val="00FB57A1"/>
    <w:rsid w:val="00FB6136"/>
    <w:rsid w:val="00FB6D52"/>
    <w:rsid w:val="00FB762B"/>
    <w:rsid w:val="00FB793D"/>
    <w:rsid w:val="00FC0356"/>
    <w:rsid w:val="00FC1CA6"/>
    <w:rsid w:val="00FC467C"/>
    <w:rsid w:val="00FC4713"/>
    <w:rsid w:val="00FC4EB3"/>
    <w:rsid w:val="00FC5B47"/>
    <w:rsid w:val="00FC60E9"/>
    <w:rsid w:val="00FC6CAC"/>
    <w:rsid w:val="00FC70D4"/>
    <w:rsid w:val="00FC77B8"/>
    <w:rsid w:val="00FD0B0C"/>
    <w:rsid w:val="00FD0E8D"/>
    <w:rsid w:val="00FD19D0"/>
    <w:rsid w:val="00FD2BEC"/>
    <w:rsid w:val="00FD3342"/>
    <w:rsid w:val="00FD3393"/>
    <w:rsid w:val="00FD4771"/>
    <w:rsid w:val="00FD54BF"/>
    <w:rsid w:val="00FD6330"/>
    <w:rsid w:val="00FE08A2"/>
    <w:rsid w:val="00FE0A31"/>
    <w:rsid w:val="00FE0DF8"/>
    <w:rsid w:val="00FE10A4"/>
    <w:rsid w:val="00FE3272"/>
    <w:rsid w:val="00FE4CB4"/>
    <w:rsid w:val="00FE6EFC"/>
    <w:rsid w:val="00FF4FF0"/>
    <w:rsid w:val="00FF62CE"/>
    <w:rsid w:val="00FF68BC"/>
    <w:rsid w:val="00FF696B"/>
    <w:rsid w:val="00FF6D43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A144530"/>
  <w15:docId w15:val="{37451B6A-9E73-4892-A1CE-0B09A4E4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DC4738"/>
    <w:rPr>
      <w:b/>
      <w:sz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DC4738"/>
    <w:rPr>
      <w:rFonts w:ascii="Arial" w:hAnsi="Arial"/>
      <w:b/>
      <w:sz w:val="28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8C1930"/>
    <w:pPr>
      <w:tabs>
        <w:tab w:val="right" w:leader="dot" w:pos="8488"/>
      </w:tabs>
      <w:ind w:left="284"/>
      <w:jc w:val="both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220"/>
    </w:pPr>
    <w:rPr>
      <w:rFonts w:ascii="Calibri" w:hAnsi="Calibr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character" w:styleId="Pripombasklic">
    <w:name w:val="annotation reference"/>
    <w:rsid w:val="007E063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E0633"/>
    <w:rPr>
      <w:szCs w:val="20"/>
    </w:rPr>
  </w:style>
  <w:style w:type="character" w:customStyle="1" w:styleId="PripombabesediloZnak">
    <w:name w:val="Pripomba – besedilo Znak"/>
    <w:link w:val="Pripombabesedilo"/>
    <w:rsid w:val="007E0633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E0633"/>
    <w:rPr>
      <w:b/>
      <w:bCs/>
    </w:rPr>
  </w:style>
  <w:style w:type="character" w:customStyle="1" w:styleId="ZadevapripombeZnak">
    <w:name w:val="Zadeva pripombe Znak"/>
    <w:link w:val="Zadevapripombe"/>
    <w:rsid w:val="007E0633"/>
    <w:rPr>
      <w:rFonts w:ascii="Arial" w:hAnsi="Arial"/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0110D8"/>
    <w:rPr>
      <w:szCs w:val="20"/>
    </w:rPr>
  </w:style>
  <w:style w:type="character" w:customStyle="1" w:styleId="Sprotnaopomba-besediloZnak">
    <w:name w:val="Sprotna opomba - besedilo Znak"/>
    <w:link w:val="Sprotnaopomba-besedilo"/>
    <w:rsid w:val="000110D8"/>
    <w:rPr>
      <w:rFonts w:ascii="Arial" w:hAnsi="Arial"/>
      <w:lang w:val="en-US" w:eastAsia="en-US"/>
    </w:rPr>
  </w:style>
  <w:style w:type="character" w:styleId="Sprotnaopomba-sklic">
    <w:name w:val="footnote reference"/>
    <w:rsid w:val="000110D8"/>
    <w:rPr>
      <w:vertAlign w:val="superscript"/>
    </w:rPr>
  </w:style>
  <w:style w:type="paragraph" w:customStyle="1" w:styleId="Default">
    <w:name w:val="Default"/>
    <w:rsid w:val="00571E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rsid w:val="00133F0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A7D32"/>
    <w:pPr>
      <w:ind w:left="720"/>
      <w:contextualSpacing/>
    </w:pPr>
    <w:rPr>
      <w:rFonts w:cs="Arial"/>
      <w:szCs w:val="20"/>
      <w:lang w:eastAsia="sl-SI"/>
    </w:rPr>
  </w:style>
  <w:style w:type="numbering" w:customStyle="1" w:styleId="Slog1">
    <w:name w:val="Slog1"/>
    <w:uiPriority w:val="99"/>
    <w:rsid w:val="00766101"/>
    <w:pPr>
      <w:numPr>
        <w:numId w:val="27"/>
      </w:numPr>
    </w:pPr>
  </w:style>
  <w:style w:type="paragraph" w:styleId="Navadensplet">
    <w:name w:val="Normal (Web)"/>
    <w:basedOn w:val="Navaden"/>
    <w:uiPriority w:val="99"/>
    <w:unhideWhenUsed/>
    <w:rsid w:val="00D4404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sl-SI"/>
    </w:rPr>
  </w:style>
  <w:style w:type="paragraph" w:customStyle="1" w:styleId="poglavje1">
    <w:name w:val="poglavje1"/>
    <w:basedOn w:val="Navaden"/>
    <w:rsid w:val="00FF4FF0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character" w:styleId="Krepko">
    <w:name w:val="Strong"/>
    <w:basedOn w:val="Privzetapisavaodstavka"/>
    <w:uiPriority w:val="22"/>
    <w:qFormat/>
    <w:rsid w:val="00C33982"/>
    <w:rPr>
      <w:b/>
      <w:bCs/>
    </w:rPr>
  </w:style>
  <w:style w:type="paragraph" w:styleId="Revizija">
    <w:name w:val="Revision"/>
    <w:hidden/>
    <w:uiPriority w:val="99"/>
    <w:semiHidden/>
    <w:rsid w:val="00FE4CB4"/>
    <w:rPr>
      <w:rFonts w:ascii="Arial" w:hAnsi="Arial"/>
      <w:szCs w:val="24"/>
      <w:lang w:eastAsia="en-US"/>
    </w:rPr>
  </w:style>
  <w:style w:type="paragraph" w:styleId="Brezrazmikov">
    <w:name w:val="No Spacing"/>
    <w:uiPriority w:val="1"/>
    <w:qFormat/>
    <w:rsid w:val="00DC4738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6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7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91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154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6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-lex.europa.eu/legal-content/SL/TXT/PDF/?uri=CELEX:32016L0881&amp;from=EN" TargetMode="External"/><Relationship Id="rId18" Type="http://schemas.openxmlformats.org/officeDocument/2006/relationships/hyperlink" Target="http://www.uradni-list.si/_pdf/2016/Mp/m2016081.pdf" TargetMode="External"/><Relationship Id="rId26" Type="http://schemas.openxmlformats.org/officeDocument/2006/relationships/hyperlink" Target="http://www.uradni-list.si/1/objava.jsp?sop=2014-01-1619" TargetMode="External"/><Relationship Id="rId39" Type="http://schemas.openxmlformats.org/officeDocument/2006/relationships/hyperlink" Target="http://www.pisrs.si/Pis.web/pregledPredpisa?id=PRAV7927" TargetMode="External"/><Relationship Id="rId21" Type="http://schemas.openxmlformats.org/officeDocument/2006/relationships/hyperlink" Target="http://www.uradni-list.si/1/objava.jsp?sop=2012-01-1402" TargetMode="External"/><Relationship Id="rId34" Type="http://schemas.openxmlformats.org/officeDocument/2006/relationships/hyperlink" Target="http://www.pisrs.si/Pis.web/pregledPredpisa?id=PRAV7927" TargetMode="External"/><Relationship Id="rId42" Type="http://schemas.openxmlformats.org/officeDocument/2006/relationships/hyperlink" Target="http://eur-lex.europa.eu/legal-content/SL/TXT/PDF/?uri=CELEX:32016L0881&amp;from=EN" TargetMode="External"/><Relationship Id="rId47" Type="http://schemas.openxmlformats.org/officeDocument/2006/relationships/hyperlink" Target="http://eur-lex.europa.eu/legal-content/SL/TXT/PDF/?uri=CELEX:32016L0881&amp;from=EN" TargetMode="External"/><Relationship Id="rId50" Type="http://schemas.openxmlformats.org/officeDocument/2006/relationships/hyperlink" Target="http://www.oecd.org/tax/exchange-of-tax-information/guidance-on-the-implementation-of-country-by-country-reporting-beps-action-13.pdf" TargetMode="External"/><Relationship Id="rId55" Type="http://schemas.openxmlformats.org/officeDocument/2006/relationships/hyperlink" Target="http://www.pisrs.si/Pis.web/pregledPredpisa?id=PRAV7927" TargetMode="External"/><Relationship Id="rId63" Type="http://schemas.openxmlformats.org/officeDocument/2006/relationships/hyperlink" Target="mailto:cbcr.fu@gov.si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oecd.org/tax/automatic-exchange/about-automatic-exchange/a-boost-to-transparency-in-international-tax-matters-31-countries-sign-tax-co-operation-agreement.htm" TargetMode="External"/><Relationship Id="rId29" Type="http://schemas.openxmlformats.org/officeDocument/2006/relationships/hyperlink" Target="http://www.pisrs.si/Pis.web/pregledPredpisa?id=ZAKO47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ecd.org/ctp/beps-2015-final-reports.htm" TargetMode="External"/><Relationship Id="rId24" Type="http://schemas.openxmlformats.org/officeDocument/2006/relationships/hyperlink" Target="http://www.uradni-list.si/1/objava.jsp?sop=2013-01-4127" TargetMode="External"/><Relationship Id="rId32" Type="http://schemas.openxmlformats.org/officeDocument/2006/relationships/hyperlink" Target="http://www.pisrs.si/Pis.web/pregledPredpisa?id=ZAKO4703" TargetMode="External"/><Relationship Id="rId37" Type="http://schemas.openxmlformats.org/officeDocument/2006/relationships/hyperlink" Target="http://www.pisrs.si/Pis.web/pregledPredpisa?id=ZAKO4703" TargetMode="External"/><Relationship Id="rId40" Type="http://schemas.openxmlformats.org/officeDocument/2006/relationships/hyperlink" Target="http://eur-lex.europa.eu/legal-content/SL/TXT/PDF/?uri=CELEX:32016L0881&amp;from=EN" TargetMode="External"/><Relationship Id="rId45" Type="http://schemas.openxmlformats.org/officeDocument/2006/relationships/hyperlink" Target="http://www.oecd.org/tax/automatic-exchange/country-specific-information-on-country-by-country-reporting-implementation.htm" TargetMode="External"/><Relationship Id="rId53" Type="http://schemas.openxmlformats.org/officeDocument/2006/relationships/hyperlink" Target="http://www.pisrs.si/Pis.web/pregledPredpisa?id=PRAV7927" TargetMode="External"/><Relationship Id="rId58" Type="http://schemas.openxmlformats.org/officeDocument/2006/relationships/hyperlink" Target="http://www.pisrs.si/Pis.web/pregledPredpisa?id=PRAV7927" TargetMode="External"/><Relationship Id="rId66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oecd.org/tax/automatic-exchange/about-automatic-exchange/a-boost-to-transparency-in-international-tax-matters-31-countries-sign-tax-co-operation-agreement.htm" TargetMode="External"/><Relationship Id="rId23" Type="http://schemas.openxmlformats.org/officeDocument/2006/relationships/hyperlink" Target="http://www.uradni-list.si/1/objava.jsp?sop=2013-01-3676" TargetMode="External"/><Relationship Id="rId28" Type="http://schemas.openxmlformats.org/officeDocument/2006/relationships/hyperlink" Target="http://www.uradni-list.si/1/objava.jsp?sop=2015-01-3571" TargetMode="External"/><Relationship Id="rId36" Type="http://schemas.openxmlformats.org/officeDocument/2006/relationships/hyperlink" Target="http://www.fu.gov.si/cbcr," TargetMode="External"/><Relationship Id="rId49" Type="http://schemas.openxmlformats.org/officeDocument/2006/relationships/hyperlink" Target="http://eur-lex.europa.eu/legal-content/SL/TXT/PDF/?uri=CELEX:32016L0881&amp;from=EN" TargetMode="External"/><Relationship Id="rId57" Type="http://schemas.openxmlformats.org/officeDocument/2006/relationships/hyperlink" Target="http://www.pisrs.si/Pis.web/pregledPredpisa?id=PRAV7927" TargetMode="External"/><Relationship Id="rId61" Type="http://schemas.openxmlformats.org/officeDocument/2006/relationships/hyperlink" Target="http://eur-lex.europa.eu/legal-content/SL/TXT/PDF/?uri=CELEX:32016L0881&amp;from=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ur-lex.europa.eu/legal-content/SL/TXT/PDF/?uri=CELEX:32016L0881&amp;from=EN" TargetMode="External"/><Relationship Id="rId31" Type="http://schemas.openxmlformats.org/officeDocument/2006/relationships/hyperlink" Target="http://www.pisrs.si/Pis.web/pregledPredpisa?id=PRAV7927" TargetMode="External"/><Relationship Id="rId44" Type="http://schemas.openxmlformats.org/officeDocument/2006/relationships/hyperlink" Target="http://www.oecd.org/tax/beps/country-by-country-reporting-handbook-on-effective-implementation.htm?utm_source=Adestra&amp;utm_medium=email&amp;utm_content=Country-by-Country%20Reporting%3A%20Handbook%20on%20Effective%20Implementation&amp;utm_campaign=Tax%20News%20Alert%2029-09-2017&amp;utm_term=demo" TargetMode="External"/><Relationship Id="rId52" Type="http://schemas.openxmlformats.org/officeDocument/2006/relationships/hyperlink" Target="http://www.fu.gov.si/fileadmin/Internet/Davki_in_druge_dajatve/Podrocja/Davek_od_dohodkov_pravnih_oseb/Obrazci/Obvestilo_o_obveznosti_porocanja_po_drzavah_mednarodne_skupine_podjetij_-_obvestilo_CbCR.pdf" TargetMode="External"/><Relationship Id="rId60" Type="http://schemas.openxmlformats.org/officeDocument/2006/relationships/hyperlink" Target="http://www.pisrs.si/Pis.web/pregledPredpisa?id=PRAV7927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ecd.org/tax/exchange-of-tax-information/guidance-on-the-implementation-of-country-by-country-reporting-beps-action-13.pdf" TargetMode="External"/><Relationship Id="rId22" Type="http://schemas.openxmlformats.org/officeDocument/2006/relationships/hyperlink" Target="http://www.uradni-list.si/1/objava.jsp?sop=2012-01-3643" TargetMode="External"/><Relationship Id="rId27" Type="http://schemas.openxmlformats.org/officeDocument/2006/relationships/hyperlink" Target="http://www.uradni-list.si/1/objava.jsp?sop=2014-01-3647" TargetMode="External"/><Relationship Id="rId30" Type="http://schemas.openxmlformats.org/officeDocument/2006/relationships/hyperlink" Target="http://eur-lex.europa.eu/legal-content/SL/TXT/PDF/?uri=CELEX:32016L0881&amp;from=EN" TargetMode="External"/><Relationship Id="rId35" Type="http://schemas.openxmlformats.org/officeDocument/2006/relationships/hyperlink" Target="http://www.pisrs.si/Pis.web/pregledPredpisa?id=PRAV7927" TargetMode="External"/><Relationship Id="rId43" Type="http://schemas.openxmlformats.org/officeDocument/2006/relationships/hyperlink" Target="http://www.oecd.org/tax/exchange-of-tax-information/guidance-on-the-implementation-of-country-by-country-reporting-beps-action-13.pdf" TargetMode="External"/><Relationship Id="rId48" Type="http://schemas.openxmlformats.org/officeDocument/2006/relationships/hyperlink" Target="http://www.pisrs.si/Pis.web/pregledPredpisa?id=ZAKO4703" TargetMode="External"/><Relationship Id="rId56" Type="http://schemas.openxmlformats.org/officeDocument/2006/relationships/hyperlink" Target="http://www.oecd.org/tax/exchange-of-tax-information/guidance-on-the-implementation-of-country-by-country-reporting-beps-action-13.pdf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eur-lex.europa.eu/legal-content/SL/TXT/PDF/?uri=CELEX:32016L0881&amp;from=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keepeek.com/Digital-Asset-Management/oecd/taxation/transfer-pricing-documentation-and-country-by-country-reporting-action-13-2015-final-report_9789264241480-en" TargetMode="External"/><Relationship Id="rId17" Type="http://schemas.openxmlformats.org/officeDocument/2006/relationships/hyperlink" Target="https://www.uradni-list.si/_pdf/2016/Mp/m2016081.pdf" TargetMode="External"/><Relationship Id="rId25" Type="http://schemas.openxmlformats.org/officeDocument/2006/relationships/hyperlink" Target="http://www.uradni-list.si/1/objava.jsp?sop=2014-01-0961" TargetMode="External"/><Relationship Id="rId33" Type="http://schemas.openxmlformats.org/officeDocument/2006/relationships/hyperlink" Target="http://www.pisrs.si/Pis.web/pregledPredpisa?id=PRAV7927" TargetMode="External"/><Relationship Id="rId38" Type="http://schemas.openxmlformats.org/officeDocument/2006/relationships/hyperlink" Target="http://www.pisrs.si/Pis.web/pregledPredpisa?id=ZAKO4703" TargetMode="External"/><Relationship Id="rId46" Type="http://schemas.openxmlformats.org/officeDocument/2006/relationships/hyperlink" Target="http://www.keepeek.com/Digital-Asset-Management/oecd/taxation/transfer-pricing-documentation-and-country-by-country-reporting-action-13-2015-final-report_9789264241480-en" TargetMode="External"/><Relationship Id="rId59" Type="http://schemas.openxmlformats.org/officeDocument/2006/relationships/hyperlink" Target="http://pisrs.si/Pis.web/npb/2017-01-1605-2006-01-6164-npb13-p21.pdf" TargetMode="External"/><Relationship Id="rId67" Type="http://schemas.openxmlformats.org/officeDocument/2006/relationships/footer" Target="footer2.xml"/><Relationship Id="rId20" Type="http://schemas.openxmlformats.org/officeDocument/2006/relationships/hyperlink" Target="http://www.pisrs.si/Pis.web/pregledPredpisa?id=ZAKO4703" TargetMode="External"/><Relationship Id="rId41" Type="http://schemas.openxmlformats.org/officeDocument/2006/relationships/hyperlink" Target="http://www.pisrs.si/Pis.web/pregledPredpisa?id=ZAKO4703" TargetMode="External"/><Relationship Id="rId54" Type="http://schemas.openxmlformats.org/officeDocument/2006/relationships/hyperlink" Target="http://www.fu.gov.si/davki_in_druge_dajatve/podrocja/davek_od_dohodkov_pravnih_oseb_ddpo/" TargetMode="External"/><Relationship Id="rId62" Type="http://schemas.openxmlformats.org/officeDocument/2006/relationships/hyperlink" Target="http://www.fu.gov.si/cbcr,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cd.org/ctp/exchange-of-tax-information/Status_of_convention.pdf" TargetMode="External"/><Relationship Id="rId2" Type="http://schemas.openxmlformats.org/officeDocument/2006/relationships/hyperlink" Target="http://www.oecd.org/tax/exchange-of-tax-information/convention-on-mutual-administrative-assistance-in-tax-matters.htm" TargetMode="External"/><Relationship Id="rId1" Type="http://schemas.openxmlformats.org/officeDocument/2006/relationships/hyperlink" Target="http://www.keepeek.com/Digital-Asset-Management/oecd/taxation/transfer-pricing-documentation-and-country-by-country-reporting-action-13-2015-final-report_9789264241480-en" TargetMode="External"/><Relationship Id="rId5" Type="http://schemas.openxmlformats.org/officeDocument/2006/relationships/hyperlink" Target="http://www.fu.gov.si/nadzor/podrocja/mednarodna_izmenjava/" TargetMode="External"/><Relationship Id="rId4" Type="http://schemas.openxmlformats.org/officeDocument/2006/relationships/hyperlink" Target="http://www.fu.gov.si/davki_in_druge_dajatve/podrocja/mednarodno_obdavcenj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4894EDF7B1D41B709B88160EC4551" ma:contentTypeVersion="0" ma:contentTypeDescription="Ustvari nov dokument." ma:contentTypeScope="" ma:versionID="94d4b1240ea137f54cd16ce98b91d3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c14c13561b5da3eb20f720290215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EF4B-62B4-4DD3-AFD8-C11623C47D8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D60A3A-6CEA-462F-A503-F9E93D265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D44B5-6393-484A-AA8F-CAF50DE58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90C60-A9C1-48B1-8320-B3C32B7E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3498</Words>
  <Characters>26170</Characters>
  <Application>Microsoft Office Word</Application>
  <DocSecurity>0</DocSecurity>
  <Lines>218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Finančna Uprava RS</Company>
  <LinksUpToDate>false</LinksUpToDate>
  <CharactersWithSpaces>29609</CharactersWithSpaces>
  <SharedDoc>false</SharedDoc>
  <HLinks>
    <vt:vector size="36" baseType="variant">
      <vt:variant>
        <vt:i4>1245298</vt:i4>
      </vt:variant>
      <vt:variant>
        <vt:i4>33</vt:i4>
      </vt:variant>
      <vt:variant>
        <vt:i4>0</vt:i4>
      </vt:variant>
      <vt:variant>
        <vt:i4>5</vt:i4>
      </vt:variant>
      <vt:variant>
        <vt:lpwstr>http://www.fu.gov.si/davki_in_druge_dajatve/poslovanje_z_nami/fatca/</vt:lpwstr>
      </vt:variant>
      <vt:variant>
        <vt:lpwstr>c754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_Toc417472590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_Toc417472589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_Toc417472588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_Toc417472587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_Toc417472586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DURS</dc:creator>
  <cp:lastModifiedBy>Neja Osterman</cp:lastModifiedBy>
  <cp:revision>3</cp:revision>
  <cp:lastPrinted>2017-10-11T06:42:00Z</cp:lastPrinted>
  <dcterms:created xsi:type="dcterms:W3CDTF">2019-01-09T11:51:00Z</dcterms:created>
  <dcterms:modified xsi:type="dcterms:W3CDTF">2019-01-09T11:55:00Z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0x010100DBC4894EDF7B1D41B709B88160EC4551</vt:lpwstr>
  </property>
</Properties>
</file>