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61" w:rsidRPr="00F211EE" w:rsidRDefault="00CC5961" w:rsidP="00AD4325">
      <w:pPr>
        <w:spacing w:after="0" w:line="240" w:lineRule="auto"/>
        <w:jc w:val="both"/>
        <w:rPr>
          <w:rFonts w:cs="Arial"/>
          <w:b/>
          <w:color w:val="2F5496" w:themeColor="accent5" w:themeShade="BF"/>
          <w:sz w:val="22"/>
          <w:u w:val="single"/>
        </w:rPr>
      </w:pPr>
      <w:bookmarkStart w:id="0" w:name="_GoBack"/>
      <w:bookmarkEnd w:id="0"/>
      <w:r w:rsidRPr="00F211EE">
        <w:rPr>
          <w:rFonts w:cs="Arial"/>
          <w:b/>
          <w:color w:val="2F5496" w:themeColor="accent5" w:themeShade="BF"/>
          <w:sz w:val="22"/>
          <w:u w:val="single"/>
        </w:rPr>
        <w:t xml:space="preserve">Changes </w:t>
      </w:r>
      <w:r w:rsidR="00562311">
        <w:rPr>
          <w:rFonts w:cs="Arial"/>
          <w:b/>
          <w:color w:val="2F5496" w:themeColor="accent5" w:themeShade="BF"/>
          <w:sz w:val="22"/>
          <w:u w:val="single"/>
        </w:rPr>
        <w:t xml:space="preserve">to trade rules between the EU and Great Britain, </w:t>
      </w:r>
      <w:r w:rsidRPr="00F211EE">
        <w:rPr>
          <w:rFonts w:cs="Arial"/>
          <w:b/>
          <w:color w:val="2F5496" w:themeColor="accent5" w:themeShade="BF"/>
          <w:sz w:val="22"/>
          <w:u w:val="single"/>
        </w:rPr>
        <w:t>coming into force in 2022</w:t>
      </w:r>
    </w:p>
    <w:p w:rsidR="00CC5961" w:rsidRPr="00F211EE" w:rsidRDefault="00CC5961" w:rsidP="00AD4325">
      <w:pPr>
        <w:spacing w:after="0" w:line="240" w:lineRule="auto"/>
        <w:jc w:val="both"/>
        <w:rPr>
          <w:rFonts w:cs="Arial"/>
          <w:sz w:val="22"/>
        </w:rPr>
      </w:pPr>
    </w:p>
    <w:p w:rsidR="00CC5961" w:rsidRPr="00F211EE" w:rsidRDefault="00CC5961" w:rsidP="00AD4325">
      <w:pPr>
        <w:spacing w:after="0" w:line="240" w:lineRule="auto"/>
        <w:jc w:val="both"/>
        <w:rPr>
          <w:rFonts w:cs="Arial"/>
          <w:b/>
          <w:sz w:val="22"/>
        </w:rPr>
      </w:pPr>
      <w:r w:rsidRPr="00F211EE">
        <w:rPr>
          <w:rFonts w:cs="Arial"/>
          <w:b/>
          <w:sz w:val="22"/>
        </w:rPr>
        <w:t>Customs</w:t>
      </w:r>
    </w:p>
    <w:p w:rsidR="00CC5961" w:rsidRPr="00F211EE" w:rsidRDefault="00CC5961" w:rsidP="00AD4325">
      <w:pPr>
        <w:spacing w:after="0" w:line="240" w:lineRule="auto"/>
        <w:jc w:val="both"/>
        <w:rPr>
          <w:rFonts w:cs="Arial"/>
          <w:i/>
          <w:sz w:val="22"/>
        </w:rPr>
      </w:pPr>
      <w:r w:rsidRPr="00F211EE">
        <w:rPr>
          <w:rFonts w:cs="Arial"/>
          <w:i/>
          <w:sz w:val="22"/>
        </w:rPr>
        <w:t>1 January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All consignments imported </w:t>
      </w:r>
      <w:r>
        <w:rPr>
          <w:rFonts w:cs="Arial"/>
          <w:sz w:val="22"/>
        </w:rPr>
        <w:t xml:space="preserve">from the EU to Great Britain (England, Scotland and Wales - </w:t>
      </w:r>
      <w:r w:rsidRPr="00F211EE">
        <w:rPr>
          <w:rFonts w:cs="Arial"/>
          <w:sz w:val="22"/>
        </w:rPr>
        <w:t>GB</w:t>
      </w:r>
      <w:r>
        <w:rPr>
          <w:rFonts w:cs="Arial"/>
          <w:sz w:val="22"/>
        </w:rPr>
        <w:t>)</w:t>
      </w:r>
      <w:r w:rsidRPr="00F211EE">
        <w:rPr>
          <w:rFonts w:cs="Arial"/>
          <w:sz w:val="22"/>
        </w:rPr>
        <w:t xml:space="preserve"> must be accompanied by a </w:t>
      </w:r>
      <w:hyperlink r:id="rId10" w:history="1">
        <w:r w:rsidRPr="00F211EE">
          <w:rPr>
            <w:rStyle w:val="Hiperpovezava"/>
            <w:rFonts w:cs="Arial"/>
            <w:b/>
            <w:sz w:val="22"/>
          </w:rPr>
          <w:t>full customs declaration</w:t>
        </w:r>
      </w:hyperlink>
      <w:r w:rsidRPr="00F211EE">
        <w:rPr>
          <w:rFonts w:cs="Arial"/>
          <w:sz w:val="22"/>
        </w:rPr>
        <w:t xml:space="preserve">. Most traders will have to make declarations and pay relevant tariffs at the point of import. In order to fulfil the import process, all traders need to ensure they have the following information before moving their goods: </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a </w:t>
      </w:r>
      <w:hyperlink r:id="rId11" w:history="1">
        <w:r w:rsidRPr="00F211EE">
          <w:rPr>
            <w:rStyle w:val="Hiperpovezava"/>
            <w:rFonts w:cs="Arial"/>
            <w:sz w:val="22"/>
          </w:rPr>
          <w:t>GB Economic Operator Registration and Identification (EORI) number</w:t>
        </w:r>
      </w:hyperlink>
      <w:r w:rsidRPr="00F211EE">
        <w:rPr>
          <w:rFonts w:cs="Arial"/>
          <w:sz w:val="22"/>
        </w:rPr>
        <w:t xml:space="preserve">; </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the </w:t>
      </w:r>
      <w:hyperlink r:id="rId12" w:history="1">
        <w:r w:rsidRPr="00F211EE">
          <w:rPr>
            <w:rStyle w:val="Hiperpovezava"/>
            <w:rFonts w:cs="Arial"/>
            <w:sz w:val="22"/>
          </w:rPr>
          <w:t>Commodity Code</w:t>
        </w:r>
      </w:hyperlink>
      <w:r w:rsidRPr="00F211EE">
        <w:rPr>
          <w:rFonts w:cs="Arial"/>
          <w:sz w:val="22"/>
        </w:rPr>
        <w:t xml:space="preserve"> of their goods; </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the </w:t>
      </w:r>
      <w:hyperlink r:id="rId13" w:history="1">
        <w:r w:rsidRPr="00F211EE">
          <w:rPr>
            <w:rStyle w:val="Hiperpovezava"/>
            <w:rFonts w:cs="Arial"/>
            <w:sz w:val="22"/>
          </w:rPr>
          <w:t>customs value of goods</w:t>
        </w:r>
      </w:hyperlink>
      <w:r w:rsidRPr="00F211EE">
        <w:rPr>
          <w:rFonts w:cs="Arial"/>
          <w:sz w:val="22"/>
        </w:rPr>
        <w:t xml:space="preserve">. </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Two main </w:t>
      </w:r>
      <w:r w:rsidRPr="00F211EE">
        <w:rPr>
          <w:rFonts w:cs="Arial"/>
          <w:b/>
          <w:sz w:val="22"/>
        </w:rPr>
        <w:t>customs processes</w:t>
      </w:r>
      <w:r w:rsidRPr="00F211EE">
        <w:rPr>
          <w:rFonts w:cs="Arial"/>
          <w:sz w:val="22"/>
        </w:rPr>
        <w:t xml:space="preserve"> will be available to traders, depending on the location the goods are imported through:</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The traditional </w:t>
      </w:r>
      <w:r w:rsidRPr="00F211EE">
        <w:rPr>
          <w:rFonts w:cs="Arial"/>
          <w:b/>
          <w:sz w:val="22"/>
        </w:rPr>
        <w:t>Temporary Storage model</w:t>
      </w:r>
      <w:r w:rsidRPr="00F211EE">
        <w:rPr>
          <w:rFonts w:cs="Arial"/>
          <w:sz w:val="22"/>
        </w:rPr>
        <w:t>, where goods coming into GB can be stored at the frontier for up to 90 days before being declared to customs</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The </w:t>
      </w:r>
      <w:r w:rsidRPr="00F211EE">
        <w:rPr>
          <w:rFonts w:cs="Arial"/>
          <w:b/>
          <w:sz w:val="22"/>
        </w:rPr>
        <w:t>new pre-lodgement model</w:t>
      </w:r>
      <w:r w:rsidRPr="00F211EE">
        <w:rPr>
          <w:rFonts w:cs="Arial"/>
          <w:sz w:val="22"/>
        </w:rPr>
        <w:t>, where goods arriving will be required to have submitted a customs declaration in advance of boarding on the EU side. These sites may choose to use the Goods Vehicle Movement Service (GVMS).</w:t>
      </w:r>
    </w:p>
    <w:p w:rsidR="00CC5961" w:rsidRPr="00F211EE" w:rsidRDefault="00CC5961" w:rsidP="00AD4325">
      <w:pPr>
        <w:spacing w:after="0" w:line="240" w:lineRule="auto"/>
        <w:jc w:val="both"/>
        <w:rPr>
          <w:rFonts w:cs="Arial"/>
          <w:sz w:val="22"/>
        </w:rPr>
      </w:pPr>
    </w:p>
    <w:p w:rsidR="00CC5961" w:rsidRPr="00F211EE" w:rsidRDefault="00CC5961" w:rsidP="00AD4325">
      <w:pPr>
        <w:spacing w:after="0" w:line="240" w:lineRule="auto"/>
        <w:jc w:val="both"/>
        <w:rPr>
          <w:rFonts w:cs="Arial"/>
          <w:i/>
          <w:sz w:val="22"/>
        </w:rPr>
      </w:pPr>
      <w:r w:rsidRPr="00F211EE">
        <w:rPr>
          <w:rFonts w:cs="Arial"/>
          <w:i/>
          <w:sz w:val="22"/>
        </w:rPr>
        <w:t>1 July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Carriers will be required to provide an </w:t>
      </w:r>
      <w:hyperlink r:id="rId14" w:history="1">
        <w:r w:rsidRPr="00CC5961">
          <w:rPr>
            <w:rStyle w:val="Hiperpovezava"/>
            <w:rFonts w:cs="Arial"/>
            <w:b/>
            <w:sz w:val="22"/>
          </w:rPr>
          <w:t>Entry summary declarations (ENS)</w:t>
        </w:r>
      </w:hyperlink>
      <w:r w:rsidRPr="00F211EE">
        <w:rPr>
          <w:rFonts w:cs="Arial"/>
          <w:sz w:val="22"/>
        </w:rPr>
        <w:t xml:space="preserve"> for all imports to GB from EU. </w:t>
      </w:r>
      <w:r>
        <w:rPr>
          <w:rFonts w:cs="Arial"/>
          <w:sz w:val="22"/>
        </w:rPr>
        <w:t>It i</w:t>
      </w:r>
      <w:r w:rsidRPr="00F211EE">
        <w:rPr>
          <w:rFonts w:cs="Arial"/>
          <w:sz w:val="22"/>
        </w:rPr>
        <w:t>s the responsibility of the carrier</w:t>
      </w:r>
      <w:r>
        <w:rPr>
          <w:rFonts w:cs="Arial"/>
          <w:sz w:val="22"/>
        </w:rPr>
        <w:t xml:space="preserve"> to submit the </w:t>
      </w:r>
      <w:r w:rsidRPr="00F211EE">
        <w:rPr>
          <w:rFonts w:cs="Arial"/>
          <w:sz w:val="22"/>
        </w:rPr>
        <w:t xml:space="preserve">ENS </w:t>
      </w:r>
      <w:r>
        <w:rPr>
          <w:rFonts w:cs="Arial"/>
          <w:sz w:val="22"/>
        </w:rPr>
        <w:t>before goods arrive in GB</w:t>
      </w:r>
      <w:r w:rsidRPr="00F211EE">
        <w:rPr>
          <w:rFonts w:cs="Arial"/>
          <w:sz w:val="22"/>
        </w:rPr>
        <w:t xml:space="preserve">. </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As part of the ENS, carriers will submit </w:t>
      </w:r>
      <w:hyperlink r:id="rId15" w:history="1">
        <w:r w:rsidRPr="00F211EE">
          <w:rPr>
            <w:rStyle w:val="Hiperpovezava"/>
            <w:rFonts w:cs="Arial"/>
            <w:sz w:val="22"/>
          </w:rPr>
          <w:t>Safety and Security information</w:t>
        </w:r>
      </w:hyperlink>
      <w:r w:rsidRPr="00F211EE">
        <w:rPr>
          <w:rFonts w:cs="Arial"/>
          <w:sz w:val="22"/>
        </w:rPr>
        <w:t xml:space="preserve">. </w:t>
      </w:r>
    </w:p>
    <w:p w:rsidR="00CC5961" w:rsidRDefault="00CC5961" w:rsidP="00AD4325">
      <w:pPr>
        <w:spacing w:after="0" w:line="240" w:lineRule="auto"/>
        <w:jc w:val="both"/>
        <w:rPr>
          <w:rFonts w:cs="Arial"/>
          <w:sz w:val="22"/>
        </w:rPr>
      </w:pPr>
    </w:p>
    <w:p w:rsidR="00AD4325" w:rsidRPr="00F211EE" w:rsidRDefault="00AD4325" w:rsidP="00AD4325">
      <w:pPr>
        <w:spacing w:after="0" w:line="240" w:lineRule="auto"/>
        <w:jc w:val="both"/>
        <w:rPr>
          <w:rFonts w:cs="Arial"/>
          <w:sz w:val="22"/>
        </w:rPr>
      </w:pPr>
    </w:p>
    <w:p w:rsidR="00CC5961" w:rsidRPr="00F211EE" w:rsidRDefault="00CC5961" w:rsidP="00AD4325">
      <w:pPr>
        <w:spacing w:after="0" w:line="240" w:lineRule="auto"/>
        <w:jc w:val="both"/>
        <w:rPr>
          <w:rFonts w:cs="Arial"/>
          <w:b/>
          <w:sz w:val="22"/>
        </w:rPr>
      </w:pPr>
      <w:r>
        <w:rPr>
          <w:rFonts w:cs="Arial"/>
          <w:b/>
          <w:sz w:val="22"/>
        </w:rPr>
        <w:t>Sanitary and phyto</w:t>
      </w:r>
      <w:r w:rsidRPr="00F211EE">
        <w:rPr>
          <w:rFonts w:cs="Arial"/>
          <w:b/>
          <w:sz w:val="22"/>
        </w:rPr>
        <w:t>sanitary checks on animal and plant products</w:t>
      </w:r>
    </w:p>
    <w:p w:rsidR="00CC5961" w:rsidRPr="00F211EE" w:rsidRDefault="00CC5961" w:rsidP="00AD4325">
      <w:pPr>
        <w:spacing w:after="0" w:line="240" w:lineRule="auto"/>
        <w:jc w:val="both"/>
        <w:rPr>
          <w:rFonts w:cs="Arial"/>
          <w:i/>
          <w:sz w:val="22"/>
        </w:rPr>
      </w:pPr>
      <w:r w:rsidRPr="00F211EE">
        <w:rPr>
          <w:rFonts w:cs="Arial"/>
          <w:i/>
          <w:sz w:val="22"/>
        </w:rPr>
        <w:t>1 January 2022</w:t>
      </w:r>
    </w:p>
    <w:p w:rsidR="00CC5961" w:rsidRPr="00CC5961" w:rsidRDefault="00CC5961" w:rsidP="00AD4325">
      <w:pPr>
        <w:pStyle w:val="Odstavekseznama"/>
        <w:numPr>
          <w:ilvl w:val="0"/>
          <w:numId w:val="1"/>
        </w:numPr>
        <w:spacing w:after="0" w:line="240" w:lineRule="auto"/>
        <w:jc w:val="both"/>
        <w:rPr>
          <w:rFonts w:cs="Arial"/>
          <w:sz w:val="22"/>
        </w:rPr>
      </w:pPr>
      <w:r w:rsidRPr="00CC5961">
        <w:rPr>
          <w:rFonts w:cs="Arial"/>
          <w:sz w:val="22"/>
        </w:rPr>
        <w:t xml:space="preserve">All </w:t>
      </w:r>
      <w:r w:rsidRPr="00CC5961">
        <w:rPr>
          <w:rFonts w:cs="Arial"/>
          <w:b/>
          <w:sz w:val="22"/>
        </w:rPr>
        <w:t>products of animal origin</w:t>
      </w:r>
      <w:r>
        <w:rPr>
          <w:rFonts w:cs="Arial"/>
          <w:sz w:val="22"/>
        </w:rPr>
        <w:t xml:space="preserve">, </w:t>
      </w:r>
      <w:r w:rsidRPr="00CC5961">
        <w:rPr>
          <w:rFonts w:cs="Arial"/>
          <w:sz w:val="22"/>
        </w:rPr>
        <w:t xml:space="preserve">certain </w:t>
      </w:r>
      <w:r w:rsidRPr="00CC5961">
        <w:rPr>
          <w:rFonts w:cs="Arial"/>
          <w:b/>
          <w:sz w:val="22"/>
        </w:rPr>
        <w:t>animal by-products</w:t>
      </w:r>
      <w:r w:rsidRPr="00CC5961">
        <w:rPr>
          <w:rFonts w:cs="Arial"/>
          <w:sz w:val="22"/>
        </w:rPr>
        <w:t xml:space="preserve">, and </w:t>
      </w:r>
      <w:r w:rsidRPr="00CC5961">
        <w:rPr>
          <w:rFonts w:cs="Arial"/>
          <w:b/>
          <w:sz w:val="22"/>
        </w:rPr>
        <w:t>high-risk foods not of animal origin</w:t>
      </w:r>
      <w:r w:rsidRPr="00CC5961">
        <w:rPr>
          <w:rFonts w:cs="Arial"/>
          <w:sz w:val="22"/>
        </w:rPr>
        <w:t xml:space="preserve"> entering GB will need to be pre-notified through the </w:t>
      </w:r>
      <w:hyperlink r:id="rId16" w:history="1">
        <w:r w:rsidRPr="00CC5961">
          <w:rPr>
            <w:rStyle w:val="Hiperpovezava"/>
            <w:rFonts w:cs="Arial"/>
            <w:sz w:val="22"/>
          </w:rPr>
          <w:t>Import of products, animals, food and feed system (IPAFFS)</w:t>
        </w:r>
      </w:hyperlink>
      <w:r w:rsidRPr="00CC5961">
        <w:rPr>
          <w:rFonts w:cs="Arial"/>
          <w:sz w:val="22"/>
        </w:rPr>
        <w:t xml:space="preserve">. This is the responsibility of the GB importer. EU exporters may need to provide their UK importer information about the consignment, including the exact product type, commodity code, weight, contact details of the place of origin etc. </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The </w:t>
      </w:r>
      <w:r w:rsidRPr="00CC5961">
        <w:rPr>
          <w:rFonts w:cs="Arial"/>
          <w:b/>
          <w:sz w:val="22"/>
        </w:rPr>
        <w:t>UK importer should provide the EU exporter with the unique notification number (UNN) produced on IPAFFS</w:t>
      </w:r>
      <w:r w:rsidRPr="00F211EE">
        <w:rPr>
          <w:rFonts w:cs="Arial"/>
          <w:sz w:val="22"/>
        </w:rPr>
        <w:t>. The EU exporter must add the UNN to the commercial documentation or health certificate (if one is required).</w:t>
      </w:r>
    </w:p>
    <w:p w:rsidR="00CC5961" w:rsidRPr="00F211EE" w:rsidRDefault="00CC5961" w:rsidP="00AD4325">
      <w:pPr>
        <w:pStyle w:val="Odstavekseznama"/>
        <w:spacing w:after="0" w:line="240" w:lineRule="auto"/>
        <w:jc w:val="both"/>
        <w:rPr>
          <w:rFonts w:cs="Arial"/>
          <w:sz w:val="22"/>
        </w:rPr>
      </w:pPr>
    </w:p>
    <w:p w:rsidR="00CC5961" w:rsidRPr="00F211EE" w:rsidRDefault="00CC5961" w:rsidP="00AD4325">
      <w:pPr>
        <w:spacing w:after="0" w:line="240" w:lineRule="auto"/>
        <w:jc w:val="both"/>
        <w:rPr>
          <w:rFonts w:cs="Arial"/>
          <w:i/>
          <w:sz w:val="22"/>
        </w:rPr>
      </w:pPr>
      <w:r w:rsidRPr="00F211EE">
        <w:rPr>
          <w:rFonts w:cs="Arial"/>
          <w:i/>
          <w:sz w:val="22"/>
        </w:rPr>
        <w:t>1 July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All remaining regulated </w:t>
      </w:r>
      <w:r w:rsidRPr="00F211EE">
        <w:rPr>
          <w:rFonts w:cs="Arial"/>
          <w:b/>
          <w:sz w:val="22"/>
        </w:rPr>
        <w:t>animal by-products</w:t>
      </w:r>
      <w:r w:rsidRPr="00F211EE">
        <w:rPr>
          <w:rFonts w:cs="Arial"/>
          <w:sz w:val="22"/>
        </w:rPr>
        <w:t xml:space="preserve">, all regulated </w:t>
      </w:r>
      <w:r w:rsidRPr="00F211EE">
        <w:rPr>
          <w:rFonts w:cs="Arial"/>
          <w:b/>
          <w:sz w:val="22"/>
        </w:rPr>
        <w:t>plants and plant products</w:t>
      </w:r>
      <w:r w:rsidRPr="00F211EE">
        <w:rPr>
          <w:rFonts w:cs="Arial"/>
          <w:sz w:val="22"/>
        </w:rPr>
        <w:t xml:space="preserve">, all </w:t>
      </w:r>
      <w:r w:rsidRPr="00F211EE">
        <w:rPr>
          <w:rFonts w:cs="Arial"/>
          <w:b/>
          <w:sz w:val="22"/>
        </w:rPr>
        <w:t>meat and meat products</w:t>
      </w:r>
      <w:r w:rsidRPr="00F211EE">
        <w:rPr>
          <w:rFonts w:cs="Arial"/>
          <w:sz w:val="22"/>
        </w:rPr>
        <w:t xml:space="preserve"> and all remaining </w:t>
      </w:r>
      <w:r w:rsidRPr="00F211EE">
        <w:rPr>
          <w:rFonts w:cs="Arial"/>
          <w:b/>
          <w:sz w:val="22"/>
        </w:rPr>
        <w:t>high-risk food not of animal origin</w:t>
      </w:r>
      <w:r w:rsidRPr="00F211EE">
        <w:rPr>
          <w:rFonts w:cs="Arial"/>
          <w:sz w:val="22"/>
        </w:rPr>
        <w:t xml:space="preserve"> will be subject to new requirements before they leave their place of origin and at the EU-GB border:</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the EU exporter should apply for the relevant health certificate in their own country and competent authorities should use </w:t>
      </w:r>
      <w:hyperlink r:id="rId17" w:history="1">
        <w:r w:rsidRPr="00F211EE">
          <w:rPr>
            <w:rStyle w:val="Hiperpovezava"/>
            <w:rFonts w:cs="Arial"/>
            <w:sz w:val="22"/>
          </w:rPr>
          <w:t>model health certificates</w:t>
        </w:r>
      </w:hyperlink>
      <w:r>
        <w:rPr>
          <w:rStyle w:val="Hiperpovezava"/>
          <w:rFonts w:cs="Arial"/>
          <w:sz w:val="22"/>
        </w:rPr>
        <w:t>;</w:t>
      </w:r>
      <w:r w:rsidRPr="00F211EE">
        <w:rPr>
          <w:rFonts w:cs="Arial"/>
          <w:sz w:val="22"/>
        </w:rPr>
        <w:t xml:space="preserve"> </w:t>
      </w:r>
    </w:p>
    <w:p w:rsidR="00CC5961" w:rsidRPr="00F211EE" w:rsidRDefault="00CC5961" w:rsidP="00AD4325">
      <w:pPr>
        <w:pStyle w:val="Odstavekseznama"/>
        <w:numPr>
          <w:ilvl w:val="1"/>
          <w:numId w:val="1"/>
        </w:numPr>
        <w:spacing w:after="0" w:line="240" w:lineRule="auto"/>
        <w:jc w:val="both"/>
        <w:rPr>
          <w:rFonts w:cs="Arial"/>
          <w:sz w:val="22"/>
        </w:rPr>
      </w:pPr>
      <w:r w:rsidRPr="00F211EE">
        <w:rPr>
          <w:rFonts w:cs="Arial"/>
          <w:sz w:val="22"/>
        </w:rPr>
        <w:t xml:space="preserve">goods will be required to enter GB via a </w:t>
      </w:r>
      <w:hyperlink r:id="rId18" w:history="1">
        <w:r w:rsidRPr="00F211EE">
          <w:rPr>
            <w:rStyle w:val="Hiperpovezava"/>
            <w:rFonts w:cs="Arial"/>
            <w:sz w:val="22"/>
          </w:rPr>
          <w:t>Border Control Post - BCPs</w:t>
        </w:r>
      </w:hyperlink>
      <w:r w:rsidRPr="00F211EE">
        <w:rPr>
          <w:rFonts w:cs="Arial"/>
          <w:sz w:val="22"/>
        </w:rPr>
        <w:t xml:space="preserve"> that has been designated to receive those goods, in order to undergo documentary, identity and physical checks as required. This applies even if the goods are not subject to certification or physical checks until a later date in the timetable.</w:t>
      </w:r>
    </w:p>
    <w:p w:rsidR="00CC5961" w:rsidRPr="00F211EE" w:rsidRDefault="00C745FD" w:rsidP="00AD4325">
      <w:pPr>
        <w:pStyle w:val="Odstavekseznama"/>
        <w:numPr>
          <w:ilvl w:val="1"/>
          <w:numId w:val="1"/>
        </w:numPr>
        <w:spacing w:after="0" w:line="240" w:lineRule="auto"/>
        <w:jc w:val="both"/>
        <w:rPr>
          <w:rFonts w:cs="Arial"/>
          <w:sz w:val="22"/>
        </w:rPr>
      </w:pPr>
      <w:hyperlink r:id="rId19" w:history="1">
        <w:r w:rsidR="00CC5961" w:rsidRPr="00F211EE">
          <w:rPr>
            <w:rStyle w:val="Hiperpovezava"/>
            <w:rFonts w:cs="Arial"/>
            <w:sz w:val="22"/>
          </w:rPr>
          <w:t>Organic products</w:t>
        </w:r>
      </w:hyperlink>
      <w:r w:rsidR="00CC5961" w:rsidRPr="00F211EE">
        <w:rPr>
          <w:rFonts w:cs="Arial"/>
          <w:sz w:val="22"/>
        </w:rPr>
        <w:t xml:space="preserve"> exported from the EU to GB will require a Certificate of Inspection.</w:t>
      </w:r>
    </w:p>
    <w:p w:rsidR="00CC5961" w:rsidRPr="00F211EE" w:rsidRDefault="00CC5961" w:rsidP="00AD4325">
      <w:pPr>
        <w:pStyle w:val="Odstavekseznama"/>
        <w:numPr>
          <w:ilvl w:val="0"/>
          <w:numId w:val="1"/>
        </w:numPr>
        <w:spacing w:after="0" w:line="240" w:lineRule="auto"/>
        <w:jc w:val="both"/>
        <w:rPr>
          <w:rFonts w:cs="Arial"/>
          <w:sz w:val="22"/>
        </w:rPr>
      </w:pPr>
      <w:r w:rsidRPr="00CC5961">
        <w:rPr>
          <w:rFonts w:cs="Arial"/>
          <w:b/>
          <w:sz w:val="22"/>
        </w:rPr>
        <w:t>Live animal checks</w:t>
      </w:r>
      <w:r w:rsidRPr="00F211EE">
        <w:rPr>
          <w:rFonts w:cs="Arial"/>
          <w:sz w:val="22"/>
        </w:rPr>
        <w:t xml:space="preserve"> will begin in stages, moving from the point of destination to Border Control Posts as facilities become available.</w:t>
      </w:r>
    </w:p>
    <w:p w:rsidR="00CC5961" w:rsidRPr="00F211EE" w:rsidRDefault="00CC5961" w:rsidP="00AD4325">
      <w:pPr>
        <w:spacing w:after="0" w:line="240" w:lineRule="auto"/>
        <w:jc w:val="both"/>
        <w:rPr>
          <w:rFonts w:cs="Arial"/>
          <w:sz w:val="22"/>
        </w:rPr>
      </w:pPr>
    </w:p>
    <w:p w:rsidR="00CC5961" w:rsidRPr="00F211EE" w:rsidRDefault="00CC5961" w:rsidP="00AD4325">
      <w:pPr>
        <w:spacing w:after="0" w:line="240" w:lineRule="auto"/>
        <w:jc w:val="both"/>
        <w:rPr>
          <w:rFonts w:cs="Arial"/>
          <w:i/>
          <w:sz w:val="22"/>
        </w:rPr>
      </w:pPr>
      <w:r w:rsidRPr="00F211EE">
        <w:rPr>
          <w:rFonts w:cs="Arial"/>
          <w:i/>
          <w:sz w:val="22"/>
        </w:rPr>
        <w:lastRenderedPageBreak/>
        <w:t>1 September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All dairy </w:t>
      </w:r>
      <w:r w:rsidRPr="00F211EE">
        <w:rPr>
          <w:rFonts w:cs="Arial"/>
          <w:b/>
          <w:sz w:val="22"/>
        </w:rPr>
        <w:t>products</w:t>
      </w:r>
      <w:r w:rsidRPr="00F211EE">
        <w:rPr>
          <w:rFonts w:cs="Arial"/>
          <w:sz w:val="22"/>
        </w:rPr>
        <w:t xml:space="preserve"> will be subject to certification and physical checks at Border Control Posts. </w:t>
      </w:r>
    </w:p>
    <w:p w:rsidR="00CC5961" w:rsidRPr="00F211EE" w:rsidRDefault="00CC5961" w:rsidP="00AD4325">
      <w:pPr>
        <w:pStyle w:val="Odstavekseznama"/>
        <w:spacing w:after="0" w:line="240" w:lineRule="auto"/>
        <w:jc w:val="both"/>
        <w:rPr>
          <w:rFonts w:cs="Arial"/>
          <w:sz w:val="22"/>
        </w:rPr>
      </w:pPr>
    </w:p>
    <w:p w:rsidR="00CC5961" w:rsidRPr="00F211EE" w:rsidRDefault="00CC5961" w:rsidP="00AD4325">
      <w:pPr>
        <w:spacing w:after="0" w:line="240" w:lineRule="auto"/>
        <w:jc w:val="both"/>
        <w:rPr>
          <w:rFonts w:cs="Arial"/>
          <w:i/>
          <w:sz w:val="22"/>
        </w:rPr>
      </w:pPr>
      <w:r w:rsidRPr="00F211EE">
        <w:rPr>
          <w:rFonts w:cs="Arial"/>
          <w:i/>
          <w:sz w:val="22"/>
        </w:rPr>
        <w:t>1 November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All remaining regulated </w:t>
      </w:r>
      <w:r w:rsidRPr="00F211EE">
        <w:rPr>
          <w:rFonts w:cs="Arial"/>
          <w:b/>
          <w:sz w:val="22"/>
        </w:rPr>
        <w:t>products of animal origin</w:t>
      </w:r>
      <w:r w:rsidRPr="00F211EE">
        <w:rPr>
          <w:rFonts w:cs="Arial"/>
          <w:sz w:val="22"/>
        </w:rPr>
        <w:t xml:space="preserve">, including </w:t>
      </w:r>
      <w:hyperlink r:id="rId20" w:history="1">
        <w:r w:rsidRPr="00F211EE">
          <w:rPr>
            <w:rStyle w:val="Hiperpovezava"/>
            <w:rFonts w:cs="Arial"/>
            <w:b/>
            <w:sz w:val="22"/>
          </w:rPr>
          <w:t>composite</w:t>
        </w:r>
      </w:hyperlink>
      <w:r w:rsidRPr="00F211EE">
        <w:rPr>
          <w:rFonts w:cs="Arial"/>
          <w:sz w:val="22"/>
        </w:rPr>
        <w:t xml:space="preserve"> and </w:t>
      </w:r>
      <w:r w:rsidRPr="00F211EE">
        <w:rPr>
          <w:rFonts w:cs="Arial"/>
          <w:b/>
          <w:sz w:val="22"/>
        </w:rPr>
        <w:t>fish products</w:t>
      </w:r>
      <w:r w:rsidRPr="00F211EE">
        <w:rPr>
          <w:rFonts w:cs="Arial"/>
          <w:sz w:val="22"/>
        </w:rPr>
        <w:t xml:space="preserve"> will be subject to certification and physical checks at Border Control Posts.</w:t>
      </w:r>
    </w:p>
    <w:p w:rsidR="00CC5961" w:rsidRPr="00F211EE" w:rsidRDefault="00CC5961" w:rsidP="00AD4325">
      <w:pPr>
        <w:spacing w:after="0" w:line="240" w:lineRule="auto"/>
        <w:jc w:val="both"/>
        <w:rPr>
          <w:rFonts w:cs="Arial"/>
          <w:b/>
          <w:sz w:val="22"/>
        </w:rPr>
      </w:pPr>
    </w:p>
    <w:p w:rsidR="00CC5961" w:rsidRPr="00F211EE" w:rsidRDefault="00CC5961" w:rsidP="00AD4325">
      <w:pPr>
        <w:spacing w:after="0" w:line="240" w:lineRule="auto"/>
        <w:jc w:val="both"/>
        <w:rPr>
          <w:rFonts w:cs="Arial"/>
          <w:b/>
          <w:sz w:val="22"/>
        </w:rPr>
      </w:pPr>
    </w:p>
    <w:p w:rsidR="00CC5961" w:rsidRPr="00F211EE" w:rsidRDefault="00CC5961" w:rsidP="00AD4325">
      <w:pPr>
        <w:spacing w:after="0" w:line="240" w:lineRule="auto"/>
        <w:jc w:val="both"/>
        <w:rPr>
          <w:rFonts w:cs="Arial"/>
          <w:b/>
          <w:sz w:val="22"/>
        </w:rPr>
      </w:pPr>
      <w:r w:rsidRPr="00F211EE">
        <w:rPr>
          <w:rFonts w:cs="Arial"/>
          <w:b/>
          <w:sz w:val="22"/>
        </w:rPr>
        <w:t>Rules of origin</w:t>
      </w:r>
    </w:p>
    <w:p w:rsidR="00CC5961" w:rsidRPr="00F211EE" w:rsidRDefault="00CC5961" w:rsidP="00AD4325">
      <w:pPr>
        <w:spacing w:after="0" w:line="240" w:lineRule="auto"/>
        <w:jc w:val="both"/>
        <w:rPr>
          <w:rFonts w:cs="Arial"/>
          <w:i/>
          <w:sz w:val="22"/>
        </w:rPr>
      </w:pPr>
      <w:r w:rsidRPr="00F211EE">
        <w:rPr>
          <w:rFonts w:cs="Arial"/>
          <w:i/>
          <w:sz w:val="22"/>
        </w:rPr>
        <w:t>1 January 2022</w:t>
      </w:r>
    </w:p>
    <w:p w:rsidR="00CC5961" w:rsidRDefault="00CC5961" w:rsidP="00AD4325">
      <w:pPr>
        <w:pStyle w:val="Odstavekseznama"/>
        <w:numPr>
          <w:ilvl w:val="0"/>
          <w:numId w:val="1"/>
        </w:numPr>
        <w:spacing w:after="0" w:line="240" w:lineRule="auto"/>
        <w:jc w:val="both"/>
        <w:rPr>
          <w:rFonts w:cs="Arial"/>
          <w:sz w:val="22"/>
        </w:rPr>
      </w:pPr>
      <w:r w:rsidRPr="00D5378A">
        <w:rPr>
          <w:rFonts w:cs="Arial"/>
          <w:sz w:val="22"/>
        </w:rPr>
        <w:t xml:space="preserve">The UK-EU Trade and Cooperation Agreement (TCA), has a preferential </w:t>
      </w:r>
      <w:r w:rsidRPr="00AD4325">
        <w:rPr>
          <w:rFonts w:cs="Arial"/>
          <w:b/>
          <w:sz w:val="22"/>
        </w:rPr>
        <w:t>zero tariff and zero quota rate</w:t>
      </w:r>
      <w:r w:rsidRPr="00D5378A">
        <w:rPr>
          <w:rFonts w:cs="Arial"/>
          <w:sz w:val="22"/>
        </w:rPr>
        <w:t xml:space="preserve"> for originating goods moving from EU-UK or UK-EU</w:t>
      </w:r>
      <w:r>
        <w:rPr>
          <w:rFonts w:cs="Arial"/>
          <w:sz w:val="22"/>
        </w:rPr>
        <w:t xml:space="preserve">, the so-called </w:t>
      </w:r>
      <w:hyperlink r:id="rId21" w:history="1">
        <w:r w:rsidRPr="00CC5961">
          <w:rPr>
            <w:rStyle w:val="Hiperpovezava"/>
            <w:rFonts w:cs="Arial"/>
            <w:b/>
            <w:sz w:val="22"/>
          </w:rPr>
          <w:t>Rules of Origin</w:t>
        </w:r>
      </w:hyperlink>
      <w:r w:rsidRPr="00D5378A">
        <w:rPr>
          <w:rFonts w:cs="Arial"/>
          <w:sz w:val="22"/>
        </w:rPr>
        <w:t xml:space="preserve">. </w:t>
      </w:r>
    </w:p>
    <w:p w:rsidR="00CC5961" w:rsidRPr="00D5378A" w:rsidRDefault="00CC5961" w:rsidP="00AD4325">
      <w:pPr>
        <w:pStyle w:val="Odstavekseznama"/>
        <w:numPr>
          <w:ilvl w:val="0"/>
          <w:numId w:val="1"/>
        </w:numPr>
        <w:spacing w:after="0" w:line="240" w:lineRule="auto"/>
        <w:jc w:val="both"/>
        <w:rPr>
          <w:rFonts w:cs="Arial"/>
          <w:sz w:val="22"/>
        </w:rPr>
      </w:pPr>
      <w:r>
        <w:rPr>
          <w:rFonts w:cs="Arial"/>
          <w:sz w:val="22"/>
        </w:rPr>
        <w:t xml:space="preserve">In order to </w:t>
      </w:r>
      <w:r w:rsidRPr="00D5378A">
        <w:rPr>
          <w:rFonts w:cs="Arial"/>
          <w:sz w:val="22"/>
        </w:rPr>
        <w:t>can claim the preferential tariff</w:t>
      </w:r>
      <w:r>
        <w:rPr>
          <w:rFonts w:cs="Arial"/>
          <w:sz w:val="22"/>
        </w:rPr>
        <w:t xml:space="preserve">, traders must classify their goods, check the origin rules in the TCA, check their goods meet these rules and provide a “statement of origin” or the “importer’s knowledge” of the product’s origin. </w:t>
      </w:r>
    </w:p>
    <w:p w:rsidR="00CC5961" w:rsidRDefault="00CC5961" w:rsidP="00AD4325">
      <w:pPr>
        <w:spacing w:after="0" w:line="240" w:lineRule="auto"/>
        <w:jc w:val="both"/>
        <w:rPr>
          <w:rFonts w:cs="Arial"/>
          <w:sz w:val="22"/>
        </w:rPr>
      </w:pPr>
    </w:p>
    <w:p w:rsidR="00AD4325" w:rsidRPr="00F211EE" w:rsidRDefault="00AD4325" w:rsidP="00AD4325">
      <w:pPr>
        <w:spacing w:after="0" w:line="240" w:lineRule="auto"/>
        <w:jc w:val="both"/>
        <w:rPr>
          <w:rFonts w:cs="Arial"/>
          <w:sz w:val="22"/>
        </w:rPr>
      </w:pPr>
    </w:p>
    <w:p w:rsidR="00CC5961" w:rsidRPr="00F211EE" w:rsidRDefault="00CC5961" w:rsidP="00AD4325">
      <w:pPr>
        <w:spacing w:after="0" w:line="240" w:lineRule="auto"/>
        <w:jc w:val="both"/>
        <w:rPr>
          <w:rFonts w:cs="Arial"/>
          <w:b/>
          <w:sz w:val="22"/>
        </w:rPr>
      </w:pPr>
      <w:r w:rsidRPr="00F211EE">
        <w:rPr>
          <w:rFonts w:cs="Arial"/>
          <w:b/>
          <w:sz w:val="22"/>
        </w:rPr>
        <w:t xml:space="preserve">Hauliers </w:t>
      </w:r>
    </w:p>
    <w:p w:rsidR="00CC5961" w:rsidRPr="00F211EE" w:rsidRDefault="00CC5961" w:rsidP="00AD4325">
      <w:pPr>
        <w:spacing w:after="0" w:line="240" w:lineRule="auto"/>
        <w:jc w:val="both"/>
        <w:rPr>
          <w:rFonts w:cs="Arial"/>
          <w:i/>
          <w:sz w:val="22"/>
        </w:rPr>
      </w:pPr>
      <w:r w:rsidRPr="00F211EE">
        <w:rPr>
          <w:rFonts w:cs="Arial"/>
          <w:i/>
          <w:sz w:val="22"/>
        </w:rPr>
        <w:t>1 January 2022</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Hauliers must be </w:t>
      </w:r>
      <w:hyperlink r:id="rId22" w:history="1">
        <w:r w:rsidRPr="00CC5961">
          <w:rPr>
            <w:rStyle w:val="Hiperpovezava"/>
            <w:rFonts w:cs="Arial"/>
            <w:b/>
            <w:sz w:val="22"/>
          </w:rPr>
          <w:t>registered for the Goods Vehicle Movement Service (GVMS)</w:t>
        </w:r>
      </w:hyperlink>
      <w:r w:rsidRPr="00CC5961">
        <w:rPr>
          <w:rFonts w:cs="Arial"/>
          <w:b/>
          <w:sz w:val="22"/>
        </w:rPr>
        <w:t>,</w:t>
      </w:r>
      <w:r w:rsidRPr="00F211EE">
        <w:rPr>
          <w:rFonts w:cs="Arial"/>
          <w:sz w:val="22"/>
        </w:rPr>
        <w:t xml:space="preserve"> a new customs system for moving goods into </w:t>
      </w:r>
      <w:r>
        <w:rPr>
          <w:rFonts w:cs="Arial"/>
          <w:sz w:val="22"/>
        </w:rPr>
        <w:t>GB, which may be used at Pre-lodgement ports</w:t>
      </w:r>
      <w:r w:rsidRPr="00F211EE">
        <w:rPr>
          <w:rFonts w:cs="Arial"/>
          <w:sz w:val="22"/>
        </w:rPr>
        <w:t>.</w:t>
      </w:r>
    </w:p>
    <w:p w:rsidR="00CC5961" w:rsidRPr="00222A6A" w:rsidRDefault="00CC5961" w:rsidP="00AD4325">
      <w:pPr>
        <w:pStyle w:val="Odstavekseznama"/>
        <w:numPr>
          <w:ilvl w:val="0"/>
          <w:numId w:val="1"/>
        </w:numPr>
        <w:spacing w:after="0" w:line="240" w:lineRule="auto"/>
        <w:jc w:val="both"/>
        <w:rPr>
          <w:rFonts w:cs="Arial"/>
          <w:sz w:val="22"/>
        </w:rPr>
      </w:pPr>
      <w:r w:rsidRPr="00222A6A">
        <w:rPr>
          <w:rFonts w:cs="Arial"/>
          <w:sz w:val="22"/>
        </w:rPr>
        <w:t>To register for GVM</w:t>
      </w:r>
      <w:r>
        <w:rPr>
          <w:rFonts w:cs="Arial"/>
          <w:sz w:val="22"/>
        </w:rPr>
        <w:t>S</w:t>
      </w:r>
      <w:r w:rsidRPr="00222A6A">
        <w:rPr>
          <w:rFonts w:cs="Arial"/>
          <w:sz w:val="22"/>
        </w:rPr>
        <w:t xml:space="preserve">, hauliers must have a </w:t>
      </w:r>
      <w:hyperlink r:id="rId23" w:history="1">
        <w:r w:rsidRPr="00222A6A">
          <w:rPr>
            <w:rStyle w:val="Hiperpovezava"/>
            <w:rFonts w:cs="Arial"/>
            <w:sz w:val="22"/>
          </w:rPr>
          <w:t>Government Gateway Account</w:t>
        </w:r>
      </w:hyperlink>
      <w:r w:rsidRPr="00222A6A">
        <w:rPr>
          <w:rFonts w:cs="Arial"/>
          <w:sz w:val="22"/>
        </w:rPr>
        <w:t xml:space="preserve"> and a </w:t>
      </w:r>
      <w:hyperlink r:id="rId24" w:history="1">
        <w:r w:rsidRPr="00222A6A">
          <w:rPr>
            <w:rStyle w:val="Hiperpovezava"/>
            <w:rFonts w:cs="Arial"/>
            <w:sz w:val="22"/>
          </w:rPr>
          <w:t>GB EORI number</w:t>
        </w:r>
      </w:hyperlink>
      <w:r w:rsidRPr="00222A6A">
        <w:rPr>
          <w:rFonts w:cs="Arial"/>
          <w:sz w:val="22"/>
        </w:rPr>
        <w:t xml:space="preserve">. </w:t>
      </w:r>
      <w:r w:rsidRPr="00222A6A">
        <w:rPr>
          <w:rFonts w:cs="Arial"/>
          <w:color w:val="000000"/>
          <w:sz w:val="22"/>
        </w:rPr>
        <w:t xml:space="preserve">Hauliers </w:t>
      </w:r>
      <w:r w:rsidRPr="00AD4325">
        <w:rPr>
          <w:rFonts w:cs="Arial"/>
          <w:b/>
          <w:color w:val="000000"/>
          <w:sz w:val="22"/>
        </w:rPr>
        <w:t xml:space="preserve">must be registered on GVMS in order to </w:t>
      </w:r>
      <w:hyperlink r:id="rId25" w:history="1">
        <w:r w:rsidRPr="00AD4325">
          <w:rPr>
            <w:rStyle w:val="Hiperpovezava"/>
            <w:rFonts w:cs="Arial"/>
            <w:b/>
            <w:sz w:val="22"/>
          </w:rPr>
          <w:t>obtain a Goods Movement Reference (GMR)</w:t>
        </w:r>
      </w:hyperlink>
      <w:r w:rsidRPr="00222A6A">
        <w:rPr>
          <w:rFonts w:cs="Arial"/>
          <w:color w:val="000000"/>
          <w:sz w:val="22"/>
        </w:rPr>
        <w:t xml:space="preserve">, a single reference number linking pre-lodged declaration references together. </w:t>
      </w:r>
    </w:p>
    <w:p w:rsidR="00CC5961" w:rsidRPr="00F211EE" w:rsidRDefault="00CC5961" w:rsidP="00AD4325">
      <w:pPr>
        <w:pStyle w:val="Odstavekseznama"/>
        <w:numPr>
          <w:ilvl w:val="0"/>
          <w:numId w:val="1"/>
        </w:numPr>
        <w:spacing w:after="0" w:line="240" w:lineRule="auto"/>
        <w:jc w:val="both"/>
        <w:rPr>
          <w:rFonts w:cs="Arial"/>
          <w:sz w:val="22"/>
        </w:rPr>
      </w:pPr>
      <w:r w:rsidRPr="00F211EE">
        <w:rPr>
          <w:rFonts w:cs="Arial"/>
          <w:sz w:val="22"/>
        </w:rPr>
        <w:t xml:space="preserve">Hauliers must ensure they are presenting the </w:t>
      </w:r>
      <w:hyperlink r:id="rId26" w:anchor="annex-a" w:history="1">
        <w:r w:rsidRPr="00AD4325">
          <w:rPr>
            <w:rStyle w:val="Hiperpovezava"/>
            <w:rFonts w:cs="Arial"/>
            <w:b/>
            <w:sz w:val="22"/>
          </w:rPr>
          <w:t>correct documents</w:t>
        </w:r>
      </w:hyperlink>
      <w:r w:rsidRPr="00F211EE">
        <w:rPr>
          <w:rFonts w:cs="Arial"/>
          <w:sz w:val="22"/>
        </w:rPr>
        <w:t xml:space="preserve"> at the GB border. </w:t>
      </w:r>
    </w:p>
    <w:p w:rsidR="00A326E5" w:rsidRDefault="00A326E5" w:rsidP="00AD4325">
      <w:pPr>
        <w:pStyle w:val="Odstavekseznama"/>
        <w:spacing w:after="0" w:line="240" w:lineRule="auto"/>
        <w:jc w:val="both"/>
        <w:rPr>
          <w:rFonts w:cs="Arial"/>
          <w:sz w:val="22"/>
        </w:rPr>
      </w:pPr>
    </w:p>
    <w:p w:rsidR="00AD4325" w:rsidRPr="00A326E5" w:rsidRDefault="00AD4325" w:rsidP="00AD4325">
      <w:pPr>
        <w:pStyle w:val="Odstavekseznama"/>
        <w:spacing w:after="0" w:line="240" w:lineRule="auto"/>
        <w:jc w:val="both"/>
        <w:rPr>
          <w:rFonts w:cs="Arial"/>
          <w:sz w:val="22"/>
        </w:rPr>
      </w:pPr>
    </w:p>
    <w:p w:rsidR="00562311" w:rsidRPr="00F211EE" w:rsidRDefault="00A326E5" w:rsidP="00AD4325">
      <w:pPr>
        <w:spacing w:after="0" w:line="240" w:lineRule="auto"/>
        <w:jc w:val="both"/>
        <w:rPr>
          <w:rFonts w:cs="Arial"/>
          <w:b/>
          <w:sz w:val="22"/>
        </w:rPr>
      </w:pPr>
      <w:r>
        <w:rPr>
          <w:rFonts w:cs="Arial"/>
          <w:b/>
          <w:sz w:val="22"/>
        </w:rPr>
        <w:t>Business travel to the UK</w:t>
      </w:r>
    </w:p>
    <w:p w:rsidR="00562311" w:rsidRPr="00F211EE" w:rsidRDefault="00562311" w:rsidP="00AD4325">
      <w:pPr>
        <w:pStyle w:val="Odstavekseznama"/>
        <w:numPr>
          <w:ilvl w:val="0"/>
          <w:numId w:val="1"/>
        </w:numPr>
        <w:spacing w:after="0" w:line="240" w:lineRule="auto"/>
        <w:jc w:val="both"/>
        <w:rPr>
          <w:rFonts w:cs="Arial"/>
          <w:sz w:val="22"/>
        </w:rPr>
      </w:pPr>
      <w:r w:rsidRPr="00F211EE">
        <w:rPr>
          <w:rFonts w:cs="Arial"/>
          <w:sz w:val="22"/>
        </w:rPr>
        <w:t xml:space="preserve">The UK’s </w:t>
      </w:r>
      <w:hyperlink r:id="rId27" w:history="1">
        <w:r w:rsidRPr="00AD4325">
          <w:rPr>
            <w:rStyle w:val="Hiperpovezava"/>
            <w:rFonts w:cs="Arial"/>
            <w:b/>
            <w:sz w:val="22"/>
          </w:rPr>
          <w:t>Points Based System (PBS)</w:t>
        </w:r>
      </w:hyperlink>
      <w:r w:rsidRPr="00F211EE">
        <w:rPr>
          <w:rFonts w:cs="Arial"/>
          <w:sz w:val="22"/>
        </w:rPr>
        <w:t xml:space="preserve"> was introduced on 1 January 2021. It prioritises skills and talent over where a person comes from. </w:t>
      </w:r>
    </w:p>
    <w:p w:rsidR="00562311" w:rsidRPr="00F211EE" w:rsidRDefault="00562311" w:rsidP="00AD4325">
      <w:pPr>
        <w:pStyle w:val="Odstavekseznama"/>
        <w:numPr>
          <w:ilvl w:val="0"/>
          <w:numId w:val="1"/>
        </w:numPr>
        <w:spacing w:after="0" w:line="240" w:lineRule="auto"/>
        <w:jc w:val="both"/>
        <w:rPr>
          <w:rFonts w:cs="Arial"/>
          <w:sz w:val="22"/>
        </w:rPr>
      </w:pPr>
      <w:r w:rsidRPr="00F211EE">
        <w:rPr>
          <w:rFonts w:cs="Arial"/>
          <w:sz w:val="22"/>
        </w:rPr>
        <w:t xml:space="preserve">Under the PBS, </w:t>
      </w:r>
      <w:r w:rsidRPr="00A326E5">
        <w:rPr>
          <w:rFonts w:cs="Arial"/>
          <w:b/>
          <w:sz w:val="22"/>
        </w:rPr>
        <w:t>as of 1 October 2021</w:t>
      </w:r>
      <w:r w:rsidRPr="00F211EE">
        <w:rPr>
          <w:rFonts w:cs="Arial"/>
          <w:sz w:val="22"/>
        </w:rPr>
        <w:t xml:space="preserve"> </w:t>
      </w:r>
      <w:r w:rsidRPr="00CC5961">
        <w:rPr>
          <w:rFonts w:cs="Arial"/>
          <w:b/>
          <w:sz w:val="22"/>
        </w:rPr>
        <w:t>national ID cards are no longer accepted for entry into the UK</w:t>
      </w:r>
      <w:r w:rsidRPr="00F211EE">
        <w:rPr>
          <w:rFonts w:cs="Arial"/>
          <w:sz w:val="22"/>
        </w:rPr>
        <w:t xml:space="preserve">. All </w:t>
      </w:r>
      <w:hyperlink r:id="rId28" w:history="1">
        <w:r w:rsidRPr="00F211EE">
          <w:rPr>
            <w:rStyle w:val="Hiperpovezava"/>
            <w:rFonts w:cs="Arial"/>
            <w:sz w:val="22"/>
          </w:rPr>
          <w:t>visitors</w:t>
        </w:r>
      </w:hyperlink>
      <w:r w:rsidRPr="00F211EE">
        <w:rPr>
          <w:rFonts w:cs="Arial"/>
          <w:sz w:val="22"/>
        </w:rPr>
        <w:t xml:space="preserve"> must present a valid passport at the UK border. </w:t>
      </w:r>
    </w:p>
    <w:p w:rsidR="00A326E5" w:rsidRDefault="00562311" w:rsidP="00AD4325">
      <w:pPr>
        <w:pStyle w:val="Odstavekseznama"/>
        <w:numPr>
          <w:ilvl w:val="0"/>
          <w:numId w:val="1"/>
        </w:numPr>
        <w:spacing w:after="0" w:line="240" w:lineRule="auto"/>
        <w:jc w:val="both"/>
        <w:rPr>
          <w:rFonts w:cs="Arial"/>
          <w:sz w:val="22"/>
        </w:rPr>
      </w:pPr>
      <w:r w:rsidRPr="00F211EE">
        <w:rPr>
          <w:rFonts w:cs="Arial"/>
          <w:sz w:val="22"/>
        </w:rPr>
        <w:t xml:space="preserve">EU nationals can </w:t>
      </w:r>
      <w:r w:rsidRPr="00A326E5">
        <w:rPr>
          <w:rFonts w:cs="Arial"/>
          <w:b/>
          <w:sz w:val="22"/>
        </w:rPr>
        <w:t>stay in the UK visa-free as visitors for up to 6 months</w:t>
      </w:r>
      <w:r w:rsidRPr="00F211EE">
        <w:rPr>
          <w:rFonts w:cs="Arial"/>
          <w:sz w:val="22"/>
        </w:rPr>
        <w:t xml:space="preserve">. They are permitted to undertake a wide range of </w:t>
      </w:r>
      <w:hyperlink r:id="rId29" w:history="1">
        <w:r w:rsidRPr="00F211EE">
          <w:rPr>
            <w:rStyle w:val="Hiperpovezava"/>
            <w:rFonts w:cs="Arial"/>
            <w:sz w:val="22"/>
          </w:rPr>
          <w:t>business activities</w:t>
        </w:r>
      </w:hyperlink>
      <w:r w:rsidRPr="00F211EE">
        <w:rPr>
          <w:rFonts w:cs="Arial"/>
          <w:sz w:val="22"/>
        </w:rPr>
        <w:t xml:space="preserve">. </w:t>
      </w:r>
    </w:p>
    <w:p w:rsidR="00562311" w:rsidRPr="00F211EE" w:rsidRDefault="00562311" w:rsidP="00AD4325">
      <w:pPr>
        <w:pStyle w:val="Odstavekseznama"/>
        <w:numPr>
          <w:ilvl w:val="0"/>
          <w:numId w:val="1"/>
        </w:numPr>
        <w:spacing w:after="0" w:line="240" w:lineRule="auto"/>
        <w:jc w:val="both"/>
        <w:rPr>
          <w:rFonts w:cs="Arial"/>
          <w:sz w:val="22"/>
        </w:rPr>
      </w:pPr>
      <w:r w:rsidRPr="00F211EE">
        <w:rPr>
          <w:rFonts w:cs="Arial"/>
          <w:sz w:val="22"/>
        </w:rPr>
        <w:t xml:space="preserve">A </w:t>
      </w:r>
      <w:hyperlink r:id="rId30" w:history="1">
        <w:r w:rsidRPr="00CC5961">
          <w:rPr>
            <w:rStyle w:val="Hiperpovezava"/>
            <w:rFonts w:cs="Arial"/>
            <w:sz w:val="22"/>
          </w:rPr>
          <w:t>UK visa</w:t>
        </w:r>
      </w:hyperlink>
      <w:r w:rsidRPr="00F211EE">
        <w:rPr>
          <w:rFonts w:cs="Arial"/>
          <w:sz w:val="22"/>
        </w:rPr>
        <w:t xml:space="preserve"> is required for stays over 6 months or if the purpose of the visit is to work or study. </w:t>
      </w:r>
    </w:p>
    <w:p w:rsidR="00562311" w:rsidRDefault="00562311" w:rsidP="00AD4325">
      <w:pPr>
        <w:tabs>
          <w:tab w:val="left" w:pos="1140"/>
        </w:tabs>
        <w:spacing w:after="0" w:line="240" w:lineRule="auto"/>
        <w:jc w:val="both"/>
        <w:rPr>
          <w:rFonts w:cs="Arial"/>
          <w:sz w:val="22"/>
        </w:rPr>
      </w:pPr>
    </w:p>
    <w:p w:rsidR="00CC5961" w:rsidRDefault="00562311" w:rsidP="00AD4325">
      <w:pPr>
        <w:tabs>
          <w:tab w:val="left" w:pos="1140"/>
        </w:tabs>
        <w:spacing w:after="0" w:line="240" w:lineRule="auto"/>
        <w:jc w:val="both"/>
        <w:rPr>
          <w:rFonts w:cs="Arial"/>
          <w:sz w:val="22"/>
        </w:rPr>
      </w:pPr>
      <w:r>
        <w:rPr>
          <w:rFonts w:cs="Arial"/>
          <w:sz w:val="22"/>
        </w:rPr>
        <w:tab/>
      </w:r>
    </w:p>
    <w:p w:rsidR="00CC5961" w:rsidRDefault="00CC5961" w:rsidP="00AD4325">
      <w:pPr>
        <w:spacing w:after="0" w:line="240" w:lineRule="auto"/>
        <w:jc w:val="both"/>
        <w:rPr>
          <w:rFonts w:cs="Arial"/>
          <w:b/>
          <w:sz w:val="22"/>
          <w:u w:val="single"/>
        </w:rPr>
      </w:pPr>
      <w:r w:rsidRPr="00AD4325">
        <w:rPr>
          <w:rFonts w:cs="Arial"/>
          <w:b/>
          <w:sz w:val="22"/>
        </w:rPr>
        <w:t xml:space="preserve">Please check the links provided in this document and the </w:t>
      </w:r>
      <w:hyperlink r:id="rId31" w:history="1">
        <w:r w:rsidRPr="00AD4325">
          <w:rPr>
            <w:rStyle w:val="Hiperpovezava"/>
            <w:rFonts w:cs="Arial"/>
            <w:b/>
            <w:sz w:val="22"/>
          </w:rPr>
          <w:t>Border Operating Model</w:t>
        </w:r>
      </w:hyperlink>
      <w:r w:rsidRPr="00AD4325">
        <w:rPr>
          <w:rFonts w:cs="Arial"/>
          <w:b/>
          <w:sz w:val="22"/>
        </w:rPr>
        <w:t xml:space="preserve"> for further details about </w:t>
      </w:r>
      <w:r w:rsidR="00E7442A" w:rsidRPr="00AD4325">
        <w:rPr>
          <w:rFonts w:cs="Arial"/>
          <w:b/>
          <w:sz w:val="22"/>
        </w:rPr>
        <w:t xml:space="preserve">the </w:t>
      </w:r>
      <w:r w:rsidRPr="00AD4325">
        <w:rPr>
          <w:rFonts w:cs="Arial"/>
          <w:b/>
          <w:sz w:val="22"/>
        </w:rPr>
        <w:t>new procedures.</w:t>
      </w:r>
    </w:p>
    <w:p w:rsidR="00AD4325" w:rsidRDefault="00AD4325" w:rsidP="00AD4325">
      <w:pPr>
        <w:spacing w:after="0" w:line="240" w:lineRule="auto"/>
        <w:jc w:val="both"/>
        <w:rPr>
          <w:rFonts w:cs="Arial"/>
          <w:b/>
          <w:sz w:val="22"/>
          <w:u w:val="single"/>
        </w:rPr>
      </w:pPr>
    </w:p>
    <w:p w:rsidR="00AD4325" w:rsidRDefault="00AD4325" w:rsidP="00AD4325">
      <w:pPr>
        <w:spacing w:after="0" w:line="240" w:lineRule="auto"/>
        <w:jc w:val="both"/>
        <w:rPr>
          <w:rFonts w:cs="Arial"/>
          <w:b/>
          <w:sz w:val="22"/>
          <w:u w:val="single"/>
        </w:rPr>
      </w:pPr>
    </w:p>
    <w:p w:rsidR="00AD4325" w:rsidRPr="00AD4325" w:rsidRDefault="00AD4325" w:rsidP="00AD4325">
      <w:pPr>
        <w:spacing w:after="0" w:line="240" w:lineRule="auto"/>
        <w:jc w:val="both"/>
        <w:rPr>
          <w:rFonts w:cs="Arial"/>
          <w:b/>
          <w:sz w:val="22"/>
          <w:lang w:val="bg-BG"/>
        </w:rPr>
      </w:pPr>
      <w:r w:rsidRPr="00AD4325">
        <w:rPr>
          <w:rFonts w:cs="Arial"/>
          <w:b/>
          <w:sz w:val="22"/>
        </w:rPr>
        <w:t xml:space="preserve">As announced by the UK Government on 15 December 2021, </w:t>
      </w:r>
      <w:hyperlink r:id="rId32" w:history="1">
        <w:r w:rsidRPr="00B71810">
          <w:rPr>
            <w:rStyle w:val="Hiperpovezava"/>
            <w:rFonts w:cs="Arial"/>
            <w:b/>
            <w:sz w:val="22"/>
          </w:rPr>
          <w:t>goods moving from the island of Ireland directly to GB will continue to do so on the basis of the arrangements that apply currently, until further notice</w:t>
        </w:r>
      </w:hyperlink>
      <w:r w:rsidRPr="00AD4325">
        <w:rPr>
          <w:rFonts w:cs="Arial"/>
          <w:b/>
          <w:sz w:val="22"/>
        </w:rPr>
        <w:t>. Therefore, these movements will not, for now, be affected by the customs and SPS changes being introduced on 1 January 2022 for all other goods arriving from the EU</w:t>
      </w:r>
      <w:r w:rsidR="00B71810">
        <w:rPr>
          <w:rFonts w:cs="Arial"/>
          <w:b/>
          <w:sz w:val="22"/>
        </w:rPr>
        <w:t>, as</w:t>
      </w:r>
      <w:r w:rsidRPr="00AD4325">
        <w:rPr>
          <w:rFonts w:cs="Arial"/>
          <w:b/>
          <w:sz w:val="22"/>
        </w:rPr>
        <w:t xml:space="preserve"> described in this document. </w:t>
      </w:r>
    </w:p>
    <w:sectPr w:rsidR="00AD4325" w:rsidRPr="00AD4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862" w:rsidRDefault="00F66862" w:rsidP="00AD4325">
      <w:pPr>
        <w:spacing w:after="0" w:line="240" w:lineRule="auto"/>
      </w:pPr>
      <w:r>
        <w:separator/>
      </w:r>
    </w:p>
  </w:endnote>
  <w:endnote w:type="continuationSeparator" w:id="0">
    <w:p w:rsidR="00F66862" w:rsidRDefault="00F66862" w:rsidP="00AD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862" w:rsidRDefault="00F66862" w:rsidP="00AD4325">
      <w:pPr>
        <w:spacing w:after="0" w:line="240" w:lineRule="auto"/>
      </w:pPr>
      <w:r>
        <w:separator/>
      </w:r>
    </w:p>
  </w:footnote>
  <w:footnote w:type="continuationSeparator" w:id="0">
    <w:p w:rsidR="00F66862" w:rsidRDefault="00F66862" w:rsidP="00AD4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43037"/>
    <w:multiLevelType w:val="hybridMultilevel"/>
    <w:tmpl w:val="717C39A2"/>
    <w:lvl w:ilvl="0" w:tplc="9686406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61"/>
    <w:rsid w:val="00246191"/>
    <w:rsid w:val="00562311"/>
    <w:rsid w:val="0075704F"/>
    <w:rsid w:val="00A326E5"/>
    <w:rsid w:val="00AD4325"/>
    <w:rsid w:val="00B71810"/>
    <w:rsid w:val="00BC261E"/>
    <w:rsid w:val="00C745FD"/>
    <w:rsid w:val="00CC5961"/>
    <w:rsid w:val="00CD0DE9"/>
    <w:rsid w:val="00E310A8"/>
    <w:rsid w:val="00E7442A"/>
    <w:rsid w:val="00F6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AABD-1895-4E62-989C-D9F4732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59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rsid w:val="0075704F"/>
    <w:pPr>
      <w:spacing w:after="0" w:line="240" w:lineRule="auto"/>
    </w:pPr>
    <w:rPr>
      <w:rFonts w:cstheme="minorHAnsi"/>
      <w:b/>
      <w:bCs/>
      <w:sz w:val="20"/>
      <w:szCs w:val="20"/>
    </w:rPr>
  </w:style>
  <w:style w:type="paragraph" w:styleId="Odstavekseznama">
    <w:name w:val="List Paragraph"/>
    <w:basedOn w:val="Navaden"/>
    <w:uiPriority w:val="34"/>
    <w:qFormat/>
    <w:rsid w:val="00CC5961"/>
    <w:pPr>
      <w:ind w:left="720"/>
      <w:contextualSpacing/>
    </w:pPr>
  </w:style>
  <w:style w:type="character" w:styleId="Hiperpovezava">
    <w:name w:val="Hyperlink"/>
    <w:basedOn w:val="Privzetapisavaodstavka"/>
    <w:uiPriority w:val="99"/>
    <w:unhideWhenUsed/>
    <w:rsid w:val="00CC5961"/>
    <w:rPr>
      <w:color w:val="0563C1" w:themeColor="hyperlink"/>
      <w:u w:val="single"/>
    </w:rPr>
  </w:style>
  <w:style w:type="paragraph" w:styleId="Glava">
    <w:name w:val="header"/>
    <w:basedOn w:val="Navaden"/>
    <w:link w:val="GlavaZnak"/>
    <w:uiPriority w:val="99"/>
    <w:unhideWhenUsed/>
    <w:rsid w:val="00AD4325"/>
    <w:pPr>
      <w:tabs>
        <w:tab w:val="center" w:pos="4513"/>
        <w:tab w:val="right" w:pos="9026"/>
      </w:tabs>
      <w:spacing w:after="0" w:line="240" w:lineRule="auto"/>
    </w:pPr>
  </w:style>
  <w:style w:type="character" w:customStyle="1" w:styleId="GlavaZnak">
    <w:name w:val="Glava Znak"/>
    <w:basedOn w:val="Privzetapisavaodstavka"/>
    <w:link w:val="Glava"/>
    <w:uiPriority w:val="99"/>
    <w:rsid w:val="00AD4325"/>
  </w:style>
  <w:style w:type="paragraph" w:styleId="Noga">
    <w:name w:val="footer"/>
    <w:basedOn w:val="Navaden"/>
    <w:link w:val="NogaZnak"/>
    <w:uiPriority w:val="99"/>
    <w:unhideWhenUsed/>
    <w:rsid w:val="00AD4325"/>
    <w:pPr>
      <w:tabs>
        <w:tab w:val="center" w:pos="4513"/>
        <w:tab w:val="right" w:pos="9026"/>
      </w:tabs>
      <w:spacing w:after="0" w:line="240" w:lineRule="auto"/>
    </w:pPr>
  </w:style>
  <w:style w:type="character" w:customStyle="1" w:styleId="NogaZnak">
    <w:name w:val="Noga Znak"/>
    <w:basedOn w:val="Privzetapisavaodstavka"/>
    <w:link w:val="Noga"/>
    <w:uiPriority w:val="99"/>
    <w:rsid w:val="00AD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otice-252-valuation-of-imported-goods-for-customs-purposes-vat-and-trade-statistics/notice-252-valuation-of-imported-goods-for-customs-purposes-vat-and-trade-statistics" TargetMode="External"/><Relationship Id="rId18" Type="http://schemas.openxmlformats.org/officeDocument/2006/relationships/hyperlink" Target="https://www.gov.uk/government/publications/uk-border-control-posts-animal-and-animal-product-imports" TargetMode="External"/><Relationship Id="rId26" Type="http://schemas.openxmlformats.org/officeDocument/2006/relationships/hyperlink" Target="https://www.gov.uk/guidance/transporting-goods-between-great-britain-and-the-eu-by-roro-freight-guidance-for-hauliers" TargetMode="External"/><Relationship Id="rId3" Type="http://schemas.openxmlformats.org/officeDocument/2006/relationships/customXml" Target="../customXml/item3.xml"/><Relationship Id="rId21" Type="http://schemas.openxmlformats.org/officeDocument/2006/relationships/hyperlink" Target="https://www.gov.uk/government/collections/rules-of-origin-for-goods-moving-between-the-uk-and-e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trade-tariff" TargetMode="External"/><Relationship Id="rId17" Type="http://schemas.openxmlformats.org/officeDocument/2006/relationships/hyperlink" Target="https://www.gov.uk/government/collections/health-certificates-for-animal-and-animal-product-imports-to-great-britain" TargetMode="External"/><Relationship Id="rId25" Type="http://schemas.openxmlformats.org/officeDocument/2006/relationships/hyperlink" Target="https://www.gov.uk/guidance/get-a-goods-movement-refere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import-of-products-animals-food-and-feed-system" TargetMode="External"/><Relationship Id="rId20" Type="http://schemas.openxmlformats.org/officeDocument/2006/relationships/hyperlink" Target="https://www.gov.uk/guidance/import-or-move-composite-products-from-the-eu-and-northern-ireland-to-great-britain" TargetMode="External"/><Relationship Id="rId29" Type="http://schemas.openxmlformats.org/officeDocument/2006/relationships/hyperlink" Target="https://www.gov.uk/guidance/immigration-rules/immigration-rules-appendix-visitor-permitted-activ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ori" TargetMode="External"/><Relationship Id="rId24" Type="http://schemas.openxmlformats.org/officeDocument/2006/relationships/hyperlink" Target="https://www.gov.uk/eori" TargetMode="External"/><Relationship Id="rId32" Type="http://schemas.openxmlformats.org/officeDocument/2006/relationships/hyperlink" Target="https://questions-statements.parliament.uk/written-statements/detail/2021-12-15/hcws486" TargetMode="External"/><Relationship Id="rId5" Type="http://schemas.openxmlformats.org/officeDocument/2006/relationships/styles" Target="styles.xml"/><Relationship Id="rId15" Type="http://schemas.openxmlformats.org/officeDocument/2006/relationships/hyperlink" Target="https://www.gov.uk/government/publications/safety-and-security-requirements-on-imports-and-exports/safety-and-security-requirements-on-imports-and-exports" TargetMode="External"/><Relationship Id="rId23" Type="http://schemas.openxmlformats.org/officeDocument/2006/relationships/hyperlink" Target="https://www.gov.uk/log-in-register-hmrc-online-services" TargetMode="External"/><Relationship Id="rId28" Type="http://schemas.openxmlformats.org/officeDocument/2006/relationships/hyperlink" Target="https://www.gov.uk/guidance/visiting-the-uk-as-an-eu-eea-or-swiss-citizen" TargetMode="External"/><Relationship Id="rId10" Type="http://schemas.openxmlformats.org/officeDocument/2006/relationships/hyperlink" Target="https://www.gov.uk/guidance/making-a-full-import-declaration" TargetMode="External"/><Relationship Id="rId19" Type="http://schemas.openxmlformats.org/officeDocument/2006/relationships/hyperlink" Target="https://www.gov.uk/guidance/importing-and-exporting-organic-food" TargetMode="External"/><Relationship Id="rId31" Type="http://schemas.openxmlformats.org/officeDocument/2006/relationships/hyperlink" Target="https://www.gov.uk/government/publications/the-border-operating-mod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making-an-entry-summary-declaration" TargetMode="External"/><Relationship Id="rId22" Type="http://schemas.openxmlformats.org/officeDocument/2006/relationships/hyperlink" Target="https://www.gov.uk/guidance/register-for-the-goods-vehicle-movement-service?&amp;utm_source=haulier30&amp;utm_medium=stk_email&amp;utm_campaign=transition&amp;utm_content=3008" TargetMode="External"/><Relationship Id="rId27" Type="http://schemas.openxmlformats.org/officeDocument/2006/relationships/hyperlink" Target="https://www.gov.uk/guidance/the-uks-points-based-immigration-system-information-for-eu-citizens.bg" TargetMode="External"/><Relationship Id="rId30" Type="http://schemas.openxmlformats.org/officeDocument/2006/relationships/hyperlink" Target="https://www.gov.uk/check-uk-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1E78ECC567743A2DAF408E494D984" ma:contentTypeVersion="12" ma:contentTypeDescription="Create a new document." ma:contentTypeScope="" ma:versionID="ae938530dd95d908740c9eeafdefb26b">
  <xsd:schema xmlns:xsd="http://www.w3.org/2001/XMLSchema" xmlns:xs="http://www.w3.org/2001/XMLSchema" xmlns:p="http://schemas.microsoft.com/office/2006/metadata/properties" xmlns:ns2="32d903ba-8f9d-490d-876a-15fbb93179ad" xmlns:ns3="62215f50-34b1-4fdd-b996-cdda090d46ed" targetNamespace="http://schemas.microsoft.com/office/2006/metadata/properties" ma:root="true" ma:fieldsID="fcef19db19a52abc64a5720695d71574" ns2:_="" ns3:_="">
    <xsd:import namespace="32d903ba-8f9d-490d-876a-15fbb93179ad"/>
    <xsd:import namespace="62215f50-34b1-4fdd-b996-cdda090d46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903ba-8f9d-490d-876a-15fbb9317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15f50-34b1-4fdd-b996-cdda090d46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2BD8D-2C77-4F7C-993D-49F2D5E26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77F14-572F-4AD4-B0A8-8F3B87AFB367}">
  <ds:schemaRefs>
    <ds:schemaRef ds:uri="http://schemas.microsoft.com/sharepoint/v3/contenttype/forms"/>
  </ds:schemaRefs>
</ds:datastoreItem>
</file>

<file path=customXml/itemProps3.xml><?xml version="1.0" encoding="utf-8"?>
<ds:datastoreItem xmlns:ds="http://schemas.openxmlformats.org/officeDocument/2006/customXml" ds:itemID="{FB55C2E3-88B0-4E77-9A9C-332BDE4D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903ba-8f9d-490d-876a-15fbb93179ad"/>
    <ds:schemaRef ds:uri="62215f50-34b1-4fdd-b996-cdda090d4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Gantcheva (Sensitive)</dc:creator>
  <cp:keywords/>
  <dc:description/>
  <cp:lastModifiedBy>Matjaž Trošt</cp:lastModifiedBy>
  <cp:revision>2</cp:revision>
  <dcterms:created xsi:type="dcterms:W3CDTF">2022-01-21T07:10:00Z</dcterms:created>
  <dcterms:modified xsi:type="dcterms:W3CDTF">2022-01-21T07:10:00Z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0x0101004B01E78ECC567743A2DAF408E494D984</vt:lpwstr>
  </property>
</Properties>
</file>