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98A9" w14:textId="77777777" w:rsidR="00CB1562" w:rsidRDefault="00CB1562" w:rsidP="00DC6A71">
      <w:pPr>
        <w:pStyle w:val="datumtevilka"/>
      </w:pPr>
    </w:p>
    <w:p w14:paraId="19F28501" w14:textId="77777777" w:rsidR="007D75CF" w:rsidRPr="00BC2517" w:rsidRDefault="007D75CF" w:rsidP="007D75CF">
      <w:pPr>
        <w:rPr>
          <w:lang w:val="sl-SI"/>
        </w:rPr>
      </w:pPr>
    </w:p>
    <w:p w14:paraId="07E549A3" w14:textId="77777777" w:rsidR="007D75CF" w:rsidRPr="00BC2517" w:rsidRDefault="004977E5" w:rsidP="00DC6A71">
      <w:pPr>
        <w:pStyle w:val="ZADEVA"/>
        <w:rPr>
          <w:lang w:val="sl-SI"/>
        </w:rPr>
      </w:pPr>
      <w:r w:rsidRPr="00BC2517">
        <w:rPr>
          <w:lang w:val="sl-SI"/>
        </w:rPr>
        <w:t xml:space="preserve">Zadeva: </w:t>
      </w:r>
      <w:r w:rsidRPr="00BC2517">
        <w:rPr>
          <w:lang w:val="sl-SI"/>
        </w:rPr>
        <w:tab/>
      </w:r>
      <w:r w:rsidR="00CB2803">
        <w:rPr>
          <w:lang w:val="sl-SI"/>
        </w:rPr>
        <w:t>Olajšava za zaposlovanje</w:t>
      </w:r>
      <w:r w:rsidR="00557BBA">
        <w:rPr>
          <w:lang w:val="sl-SI"/>
        </w:rPr>
        <w:t xml:space="preserve"> – obravnava več sklenjenih pogodb o zaposlitvi v obdobju 24 mesecev od prve sklenitve pogodbe z osebo iz 55. b člena ZDDPO-2</w:t>
      </w:r>
    </w:p>
    <w:p w14:paraId="0246B6A1" w14:textId="77777777" w:rsidR="007D75CF" w:rsidRPr="00C40C01" w:rsidRDefault="00C40C01" w:rsidP="007D75CF">
      <w:pPr>
        <w:rPr>
          <w:b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     </w:t>
      </w:r>
      <w:r w:rsidRPr="00C40C01">
        <w:rPr>
          <w:b/>
          <w:lang w:val="sl-SI"/>
        </w:rPr>
        <w:t xml:space="preserve">Dokument </w:t>
      </w:r>
      <w:r>
        <w:rPr>
          <w:b/>
          <w:lang w:val="sl-SI"/>
        </w:rPr>
        <w:t>š</w:t>
      </w:r>
      <w:r w:rsidRPr="00C40C01">
        <w:rPr>
          <w:b/>
          <w:lang w:val="sl-SI"/>
        </w:rPr>
        <w:t>t. 0920-6740/2023-2</w:t>
      </w:r>
      <w:r w:rsidR="00557BBA">
        <w:rPr>
          <w:b/>
          <w:lang w:val="sl-SI"/>
        </w:rPr>
        <w:t xml:space="preserve"> z dne 25. 4. 2023</w:t>
      </w:r>
    </w:p>
    <w:p w14:paraId="6DD8EBBE" w14:textId="77777777" w:rsidR="00C40C01" w:rsidRPr="00BC2517" w:rsidRDefault="00C40C01" w:rsidP="007D75CF">
      <w:pPr>
        <w:rPr>
          <w:lang w:val="sl-SI"/>
        </w:rPr>
      </w:pPr>
    </w:p>
    <w:p w14:paraId="35D8CD24" w14:textId="77777777" w:rsidR="00CB1562" w:rsidRDefault="004977E5" w:rsidP="00CB1562">
      <w:pPr>
        <w:jc w:val="both"/>
        <w:rPr>
          <w:lang w:val="sl-SI"/>
        </w:rPr>
      </w:pPr>
      <w:r>
        <w:rPr>
          <w:lang w:val="sl-SI"/>
        </w:rPr>
        <w:t>Prejeli smo vaše vprašanje, v okviru katerega izpostavljate primer situacije davčnih</w:t>
      </w:r>
      <w:r w:rsidRPr="00CB1562">
        <w:rPr>
          <w:lang w:val="sl-SI"/>
        </w:rPr>
        <w:t xml:space="preserve"> zavezancev, ki so v letu 2021</w:t>
      </w:r>
      <w:r>
        <w:rPr>
          <w:lang w:val="sl-SI"/>
        </w:rPr>
        <w:t xml:space="preserve"> z osebo</w:t>
      </w:r>
      <w:r w:rsidRPr="00CB1562">
        <w:rPr>
          <w:lang w:val="sl-SI"/>
        </w:rPr>
        <w:t xml:space="preserve"> sklenili zaposlitev za določen čas, in </w:t>
      </w:r>
      <w:r>
        <w:rPr>
          <w:lang w:val="sl-SI"/>
        </w:rPr>
        <w:t>nato</w:t>
      </w:r>
      <w:r w:rsidRPr="00CB1562">
        <w:rPr>
          <w:lang w:val="sl-SI"/>
        </w:rPr>
        <w:t xml:space="preserve"> v letu 2021 ali kasneje</w:t>
      </w:r>
      <w:r>
        <w:rPr>
          <w:lang w:val="sl-SI"/>
        </w:rPr>
        <w:t xml:space="preserve"> s to osebo podaljšali </w:t>
      </w:r>
      <w:r w:rsidRPr="00CB1562">
        <w:rPr>
          <w:lang w:val="sl-SI"/>
        </w:rPr>
        <w:t xml:space="preserve">zaposlitev s pogodbo za določen čas ali pa s pogodbo za nedoločen čas. </w:t>
      </w:r>
      <w:r>
        <w:rPr>
          <w:lang w:val="sl-SI"/>
        </w:rPr>
        <w:t>Ob predpostavki</w:t>
      </w:r>
      <w:r w:rsidRPr="00CB1562">
        <w:rPr>
          <w:lang w:val="sl-SI"/>
        </w:rPr>
        <w:t xml:space="preserve">, da </w:t>
      </w:r>
      <w:r>
        <w:rPr>
          <w:lang w:val="sl-SI"/>
        </w:rPr>
        <w:t>so izpolnjeni vsi ostali pogoji</w:t>
      </w:r>
      <w:r w:rsidR="00833171">
        <w:rPr>
          <w:lang w:val="sl-SI"/>
        </w:rPr>
        <w:t xml:space="preserve"> za uveljavljanje</w:t>
      </w:r>
      <w:r w:rsidRPr="00CB1562">
        <w:rPr>
          <w:lang w:val="sl-SI"/>
        </w:rPr>
        <w:t xml:space="preserve"> olajšave</w:t>
      </w:r>
      <w:r w:rsidR="00833171">
        <w:rPr>
          <w:lang w:val="sl-SI"/>
        </w:rPr>
        <w:t xml:space="preserve"> za zaposlovanje</w:t>
      </w:r>
      <w:r w:rsidRPr="00CB1562">
        <w:rPr>
          <w:lang w:val="sl-SI"/>
        </w:rPr>
        <w:t xml:space="preserve"> (</w:t>
      </w:r>
      <w:r w:rsidR="003F401D">
        <w:rPr>
          <w:lang w:val="sl-SI"/>
        </w:rPr>
        <w:t xml:space="preserve">npr. </w:t>
      </w:r>
      <w:r w:rsidRPr="00CB1562">
        <w:rPr>
          <w:lang w:val="sl-SI"/>
        </w:rPr>
        <w:t>glede starosti delavca, glede povečanj</w:t>
      </w:r>
      <w:r w:rsidR="003F401D">
        <w:rPr>
          <w:lang w:val="sl-SI"/>
        </w:rPr>
        <w:t>a skupnega števila zaposlenih ter drugo</w:t>
      </w:r>
      <w:r>
        <w:rPr>
          <w:lang w:val="sl-SI"/>
        </w:rPr>
        <w:t>) predlagate možno vsebinsko razlago</w:t>
      </w:r>
      <w:r w:rsidRPr="00CB1562">
        <w:rPr>
          <w:lang w:val="sl-SI"/>
        </w:rPr>
        <w:t>,</w:t>
      </w:r>
      <w:r>
        <w:rPr>
          <w:lang w:val="sl-SI"/>
        </w:rPr>
        <w:t xml:space="preserve"> skladno s katero</w:t>
      </w:r>
      <w:r w:rsidRPr="00CB1562">
        <w:rPr>
          <w:lang w:val="sl-SI"/>
        </w:rPr>
        <w:t xml:space="preserve"> imajo delodajalci pravico do te o</w:t>
      </w:r>
      <w:r w:rsidR="00833171">
        <w:rPr>
          <w:lang w:val="sl-SI"/>
        </w:rPr>
        <w:t xml:space="preserve">lajšave od prve zaposlitve istega </w:t>
      </w:r>
      <w:r w:rsidRPr="00CB1562">
        <w:rPr>
          <w:lang w:val="sl-SI"/>
        </w:rPr>
        <w:t>delavca napre</w:t>
      </w:r>
      <w:r>
        <w:rPr>
          <w:lang w:val="sl-SI"/>
        </w:rPr>
        <w:t>j, pa vse do izteka 24 mesecev, ne glede na to,</w:t>
      </w:r>
      <w:r w:rsidR="00315428">
        <w:rPr>
          <w:lang w:val="sl-SI"/>
        </w:rPr>
        <w:t xml:space="preserve"> ali</w:t>
      </w:r>
      <w:r>
        <w:rPr>
          <w:lang w:val="sl-SI"/>
        </w:rPr>
        <w:t xml:space="preserve"> v obdobju 24 mesecev pride do</w:t>
      </w:r>
      <w:r w:rsidR="00315428">
        <w:rPr>
          <w:lang w:val="sl-SI"/>
        </w:rPr>
        <w:t xml:space="preserve"> sklenitve novih pogodb. Gre namreč </w:t>
      </w:r>
      <w:r w:rsidRPr="00CB1562">
        <w:rPr>
          <w:lang w:val="sl-SI"/>
        </w:rPr>
        <w:t xml:space="preserve">za nadaljevanje zaposlitve tega delavca. </w:t>
      </w:r>
      <w:r w:rsidR="003F401D">
        <w:rPr>
          <w:lang w:val="sl-SI"/>
        </w:rPr>
        <w:t>Sprašujete, ali je možno</w:t>
      </w:r>
      <w:r w:rsidRPr="00CB1562">
        <w:rPr>
          <w:lang w:val="sl-SI"/>
        </w:rPr>
        <w:t xml:space="preserve"> upoštevali vsebinski vidik zaposlitve (prijava delavca v zavarovanje pri nekemu delodaj</w:t>
      </w:r>
      <w:r w:rsidR="003F401D">
        <w:rPr>
          <w:lang w:val="sl-SI"/>
        </w:rPr>
        <w:t>alcu) in ne formalni vidik.</w:t>
      </w:r>
    </w:p>
    <w:p w14:paraId="5942A4E2" w14:textId="77777777" w:rsidR="003F401D" w:rsidRDefault="003F401D" w:rsidP="00CB1562">
      <w:pPr>
        <w:jc w:val="both"/>
        <w:rPr>
          <w:lang w:val="sl-SI"/>
        </w:rPr>
      </w:pPr>
    </w:p>
    <w:p w14:paraId="6CBC64E4" w14:textId="77777777" w:rsidR="00CB1562" w:rsidRDefault="004977E5" w:rsidP="00CB1562">
      <w:pPr>
        <w:jc w:val="both"/>
        <w:rPr>
          <w:lang w:val="sl-SI"/>
        </w:rPr>
      </w:pPr>
      <w:r>
        <w:rPr>
          <w:lang w:val="sl-SI"/>
        </w:rPr>
        <w:t>V zvezi z vašim vprašanjem vam v nadaljevanju odgovarjamo.</w:t>
      </w:r>
    </w:p>
    <w:p w14:paraId="12776329" w14:textId="77777777" w:rsidR="00CB1562" w:rsidRDefault="00CB1562" w:rsidP="00CB1562">
      <w:pPr>
        <w:jc w:val="both"/>
        <w:rPr>
          <w:lang w:val="sl-SI"/>
        </w:rPr>
      </w:pPr>
    </w:p>
    <w:p w14:paraId="0923D7C4" w14:textId="77777777" w:rsidR="00CE253F" w:rsidRDefault="004977E5" w:rsidP="00CE253F">
      <w:pPr>
        <w:jc w:val="both"/>
        <w:rPr>
          <w:lang w:val="sl-SI"/>
        </w:rPr>
      </w:pPr>
      <w:r>
        <w:rPr>
          <w:lang w:val="sl-SI"/>
        </w:rPr>
        <w:t>Na podlagi</w:t>
      </w:r>
      <w:r w:rsidR="00E21D66">
        <w:rPr>
          <w:lang w:val="sl-SI"/>
        </w:rPr>
        <w:t xml:space="preserve"> </w:t>
      </w:r>
      <w:r w:rsidR="00E21D66" w:rsidRPr="00CE253F">
        <w:rPr>
          <w:lang w:val="sl-SI"/>
        </w:rPr>
        <w:t>55.b člen</w:t>
      </w:r>
      <w:r w:rsidR="00E21D66">
        <w:rPr>
          <w:lang w:val="sl-SI"/>
        </w:rPr>
        <w:t xml:space="preserve">a </w:t>
      </w:r>
      <w:hyperlink r:id="rId8" w:history="1">
        <w:r w:rsidR="00E21D66" w:rsidRPr="002A079B">
          <w:rPr>
            <w:rStyle w:val="Hiperpovezava"/>
            <w:lang w:val="sl-SI"/>
          </w:rPr>
          <w:t>Zakona o davku od dohodkov pravnih oseb</w:t>
        </w:r>
      </w:hyperlink>
      <w:r w:rsidR="00E21D66">
        <w:rPr>
          <w:lang w:val="sl-SI"/>
        </w:rPr>
        <w:t xml:space="preserve"> lahko z</w:t>
      </w:r>
      <w:r w:rsidR="00E21D66" w:rsidRPr="00CE253F">
        <w:rPr>
          <w:lang w:val="sl-SI"/>
        </w:rPr>
        <w:t xml:space="preserve">avezanec, ki na novo zaposli osebo, </w:t>
      </w:r>
      <w:r w:rsidR="00D377A7">
        <w:rPr>
          <w:lang w:val="sl-SI"/>
        </w:rPr>
        <w:t>ki</w:t>
      </w:r>
      <w:r w:rsidR="00E21D66">
        <w:rPr>
          <w:lang w:val="sl-SI"/>
        </w:rPr>
        <w:t xml:space="preserve"> </w:t>
      </w:r>
      <w:r w:rsidR="00D377A7">
        <w:rPr>
          <w:lang w:val="sl-SI"/>
        </w:rPr>
        <w:t>izpolnjuje določene pogoje</w:t>
      </w:r>
      <w:r>
        <w:rPr>
          <w:rStyle w:val="Sprotnaopomba-sklic"/>
          <w:lang w:val="sl-SI"/>
        </w:rPr>
        <w:footnoteReference w:id="1"/>
      </w:r>
      <w:r w:rsidR="00D377A7">
        <w:rPr>
          <w:lang w:val="sl-SI"/>
        </w:rPr>
        <w:t xml:space="preserve"> in </w:t>
      </w:r>
      <w:r>
        <w:rPr>
          <w:lang w:val="sl-SI"/>
        </w:rPr>
        <w:t xml:space="preserve">ki </w:t>
      </w:r>
      <w:r w:rsidR="00D377A7">
        <w:rPr>
          <w:lang w:val="sl-SI"/>
        </w:rPr>
        <w:t>ni bila</w:t>
      </w:r>
      <w:r w:rsidR="00D377A7" w:rsidRPr="00D377A7">
        <w:rPr>
          <w:lang w:val="sl-SI"/>
        </w:rPr>
        <w:t xml:space="preserve"> v obdobju zadnjih 24 mesecev zaposlena pri tem zavez</w:t>
      </w:r>
      <w:r w:rsidR="00D377A7">
        <w:rPr>
          <w:lang w:val="sl-SI"/>
        </w:rPr>
        <w:t>ancu ali njegovi povezani osebi,</w:t>
      </w:r>
      <w:r w:rsidR="00E21D66" w:rsidRPr="00CE253F">
        <w:rPr>
          <w:lang w:val="sl-SI"/>
        </w:rPr>
        <w:t xml:space="preserve"> uveljavlja </w:t>
      </w:r>
      <w:r>
        <w:rPr>
          <w:lang w:val="sl-SI"/>
        </w:rPr>
        <w:t>(če je izpolnjen tudi pogoj glede povečanja števila zaposlenih) znižanje davčne osnove</w:t>
      </w:r>
      <w:r w:rsidR="00E21D66">
        <w:rPr>
          <w:lang w:val="sl-SI"/>
        </w:rPr>
        <w:t xml:space="preserve">. </w:t>
      </w:r>
      <w:r>
        <w:rPr>
          <w:lang w:val="sl-SI"/>
        </w:rPr>
        <w:t>Z</w:t>
      </w:r>
      <w:r w:rsidR="00E21D66">
        <w:rPr>
          <w:lang w:val="sl-SI"/>
        </w:rPr>
        <w:t xml:space="preserve">avezanec </w:t>
      </w:r>
      <w:r>
        <w:rPr>
          <w:lang w:val="sl-SI"/>
        </w:rPr>
        <w:t xml:space="preserve">lahko </w:t>
      </w:r>
      <w:r w:rsidR="00E21D66" w:rsidRPr="00CE253F">
        <w:rPr>
          <w:lang w:val="sl-SI"/>
        </w:rPr>
        <w:t xml:space="preserve">uveljavlja olajšavo za prvih 24 mesecev zaposlitve teh oseb v davčnem letu zaposlitve in v naslednjih davčnih letih do poteka 24 mesecev. </w:t>
      </w:r>
    </w:p>
    <w:p w14:paraId="3F1932B3" w14:textId="77777777" w:rsidR="00D377A7" w:rsidRDefault="00D377A7" w:rsidP="00CE253F">
      <w:pPr>
        <w:jc w:val="both"/>
        <w:rPr>
          <w:lang w:val="sl-SI"/>
        </w:rPr>
      </w:pPr>
    </w:p>
    <w:p w14:paraId="44BAD538" w14:textId="77777777" w:rsidR="00130CFF" w:rsidRDefault="004977E5" w:rsidP="00CE253F">
      <w:pPr>
        <w:jc w:val="both"/>
        <w:rPr>
          <w:lang w:val="sl-SI"/>
        </w:rPr>
      </w:pPr>
      <w:r>
        <w:rPr>
          <w:lang w:val="sl-SI"/>
        </w:rPr>
        <w:t>Vprašanje, ki ga naslavljate, se nanaša na obseg pojma »nova zaposlitev«</w:t>
      </w:r>
      <w:r w:rsidR="007D02FC">
        <w:rPr>
          <w:lang w:val="sl-SI"/>
        </w:rPr>
        <w:t xml:space="preserve"> v primerih, kadar iz različnih razlogov pride</w:t>
      </w:r>
      <w:r w:rsidR="00E506F9">
        <w:rPr>
          <w:lang w:val="sl-SI"/>
        </w:rPr>
        <w:t xml:space="preserve"> med zaposlenim in delodajalcem</w:t>
      </w:r>
      <w:r w:rsidR="007D02FC">
        <w:rPr>
          <w:lang w:val="sl-SI"/>
        </w:rPr>
        <w:t xml:space="preserve"> do </w:t>
      </w:r>
      <w:r w:rsidR="00D51F7B">
        <w:rPr>
          <w:lang w:val="sl-SI"/>
        </w:rPr>
        <w:t xml:space="preserve">dejanskega </w:t>
      </w:r>
      <w:r w:rsidR="007D02FC">
        <w:rPr>
          <w:lang w:val="sl-SI"/>
        </w:rPr>
        <w:t xml:space="preserve">nadaljevanja </w:t>
      </w:r>
      <w:r w:rsidR="00D51F7B">
        <w:rPr>
          <w:lang w:val="sl-SI"/>
        </w:rPr>
        <w:t>zaposlitve</w:t>
      </w:r>
      <w:r w:rsidR="007D02FC">
        <w:rPr>
          <w:lang w:val="sl-SI"/>
        </w:rPr>
        <w:t xml:space="preserve"> na podlagi nove pogodbe o zaposlitvi</w:t>
      </w:r>
      <w:r w:rsidR="00BD30B4">
        <w:rPr>
          <w:lang w:val="sl-SI"/>
        </w:rPr>
        <w:t xml:space="preserve"> za določen ali nedoločen čas</w:t>
      </w:r>
      <w:r w:rsidR="007D02FC">
        <w:rPr>
          <w:lang w:val="sl-SI"/>
        </w:rPr>
        <w:t>. Obseg</w:t>
      </w:r>
      <w:r w:rsidR="0085375E">
        <w:rPr>
          <w:lang w:val="sl-SI"/>
        </w:rPr>
        <w:t xml:space="preserve"> pojma</w:t>
      </w:r>
      <w:r w:rsidR="00BD30B4">
        <w:rPr>
          <w:lang w:val="sl-SI"/>
        </w:rPr>
        <w:t xml:space="preserve"> je</w:t>
      </w:r>
      <w:r w:rsidR="007D02FC">
        <w:rPr>
          <w:lang w:val="sl-SI"/>
        </w:rPr>
        <w:t xml:space="preserve"> </w:t>
      </w:r>
      <w:r>
        <w:rPr>
          <w:lang w:val="sl-SI"/>
        </w:rPr>
        <w:t xml:space="preserve">za davčne namene treba </w:t>
      </w:r>
      <w:r w:rsidR="00E506F9">
        <w:rPr>
          <w:lang w:val="sl-SI"/>
        </w:rPr>
        <w:t>določit</w:t>
      </w:r>
      <w:r w:rsidR="007D02FC">
        <w:rPr>
          <w:lang w:val="sl-SI"/>
        </w:rPr>
        <w:t xml:space="preserve">i </w:t>
      </w:r>
      <w:r>
        <w:rPr>
          <w:lang w:val="sl-SI"/>
        </w:rPr>
        <w:t xml:space="preserve">glede na namen </w:t>
      </w:r>
      <w:r w:rsidR="00BD30B4">
        <w:rPr>
          <w:lang w:val="sl-SI"/>
        </w:rPr>
        <w:t xml:space="preserve">davčne </w:t>
      </w:r>
      <w:r>
        <w:rPr>
          <w:lang w:val="sl-SI"/>
        </w:rPr>
        <w:t>ola</w:t>
      </w:r>
      <w:r w:rsidR="00E506F9">
        <w:rPr>
          <w:lang w:val="sl-SI"/>
        </w:rPr>
        <w:t>jšave</w:t>
      </w:r>
      <w:r w:rsidR="00BD30B4">
        <w:rPr>
          <w:lang w:val="sl-SI"/>
        </w:rPr>
        <w:t xml:space="preserve">, kar pomeni, da pojma </w:t>
      </w:r>
      <w:r w:rsidR="00D51F7B">
        <w:rPr>
          <w:lang w:val="sl-SI"/>
        </w:rPr>
        <w:t>»</w:t>
      </w:r>
      <w:r w:rsidR="00BD30B4">
        <w:rPr>
          <w:lang w:val="sl-SI"/>
        </w:rPr>
        <w:t>nova zaposlitev</w:t>
      </w:r>
      <w:r w:rsidR="00D51F7B">
        <w:rPr>
          <w:lang w:val="sl-SI"/>
        </w:rPr>
        <w:t>«</w:t>
      </w:r>
      <w:r w:rsidR="00BD30B4">
        <w:rPr>
          <w:lang w:val="sl-SI"/>
        </w:rPr>
        <w:t xml:space="preserve"> ni mogoče </w:t>
      </w:r>
      <w:r w:rsidR="00D51F7B">
        <w:rPr>
          <w:lang w:val="sl-SI"/>
        </w:rPr>
        <w:t>določiti na način, kot</w:t>
      </w:r>
      <w:r w:rsidR="00BD30B4">
        <w:rPr>
          <w:lang w:val="sl-SI"/>
        </w:rPr>
        <w:t xml:space="preserve"> </w:t>
      </w:r>
      <w:r w:rsidR="00CF6AFC">
        <w:rPr>
          <w:lang w:val="sl-SI"/>
        </w:rPr>
        <w:t xml:space="preserve">je določen na področju delovnega prava. </w:t>
      </w:r>
    </w:p>
    <w:p w14:paraId="4E92972A" w14:textId="77777777" w:rsidR="00CF6AFC" w:rsidRDefault="00CF6AFC" w:rsidP="00CE253F">
      <w:pPr>
        <w:jc w:val="both"/>
        <w:rPr>
          <w:lang w:val="sl-SI"/>
        </w:rPr>
      </w:pPr>
    </w:p>
    <w:p w14:paraId="68BE0D95" w14:textId="77777777" w:rsidR="007436A3" w:rsidRDefault="004977E5" w:rsidP="00E506F9">
      <w:pPr>
        <w:jc w:val="both"/>
        <w:rPr>
          <w:lang w:val="sl-SI"/>
        </w:rPr>
      </w:pPr>
      <w:r>
        <w:rPr>
          <w:lang w:val="sl-SI"/>
        </w:rPr>
        <w:t>Namen olajšave</w:t>
      </w:r>
      <w:r w:rsidR="00E21D66">
        <w:rPr>
          <w:lang w:val="sl-SI"/>
        </w:rPr>
        <w:t xml:space="preserve"> je glede na sprem</w:t>
      </w:r>
      <w:r w:rsidR="00B311E5">
        <w:rPr>
          <w:lang w:val="sl-SI"/>
        </w:rPr>
        <w:t>embo ZDDPO-2S mogoče utemeljiti</w:t>
      </w:r>
      <w:r>
        <w:rPr>
          <w:lang w:val="sl-SI"/>
        </w:rPr>
        <w:t xml:space="preserve"> </w:t>
      </w:r>
      <w:r w:rsidR="00E21D66">
        <w:rPr>
          <w:lang w:val="sl-SI"/>
        </w:rPr>
        <w:t xml:space="preserve">na vzpodbujanju davčnih zavezancev, da aktivno zaposlujejo osebe, </w:t>
      </w:r>
      <w:r w:rsidR="00E872FE">
        <w:rPr>
          <w:lang w:val="sl-SI"/>
        </w:rPr>
        <w:t>ki</w:t>
      </w:r>
      <w:r w:rsidR="00DA3014">
        <w:rPr>
          <w:lang w:val="sl-SI"/>
        </w:rPr>
        <w:t xml:space="preserve"> </w:t>
      </w:r>
      <w:r w:rsidR="00E21D66">
        <w:rPr>
          <w:lang w:val="sl-SI"/>
        </w:rPr>
        <w:t>so</w:t>
      </w:r>
      <w:r w:rsidR="000012F4">
        <w:rPr>
          <w:lang w:val="sl-SI"/>
        </w:rPr>
        <w:t xml:space="preserve"> bodisi</w:t>
      </w:r>
      <w:r w:rsidR="00E21D66">
        <w:rPr>
          <w:lang w:val="sl-SI"/>
        </w:rPr>
        <w:t xml:space="preserve"> težje zaposljive</w:t>
      </w:r>
      <w:r w:rsidR="000012F4">
        <w:rPr>
          <w:lang w:val="sl-SI"/>
        </w:rPr>
        <w:t xml:space="preserve"> bodisi </w:t>
      </w:r>
      <w:r w:rsidR="00DA3014">
        <w:rPr>
          <w:lang w:val="sl-SI"/>
        </w:rPr>
        <w:t>v zvezi z njimi</w:t>
      </w:r>
      <w:r w:rsidR="000012F4" w:rsidRPr="000012F4">
        <w:rPr>
          <w:lang w:val="sl-SI"/>
        </w:rPr>
        <w:t xml:space="preserve"> na trgu ni dovolj kadra glede na potrebe delodajalcev</w:t>
      </w:r>
      <w:r>
        <w:rPr>
          <w:rStyle w:val="Sprotnaopomba-sklic"/>
          <w:lang w:val="sl-SI"/>
        </w:rPr>
        <w:footnoteReference w:id="2"/>
      </w:r>
      <w:r w:rsidR="00E872FE">
        <w:rPr>
          <w:lang w:val="sl-SI"/>
        </w:rPr>
        <w:t xml:space="preserve">, ni pa ga mogoče iskati v zagotavljanju delovnopravne varnosti zaposlenih. </w:t>
      </w:r>
      <w:r>
        <w:rPr>
          <w:lang w:val="sl-SI"/>
        </w:rPr>
        <w:t>Za uveljavljanje olajšave za zaposlovanje</w:t>
      </w:r>
      <w:r w:rsidR="00E21D66">
        <w:rPr>
          <w:lang w:val="sl-SI"/>
        </w:rPr>
        <w:t xml:space="preserve"> </w:t>
      </w:r>
      <w:r>
        <w:rPr>
          <w:lang w:val="sl-SI"/>
        </w:rPr>
        <w:t>namreč ni treba</w:t>
      </w:r>
      <w:r w:rsidR="00D90B5E">
        <w:rPr>
          <w:lang w:val="sl-SI"/>
        </w:rPr>
        <w:t>, da se zaposlenim</w:t>
      </w:r>
      <w:r w:rsidR="00E21D66">
        <w:rPr>
          <w:lang w:val="sl-SI"/>
        </w:rPr>
        <w:t xml:space="preserve"> osebam za</w:t>
      </w:r>
      <w:r w:rsidR="000012F4">
        <w:rPr>
          <w:lang w:val="sl-SI"/>
        </w:rPr>
        <w:t xml:space="preserve">gotavlja dolgoročna zaposlitev. </w:t>
      </w:r>
      <w:r w:rsidR="000C4B70">
        <w:rPr>
          <w:lang w:val="sl-SI"/>
        </w:rPr>
        <w:t>Če bi bil namen določbe v</w:t>
      </w:r>
      <w:r w:rsidR="00B311E5">
        <w:rPr>
          <w:lang w:val="sl-SI"/>
        </w:rPr>
        <w:t xml:space="preserve"> zagotavljanju</w:t>
      </w:r>
      <w:r w:rsidR="000C4B70">
        <w:rPr>
          <w:lang w:val="sl-SI"/>
        </w:rPr>
        <w:t xml:space="preserve"> d</w:t>
      </w:r>
      <w:r w:rsidR="000012F4">
        <w:rPr>
          <w:lang w:val="sl-SI"/>
        </w:rPr>
        <w:t>olgoročnost</w:t>
      </w:r>
      <w:r w:rsidR="000C4B70">
        <w:rPr>
          <w:lang w:val="sl-SI"/>
        </w:rPr>
        <w:t>i</w:t>
      </w:r>
      <w:r w:rsidR="000012F4">
        <w:rPr>
          <w:lang w:val="sl-SI"/>
        </w:rPr>
        <w:t xml:space="preserve"> zaposlitve</w:t>
      </w:r>
      <w:r w:rsidR="000C4B70">
        <w:rPr>
          <w:lang w:val="sl-SI"/>
        </w:rPr>
        <w:t>,</w:t>
      </w:r>
      <w:r w:rsidR="000012F4">
        <w:rPr>
          <w:lang w:val="sl-SI"/>
        </w:rPr>
        <w:t xml:space="preserve"> bi se</w:t>
      </w:r>
      <w:r w:rsidR="000C4B70">
        <w:rPr>
          <w:lang w:val="sl-SI"/>
        </w:rPr>
        <w:t xml:space="preserve"> ta odražal</w:t>
      </w:r>
      <w:r w:rsidR="000012F4">
        <w:rPr>
          <w:lang w:val="sl-SI"/>
        </w:rPr>
        <w:t xml:space="preserve"> v obveznosti sklenitve pogodbe za nedoločen čas, </w:t>
      </w:r>
      <w:r>
        <w:rPr>
          <w:lang w:val="sl-SI"/>
        </w:rPr>
        <w:t xml:space="preserve">česar pa ZDDPO-2 na podlagi spremembe te določbe z </w:t>
      </w:r>
      <w:hyperlink r:id="rId9" w:history="1">
        <w:r w:rsidRPr="00042C62">
          <w:rPr>
            <w:rStyle w:val="Hiperpovezava"/>
            <w:lang w:val="sl-SI"/>
          </w:rPr>
          <w:t>ZDDPO-S</w:t>
        </w:r>
      </w:hyperlink>
      <w:r>
        <w:rPr>
          <w:rStyle w:val="Sprotnaopomba-sklic"/>
          <w:lang w:val="sl-SI"/>
        </w:rPr>
        <w:footnoteReference w:id="3"/>
      </w:r>
      <w:r>
        <w:rPr>
          <w:lang w:val="sl-SI"/>
        </w:rPr>
        <w:t xml:space="preserve"> ne določa</w:t>
      </w:r>
      <w:r w:rsidR="00042C62">
        <w:rPr>
          <w:lang w:val="sl-SI"/>
        </w:rPr>
        <w:t xml:space="preserve"> več</w:t>
      </w:r>
      <w:r w:rsidR="00E21D66">
        <w:rPr>
          <w:lang w:val="sl-SI"/>
        </w:rPr>
        <w:t>. Namen olajšave je tako predvsem v tem, da se delodajalce vzpodbuja k zaposlovanju težje zaposljivih oseb, da te dobijo karierne priložnosti, izkušnje ter so aktivno vključene v delovno okolje</w:t>
      </w:r>
      <w:r w:rsidR="00D9379D">
        <w:rPr>
          <w:lang w:val="sl-SI"/>
        </w:rPr>
        <w:t>. V</w:t>
      </w:r>
      <w:r w:rsidR="00B311E5">
        <w:rPr>
          <w:lang w:val="sl-SI"/>
        </w:rPr>
        <w:t xml:space="preserve"> zvezi z s poklici v primanjkljaju pa je namen olajšav</w:t>
      </w:r>
      <w:r w:rsidR="00B018EA">
        <w:rPr>
          <w:lang w:val="sl-SI"/>
        </w:rPr>
        <w:t xml:space="preserve">e </w:t>
      </w:r>
      <w:r w:rsidR="00E530D5">
        <w:rPr>
          <w:lang w:val="sl-SI"/>
        </w:rPr>
        <w:t>videti v</w:t>
      </w:r>
      <w:r w:rsidR="00B311E5">
        <w:rPr>
          <w:lang w:val="sl-SI"/>
        </w:rPr>
        <w:t xml:space="preserve"> pomoč</w:t>
      </w:r>
      <w:r w:rsidR="00E530D5">
        <w:rPr>
          <w:lang w:val="sl-SI"/>
        </w:rPr>
        <w:t>i</w:t>
      </w:r>
      <w:r w:rsidR="00B311E5">
        <w:rPr>
          <w:lang w:val="sl-SI"/>
        </w:rPr>
        <w:t xml:space="preserve"> delodajalcem, ki imajo pri zaposlovanju</w:t>
      </w:r>
      <w:r w:rsidR="00B018EA">
        <w:rPr>
          <w:lang w:val="sl-SI"/>
        </w:rPr>
        <w:t xml:space="preserve"> objektivne</w:t>
      </w:r>
      <w:r w:rsidR="00B311E5">
        <w:rPr>
          <w:lang w:val="sl-SI"/>
        </w:rPr>
        <w:t xml:space="preserve"> težave</w:t>
      </w:r>
      <w:r w:rsidR="00E21D66">
        <w:rPr>
          <w:lang w:val="sl-SI"/>
        </w:rPr>
        <w:t xml:space="preserve">. </w:t>
      </w:r>
      <w:r w:rsidR="00A34F16">
        <w:rPr>
          <w:lang w:val="sl-SI"/>
        </w:rPr>
        <w:t xml:space="preserve">Z vidika obravnave namena </w:t>
      </w:r>
      <w:r w:rsidR="00B311E5">
        <w:rPr>
          <w:lang w:val="sl-SI"/>
        </w:rPr>
        <w:t>olajšave, ki torej ni v zagotavljanju delovnopravne varnosti zaposlenih</w:t>
      </w:r>
      <w:r w:rsidR="00A34F16">
        <w:rPr>
          <w:lang w:val="sl-SI"/>
        </w:rPr>
        <w:t xml:space="preserve">, </w:t>
      </w:r>
      <w:r>
        <w:rPr>
          <w:lang w:val="sl-SI"/>
        </w:rPr>
        <w:t>je za davčne namene</w:t>
      </w:r>
      <w:r w:rsidR="00E530D5">
        <w:rPr>
          <w:lang w:val="sl-SI"/>
        </w:rPr>
        <w:t xml:space="preserve"> relevantno, ali je izpolnjen </w:t>
      </w:r>
      <w:r>
        <w:rPr>
          <w:lang w:val="sl-SI"/>
        </w:rPr>
        <w:t xml:space="preserve">osnovni </w:t>
      </w:r>
      <w:r w:rsidR="00D9379D">
        <w:rPr>
          <w:lang w:val="sl-SI"/>
        </w:rPr>
        <w:t>namen, ki ga zasleduje institut</w:t>
      </w:r>
      <w:r w:rsidR="00E530D5">
        <w:rPr>
          <w:lang w:val="sl-SI"/>
        </w:rPr>
        <w:t xml:space="preserve"> davčne </w:t>
      </w:r>
      <w:r w:rsidR="00B018EA">
        <w:rPr>
          <w:lang w:val="sl-SI"/>
        </w:rPr>
        <w:t>olajšave. Č</w:t>
      </w:r>
      <w:r w:rsidR="003C065C">
        <w:rPr>
          <w:lang w:val="sl-SI"/>
        </w:rPr>
        <w:t xml:space="preserve">e je osnovni </w:t>
      </w:r>
      <w:r w:rsidR="003C065C">
        <w:rPr>
          <w:lang w:val="sl-SI"/>
        </w:rPr>
        <w:lastRenderedPageBreak/>
        <w:t>namen olajšave izpolnjen (delodajalec je npr. zaposlil težje zaposljivo osebo)</w:t>
      </w:r>
      <w:r w:rsidR="00D9379D">
        <w:rPr>
          <w:lang w:val="sl-SI"/>
        </w:rPr>
        <w:t xml:space="preserve">, </w:t>
      </w:r>
      <w:r w:rsidR="003C065C">
        <w:rPr>
          <w:lang w:val="sl-SI"/>
        </w:rPr>
        <w:t xml:space="preserve">na njeno uveljavljanje v obdobju, </w:t>
      </w:r>
      <w:r w:rsidR="009D6992">
        <w:rPr>
          <w:lang w:val="sl-SI"/>
        </w:rPr>
        <w:t>v katerem</w:t>
      </w:r>
      <w:r w:rsidR="003C065C">
        <w:rPr>
          <w:lang w:val="sl-SI"/>
        </w:rPr>
        <w:t xml:space="preserve"> je zakonodajalec </w:t>
      </w:r>
      <w:r w:rsidR="009D6992">
        <w:rPr>
          <w:lang w:val="sl-SI"/>
        </w:rPr>
        <w:t>nameni</w:t>
      </w:r>
      <w:r w:rsidR="003C065C">
        <w:rPr>
          <w:lang w:val="sl-SI"/>
        </w:rPr>
        <w:t>l</w:t>
      </w:r>
      <w:r w:rsidR="009D6992">
        <w:rPr>
          <w:lang w:val="sl-SI"/>
        </w:rPr>
        <w:t xml:space="preserve"> delodajalcu možnost uveljavljanja davčne</w:t>
      </w:r>
      <w:r w:rsidR="003C065C">
        <w:rPr>
          <w:lang w:val="sl-SI"/>
        </w:rPr>
        <w:t xml:space="preserve"> ugodnost</w:t>
      </w:r>
      <w:r w:rsidR="009D6992">
        <w:rPr>
          <w:lang w:val="sl-SI"/>
        </w:rPr>
        <w:t>i</w:t>
      </w:r>
      <w:r w:rsidR="003C065C">
        <w:rPr>
          <w:lang w:val="sl-SI"/>
        </w:rPr>
        <w:t>, ne more vplivati</w:t>
      </w:r>
      <w:r w:rsidR="00E530D5">
        <w:rPr>
          <w:lang w:val="sl-SI"/>
        </w:rPr>
        <w:t xml:space="preserve"> </w:t>
      </w:r>
      <w:r w:rsidR="009D6992">
        <w:rPr>
          <w:lang w:val="sl-SI"/>
        </w:rPr>
        <w:t xml:space="preserve">dejanski </w:t>
      </w:r>
      <w:r w:rsidR="003C065C">
        <w:rPr>
          <w:lang w:val="sl-SI"/>
        </w:rPr>
        <w:t>način urejanja delovnopravnega razmerja</w:t>
      </w:r>
      <w:r>
        <w:rPr>
          <w:rStyle w:val="Sprotnaopomba-sklic"/>
          <w:lang w:val="sl-SI"/>
        </w:rPr>
        <w:footnoteReference w:id="4"/>
      </w:r>
      <w:r w:rsidR="00D9379D">
        <w:rPr>
          <w:lang w:val="sl-SI"/>
        </w:rPr>
        <w:t xml:space="preserve"> </w:t>
      </w:r>
      <w:r w:rsidR="003C065C">
        <w:rPr>
          <w:lang w:val="sl-SI"/>
        </w:rPr>
        <w:t>med zaposle</w:t>
      </w:r>
      <w:r w:rsidR="00D9379D">
        <w:rPr>
          <w:lang w:val="sl-SI"/>
        </w:rPr>
        <w:t xml:space="preserve">nim in delodajalcem (npr. </w:t>
      </w:r>
      <w:r w:rsidR="003C065C">
        <w:rPr>
          <w:lang w:val="sl-SI"/>
        </w:rPr>
        <w:t>vrsta</w:t>
      </w:r>
      <w:r w:rsidR="00B018EA">
        <w:rPr>
          <w:lang w:val="sl-SI"/>
        </w:rPr>
        <w:t xml:space="preserve"> </w:t>
      </w:r>
      <w:r w:rsidR="003C065C">
        <w:rPr>
          <w:lang w:val="sl-SI"/>
        </w:rPr>
        <w:t>sklenjene</w:t>
      </w:r>
      <w:r w:rsidR="00E530D5">
        <w:rPr>
          <w:lang w:val="sl-SI"/>
        </w:rPr>
        <w:t xml:space="preserve"> </w:t>
      </w:r>
      <w:r w:rsidR="00A34F16">
        <w:rPr>
          <w:lang w:val="sl-SI"/>
        </w:rPr>
        <w:t>pogodb</w:t>
      </w:r>
      <w:r w:rsidR="003C065C">
        <w:rPr>
          <w:lang w:val="sl-SI"/>
        </w:rPr>
        <w:t>e</w:t>
      </w:r>
      <w:r w:rsidR="00D9379D">
        <w:rPr>
          <w:lang w:val="sl-SI"/>
        </w:rPr>
        <w:t xml:space="preserve">, </w:t>
      </w:r>
      <w:r w:rsidR="003C065C">
        <w:rPr>
          <w:lang w:val="sl-SI"/>
        </w:rPr>
        <w:t>število</w:t>
      </w:r>
      <w:r w:rsidR="00E530D5">
        <w:rPr>
          <w:lang w:val="sl-SI"/>
        </w:rPr>
        <w:t xml:space="preserve"> sklenjenih pogodb</w:t>
      </w:r>
      <w:r w:rsidR="00D9379D">
        <w:rPr>
          <w:lang w:val="sl-SI"/>
        </w:rPr>
        <w:t>).</w:t>
      </w:r>
    </w:p>
    <w:p w14:paraId="5E1BF979" w14:textId="77777777" w:rsidR="007436A3" w:rsidRDefault="007436A3" w:rsidP="00E506F9">
      <w:pPr>
        <w:jc w:val="both"/>
        <w:rPr>
          <w:lang w:val="sl-SI"/>
        </w:rPr>
      </w:pPr>
    </w:p>
    <w:p w14:paraId="723E89D2" w14:textId="77777777" w:rsidR="00BD30B4" w:rsidRDefault="004977E5" w:rsidP="00E506F9">
      <w:pPr>
        <w:jc w:val="both"/>
        <w:rPr>
          <w:lang w:val="sl-SI"/>
        </w:rPr>
      </w:pPr>
      <w:r>
        <w:rPr>
          <w:lang w:val="sl-SI"/>
        </w:rPr>
        <w:t xml:space="preserve">Izpolnjevanje pogojev </w:t>
      </w:r>
      <w:r w:rsidR="003C69D6">
        <w:rPr>
          <w:lang w:val="sl-SI"/>
        </w:rPr>
        <w:t>za uveljavljanje</w:t>
      </w:r>
      <w:r>
        <w:rPr>
          <w:lang w:val="sl-SI"/>
        </w:rPr>
        <w:t xml:space="preserve"> davčne olajšave za zaposlovanje in s tem skladnost z njenim namenom </w:t>
      </w:r>
      <w:r w:rsidR="009D6992">
        <w:rPr>
          <w:lang w:val="sl-SI"/>
        </w:rPr>
        <w:t>se torej presoja</w:t>
      </w:r>
      <w:r>
        <w:rPr>
          <w:lang w:val="sl-SI"/>
        </w:rPr>
        <w:t xml:space="preserve"> v trenutku</w:t>
      </w:r>
      <w:r w:rsidR="00C03AE1">
        <w:rPr>
          <w:lang w:val="sl-SI"/>
        </w:rPr>
        <w:t xml:space="preserve"> </w:t>
      </w:r>
      <w:r>
        <w:rPr>
          <w:lang w:val="sl-SI"/>
        </w:rPr>
        <w:t>prve</w:t>
      </w:r>
      <w:r w:rsidR="00A34F16">
        <w:rPr>
          <w:lang w:val="sl-SI"/>
        </w:rPr>
        <w:t xml:space="preserve"> </w:t>
      </w:r>
      <w:r>
        <w:rPr>
          <w:lang w:val="sl-SI"/>
        </w:rPr>
        <w:t xml:space="preserve">sklenjene pogodbe, uveljavljati pa jo je mogoče za plačo, ki jo delodajalec plača </w:t>
      </w:r>
      <w:r w:rsidR="007436A3">
        <w:rPr>
          <w:lang w:val="sl-SI"/>
        </w:rPr>
        <w:t xml:space="preserve">osebi </w:t>
      </w:r>
      <w:r>
        <w:rPr>
          <w:lang w:val="sl-SI"/>
        </w:rPr>
        <w:t>v obdobju znotraj 24 mesecev od prve zaposlitve, če</w:t>
      </w:r>
      <w:r w:rsidR="00A34F16">
        <w:rPr>
          <w:lang w:val="sl-SI"/>
        </w:rPr>
        <w:t xml:space="preserve"> je </w:t>
      </w:r>
      <w:r>
        <w:rPr>
          <w:lang w:val="sl-SI"/>
        </w:rPr>
        <w:t xml:space="preserve">bila oseba v tem obdobju </w:t>
      </w:r>
      <w:r w:rsidR="00C03AE1">
        <w:rPr>
          <w:lang w:val="sl-SI"/>
        </w:rPr>
        <w:t>neprekinjeno zaposlena in v</w:t>
      </w:r>
      <w:r w:rsidR="004C4A12">
        <w:rPr>
          <w:lang w:val="sl-SI"/>
        </w:rPr>
        <w:t xml:space="preserve"> socialna zavarovanja </w:t>
      </w:r>
      <w:r w:rsidR="00C03AE1">
        <w:rPr>
          <w:lang w:val="sl-SI"/>
        </w:rPr>
        <w:t xml:space="preserve">neprekinjeno vključena pri davčnemu zavezancu </w:t>
      </w:r>
      <w:r>
        <w:rPr>
          <w:lang w:val="sl-SI"/>
        </w:rPr>
        <w:t>–</w:t>
      </w:r>
      <w:r w:rsidR="00C03AE1">
        <w:rPr>
          <w:lang w:val="sl-SI"/>
        </w:rPr>
        <w:t xml:space="preserve"> delodajalcu</w:t>
      </w:r>
      <w:r>
        <w:rPr>
          <w:lang w:val="sl-SI"/>
        </w:rPr>
        <w:t>.</w:t>
      </w:r>
      <w:r w:rsidR="007436A3">
        <w:rPr>
          <w:lang w:val="sl-SI"/>
        </w:rPr>
        <w:t xml:space="preserve"> </w:t>
      </w:r>
      <w:r w:rsidR="00D9379D">
        <w:rPr>
          <w:lang w:val="sl-SI"/>
        </w:rPr>
        <w:t xml:space="preserve">Za davčne namene se </w:t>
      </w:r>
      <w:r w:rsidR="00D50D47">
        <w:rPr>
          <w:lang w:val="sl-SI"/>
        </w:rPr>
        <w:t>torej</w:t>
      </w:r>
      <w:r w:rsidR="003C69D6">
        <w:rPr>
          <w:lang w:val="sl-SI"/>
        </w:rPr>
        <w:t xml:space="preserve"> zaposlitve, ki temeljijo na</w:t>
      </w:r>
      <w:r w:rsidR="00D50D47">
        <w:rPr>
          <w:lang w:val="sl-SI"/>
        </w:rPr>
        <w:t xml:space="preserve"> </w:t>
      </w:r>
      <w:r w:rsidR="003C69D6">
        <w:rPr>
          <w:lang w:val="sl-SI"/>
        </w:rPr>
        <w:t>delovnopravnih pogodbah</w:t>
      </w:r>
      <w:r w:rsidR="00D50D47">
        <w:rPr>
          <w:lang w:val="sl-SI"/>
        </w:rPr>
        <w:t xml:space="preserve">, ki brez dejanske prekinitve </w:t>
      </w:r>
      <w:r w:rsidR="003C69D6">
        <w:rPr>
          <w:lang w:val="sl-SI"/>
        </w:rPr>
        <w:t xml:space="preserve">zaposlitve </w:t>
      </w:r>
      <w:r w:rsidR="009D6992">
        <w:rPr>
          <w:lang w:val="sl-SI"/>
        </w:rPr>
        <w:t xml:space="preserve">sledijo prvi zaposlitvi, </w:t>
      </w:r>
      <w:r w:rsidR="00D50D47">
        <w:rPr>
          <w:lang w:val="sl-SI"/>
        </w:rPr>
        <w:t>ne obravnavajo kot nova zaposlitev</w:t>
      </w:r>
      <w:r>
        <w:rPr>
          <w:rStyle w:val="Sprotnaopomba-sklic"/>
          <w:lang w:val="sl-SI"/>
        </w:rPr>
        <w:footnoteReference w:id="5"/>
      </w:r>
      <w:r w:rsidR="00D50D47">
        <w:rPr>
          <w:lang w:val="sl-SI"/>
        </w:rPr>
        <w:t>.</w:t>
      </w:r>
      <w:r w:rsidR="00CF6AFC">
        <w:rPr>
          <w:lang w:val="sl-SI"/>
        </w:rPr>
        <w:t xml:space="preserve"> </w:t>
      </w:r>
    </w:p>
    <w:p w14:paraId="643A2896" w14:textId="77777777" w:rsidR="00BD30B4" w:rsidRDefault="00BD30B4" w:rsidP="00E506F9">
      <w:pPr>
        <w:jc w:val="both"/>
        <w:rPr>
          <w:lang w:val="sl-SI"/>
        </w:rPr>
      </w:pPr>
    </w:p>
    <w:p w14:paraId="2633E087" w14:textId="77777777" w:rsidR="00C66A65" w:rsidRDefault="004977E5" w:rsidP="00E506F9">
      <w:pPr>
        <w:jc w:val="both"/>
        <w:rPr>
          <w:lang w:val="sl-SI"/>
        </w:rPr>
      </w:pPr>
      <w:r>
        <w:rPr>
          <w:lang w:val="sl-SI"/>
        </w:rPr>
        <w:t>Če povzamemo,</w:t>
      </w:r>
      <w:r w:rsidR="00470C0B">
        <w:rPr>
          <w:lang w:val="sl-SI"/>
        </w:rPr>
        <w:t xml:space="preserve"> </w:t>
      </w:r>
      <w:r w:rsidR="00D50D47">
        <w:rPr>
          <w:lang w:val="sl-SI"/>
        </w:rPr>
        <w:t>v primeru kontinuiranega zaposlovanja</w:t>
      </w:r>
      <w:r w:rsidR="00470C0B">
        <w:rPr>
          <w:lang w:val="sl-SI"/>
        </w:rPr>
        <w:t xml:space="preserve">, ki se kaže v </w:t>
      </w:r>
      <w:r w:rsidR="007436A3">
        <w:rPr>
          <w:lang w:val="sl-SI"/>
        </w:rPr>
        <w:t xml:space="preserve">neprekinjeni </w:t>
      </w:r>
      <w:r w:rsidR="00470C0B">
        <w:rPr>
          <w:lang w:val="sl-SI"/>
        </w:rPr>
        <w:t xml:space="preserve">vključenosti </w:t>
      </w:r>
      <w:r>
        <w:rPr>
          <w:lang w:val="sl-SI"/>
        </w:rPr>
        <w:t xml:space="preserve">iste </w:t>
      </w:r>
      <w:r w:rsidR="007436A3">
        <w:rPr>
          <w:lang w:val="sl-SI"/>
        </w:rPr>
        <w:t xml:space="preserve">osebe </w:t>
      </w:r>
      <w:r w:rsidR="00470C0B">
        <w:rPr>
          <w:lang w:val="sl-SI"/>
        </w:rPr>
        <w:t>v socialna zav</w:t>
      </w:r>
      <w:r>
        <w:rPr>
          <w:lang w:val="sl-SI"/>
        </w:rPr>
        <w:t>arovanja pri istem delodajalcu, način urejanja njunega delovnopravnega razmerja</w:t>
      </w:r>
      <w:r w:rsidR="007436A3">
        <w:rPr>
          <w:lang w:val="sl-SI"/>
        </w:rPr>
        <w:t xml:space="preserve"> ne </w:t>
      </w:r>
      <w:r>
        <w:rPr>
          <w:lang w:val="sl-SI"/>
        </w:rPr>
        <w:t>vpliva na nastanek novega trenutka</w:t>
      </w:r>
      <w:r w:rsidR="00493E17">
        <w:rPr>
          <w:lang w:val="sl-SI"/>
        </w:rPr>
        <w:t xml:space="preserve">, ki bi bil </w:t>
      </w:r>
      <w:r w:rsidR="00470C0B">
        <w:rPr>
          <w:lang w:val="sl-SI"/>
        </w:rPr>
        <w:t xml:space="preserve">z davčnega vidika </w:t>
      </w:r>
      <w:r w:rsidR="00493E17">
        <w:rPr>
          <w:lang w:val="sl-SI"/>
        </w:rPr>
        <w:t>pomemben pri presoji</w:t>
      </w:r>
      <w:r w:rsidR="00BD30B4">
        <w:rPr>
          <w:lang w:val="sl-SI"/>
        </w:rPr>
        <w:t xml:space="preserve"> izpolnjevanja namena </w:t>
      </w:r>
      <w:r w:rsidR="00470C0B">
        <w:rPr>
          <w:lang w:val="sl-SI"/>
        </w:rPr>
        <w:t>olajšave.</w:t>
      </w:r>
    </w:p>
    <w:p w14:paraId="2F39734F" w14:textId="77777777" w:rsidR="00100829" w:rsidRDefault="00100829" w:rsidP="007D75CF">
      <w:pPr>
        <w:rPr>
          <w:lang w:val="sl-SI"/>
        </w:rPr>
      </w:pPr>
    </w:p>
    <w:p w14:paraId="4A09767D" w14:textId="77777777" w:rsidR="00100829" w:rsidRPr="00BC2517" w:rsidRDefault="00100829" w:rsidP="007D75CF">
      <w:pPr>
        <w:rPr>
          <w:lang w:val="sl-SI"/>
        </w:rPr>
      </w:pPr>
    </w:p>
    <w:p w14:paraId="68137C9D" w14:textId="77777777" w:rsidR="00377950" w:rsidRPr="00BC2517" w:rsidRDefault="00377950" w:rsidP="007D75CF">
      <w:pPr>
        <w:rPr>
          <w:lang w:val="sl-SI"/>
        </w:rPr>
      </w:pPr>
    </w:p>
    <w:p w14:paraId="4EA07FC1" w14:textId="77777777" w:rsidR="00377950" w:rsidRPr="00BC2517" w:rsidRDefault="00377950" w:rsidP="007D75CF">
      <w:pPr>
        <w:rPr>
          <w:lang w:val="sl-SI"/>
        </w:rPr>
      </w:pPr>
    </w:p>
    <w:p w14:paraId="7E51FE74" w14:textId="77777777" w:rsidR="00377950" w:rsidRPr="00BC2517" w:rsidRDefault="00377950" w:rsidP="007D75CF">
      <w:pPr>
        <w:rPr>
          <w:lang w:val="sl-SI"/>
        </w:rPr>
      </w:pPr>
    </w:p>
    <w:p w14:paraId="2A9BA533" w14:textId="77777777" w:rsidR="00315D82" w:rsidRPr="00BC2517" w:rsidRDefault="00315D82" w:rsidP="001A3BA5">
      <w:pPr>
        <w:pStyle w:val="podpisi"/>
        <w:jc w:val="right"/>
        <w:rPr>
          <w:lang w:val="sl-SI"/>
        </w:rPr>
      </w:pPr>
    </w:p>
    <w:p w14:paraId="301D4F26" w14:textId="77777777" w:rsidR="001A3BA5" w:rsidRPr="00BC2517" w:rsidRDefault="001A3BA5" w:rsidP="001A3BA5">
      <w:pPr>
        <w:pStyle w:val="podpisi"/>
        <w:rPr>
          <w:lang w:val="sl-SI"/>
        </w:rPr>
      </w:pPr>
    </w:p>
    <w:p w14:paraId="6F72326E" w14:textId="77777777" w:rsidR="001A3BA5" w:rsidRPr="00BC2517" w:rsidRDefault="004977E5" w:rsidP="00C40C01">
      <w:pPr>
        <w:pStyle w:val="podpisi"/>
        <w:tabs>
          <w:tab w:val="clear" w:pos="3402"/>
          <w:tab w:val="center" w:pos="6237"/>
        </w:tabs>
        <w:rPr>
          <w:lang w:val="sl-SI"/>
        </w:rPr>
      </w:pPr>
      <w:r w:rsidRPr="00BC2517">
        <w:rPr>
          <w:lang w:val="sl-SI"/>
        </w:rPr>
        <w:tab/>
      </w:r>
    </w:p>
    <w:p w14:paraId="0B0586B2" w14:textId="77777777" w:rsidR="001A3BA5" w:rsidRPr="00BC2517" w:rsidRDefault="001A3BA5" w:rsidP="001A3BA5">
      <w:pPr>
        <w:pStyle w:val="podpisi"/>
        <w:tabs>
          <w:tab w:val="left" w:pos="851"/>
        </w:tabs>
        <w:ind w:left="720"/>
        <w:rPr>
          <w:lang w:val="sl-SI"/>
        </w:rPr>
      </w:pPr>
    </w:p>
    <w:p w14:paraId="6E0D2152" w14:textId="77777777" w:rsidR="001A3BA5" w:rsidRPr="00BC2517" w:rsidRDefault="001A3BA5" w:rsidP="005149DF">
      <w:pPr>
        <w:pStyle w:val="podpisi"/>
        <w:tabs>
          <w:tab w:val="left" w:pos="709"/>
        </w:tabs>
        <w:rPr>
          <w:lang w:val="sl-SI"/>
        </w:rPr>
      </w:pPr>
    </w:p>
    <w:sectPr w:rsidR="001A3BA5" w:rsidRPr="00BC2517" w:rsidSect="00F00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E1C3" w14:textId="77777777" w:rsidR="00B26C9D" w:rsidRDefault="00B26C9D">
      <w:pPr>
        <w:spacing w:line="240" w:lineRule="auto"/>
      </w:pPr>
      <w:r>
        <w:separator/>
      </w:r>
    </w:p>
  </w:endnote>
  <w:endnote w:type="continuationSeparator" w:id="0">
    <w:p w14:paraId="6D307853" w14:textId="77777777" w:rsidR="00B26C9D" w:rsidRDefault="00B2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280C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511" w14:textId="77777777" w:rsidR="000B0B21" w:rsidRDefault="004977E5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557BB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557BBA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616A" w14:textId="77777777" w:rsidR="000B0B21" w:rsidRDefault="004977E5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557BBA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557BBA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7D98" w14:textId="77777777" w:rsidR="00B26C9D" w:rsidRDefault="00B26C9D">
      <w:pPr>
        <w:spacing w:line="240" w:lineRule="auto"/>
      </w:pPr>
      <w:r>
        <w:separator/>
      </w:r>
    </w:p>
  </w:footnote>
  <w:footnote w:type="continuationSeparator" w:id="0">
    <w:p w14:paraId="14D6DE94" w14:textId="77777777" w:rsidR="00B26C9D" w:rsidRDefault="00B26C9D">
      <w:pPr>
        <w:spacing w:line="240" w:lineRule="auto"/>
      </w:pPr>
      <w:r>
        <w:continuationSeparator/>
      </w:r>
    </w:p>
  </w:footnote>
  <w:footnote w:id="1">
    <w:p w14:paraId="5E148FA1" w14:textId="77777777" w:rsidR="002A079B" w:rsidRPr="002A079B" w:rsidRDefault="004977E5" w:rsidP="002A079B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 w:rsidRPr="002A079B">
        <w:rPr>
          <w:sz w:val="18"/>
          <w:szCs w:val="18"/>
        </w:rPr>
        <w:t xml:space="preserve">Oseba mora biti </w:t>
      </w:r>
      <w:r>
        <w:rPr>
          <w:sz w:val="18"/>
          <w:szCs w:val="18"/>
        </w:rPr>
        <w:t>mlajša od 29 let</w:t>
      </w:r>
      <w:r w:rsidRPr="002A079B">
        <w:rPr>
          <w:sz w:val="18"/>
          <w:szCs w:val="18"/>
        </w:rPr>
        <w:t xml:space="preserve"> ali </w:t>
      </w:r>
      <w:r>
        <w:rPr>
          <w:sz w:val="18"/>
          <w:szCs w:val="18"/>
        </w:rPr>
        <w:t>starejša od 55 let</w:t>
      </w:r>
      <w:r w:rsidRPr="002A079B">
        <w:rPr>
          <w:sz w:val="18"/>
          <w:szCs w:val="18"/>
        </w:rPr>
        <w:t xml:space="preserve"> ali </w:t>
      </w:r>
      <w:r>
        <w:rPr>
          <w:sz w:val="18"/>
          <w:szCs w:val="18"/>
        </w:rPr>
        <w:t>pa zaposlena</w:t>
      </w:r>
      <w:r w:rsidRPr="002A079B">
        <w:rPr>
          <w:sz w:val="18"/>
          <w:szCs w:val="18"/>
        </w:rPr>
        <w:t xml:space="preserve"> v poklicu, za katerega na trgu dela prim</w:t>
      </w:r>
      <w:r>
        <w:rPr>
          <w:sz w:val="18"/>
          <w:szCs w:val="18"/>
        </w:rPr>
        <w:t>anjkuje iskalcev zaposlitve.</w:t>
      </w:r>
    </w:p>
  </w:footnote>
  <w:footnote w:id="2">
    <w:p w14:paraId="55D6F891" w14:textId="77777777" w:rsidR="00DA3014" w:rsidRPr="000C4B70" w:rsidRDefault="004977E5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0C4B70">
        <w:rPr>
          <w:sz w:val="18"/>
          <w:szCs w:val="18"/>
        </w:rPr>
        <w:t xml:space="preserve">Tako izhaja iz obrazložitve </w:t>
      </w:r>
      <w:r w:rsidR="000C4B70" w:rsidRPr="000C4B70">
        <w:rPr>
          <w:sz w:val="18"/>
          <w:szCs w:val="18"/>
        </w:rPr>
        <w:t>k 10. členu ZDDPO-2S</w:t>
      </w:r>
      <w:r w:rsidR="003F401D">
        <w:rPr>
          <w:sz w:val="18"/>
          <w:szCs w:val="18"/>
        </w:rPr>
        <w:t>.</w:t>
      </w:r>
    </w:p>
  </w:footnote>
  <w:footnote w:id="3">
    <w:p w14:paraId="330AADCA" w14:textId="77777777" w:rsidR="00042C62" w:rsidRPr="00042C62" w:rsidRDefault="004977E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042C62">
        <w:rPr>
          <w:sz w:val="18"/>
          <w:szCs w:val="18"/>
        </w:rPr>
        <w:t>Spremembo 55.b člena ZDDPO-2 ureja 10. člen ZDDPO-S</w:t>
      </w:r>
      <w:r>
        <w:rPr>
          <w:sz w:val="18"/>
          <w:szCs w:val="18"/>
        </w:rPr>
        <w:t>.</w:t>
      </w:r>
    </w:p>
  </w:footnote>
  <w:footnote w:id="4">
    <w:p w14:paraId="3BB9F36D" w14:textId="77777777" w:rsidR="00D9379D" w:rsidRPr="00BD30B4" w:rsidRDefault="004977E5" w:rsidP="00D9379D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 w:rsidRPr="00B311E5">
        <w:rPr>
          <w:lang w:val="sl-SI"/>
        </w:rPr>
        <w:t xml:space="preserve"> </w:t>
      </w:r>
      <w:r w:rsidRPr="00B311E5">
        <w:rPr>
          <w:sz w:val="18"/>
          <w:szCs w:val="18"/>
          <w:lang w:val="sl-SI"/>
        </w:rPr>
        <w:t>Delodajalec</w:t>
      </w:r>
      <w:r>
        <w:rPr>
          <w:sz w:val="18"/>
          <w:szCs w:val="18"/>
          <w:lang w:val="sl-SI"/>
        </w:rPr>
        <w:t xml:space="preserve"> pa</w:t>
      </w:r>
      <w:r w:rsidRPr="00B311E5">
        <w:rPr>
          <w:sz w:val="18"/>
          <w:szCs w:val="18"/>
          <w:lang w:val="sl-SI"/>
        </w:rPr>
        <w:t xml:space="preserve"> je </w:t>
      </w:r>
      <w:r>
        <w:rPr>
          <w:sz w:val="18"/>
          <w:szCs w:val="18"/>
          <w:lang w:val="sl-SI"/>
        </w:rPr>
        <w:t xml:space="preserve">neodvisno od možnosti uveljavljanja davčnih olajšav </w:t>
      </w:r>
      <w:r w:rsidRPr="00B311E5">
        <w:rPr>
          <w:sz w:val="18"/>
          <w:szCs w:val="18"/>
          <w:lang w:val="sl-SI"/>
        </w:rPr>
        <w:t>dolžan sklepati pogodbe o zaposlitvi skladno z delovnopravno zakonodajo</w:t>
      </w:r>
      <w:r>
        <w:rPr>
          <w:sz w:val="18"/>
          <w:szCs w:val="18"/>
          <w:lang w:val="sl-SI"/>
        </w:rPr>
        <w:t>.</w:t>
      </w:r>
    </w:p>
  </w:footnote>
  <w:footnote w:id="5">
    <w:p w14:paraId="67BC7CA7" w14:textId="77777777" w:rsidR="00D50D47" w:rsidRPr="00D9379D" w:rsidRDefault="004977E5" w:rsidP="00D50D47">
      <w:pPr>
        <w:pStyle w:val="Sprotnaopomba-besedilo"/>
        <w:jc w:val="both"/>
        <w:rPr>
          <w:sz w:val="18"/>
          <w:szCs w:val="18"/>
          <w:lang w:val="sl-SI"/>
        </w:rPr>
      </w:pPr>
      <w:r>
        <w:rPr>
          <w:rStyle w:val="Sprotnaopomba-sklic"/>
        </w:rPr>
        <w:footnoteRef/>
      </w:r>
      <w:r w:rsidRPr="00D9379D">
        <w:rPr>
          <w:lang w:val="sl-SI"/>
        </w:rPr>
        <w:t xml:space="preserve"> </w:t>
      </w:r>
      <w:r w:rsidR="00CF6AFC" w:rsidRPr="00CF6AFC">
        <w:rPr>
          <w:sz w:val="18"/>
          <w:szCs w:val="18"/>
          <w:lang w:val="sl-SI"/>
        </w:rPr>
        <w:t>Dejansko, ne pravno, gre za nadaljevanje zaposlitve.</w:t>
      </w:r>
      <w:r w:rsidR="00CF6AFC">
        <w:rPr>
          <w:lang w:val="sl-SI"/>
        </w:rPr>
        <w:t xml:space="preserve"> </w:t>
      </w:r>
      <w:r w:rsidRPr="00D9379D">
        <w:rPr>
          <w:sz w:val="18"/>
          <w:szCs w:val="18"/>
          <w:lang w:val="sl-SI"/>
        </w:rPr>
        <w:t xml:space="preserve">V kolikor ni kontinuiranosti </w:t>
      </w:r>
      <w:r w:rsidR="00D51F7B">
        <w:rPr>
          <w:sz w:val="18"/>
          <w:szCs w:val="18"/>
          <w:lang w:val="sl-SI"/>
        </w:rPr>
        <w:t xml:space="preserve">zaposlitve </w:t>
      </w:r>
      <w:r w:rsidRPr="00D9379D">
        <w:rPr>
          <w:sz w:val="18"/>
          <w:szCs w:val="18"/>
          <w:lang w:val="sl-SI"/>
        </w:rPr>
        <w:t xml:space="preserve">(torej če vključitev v socialna zavarovanja pri delodajalcu ni sklenjena), pa tudi za davčne namene ni mogoče </w:t>
      </w:r>
      <w:r w:rsidR="00D51F7B">
        <w:rPr>
          <w:sz w:val="18"/>
          <w:szCs w:val="18"/>
          <w:lang w:val="sl-SI"/>
        </w:rPr>
        <w:t>zaključiti, da gre za</w:t>
      </w:r>
      <w:r w:rsidR="00CF6AFC">
        <w:rPr>
          <w:sz w:val="18"/>
          <w:szCs w:val="18"/>
          <w:lang w:val="sl-SI"/>
        </w:rPr>
        <w:t xml:space="preserve"> nadaljevanje</w:t>
      </w:r>
      <w:r>
        <w:rPr>
          <w:sz w:val="18"/>
          <w:szCs w:val="18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E81A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62F9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477ED" w14:paraId="4E16A074" w14:textId="77777777">
      <w:trPr>
        <w:cantSplit/>
        <w:trHeight w:hRule="exact" w:val="847"/>
      </w:trPr>
      <w:tc>
        <w:tcPr>
          <w:tcW w:w="567" w:type="dxa"/>
        </w:tcPr>
        <w:p w14:paraId="3F38FA86" w14:textId="77777777" w:rsidR="000B0B21" w:rsidRDefault="004977E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7EFB2B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A897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D3CA6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0940E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0B326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8C55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8D7C8D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93FB97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BAE545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FA562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C7874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CC33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F9354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7E802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07F07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A13FB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51672D5" w14:textId="77777777" w:rsidR="000B0B21" w:rsidRPr="008F3500" w:rsidRDefault="004977E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00C317" wp14:editId="26491E1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9403669" w14:textId="77777777" w:rsidR="000B0B21" w:rsidRPr="00FD746A" w:rsidRDefault="004977E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0F743C9B" w14:textId="77777777" w:rsidR="00ED7E82" w:rsidRDefault="004977E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7945AD58" w14:textId="77777777" w:rsidR="005254D1" w:rsidRPr="00A12D5C" w:rsidRDefault="004977E5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0117FB2A" w14:textId="77777777" w:rsidR="005254D1" w:rsidRPr="008F3500" w:rsidRDefault="004977E5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00B26D8" w14:textId="77777777" w:rsidR="005254D1" w:rsidRPr="008F3500" w:rsidRDefault="004977E5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16DDE2DF" w14:textId="77777777" w:rsidR="005254D1" w:rsidRPr="008F3500" w:rsidRDefault="004977E5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59553F0B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2188B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569FD2" w:tentative="1">
      <w:start w:val="1"/>
      <w:numFmt w:val="lowerLetter"/>
      <w:lvlText w:val="%2."/>
      <w:lvlJc w:val="left"/>
      <w:pPr>
        <w:ind w:left="1800" w:hanging="360"/>
      </w:pPr>
    </w:lvl>
    <w:lvl w:ilvl="2" w:tplc="BDD644F8" w:tentative="1">
      <w:start w:val="1"/>
      <w:numFmt w:val="lowerRoman"/>
      <w:lvlText w:val="%3."/>
      <w:lvlJc w:val="right"/>
      <w:pPr>
        <w:ind w:left="2520" w:hanging="180"/>
      </w:pPr>
    </w:lvl>
    <w:lvl w:ilvl="3" w:tplc="42B44A06" w:tentative="1">
      <w:start w:val="1"/>
      <w:numFmt w:val="decimal"/>
      <w:lvlText w:val="%4."/>
      <w:lvlJc w:val="left"/>
      <w:pPr>
        <w:ind w:left="3240" w:hanging="360"/>
      </w:pPr>
    </w:lvl>
    <w:lvl w:ilvl="4" w:tplc="2702E970" w:tentative="1">
      <w:start w:val="1"/>
      <w:numFmt w:val="lowerLetter"/>
      <w:lvlText w:val="%5."/>
      <w:lvlJc w:val="left"/>
      <w:pPr>
        <w:ind w:left="3960" w:hanging="360"/>
      </w:pPr>
    </w:lvl>
    <w:lvl w:ilvl="5" w:tplc="362EFA0C" w:tentative="1">
      <w:start w:val="1"/>
      <w:numFmt w:val="lowerRoman"/>
      <w:lvlText w:val="%6."/>
      <w:lvlJc w:val="right"/>
      <w:pPr>
        <w:ind w:left="4680" w:hanging="180"/>
      </w:pPr>
    </w:lvl>
    <w:lvl w:ilvl="6" w:tplc="4358E7D6" w:tentative="1">
      <w:start w:val="1"/>
      <w:numFmt w:val="decimal"/>
      <w:lvlText w:val="%7."/>
      <w:lvlJc w:val="left"/>
      <w:pPr>
        <w:ind w:left="5400" w:hanging="360"/>
      </w:pPr>
    </w:lvl>
    <w:lvl w:ilvl="7" w:tplc="B728259E" w:tentative="1">
      <w:start w:val="1"/>
      <w:numFmt w:val="lowerLetter"/>
      <w:lvlText w:val="%8."/>
      <w:lvlJc w:val="left"/>
      <w:pPr>
        <w:ind w:left="6120" w:hanging="360"/>
      </w:pPr>
    </w:lvl>
    <w:lvl w:ilvl="8" w:tplc="AB00B0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1BA88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98E40A" w:tentative="1">
      <w:start w:val="1"/>
      <w:numFmt w:val="lowerLetter"/>
      <w:lvlText w:val="%2."/>
      <w:lvlJc w:val="left"/>
      <w:pPr>
        <w:ind w:left="1080" w:hanging="360"/>
      </w:pPr>
    </w:lvl>
    <w:lvl w:ilvl="2" w:tplc="07AA8134" w:tentative="1">
      <w:start w:val="1"/>
      <w:numFmt w:val="lowerRoman"/>
      <w:lvlText w:val="%3."/>
      <w:lvlJc w:val="right"/>
      <w:pPr>
        <w:ind w:left="1800" w:hanging="180"/>
      </w:pPr>
    </w:lvl>
    <w:lvl w:ilvl="3" w:tplc="1E3E7E12" w:tentative="1">
      <w:start w:val="1"/>
      <w:numFmt w:val="decimal"/>
      <w:lvlText w:val="%4."/>
      <w:lvlJc w:val="left"/>
      <w:pPr>
        <w:ind w:left="2520" w:hanging="360"/>
      </w:pPr>
    </w:lvl>
    <w:lvl w:ilvl="4" w:tplc="04F0D7B8" w:tentative="1">
      <w:start w:val="1"/>
      <w:numFmt w:val="lowerLetter"/>
      <w:lvlText w:val="%5."/>
      <w:lvlJc w:val="left"/>
      <w:pPr>
        <w:ind w:left="3240" w:hanging="360"/>
      </w:pPr>
    </w:lvl>
    <w:lvl w:ilvl="5" w:tplc="50D0A3DE" w:tentative="1">
      <w:start w:val="1"/>
      <w:numFmt w:val="lowerRoman"/>
      <w:lvlText w:val="%6."/>
      <w:lvlJc w:val="right"/>
      <w:pPr>
        <w:ind w:left="3960" w:hanging="180"/>
      </w:pPr>
    </w:lvl>
    <w:lvl w:ilvl="6" w:tplc="FAECD6AA" w:tentative="1">
      <w:start w:val="1"/>
      <w:numFmt w:val="decimal"/>
      <w:lvlText w:val="%7."/>
      <w:lvlJc w:val="left"/>
      <w:pPr>
        <w:ind w:left="4680" w:hanging="360"/>
      </w:pPr>
    </w:lvl>
    <w:lvl w:ilvl="7" w:tplc="F6385622" w:tentative="1">
      <w:start w:val="1"/>
      <w:numFmt w:val="lowerLetter"/>
      <w:lvlText w:val="%8."/>
      <w:lvlJc w:val="left"/>
      <w:pPr>
        <w:ind w:left="5400" w:hanging="360"/>
      </w:pPr>
    </w:lvl>
    <w:lvl w:ilvl="8" w:tplc="D7E291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08CF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A3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EF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8E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88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CE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122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29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CA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AF084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29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80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8A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29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85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08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1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4A1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011134">
    <w:abstractNumId w:val="4"/>
  </w:num>
  <w:num w:numId="2" w16cid:durableId="378479182">
    <w:abstractNumId w:val="2"/>
  </w:num>
  <w:num w:numId="3" w16cid:durableId="1389381570">
    <w:abstractNumId w:val="3"/>
  </w:num>
  <w:num w:numId="4" w16cid:durableId="1771856038">
    <w:abstractNumId w:val="0"/>
  </w:num>
  <w:num w:numId="5" w16cid:durableId="609777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12F4"/>
    <w:rsid w:val="000063FF"/>
    <w:rsid w:val="000206AE"/>
    <w:rsid w:val="00023A88"/>
    <w:rsid w:val="00042C62"/>
    <w:rsid w:val="000636E1"/>
    <w:rsid w:val="0008352D"/>
    <w:rsid w:val="000A07CE"/>
    <w:rsid w:val="000A2C92"/>
    <w:rsid w:val="000A7238"/>
    <w:rsid w:val="000B0B21"/>
    <w:rsid w:val="000C4B70"/>
    <w:rsid w:val="000D08A9"/>
    <w:rsid w:val="000F3D38"/>
    <w:rsid w:val="00100829"/>
    <w:rsid w:val="00110CBD"/>
    <w:rsid w:val="00130CFF"/>
    <w:rsid w:val="001357B2"/>
    <w:rsid w:val="00151388"/>
    <w:rsid w:val="00151872"/>
    <w:rsid w:val="00160E5F"/>
    <w:rsid w:val="001A3BA5"/>
    <w:rsid w:val="001F3B21"/>
    <w:rsid w:val="001F7BC0"/>
    <w:rsid w:val="00202A7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079B"/>
    <w:rsid w:val="002A4B44"/>
    <w:rsid w:val="002C7EEB"/>
    <w:rsid w:val="002E311D"/>
    <w:rsid w:val="00300791"/>
    <w:rsid w:val="00304726"/>
    <w:rsid w:val="00315428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065C"/>
    <w:rsid w:val="003C3B1D"/>
    <w:rsid w:val="003C69D6"/>
    <w:rsid w:val="003D0306"/>
    <w:rsid w:val="003E1C74"/>
    <w:rsid w:val="003E7E9E"/>
    <w:rsid w:val="003F401D"/>
    <w:rsid w:val="003F4966"/>
    <w:rsid w:val="00400195"/>
    <w:rsid w:val="00470C0B"/>
    <w:rsid w:val="00484A06"/>
    <w:rsid w:val="00493E17"/>
    <w:rsid w:val="004977E5"/>
    <w:rsid w:val="004A2490"/>
    <w:rsid w:val="004A4233"/>
    <w:rsid w:val="004A6A59"/>
    <w:rsid w:val="004B160E"/>
    <w:rsid w:val="004C1DA7"/>
    <w:rsid w:val="004C4A12"/>
    <w:rsid w:val="004C4A6D"/>
    <w:rsid w:val="005149DF"/>
    <w:rsid w:val="005254D1"/>
    <w:rsid w:val="00525C18"/>
    <w:rsid w:val="00526246"/>
    <w:rsid w:val="0055206D"/>
    <w:rsid w:val="00557BBA"/>
    <w:rsid w:val="00567106"/>
    <w:rsid w:val="005709F2"/>
    <w:rsid w:val="005916E5"/>
    <w:rsid w:val="005B0438"/>
    <w:rsid w:val="005E1D3C"/>
    <w:rsid w:val="006268BE"/>
    <w:rsid w:val="00632253"/>
    <w:rsid w:val="00636B9B"/>
    <w:rsid w:val="00642714"/>
    <w:rsid w:val="00643C4E"/>
    <w:rsid w:val="006455CE"/>
    <w:rsid w:val="006D42D9"/>
    <w:rsid w:val="006F142E"/>
    <w:rsid w:val="00726463"/>
    <w:rsid w:val="00733017"/>
    <w:rsid w:val="007436A3"/>
    <w:rsid w:val="00751D38"/>
    <w:rsid w:val="00775FED"/>
    <w:rsid w:val="00783310"/>
    <w:rsid w:val="00794B95"/>
    <w:rsid w:val="00794E63"/>
    <w:rsid w:val="007A4A6D"/>
    <w:rsid w:val="007D02FC"/>
    <w:rsid w:val="007D1BCF"/>
    <w:rsid w:val="007D75CF"/>
    <w:rsid w:val="007E6DC5"/>
    <w:rsid w:val="00833171"/>
    <w:rsid w:val="0085375E"/>
    <w:rsid w:val="0088043C"/>
    <w:rsid w:val="008906C9"/>
    <w:rsid w:val="008A5918"/>
    <w:rsid w:val="008B2E72"/>
    <w:rsid w:val="008C00F2"/>
    <w:rsid w:val="008C5738"/>
    <w:rsid w:val="008D04F0"/>
    <w:rsid w:val="008D39F1"/>
    <w:rsid w:val="008E2D84"/>
    <w:rsid w:val="008F3500"/>
    <w:rsid w:val="009022B3"/>
    <w:rsid w:val="00924E3C"/>
    <w:rsid w:val="00925A8B"/>
    <w:rsid w:val="00936A70"/>
    <w:rsid w:val="009612BB"/>
    <w:rsid w:val="00993C7D"/>
    <w:rsid w:val="009B0295"/>
    <w:rsid w:val="009C5340"/>
    <w:rsid w:val="009D6992"/>
    <w:rsid w:val="009E42F2"/>
    <w:rsid w:val="00A05DC7"/>
    <w:rsid w:val="00A125C5"/>
    <w:rsid w:val="00A12D5C"/>
    <w:rsid w:val="00A216AF"/>
    <w:rsid w:val="00A3267F"/>
    <w:rsid w:val="00A34F16"/>
    <w:rsid w:val="00A36906"/>
    <w:rsid w:val="00A45EAF"/>
    <w:rsid w:val="00A477ED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018EA"/>
    <w:rsid w:val="00B17141"/>
    <w:rsid w:val="00B26C9D"/>
    <w:rsid w:val="00B311E5"/>
    <w:rsid w:val="00B31575"/>
    <w:rsid w:val="00B63BD4"/>
    <w:rsid w:val="00B653A6"/>
    <w:rsid w:val="00B677B6"/>
    <w:rsid w:val="00B8547D"/>
    <w:rsid w:val="00BC2517"/>
    <w:rsid w:val="00BC61EF"/>
    <w:rsid w:val="00BD30B4"/>
    <w:rsid w:val="00BE423F"/>
    <w:rsid w:val="00C03AE1"/>
    <w:rsid w:val="00C250D5"/>
    <w:rsid w:val="00C37708"/>
    <w:rsid w:val="00C40C01"/>
    <w:rsid w:val="00C47F8D"/>
    <w:rsid w:val="00C52DAE"/>
    <w:rsid w:val="00C57EED"/>
    <w:rsid w:val="00C66A65"/>
    <w:rsid w:val="00C81391"/>
    <w:rsid w:val="00C92898"/>
    <w:rsid w:val="00C97222"/>
    <w:rsid w:val="00CA28CB"/>
    <w:rsid w:val="00CA3CE0"/>
    <w:rsid w:val="00CB1562"/>
    <w:rsid w:val="00CB2803"/>
    <w:rsid w:val="00CE253F"/>
    <w:rsid w:val="00CE7514"/>
    <w:rsid w:val="00CF2C5A"/>
    <w:rsid w:val="00CF6AFC"/>
    <w:rsid w:val="00D248DE"/>
    <w:rsid w:val="00D25427"/>
    <w:rsid w:val="00D31B74"/>
    <w:rsid w:val="00D3564D"/>
    <w:rsid w:val="00D377A7"/>
    <w:rsid w:val="00D50D47"/>
    <w:rsid w:val="00D51F7B"/>
    <w:rsid w:val="00D8542D"/>
    <w:rsid w:val="00D90B5E"/>
    <w:rsid w:val="00D9379D"/>
    <w:rsid w:val="00DA3014"/>
    <w:rsid w:val="00DB11E1"/>
    <w:rsid w:val="00DB1A54"/>
    <w:rsid w:val="00DB4E6F"/>
    <w:rsid w:val="00DC62F6"/>
    <w:rsid w:val="00DC6A71"/>
    <w:rsid w:val="00DD6CC3"/>
    <w:rsid w:val="00DE5B46"/>
    <w:rsid w:val="00E0357D"/>
    <w:rsid w:val="00E21D66"/>
    <w:rsid w:val="00E24C06"/>
    <w:rsid w:val="00E24EC2"/>
    <w:rsid w:val="00E46AE4"/>
    <w:rsid w:val="00E506F9"/>
    <w:rsid w:val="00E51C0F"/>
    <w:rsid w:val="00E530D5"/>
    <w:rsid w:val="00E8201C"/>
    <w:rsid w:val="00E85D6C"/>
    <w:rsid w:val="00E872FE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710C9F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unhideWhenUsed/>
    <w:rsid w:val="002A079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A079B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2A0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ZAKO468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1-01-3354?sop=2021-01-335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1517-B679-41EC-AC64-2330622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2</cp:revision>
  <cp:lastPrinted>2023-04-25T09:14:00Z</cp:lastPrinted>
  <dcterms:created xsi:type="dcterms:W3CDTF">2023-04-25T10:07:00Z</dcterms:created>
  <dcterms:modified xsi:type="dcterms:W3CDTF">2023-04-25T10:07:00Z</dcterms:modified>
</cp:coreProperties>
</file>