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Default="007D75CF" w:rsidP="007D75CF">
      <w:pPr>
        <w:rPr>
          <w:lang w:val="sl-SI"/>
        </w:rPr>
      </w:pPr>
    </w:p>
    <w:p w:rsidR="00A0673A" w:rsidRPr="00BC2517" w:rsidRDefault="00A0673A" w:rsidP="007D75CF">
      <w:pPr>
        <w:rPr>
          <w:lang w:val="sl-SI"/>
        </w:rPr>
      </w:pPr>
    </w:p>
    <w:p w:rsidR="007D75CF" w:rsidRPr="00BC2517" w:rsidRDefault="00C233A6" w:rsidP="00DC6A71">
      <w:pPr>
        <w:pStyle w:val="ZADEVA"/>
        <w:rPr>
          <w:lang w:val="sl-SI"/>
        </w:rPr>
      </w:pPr>
      <w:r w:rsidRPr="00BC2517">
        <w:rPr>
          <w:lang w:val="sl-SI"/>
        </w:rPr>
        <w:t xml:space="preserve">Zadeva: </w:t>
      </w:r>
      <w:r w:rsidRPr="00BC2517">
        <w:rPr>
          <w:lang w:val="sl-SI"/>
        </w:rPr>
        <w:tab/>
      </w:r>
      <w:bookmarkStart w:id="0" w:name="NaslovZadeve"/>
      <w:r w:rsidRPr="001B41E0">
        <w:rPr>
          <w:lang w:val="sl-SI"/>
        </w:rPr>
        <w:t>Odgovor na vaše vprašanje</w:t>
      </w:r>
      <w:bookmarkEnd w:id="0"/>
    </w:p>
    <w:p w:rsidR="007D75CF" w:rsidRDefault="00A67824" w:rsidP="007D75CF">
      <w:pPr>
        <w:rPr>
          <w:b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     </w:t>
      </w:r>
      <w:r w:rsidRPr="00A67824">
        <w:rPr>
          <w:b/>
          <w:lang w:val="sl-SI"/>
        </w:rPr>
        <w:t xml:space="preserve">Dokument št. </w:t>
      </w:r>
      <w:r w:rsidRPr="00A67824">
        <w:rPr>
          <w:b/>
          <w:lang w:val="sl-SI"/>
        </w:rPr>
        <w:t>0920-3756/2023-5</w:t>
      </w:r>
      <w:r w:rsidRPr="00A67824">
        <w:rPr>
          <w:b/>
          <w:lang w:val="sl-SI"/>
        </w:rPr>
        <w:t xml:space="preserve"> z dne 30. 3. 2023</w:t>
      </w:r>
    </w:p>
    <w:p w:rsidR="00A67824" w:rsidRPr="00A67824" w:rsidRDefault="00A67824" w:rsidP="007D75CF">
      <w:pPr>
        <w:rPr>
          <w:b/>
          <w:lang w:val="sl-SI"/>
        </w:rPr>
      </w:pPr>
    </w:p>
    <w:p w:rsidR="001B41E0" w:rsidRPr="001B41E0" w:rsidRDefault="00C233A6" w:rsidP="001B41E0">
      <w:pPr>
        <w:jc w:val="both"/>
        <w:rPr>
          <w:lang w:val="sl-SI"/>
        </w:rPr>
      </w:pPr>
      <w:r>
        <w:rPr>
          <w:lang w:val="sl-SI"/>
        </w:rPr>
        <w:t>Prejeli smo vaše vprašanje, iz katerega</w:t>
      </w:r>
      <w:r>
        <w:rPr>
          <w:lang w:val="sl-SI"/>
        </w:rPr>
        <w:t xml:space="preserve"> izhaja, da j</w:t>
      </w:r>
      <w:r w:rsidRPr="001B41E0">
        <w:rPr>
          <w:lang w:val="sl-SI"/>
        </w:rPr>
        <w:t>avni zavodi (bolnišnice) kot osebe javnega prava in izvajalci javne službe izvajajo razl</w:t>
      </w:r>
      <w:r>
        <w:rPr>
          <w:lang w:val="sl-SI"/>
        </w:rPr>
        <w:t xml:space="preserve">ične naloge javne službe, ki </w:t>
      </w:r>
      <w:r w:rsidRPr="001B41E0">
        <w:rPr>
          <w:lang w:val="sl-SI"/>
        </w:rPr>
        <w:t>so lahko financirane na različne načine. V določenih primerih gre za zdravstvene storitve, ki so:</w:t>
      </w:r>
    </w:p>
    <w:p w:rsidR="001B41E0" w:rsidRPr="001B41E0" w:rsidRDefault="00C233A6" w:rsidP="001B41E0">
      <w:pPr>
        <w:ind w:left="720" w:hanging="720"/>
        <w:jc w:val="both"/>
        <w:rPr>
          <w:lang w:val="sl-SI"/>
        </w:rPr>
      </w:pPr>
      <w:r w:rsidRPr="001B41E0">
        <w:rPr>
          <w:lang w:val="sl-SI"/>
        </w:rPr>
        <w:t>1.</w:t>
      </w:r>
      <w:r w:rsidRPr="001B41E0">
        <w:rPr>
          <w:lang w:val="sl-SI"/>
        </w:rPr>
        <w:tab/>
        <w:t xml:space="preserve">neposredno po podpisanih </w:t>
      </w:r>
      <w:r w:rsidRPr="001B41E0">
        <w:rPr>
          <w:lang w:val="sl-SI"/>
        </w:rPr>
        <w:t>pogodbah z ZZZS financirane v 100 % iz državnega proračuna (proračuna ZZZS),</w:t>
      </w:r>
    </w:p>
    <w:p w:rsidR="009349B6" w:rsidRDefault="00C233A6" w:rsidP="009349B6">
      <w:pPr>
        <w:ind w:left="720" w:hanging="720"/>
        <w:jc w:val="both"/>
        <w:rPr>
          <w:lang w:val="sl-SI"/>
        </w:rPr>
      </w:pPr>
      <w:r w:rsidRPr="001B41E0">
        <w:rPr>
          <w:lang w:val="sl-SI"/>
        </w:rPr>
        <w:t>2.</w:t>
      </w:r>
      <w:r w:rsidRPr="001B41E0">
        <w:rPr>
          <w:lang w:val="sl-SI"/>
        </w:rPr>
        <w:tab/>
        <w:t xml:space="preserve">neposredno financirane po podpisanih pogodbah z ZZZS v določenem odstotku, </w:t>
      </w:r>
    </w:p>
    <w:p w:rsidR="001B41E0" w:rsidRPr="001B41E0" w:rsidRDefault="00C233A6" w:rsidP="009349B6">
      <w:pPr>
        <w:ind w:left="720" w:hanging="720"/>
        <w:jc w:val="both"/>
        <w:rPr>
          <w:lang w:val="sl-SI"/>
        </w:rPr>
      </w:pPr>
      <w:r>
        <w:rPr>
          <w:lang w:val="sl-SI"/>
        </w:rPr>
        <w:t xml:space="preserve">3. </w:t>
      </w:r>
      <w:r>
        <w:rPr>
          <w:lang w:val="sl-SI"/>
        </w:rPr>
        <w:tab/>
      </w:r>
      <w:r w:rsidRPr="001B41E0">
        <w:rPr>
          <w:lang w:val="sl-SI"/>
        </w:rPr>
        <w:t>preostali del pa se financira na naslednje načine:</w:t>
      </w:r>
    </w:p>
    <w:p w:rsidR="001B41E0" w:rsidRPr="001B41E0" w:rsidRDefault="00C233A6" w:rsidP="001B41E0">
      <w:pPr>
        <w:ind w:left="720" w:hanging="720"/>
        <w:jc w:val="both"/>
        <w:rPr>
          <w:lang w:val="sl-SI"/>
        </w:rPr>
      </w:pPr>
      <w:r w:rsidRPr="001B41E0">
        <w:rPr>
          <w:lang w:val="sl-SI"/>
        </w:rPr>
        <w:t>a)</w:t>
      </w:r>
      <w:r w:rsidRPr="001B41E0">
        <w:rPr>
          <w:lang w:val="sl-SI"/>
        </w:rPr>
        <w:tab/>
        <w:t>iz sredstev zasebnih zavarovalnic (torej d</w:t>
      </w:r>
      <w:r w:rsidRPr="001B41E0">
        <w:rPr>
          <w:lang w:val="sl-SI"/>
        </w:rPr>
        <w:t>odatnega prostovoljnega zdravstvenega zavarovanja, ki ga pacient sklene s takšno zasebno zavarovalnico);</w:t>
      </w:r>
    </w:p>
    <w:p w:rsidR="001B41E0" w:rsidRPr="001B41E0" w:rsidRDefault="00C233A6" w:rsidP="001B41E0">
      <w:pPr>
        <w:jc w:val="both"/>
        <w:rPr>
          <w:lang w:val="sl-SI"/>
        </w:rPr>
      </w:pPr>
      <w:r w:rsidRPr="001B41E0">
        <w:rPr>
          <w:lang w:val="sl-SI"/>
        </w:rPr>
        <w:t>b)</w:t>
      </w:r>
      <w:r w:rsidRPr="001B41E0">
        <w:rPr>
          <w:lang w:val="sl-SI"/>
        </w:rPr>
        <w:tab/>
        <w:t>s plačili pacientov,</w:t>
      </w:r>
    </w:p>
    <w:p w:rsidR="001B41E0" w:rsidRPr="001B41E0" w:rsidRDefault="00C233A6" w:rsidP="001B41E0">
      <w:pPr>
        <w:ind w:left="720" w:hanging="720"/>
        <w:jc w:val="both"/>
        <w:rPr>
          <w:lang w:val="sl-SI"/>
        </w:rPr>
      </w:pPr>
      <w:r w:rsidRPr="001B41E0">
        <w:rPr>
          <w:lang w:val="sl-SI"/>
        </w:rPr>
        <w:t>c)</w:t>
      </w:r>
      <w:r w:rsidRPr="001B41E0">
        <w:rPr>
          <w:lang w:val="sl-SI"/>
        </w:rPr>
        <w:tab/>
        <w:t>iz državnega proračuna (proračuna ZZZS), pri čemer takšno plačilo zagotavlja ZZZS za tiste, ki izpolnjujejo pogoje za pridob</w:t>
      </w:r>
      <w:r w:rsidRPr="001B41E0">
        <w:rPr>
          <w:lang w:val="sl-SI"/>
        </w:rPr>
        <w:t xml:space="preserve">itev denarne socialne pomoči. </w:t>
      </w:r>
    </w:p>
    <w:p w:rsidR="00443045" w:rsidRDefault="00443045" w:rsidP="001B41E0">
      <w:pPr>
        <w:jc w:val="both"/>
        <w:rPr>
          <w:lang w:val="sl-SI"/>
        </w:rPr>
      </w:pPr>
    </w:p>
    <w:p w:rsidR="001B41E0" w:rsidRPr="001B41E0" w:rsidRDefault="00C233A6" w:rsidP="001B41E0">
      <w:pPr>
        <w:jc w:val="both"/>
        <w:rPr>
          <w:lang w:val="sl-SI"/>
        </w:rPr>
      </w:pPr>
      <w:r>
        <w:rPr>
          <w:lang w:val="sl-SI"/>
        </w:rPr>
        <w:t>Navajate, da je s</w:t>
      </w:r>
      <w:r w:rsidRPr="001B41E0">
        <w:rPr>
          <w:lang w:val="sl-SI"/>
        </w:rPr>
        <w:t>kupno p</w:t>
      </w:r>
      <w:r>
        <w:rPr>
          <w:lang w:val="sl-SI"/>
        </w:rPr>
        <w:t>rvi in drugi skupini storitev, da gre za zdravstvene storitve (</w:t>
      </w:r>
      <w:r w:rsidRPr="001B41E0">
        <w:rPr>
          <w:lang w:val="sl-SI"/>
        </w:rPr>
        <w:t>pri čemer zgolj dejstvo, ali je neka storitev financirana 100% takoj iz proračuna ZZ</w:t>
      </w:r>
      <w:r w:rsidR="00F54922">
        <w:rPr>
          <w:lang w:val="sl-SI"/>
        </w:rPr>
        <w:t>ZS ali pa na podlagi pogoja iz 3</w:t>
      </w:r>
      <w:r w:rsidRPr="001B41E0">
        <w:rPr>
          <w:lang w:val="sl-SI"/>
        </w:rPr>
        <w:t>c člena še ne pomeni,</w:t>
      </w:r>
      <w:r w:rsidRPr="001B41E0">
        <w:rPr>
          <w:lang w:val="sl-SI"/>
        </w:rPr>
        <w:t xml:space="preserve"> da </w:t>
      </w:r>
      <w:r>
        <w:rPr>
          <w:lang w:val="sl-SI"/>
        </w:rPr>
        <w:t xml:space="preserve">ne gre za storitev javne službe) ter da </w:t>
      </w:r>
      <w:r w:rsidRPr="001B41E0">
        <w:rPr>
          <w:lang w:val="sl-SI"/>
        </w:rPr>
        <w:t>imajo v obeh primerih pacienti (če jim seveda ustreza čakalna doba) možnost izbirati, pri kateri bolnišnici se jim bo opravila storit</w:t>
      </w:r>
      <w:r>
        <w:rPr>
          <w:lang w:val="sl-SI"/>
        </w:rPr>
        <w:t xml:space="preserve">ev (dilema konkurenčnega trga). </w:t>
      </w:r>
      <w:r w:rsidRPr="001B41E0">
        <w:rPr>
          <w:lang w:val="sl-SI"/>
        </w:rPr>
        <w:t xml:space="preserve">Skladno s 6. alinejo 1. odstavka 3. člena </w:t>
      </w:r>
      <w:r w:rsidRPr="001B41E0">
        <w:rPr>
          <w:lang w:val="sl-SI"/>
        </w:rPr>
        <w:t>Pravilnika o opredelitvi pridobitne in nepridobitne dejavnosti se sredstva za izvajanje javne službe iz javno-finančnih virov obravnavajo kot nepridobitni dohodki z vidika obračuna DDPO.</w:t>
      </w:r>
    </w:p>
    <w:p w:rsidR="001B41E0" w:rsidRPr="001B41E0" w:rsidRDefault="001B41E0" w:rsidP="001B41E0">
      <w:pPr>
        <w:rPr>
          <w:lang w:val="sl-SI"/>
        </w:rPr>
      </w:pPr>
    </w:p>
    <w:p w:rsidR="007D75CF" w:rsidRPr="00BC2517" w:rsidRDefault="00C233A6" w:rsidP="001B41E0">
      <w:pPr>
        <w:jc w:val="both"/>
        <w:rPr>
          <w:lang w:val="sl-SI"/>
        </w:rPr>
      </w:pPr>
      <w:r w:rsidRPr="001B41E0">
        <w:rPr>
          <w:lang w:val="sl-SI"/>
        </w:rPr>
        <w:t>Za</w:t>
      </w:r>
      <w:r>
        <w:rPr>
          <w:lang w:val="sl-SI"/>
        </w:rPr>
        <w:t>radi različnih interpretacij nas prosite</w:t>
      </w:r>
      <w:r w:rsidRPr="001B41E0">
        <w:rPr>
          <w:lang w:val="sl-SI"/>
        </w:rPr>
        <w:t xml:space="preserve"> za pojasnilo, ali je </w:t>
      </w:r>
      <w:proofErr w:type="spellStart"/>
      <w:r w:rsidRPr="001B41E0">
        <w:rPr>
          <w:lang w:val="sl-SI"/>
        </w:rPr>
        <w:t>sofinancerski</w:t>
      </w:r>
      <w:proofErr w:type="spellEnd"/>
      <w:r w:rsidRPr="001B41E0">
        <w:rPr>
          <w:lang w:val="sl-SI"/>
        </w:rPr>
        <w:t xml:space="preserve"> del ZZZS-ja (</w:t>
      </w:r>
      <w:r w:rsidR="00F54922">
        <w:rPr>
          <w:lang w:val="sl-SI"/>
        </w:rPr>
        <w:t>storitev iz 3</w:t>
      </w:r>
      <w:r w:rsidRPr="001B41E0">
        <w:rPr>
          <w:lang w:val="sl-SI"/>
        </w:rPr>
        <w:t>c) treba obravnavati kot pridobitni ali nepridobitni dohodek. V praksi se namreč pojavlja dilema, da bi sredstva ZZZS morali obravnavati kot pridobitno dejavnost, ker naj bi šlo za konkurenč</w:t>
      </w:r>
      <w:r>
        <w:rPr>
          <w:lang w:val="sl-SI"/>
        </w:rPr>
        <w:t>ne s</w:t>
      </w:r>
      <w:r>
        <w:rPr>
          <w:lang w:val="sl-SI"/>
        </w:rPr>
        <w:t>toritve, pri čemer pa menite</w:t>
      </w:r>
      <w:r w:rsidRPr="001B41E0">
        <w:rPr>
          <w:lang w:val="sl-SI"/>
        </w:rPr>
        <w:t>, da je 3. člen Pravilnika, ki določa nepridobitne dohodke, »</w:t>
      </w:r>
      <w:proofErr w:type="spellStart"/>
      <w:r w:rsidRPr="001B41E0">
        <w:rPr>
          <w:lang w:val="sl-SI"/>
        </w:rPr>
        <w:t>lex</w:t>
      </w:r>
      <w:proofErr w:type="spellEnd"/>
      <w:r w:rsidRPr="001B41E0">
        <w:rPr>
          <w:lang w:val="sl-SI"/>
        </w:rPr>
        <w:t xml:space="preserve"> </w:t>
      </w:r>
      <w:proofErr w:type="spellStart"/>
      <w:r w:rsidRPr="001B41E0">
        <w:rPr>
          <w:lang w:val="sl-SI"/>
        </w:rPr>
        <w:t>specialis</w:t>
      </w:r>
      <w:proofErr w:type="spellEnd"/>
      <w:r w:rsidRPr="001B41E0">
        <w:rPr>
          <w:lang w:val="sl-SI"/>
        </w:rPr>
        <w:t>« in kot pogoj nepridobitnosti določa le, da mora iti za storitev javne službe (kar ne more biti odvisno od vira financiranja) in da mora biti vir javno-f</w:t>
      </w:r>
      <w:r w:rsidRPr="001B41E0">
        <w:rPr>
          <w:lang w:val="sl-SI"/>
        </w:rPr>
        <w:t xml:space="preserve">inančni (vezanost pridobitnosti na vir dohodka sicer po </w:t>
      </w:r>
      <w:r w:rsidR="00A0673A">
        <w:rPr>
          <w:lang w:val="sl-SI"/>
        </w:rPr>
        <w:t>va</w:t>
      </w:r>
      <w:r w:rsidRPr="001B41E0">
        <w:rPr>
          <w:lang w:val="sl-SI"/>
        </w:rPr>
        <w:t>šem mnenju sploh n</w:t>
      </w:r>
      <w:r>
        <w:rPr>
          <w:lang w:val="sl-SI"/>
        </w:rPr>
        <w:t>i skladna z 9. členom ZDDPO-2). Vaše</w:t>
      </w:r>
      <w:r w:rsidRPr="001B41E0">
        <w:rPr>
          <w:lang w:val="sl-SI"/>
        </w:rPr>
        <w:t xml:space="preserve"> mnenje je, da je treba</w:t>
      </w:r>
      <w:r w:rsidR="00F54922">
        <w:rPr>
          <w:lang w:val="sl-SI"/>
        </w:rPr>
        <w:t xml:space="preserve"> </w:t>
      </w:r>
      <w:proofErr w:type="spellStart"/>
      <w:r w:rsidR="00F54922">
        <w:rPr>
          <w:lang w:val="sl-SI"/>
        </w:rPr>
        <w:t>sofinancerski</w:t>
      </w:r>
      <w:proofErr w:type="spellEnd"/>
      <w:r w:rsidR="00F54922">
        <w:rPr>
          <w:lang w:val="sl-SI"/>
        </w:rPr>
        <w:t xml:space="preserve"> del storitev iz 3</w:t>
      </w:r>
      <w:r w:rsidRPr="001B41E0">
        <w:rPr>
          <w:lang w:val="sl-SI"/>
        </w:rPr>
        <w:t xml:space="preserve">c (proračun ZZZS) obravnavati enako kot vse storitve iz točke 1 </w:t>
      </w:r>
      <w:r>
        <w:rPr>
          <w:lang w:val="sl-SI"/>
        </w:rPr>
        <w:t>(</w:t>
      </w:r>
      <w:r w:rsidRPr="001B41E0">
        <w:rPr>
          <w:lang w:val="sl-SI"/>
        </w:rPr>
        <w:t>torej kot nepridobitni d</w:t>
      </w:r>
      <w:r w:rsidRPr="001B41E0">
        <w:rPr>
          <w:lang w:val="sl-SI"/>
        </w:rPr>
        <w:t>ohodek na podlagi 6. alineje 1. odstavka 3. člena Pravilnika</w:t>
      </w:r>
      <w:r>
        <w:rPr>
          <w:lang w:val="sl-SI"/>
        </w:rPr>
        <w:t xml:space="preserve">), saj gre za javno službo in gre za javno-finančni vir. </w:t>
      </w:r>
      <w:r w:rsidRPr="001B41E0">
        <w:rPr>
          <w:lang w:val="sl-SI"/>
        </w:rPr>
        <w:t>Drugačna interpretacija bi vodila do tega, da je treba tudi vse preostale storitve, ki jih 100 % sofinancira ZZZS (točka 1), oziroma</w:t>
      </w:r>
      <w:r w:rsidR="00F54922">
        <w:rPr>
          <w:lang w:val="sl-SI"/>
        </w:rPr>
        <w:t xml:space="preserve"> ki jih ZZZS financira delno (točka 2</w:t>
      </w:r>
      <w:r w:rsidRPr="001B41E0">
        <w:rPr>
          <w:lang w:val="sl-SI"/>
        </w:rPr>
        <w:t>) obravnavati kot pridobitne, saj pacient lahko praktično vedno izbira izvajalca.</w:t>
      </w:r>
    </w:p>
    <w:p w:rsidR="00F57FED" w:rsidRPr="00BC2517" w:rsidRDefault="00F57FED" w:rsidP="007D75CF">
      <w:pPr>
        <w:rPr>
          <w:lang w:val="sl-SI"/>
        </w:rPr>
      </w:pPr>
    </w:p>
    <w:p w:rsidR="00377950" w:rsidRDefault="00C233A6" w:rsidP="007D75CF">
      <w:pPr>
        <w:rPr>
          <w:lang w:val="sl-SI"/>
        </w:rPr>
      </w:pPr>
      <w:r>
        <w:rPr>
          <w:lang w:val="sl-SI"/>
        </w:rPr>
        <w:t>V zvezi z navedenim vam v nadaljevanju odgovarjamo.</w:t>
      </w:r>
    </w:p>
    <w:p w:rsidR="00443045" w:rsidRDefault="00443045" w:rsidP="007D75CF">
      <w:pPr>
        <w:rPr>
          <w:lang w:val="sl-SI"/>
        </w:rPr>
      </w:pPr>
    </w:p>
    <w:p w:rsidR="00443045" w:rsidRDefault="00C233A6" w:rsidP="00177FA4">
      <w:pPr>
        <w:jc w:val="both"/>
        <w:rPr>
          <w:lang w:val="sl-SI"/>
        </w:rPr>
      </w:pPr>
      <w:hyperlink r:id="rId8" w:history="1">
        <w:r w:rsidR="00BA1E6B" w:rsidRPr="00443045">
          <w:rPr>
            <w:rStyle w:val="Hiperpovezava"/>
            <w:lang w:val="sl-SI"/>
          </w:rPr>
          <w:t>Zakon o davku od dohodkov pravnih oseb – ZDDPO-2</w:t>
        </w:r>
      </w:hyperlink>
      <w:r w:rsidR="00BA1E6B" w:rsidRPr="00443045">
        <w:rPr>
          <w:lang w:val="sl-SI"/>
        </w:rPr>
        <w:t xml:space="preserve"> v 9. členu določa oprostitev </w:t>
      </w:r>
      <w:r w:rsidR="00BA1E6B">
        <w:rPr>
          <w:lang w:val="sl-SI"/>
        </w:rPr>
        <w:t xml:space="preserve"> </w:t>
      </w:r>
      <w:r w:rsidR="00BA1E6B" w:rsidRPr="00443045">
        <w:rPr>
          <w:lang w:val="sl-SI"/>
        </w:rPr>
        <w:t>plačila davka od dohodkov pravnih oseb za zavezanca, ki</w:t>
      </w:r>
      <w:r w:rsidR="00BA1E6B">
        <w:rPr>
          <w:lang w:val="sl-SI"/>
        </w:rPr>
        <w:t xml:space="preserve"> je ustanovljen za opravljanje </w:t>
      </w:r>
      <w:r w:rsidR="00BA1E6B" w:rsidRPr="00443045">
        <w:rPr>
          <w:lang w:val="sl-SI"/>
        </w:rPr>
        <w:t>nepridobitne dejavnosti. Med zavezanci, ki se davčno ob</w:t>
      </w:r>
      <w:r w:rsidR="00BA1E6B">
        <w:rPr>
          <w:lang w:val="sl-SI"/>
        </w:rPr>
        <w:t xml:space="preserve">ravnavajo v skladu z 9. členom </w:t>
      </w:r>
      <w:r w:rsidR="00BA1E6B" w:rsidRPr="00443045">
        <w:rPr>
          <w:lang w:val="sl-SI"/>
        </w:rPr>
        <w:t>ZDDPO-2, so tudi zavodi, če izpolnjujejo predpisane pogoje za opr</w:t>
      </w:r>
      <w:r w:rsidR="00BA1E6B">
        <w:rPr>
          <w:lang w:val="sl-SI"/>
        </w:rPr>
        <w:t xml:space="preserve">ostitev, tj. če je zavezanec v </w:t>
      </w:r>
      <w:r w:rsidR="00BA1E6B" w:rsidRPr="00443045">
        <w:rPr>
          <w:lang w:val="sl-SI"/>
        </w:rPr>
        <w:t>skladu s posebnim zakonom (v konkretnem primeru v skla</w:t>
      </w:r>
      <w:r w:rsidR="00BA1E6B">
        <w:rPr>
          <w:lang w:val="sl-SI"/>
        </w:rPr>
        <w:t xml:space="preserve">du z zakonom, ki ureja zavode) </w:t>
      </w:r>
      <w:r w:rsidR="00BA1E6B" w:rsidRPr="00443045">
        <w:rPr>
          <w:lang w:val="sl-SI"/>
        </w:rPr>
        <w:t>ustanovljen za opravljanje nepridobitne dejavnosti in tudi deja</w:t>
      </w:r>
      <w:r w:rsidR="00BA1E6B">
        <w:rPr>
          <w:lang w:val="sl-SI"/>
        </w:rPr>
        <w:t xml:space="preserve">nsko posluje skladno z namenom </w:t>
      </w:r>
      <w:r w:rsidR="00BA1E6B" w:rsidRPr="00443045">
        <w:rPr>
          <w:lang w:val="sl-SI"/>
        </w:rPr>
        <w:t xml:space="preserve">ustanovitve in delovanja. </w:t>
      </w:r>
    </w:p>
    <w:p w:rsidR="00443045" w:rsidRPr="00443045" w:rsidRDefault="00443045" w:rsidP="00443045">
      <w:pPr>
        <w:rPr>
          <w:lang w:val="sl-SI"/>
        </w:rPr>
      </w:pPr>
    </w:p>
    <w:p w:rsidR="00443045" w:rsidRPr="00BC2517" w:rsidRDefault="00C233A6" w:rsidP="00443045">
      <w:pPr>
        <w:jc w:val="both"/>
        <w:rPr>
          <w:lang w:val="sl-SI"/>
        </w:rPr>
      </w:pPr>
      <w:hyperlink r:id="rId9" w:history="1">
        <w:r w:rsidR="00BA1E6B" w:rsidRPr="00443045">
          <w:rPr>
            <w:rStyle w:val="Hiperpovezava"/>
            <w:lang w:val="sl-SI"/>
          </w:rPr>
          <w:t>Pravilnik o opredelitvi pridobitne in nepridobitne dejavnosti</w:t>
        </w:r>
      </w:hyperlink>
      <w:r w:rsidR="00BA1E6B" w:rsidRPr="00443045">
        <w:rPr>
          <w:lang w:val="sl-SI"/>
        </w:rPr>
        <w:t xml:space="preserve"> podrobneje opredeljuje, kaj se šteje </w:t>
      </w:r>
      <w:r w:rsidR="00BA1E6B">
        <w:rPr>
          <w:lang w:val="sl-SI"/>
        </w:rPr>
        <w:t xml:space="preserve">za pridobitno ali nepridobitno </w:t>
      </w:r>
      <w:r w:rsidR="00BA1E6B" w:rsidRPr="00443045">
        <w:rPr>
          <w:lang w:val="sl-SI"/>
        </w:rPr>
        <w:t xml:space="preserve">dejavnost in določa najpogostejše primere dohodkov, ki se pri </w:t>
      </w:r>
      <w:r w:rsidR="00BA1E6B">
        <w:rPr>
          <w:lang w:val="sl-SI"/>
        </w:rPr>
        <w:t xml:space="preserve">zavezancu iz 9. člena ZDDPO-2, </w:t>
      </w:r>
      <w:r w:rsidR="00BA1E6B" w:rsidRPr="00443045">
        <w:rPr>
          <w:lang w:val="sl-SI"/>
        </w:rPr>
        <w:t>torej tudi pri zavodu, štejejo za pridobitne oziroma nepridobitne prihodke. V skladu s 3. členom (šesta in sedma alineja prvega odstavk</w:t>
      </w:r>
      <w:r w:rsidR="00BA1E6B">
        <w:rPr>
          <w:lang w:val="sl-SI"/>
        </w:rPr>
        <w:t xml:space="preserve">a tega člena) Pravilnika se za </w:t>
      </w:r>
      <w:r w:rsidR="00BA1E6B" w:rsidRPr="00443045">
        <w:rPr>
          <w:lang w:val="sl-SI"/>
        </w:rPr>
        <w:t xml:space="preserve">dohodke iz opravljanja nepridobitne dejavnosti zavezanca iz 9. </w:t>
      </w:r>
      <w:r w:rsidR="00BA1E6B">
        <w:rPr>
          <w:lang w:val="sl-SI"/>
        </w:rPr>
        <w:t xml:space="preserve">člena ZDDPO-2, ki se izvzemajo </w:t>
      </w:r>
      <w:r w:rsidR="00BA1E6B" w:rsidRPr="00443045">
        <w:rPr>
          <w:lang w:val="sl-SI"/>
        </w:rPr>
        <w:t>iz davčne osnove po 27. členu tega zakona, med drugim štej</w:t>
      </w:r>
      <w:r w:rsidR="00BA1E6B">
        <w:rPr>
          <w:lang w:val="sl-SI"/>
        </w:rPr>
        <w:t xml:space="preserve">ejo </w:t>
      </w:r>
      <w:r w:rsidR="00F54922">
        <w:rPr>
          <w:lang w:val="sl-SI"/>
        </w:rPr>
        <w:t xml:space="preserve">tudi </w:t>
      </w:r>
      <w:r w:rsidR="00BA1E6B">
        <w:rPr>
          <w:lang w:val="sl-SI"/>
        </w:rPr>
        <w:t xml:space="preserve">namenska javna sredstva in </w:t>
      </w:r>
      <w:r w:rsidR="00BA1E6B" w:rsidRPr="00443045">
        <w:rPr>
          <w:lang w:val="sl-SI"/>
        </w:rPr>
        <w:t xml:space="preserve">javna sredstva za izvajanje javne službe iz javnofinančnih virov. </w:t>
      </w:r>
    </w:p>
    <w:p w:rsidR="00377950" w:rsidRPr="00BC2517" w:rsidRDefault="00377950" w:rsidP="007D75CF">
      <w:pPr>
        <w:rPr>
          <w:lang w:val="sl-SI"/>
        </w:rPr>
      </w:pPr>
    </w:p>
    <w:p w:rsidR="00177FA4" w:rsidRDefault="00C233A6" w:rsidP="00F54922">
      <w:pPr>
        <w:jc w:val="both"/>
        <w:rPr>
          <w:lang w:val="sl-SI"/>
        </w:rPr>
      </w:pPr>
      <w:r>
        <w:rPr>
          <w:lang w:val="sl-SI"/>
        </w:rPr>
        <w:t xml:space="preserve">Kot že sami ugotavljate, so sredstva, ki jih javni zavod (bolnišnica) prejme s strani ZZZS na podlagi </w:t>
      </w:r>
      <w:r w:rsidRPr="001B41E0">
        <w:rPr>
          <w:lang w:val="sl-SI"/>
        </w:rPr>
        <w:t>n</w:t>
      </w:r>
      <w:r>
        <w:rPr>
          <w:lang w:val="sl-SI"/>
        </w:rPr>
        <w:t>eposredno podpisanih pogodb</w:t>
      </w:r>
      <w:r w:rsidRPr="001B41E0">
        <w:rPr>
          <w:lang w:val="sl-SI"/>
        </w:rPr>
        <w:t xml:space="preserve"> z ZZZS </w:t>
      </w:r>
      <w:r>
        <w:rPr>
          <w:lang w:val="sl-SI"/>
        </w:rPr>
        <w:t xml:space="preserve">(točka 1 in 2 vašega vprašanja) namenska javna sredstva in  </w:t>
      </w:r>
      <w:r w:rsidR="00F64053">
        <w:rPr>
          <w:lang w:val="sl-SI"/>
        </w:rPr>
        <w:t>pri zavodu predstavljajo</w:t>
      </w:r>
      <w:r>
        <w:rPr>
          <w:lang w:val="sl-SI"/>
        </w:rPr>
        <w:t xml:space="preserve"> </w:t>
      </w:r>
      <w:r w:rsidR="00F64053">
        <w:rPr>
          <w:lang w:val="sl-SI"/>
        </w:rPr>
        <w:t>nepridobitne</w:t>
      </w:r>
      <w:r>
        <w:rPr>
          <w:lang w:val="sl-SI"/>
        </w:rPr>
        <w:t xml:space="preserve"> pri</w:t>
      </w:r>
      <w:r w:rsidR="00F64053">
        <w:rPr>
          <w:lang w:val="sl-SI"/>
        </w:rPr>
        <w:t>hodke</w:t>
      </w:r>
      <w:r>
        <w:rPr>
          <w:lang w:val="sl-SI"/>
        </w:rPr>
        <w:t xml:space="preserve"> skladno </w:t>
      </w:r>
      <w:r>
        <w:rPr>
          <w:lang w:val="sl-SI"/>
        </w:rPr>
        <w:t xml:space="preserve">s sedmo alinejo prvega odstavka 3. člena Pravilnika. Prav tako </w:t>
      </w:r>
      <w:r w:rsidR="00F64053">
        <w:rPr>
          <w:lang w:val="sl-SI"/>
        </w:rPr>
        <w:t xml:space="preserve">pravilno ugotavljate, da tudi tista sredstva, ki jih bolnišnica prejme s strani ZZZS kot plačilo za storitev prejemnikom denarne socialne pomoči, </w:t>
      </w:r>
      <w:r>
        <w:rPr>
          <w:lang w:val="sl-SI"/>
        </w:rPr>
        <w:t xml:space="preserve">predstavljajo namenska javna sredstva </w:t>
      </w:r>
      <w:r w:rsidR="00F64053">
        <w:rPr>
          <w:lang w:val="sl-SI"/>
        </w:rPr>
        <w:t>in s tem nepridobitne prihodke. Prejemniki denarne socialne pomoči imajo namreč</w:t>
      </w:r>
      <w:r w:rsidR="00BA1E6B">
        <w:rPr>
          <w:lang w:val="sl-SI"/>
        </w:rPr>
        <w:t xml:space="preserve"> skladno z 29. členom </w:t>
      </w:r>
      <w:hyperlink r:id="rId10" w:history="1">
        <w:r w:rsidR="00BA1E6B" w:rsidRPr="00177FA4">
          <w:rPr>
            <w:rStyle w:val="Hiperpovezava"/>
            <w:lang w:val="sl-SI"/>
          </w:rPr>
          <w:t>Zakona o uveljavljanju pravic iz javnih sredstev</w:t>
        </w:r>
      </w:hyperlink>
      <w:r w:rsidR="00BA1E6B">
        <w:rPr>
          <w:lang w:val="sl-SI"/>
        </w:rPr>
        <w:t xml:space="preserve"> p</w:t>
      </w:r>
      <w:r w:rsidR="00F64053">
        <w:rPr>
          <w:lang w:val="sl-SI"/>
        </w:rPr>
        <w:t>ravico do kritja razlike do</w:t>
      </w:r>
      <w:r w:rsidR="00BA1E6B" w:rsidRPr="00177FA4">
        <w:rPr>
          <w:lang w:val="sl-SI"/>
        </w:rPr>
        <w:t xml:space="preserve"> polne vredno</w:t>
      </w:r>
      <w:r w:rsidR="0007715C">
        <w:rPr>
          <w:lang w:val="sl-SI"/>
        </w:rPr>
        <w:t>sti zdravstvenih storitev</w:t>
      </w:r>
      <w:r w:rsidR="00F64053">
        <w:rPr>
          <w:lang w:val="sl-SI"/>
        </w:rPr>
        <w:t>, v zvezi s katero ZZZS zagotavlja javnemu zavodu namenska javna sredstva.</w:t>
      </w:r>
    </w:p>
    <w:p w:rsidR="00177FA4" w:rsidRDefault="00177FA4" w:rsidP="007D75CF">
      <w:pPr>
        <w:rPr>
          <w:lang w:val="sl-SI"/>
        </w:rPr>
      </w:pPr>
    </w:p>
    <w:p w:rsidR="00177FA4" w:rsidRDefault="00177FA4" w:rsidP="007D75CF">
      <w:pPr>
        <w:rPr>
          <w:lang w:val="sl-SI"/>
        </w:rPr>
      </w:pPr>
    </w:p>
    <w:p w:rsidR="001A3BA5" w:rsidRPr="00BC2517" w:rsidRDefault="001A3BA5" w:rsidP="001A3BA5">
      <w:pPr>
        <w:pStyle w:val="podpisi"/>
        <w:tabs>
          <w:tab w:val="left" w:pos="851"/>
        </w:tabs>
        <w:ind w:left="720"/>
        <w:rPr>
          <w:lang w:val="sl-SI"/>
        </w:rPr>
      </w:pPr>
    </w:p>
    <w:p w:rsidR="00F64053" w:rsidRDefault="00C233A6" w:rsidP="005149DF">
      <w:pPr>
        <w:pStyle w:val="podpisi"/>
        <w:tabs>
          <w:tab w:val="left" w:pos="709"/>
        </w:tabs>
        <w:rPr>
          <w:lang w:val="sl-SI"/>
        </w:rPr>
      </w:pPr>
      <w:r w:rsidRPr="00BC2517">
        <w:rPr>
          <w:lang w:val="sl-SI"/>
        </w:rPr>
        <w:t>Vročiti:</w:t>
      </w:r>
    </w:p>
    <w:p w:rsidR="00F64053" w:rsidRPr="00BC2517" w:rsidRDefault="00A67824" w:rsidP="00F64053">
      <w:pPr>
        <w:pStyle w:val="datumtevilka"/>
        <w:numPr>
          <w:ilvl w:val="0"/>
          <w:numId w:val="6"/>
        </w:numPr>
        <w:rPr>
          <w:b/>
        </w:rPr>
      </w:pPr>
      <w:r>
        <w:t>naslovniku</w:t>
      </w:r>
      <w:bookmarkStart w:id="1" w:name="_GoBack"/>
      <w:bookmarkEnd w:id="1"/>
      <w:r w:rsidR="00C233A6">
        <w:t>, elektronsko.</w:t>
      </w:r>
    </w:p>
    <w:p w:rsidR="001A3BA5" w:rsidRPr="00BC2517" w:rsidRDefault="001A3BA5" w:rsidP="00F64053">
      <w:pPr>
        <w:pStyle w:val="podpisi"/>
        <w:tabs>
          <w:tab w:val="left" w:pos="709"/>
        </w:tabs>
        <w:ind w:left="720"/>
        <w:rPr>
          <w:lang w:val="sl-SI"/>
        </w:rPr>
      </w:pPr>
    </w:p>
    <w:sectPr w:rsidR="001A3BA5" w:rsidRPr="00BC2517" w:rsidSect="00F00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A6" w:rsidRDefault="00C233A6">
      <w:pPr>
        <w:spacing w:line="240" w:lineRule="auto"/>
      </w:pPr>
      <w:r>
        <w:separator/>
      </w:r>
    </w:p>
  </w:endnote>
  <w:endnote w:type="continuationSeparator" w:id="0">
    <w:p w:rsidR="00C233A6" w:rsidRDefault="00C23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1" w:rsidRDefault="00C233A6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A6782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A6782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1" w:rsidRDefault="00C233A6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A6782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A67824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A6" w:rsidRDefault="00C233A6">
      <w:pPr>
        <w:spacing w:line="240" w:lineRule="auto"/>
      </w:pPr>
      <w:r>
        <w:separator/>
      </w:r>
    </w:p>
  </w:footnote>
  <w:footnote w:type="continuationSeparator" w:id="0">
    <w:p w:rsidR="00C233A6" w:rsidRDefault="00C23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46D77">
      <w:trPr>
        <w:cantSplit/>
        <w:trHeight w:hRule="exact" w:val="847"/>
      </w:trPr>
      <w:tc>
        <w:tcPr>
          <w:tcW w:w="567" w:type="dxa"/>
        </w:tcPr>
        <w:p w:rsidR="000B0B21" w:rsidRDefault="00C233A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C233A6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0B0B21" w:rsidRPr="00FD746A" w:rsidRDefault="00C233A6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:rsidR="00ED7E82" w:rsidRDefault="00C233A6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:rsidR="005254D1" w:rsidRPr="00A12D5C" w:rsidRDefault="00C233A6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>
      <w:rPr>
        <w:rFonts w:ascii="Republika" w:hAnsi="Republika"/>
        <w:lang w:val="sl-SI"/>
      </w:rPr>
      <w:t>finančni urad</w:t>
    </w:r>
  </w:p>
  <w:p w:rsidR="005254D1" w:rsidRPr="008F3500" w:rsidRDefault="00C233A6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:rsidR="005254D1" w:rsidRPr="008F3500" w:rsidRDefault="00C233A6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:rsidR="005254D1" w:rsidRPr="008F3500" w:rsidRDefault="00C233A6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B0CAB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AA516A" w:tentative="1">
      <w:start w:val="1"/>
      <w:numFmt w:val="lowerLetter"/>
      <w:lvlText w:val="%2."/>
      <w:lvlJc w:val="left"/>
      <w:pPr>
        <w:ind w:left="1800" w:hanging="360"/>
      </w:pPr>
    </w:lvl>
    <w:lvl w:ilvl="2" w:tplc="C7209816" w:tentative="1">
      <w:start w:val="1"/>
      <w:numFmt w:val="lowerRoman"/>
      <w:lvlText w:val="%3."/>
      <w:lvlJc w:val="right"/>
      <w:pPr>
        <w:ind w:left="2520" w:hanging="180"/>
      </w:pPr>
    </w:lvl>
    <w:lvl w:ilvl="3" w:tplc="17C08B06" w:tentative="1">
      <w:start w:val="1"/>
      <w:numFmt w:val="decimal"/>
      <w:lvlText w:val="%4."/>
      <w:lvlJc w:val="left"/>
      <w:pPr>
        <w:ind w:left="3240" w:hanging="360"/>
      </w:pPr>
    </w:lvl>
    <w:lvl w:ilvl="4" w:tplc="0B146FE8" w:tentative="1">
      <w:start w:val="1"/>
      <w:numFmt w:val="lowerLetter"/>
      <w:lvlText w:val="%5."/>
      <w:lvlJc w:val="left"/>
      <w:pPr>
        <w:ind w:left="3960" w:hanging="360"/>
      </w:pPr>
    </w:lvl>
    <w:lvl w:ilvl="5" w:tplc="AF9C8732" w:tentative="1">
      <w:start w:val="1"/>
      <w:numFmt w:val="lowerRoman"/>
      <w:lvlText w:val="%6."/>
      <w:lvlJc w:val="right"/>
      <w:pPr>
        <w:ind w:left="4680" w:hanging="180"/>
      </w:pPr>
    </w:lvl>
    <w:lvl w:ilvl="6" w:tplc="24B20A44" w:tentative="1">
      <w:start w:val="1"/>
      <w:numFmt w:val="decimal"/>
      <w:lvlText w:val="%7."/>
      <w:lvlJc w:val="left"/>
      <w:pPr>
        <w:ind w:left="5400" w:hanging="360"/>
      </w:pPr>
    </w:lvl>
    <w:lvl w:ilvl="7" w:tplc="0EB6BA28" w:tentative="1">
      <w:start w:val="1"/>
      <w:numFmt w:val="lowerLetter"/>
      <w:lvlText w:val="%8."/>
      <w:lvlJc w:val="left"/>
      <w:pPr>
        <w:ind w:left="6120" w:hanging="360"/>
      </w:pPr>
    </w:lvl>
    <w:lvl w:ilvl="8" w:tplc="1BF011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9A9E3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4C191A" w:tentative="1">
      <w:start w:val="1"/>
      <w:numFmt w:val="lowerLetter"/>
      <w:lvlText w:val="%2."/>
      <w:lvlJc w:val="left"/>
      <w:pPr>
        <w:ind w:left="1080" w:hanging="360"/>
      </w:pPr>
    </w:lvl>
    <w:lvl w:ilvl="2" w:tplc="726E6098" w:tentative="1">
      <w:start w:val="1"/>
      <w:numFmt w:val="lowerRoman"/>
      <w:lvlText w:val="%3."/>
      <w:lvlJc w:val="right"/>
      <w:pPr>
        <w:ind w:left="1800" w:hanging="180"/>
      </w:pPr>
    </w:lvl>
    <w:lvl w:ilvl="3" w:tplc="17101DE2" w:tentative="1">
      <w:start w:val="1"/>
      <w:numFmt w:val="decimal"/>
      <w:lvlText w:val="%4."/>
      <w:lvlJc w:val="left"/>
      <w:pPr>
        <w:ind w:left="2520" w:hanging="360"/>
      </w:pPr>
    </w:lvl>
    <w:lvl w:ilvl="4" w:tplc="CF6E5F4A" w:tentative="1">
      <w:start w:val="1"/>
      <w:numFmt w:val="lowerLetter"/>
      <w:lvlText w:val="%5."/>
      <w:lvlJc w:val="left"/>
      <w:pPr>
        <w:ind w:left="3240" w:hanging="360"/>
      </w:pPr>
    </w:lvl>
    <w:lvl w:ilvl="5" w:tplc="180C010A" w:tentative="1">
      <w:start w:val="1"/>
      <w:numFmt w:val="lowerRoman"/>
      <w:lvlText w:val="%6."/>
      <w:lvlJc w:val="right"/>
      <w:pPr>
        <w:ind w:left="3960" w:hanging="180"/>
      </w:pPr>
    </w:lvl>
    <w:lvl w:ilvl="6" w:tplc="48008FCE" w:tentative="1">
      <w:start w:val="1"/>
      <w:numFmt w:val="decimal"/>
      <w:lvlText w:val="%7."/>
      <w:lvlJc w:val="left"/>
      <w:pPr>
        <w:ind w:left="4680" w:hanging="360"/>
      </w:pPr>
    </w:lvl>
    <w:lvl w:ilvl="7" w:tplc="3A785F9A" w:tentative="1">
      <w:start w:val="1"/>
      <w:numFmt w:val="lowerLetter"/>
      <w:lvlText w:val="%8."/>
      <w:lvlJc w:val="left"/>
      <w:pPr>
        <w:ind w:left="5400" w:hanging="360"/>
      </w:pPr>
    </w:lvl>
    <w:lvl w:ilvl="8" w:tplc="318AFB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FCA8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8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A4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822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AC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D60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5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A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2A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C6636"/>
    <w:multiLevelType w:val="hybridMultilevel"/>
    <w:tmpl w:val="8D9AD260"/>
    <w:lvl w:ilvl="0" w:tplc="9AE0FB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3283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6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6B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EF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23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4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A3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23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2B12B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EA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A9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C9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8C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E5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8B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C6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C9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63FF"/>
    <w:rsid w:val="000206AE"/>
    <w:rsid w:val="00023A88"/>
    <w:rsid w:val="000636E1"/>
    <w:rsid w:val="0007715C"/>
    <w:rsid w:val="0008352D"/>
    <w:rsid w:val="000A07CE"/>
    <w:rsid w:val="000A2C92"/>
    <w:rsid w:val="000A7238"/>
    <w:rsid w:val="000B0B21"/>
    <w:rsid w:val="000D08A9"/>
    <w:rsid w:val="000F3D38"/>
    <w:rsid w:val="00110CBD"/>
    <w:rsid w:val="001357B2"/>
    <w:rsid w:val="00146D77"/>
    <w:rsid w:val="00151388"/>
    <w:rsid w:val="00151872"/>
    <w:rsid w:val="00160E5F"/>
    <w:rsid w:val="00177FA4"/>
    <w:rsid w:val="001A3BA5"/>
    <w:rsid w:val="001B41E0"/>
    <w:rsid w:val="001F3B21"/>
    <w:rsid w:val="001F7BC0"/>
    <w:rsid w:val="00202A77"/>
    <w:rsid w:val="00227CDF"/>
    <w:rsid w:val="00232E47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C7EEB"/>
    <w:rsid w:val="002F5BDA"/>
    <w:rsid w:val="00304726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B5CF4"/>
    <w:rsid w:val="003C3B1D"/>
    <w:rsid w:val="003D0306"/>
    <w:rsid w:val="003E1C74"/>
    <w:rsid w:val="003E7E9E"/>
    <w:rsid w:val="003F4966"/>
    <w:rsid w:val="00443045"/>
    <w:rsid w:val="00447B95"/>
    <w:rsid w:val="00484A06"/>
    <w:rsid w:val="004A2490"/>
    <w:rsid w:val="004A4233"/>
    <w:rsid w:val="004A6A59"/>
    <w:rsid w:val="004B160E"/>
    <w:rsid w:val="005149DF"/>
    <w:rsid w:val="005254D1"/>
    <w:rsid w:val="00525C18"/>
    <w:rsid w:val="00526246"/>
    <w:rsid w:val="0055206D"/>
    <w:rsid w:val="00567106"/>
    <w:rsid w:val="005709F2"/>
    <w:rsid w:val="005916E5"/>
    <w:rsid w:val="005B0438"/>
    <w:rsid w:val="005D20D0"/>
    <w:rsid w:val="005E1D3C"/>
    <w:rsid w:val="006268BE"/>
    <w:rsid w:val="00632253"/>
    <w:rsid w:val="00642714"/>
    <w:rsid w:val="00643C4E"/>
    <w:rsid w:val="006455CE"/>
    <w:rsid w:val="006C472E"/>
    <w:rsid w:val="006D42D9"/>
    <w:rsid w:val="006F142E"/>
    <w:rsid w:val="00726463"/>
    <w:rsid w:val="00733017"/>
    <w:rsid w:val="00751D38"/>
    <w:rsid w:val="00775FED"/>
    <w:rsid w:val="00783310"/>
    <w:rsid w:val="00794B95"/>
    <w:rsid w:val="00794E63"/>
    <w:rsid w:val="007A4A6D"/>
    <w:rsid w:val="007A551E"/>
    <w:rsid w:val="007D1BCF"/>
    <w:rsid w:val="007D75CF"/>
    <w:rsid w:val="007E6DC5"/>
    <w:rsid w:val="0088043C"/>
    <w:rsid w:val="008906C9"/>
    <w:rsid w:val="008A5918"/>
    <w:rsid w:val="008B2E72"/>
    <w:rsid w:val="008C00F2"/>
    <w:rsid w:val="008C5738"/>
    <w:rsid w:val="008D04F0"/>
    <w:rsid w:val="008E2D84"/>
    <w:rsid w:val="008F3500"/>
    <w:rsid w:val="009022B3"/>
    <w:rsid w:val="00924E3C"/>
    <w:rsid w:val="00925A8B"/>
    <w:rsid w:val="009349B6"/>
    <w:rsid w:val="009612BB"/>
    <w:rsid w:val="009719AB"/>
    <w:rsid w:val="009B0295"/>
    <w:rsid w:val="009C5340"/>
    <w:rsid w:val="009C5AC9"/>
    <w:rsid w:val="009E42F2"/>
    <w:rsid w:val="00A05DC7"/>
    <w:rsid w:val="00A0673A"/>
    <w:rsid w:val="00A125C5"/>
    <w:rsid w:val="00A12D5C"/>
    <w:rsid w:val="00A216AF"/>
    <w:rsid w:val="00A3267F"/>
    <w:rsid w:val="00A36906"/>
    <w:rsid w:val="00A45EAF"/>
    <w:rsid w:val="00A5039D"/>
    <w:rsid w:val="00A65EE7"/>
    <w:rsid w:val="00A67824"/>
    <w:rsid w:val="00A70133"/>
    <w:rsid w:val="00A72510"/>
    <w:rsid w:val="00A8368D"/>
    <w:rsid w:val="00AA47FE"/>
    <w:rsid w:val="00AC05DE"/>
    <w:rsid w:val="00AC5C16"/>
    <w:rsid w:val="00AD5A5B"/>
    <w:rsid w:val="00AE1792"/>
    <w:rsid w:val="00B011EA"/>
    <w:rsid w:val="00B17141"/>
    <w:rsid w:val="00B31575"/>
    <w:rsid w:val="00B63BD4"/>
    <w:rsid w:val="00B653A6"/>
    <w:rsid w:val="00B677B6"/>
    <w:rsid w:val="00B8547D"/>
    <w:rsid w:val="00B87818"/>
    <w:rsid w:val="00BA1E6B"/>
    <w:rsid w:val="00BB7D94"/>
    <w:rsid w:val="00BC2517"/>
    <w:rsid w:val="00BC61EF"/>
    <w:rsid w:val="00BE423F"/>
    <w:rsid w:val="00C233A6"/>
    <w:rsid w:val="00C250D5"/>
    <w:rsid w:val="00C47F8D"/>
    <w:rsid w:val="00C52DAE"/>
    <w:rsid w:val="00C57EED"/>
    <w:rsid w:val="00C81391"/>
    <w:rsid w:val="00C92898"/>
    <w:rsid w:val="00C97222"/>
    <w:rsid w:val="00CA28CB"/>
    <w:rsid w:val="00CE7514"/>
    <w:rsid w:val="00D248DE"/>
    <w:rsid w:val="00D25427"/>
    <w:rsid w:val="00D31B74"/>
    <w:rsid w:val="00D3564D"/>
    <w:rsid w:val="00D8542D"/>
    <w:rsid w:val="00DB11E1"/>
    <w:rsid w:val="00DB4E6F"/>
    <w:rsid w:val="00DC62F6"/>
    <w:rsid w:val="00DC6A71"/>
    <w:rsid w:val="00DD6CC3"/>
    <w:rsid w:val="00DE5B46"/>
    <w:rsid w:val="00E0357D"/>
    <w:rsid w:val="00E24EC2"/>
    <w:rsid w:val="00E51C0F"/>
    <w:rsid w:val="00E8201C"/>
    <w:rsid w:val="00E94ECF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4922"/>
    <w:rsid w:val="00F57FED"/>
    <w:rsid w:val="00F60095"/>
    <w:rsid w:val="00F64053"/>
    <w:rsid w:val="00FD2913"/>
    <w:rsid w:val="00FD746A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760A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0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rs.si/Pis.web/pregledPredpisa?id=ZAKO468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isrs.si/Pis.web/pregledPredpisa?id=ZAKO4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srs.si/Pis.web/pregledPredpisa?id=PRAV8093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2430-DB03-4A27-AB5D-0631787B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FURS</cp:lastModifiedBy>
  <cp:revision>2</cp:revision>
  <cp:lastPrinted>2023-04-25T09:23:00Z</cp:lastPrinted>
  <dcterms:created xsi:type="dcterms:W3CDTF">2023-04-25T09:27:00Z</dcterms:created>
  <dcterms:modified xsi:type="dcterms:W3CDTF">2023-04-25T09:27:00Z</dcterms:modified>
</cp:coreProperties>
</file>