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0F55" w14:textId="35BF39E1" w:rsidR="00135F9D" w:rsidRDefault="00135F9D" w:rsidP="00135F9D">
      <w:pPr>
        <w:pStyle w:val="ZADEVA"/>
        <w:rPr>
          <w:lang w:val="sl-SI"/>
        </w:rPr>
      </w:pPr>
    </w:p>
    <w:p w14:paraId="041C47A1" w14:textId="77777777" w:rsidR="00135F9D" w:rsidRDefault="00135F9D" w:rsidP="00135F9D">
      <w:pPr>
        <w:pStyle w:val="ZADEVA"/>
        <w:rPr>
          <w:lang w:val="sl-SI"/>
        </w:rPr>
      </w:pPr>
    </w:p>
    <w:p w14:paraId="0446C1FF" w14:textId="298CF7FB" w:rsidR="00135F9D" w:rsidRPr="00BC2517" w:rsidRDefault="00135F9D" w:rsidP="00135F9D">
      <w:pPr>
        <w:pStyle w:val="ZADEVA"/>
        <w:rPr>
          <w:lang w:val="sl-SI"/>
        </w:rPr>
      </w:pPr>
      <w:r w:rsidRPr="00A02413">
        <w:rPr>
          <w:lang w:val="sl-SI"/>
        </w:rPr>
        <w:t>Izvzem prihodkov in odhodkov iz nepridobitne dejavnosti pri javnih zavodih - lekarnah</w:t>
      </w:r>
    </w:p>
    <w:p w14:paraId="2D36C323" w14:textId="3C9BAA0E" w:rsidR="000A2C92" w:rsidRPr="00BC2517" w:rsidRDefault="00135F9D" w:rsidP="00DC6A71">
      <w:pPr>
        <w:pStyle w:val="datumtevilka"/>
        <w:rPr>
          <w:b/>
        </w:rPr>
      </w:pPr>
      <w:r>
        <w:rPr>
          <w:b/>
        </w:rPr>
        <w:t xml:space="preserve">Pojasnilo FURS, št. </w:t>
      </w:r>
      <w:r w:rsidR="00074638" w:rsidRPr="00074638">
        <w:rPr>
          <w:b/>
        </w:rPr>
        <w:t>092-6758/2022-2</w:t>
      </w:r>
      <w:r>
        <w:rPr>
          <w:b/>
        </w:rPr>
        <w:t>, z dne 27. 01. 2023</w:t>
      </w:r>
    </w:p>
    <w:p w14:paraId="1B7FE84B" w14:textId="4BF4ABA0" w:rsidR="007D75CF" w:rsidRDefault="007D75CF" w:rsidP="007D75CF">
      <w:pPr>
        <w:rPr>
          <w:lang w:val="sl-SI"/>
        </w:rPr>
      </w:pPr>
    </w:p>
    <w:p w14:paraId="0469058D" w14:textId="77777777" w:rsidR="00135F9D" w:rsidRPr="00BC2517" w:rsidRDefault="00135F9D" w:rsidP="007D75CF">
      <w:pPr>
        <w:rPr>
          <w:lang w:val="sl-SI"/>
        </w:rPr>
      </w:pPr>
    </w:p>
    <w:p w14:paraId="14FF349B" w14:textId="77777777" w:rsidR="00A02413" w:rsidRDefault="0040236C" w:rsidP="00A02413">
      <w:pPr>
        <w:jc w:val="both"/>
        <w:rPr>
          <w:lang w:val="sl-SI"/>
        </w:rPr>
      </w:pPr>
      <w:r>
        <w:rPr>
          <w:lang w:val="sl-SI"/>
        </w:rPr>
        <w:t xml:space="preserve">Novela pravilnika </w:t>
      </w:r>
      <w:hyperlink r:id="rId8" w:history="1">
        <w:r>
          <w:rPr>
            <w:rStyle w:val="Hiperpovezava"/>
            <w:lang w:val="sl-SI"/>
          </w:rPr>
          <w:t>Pravilnika o opredelitvi pridobitne in nepridobitne dejavnosti</w:t>
        </w:r>
      </w:hyperlink>
      <w:r>
        <w:rPr>
          <w:lang w:val="sl-SI"/>
        </w:rPr>
        <w:t xml:space="preserve"> </w:t>
      </w:r>
      <w:r w:rsidRPr="00A319B4">
        <w:rPr>
          <w:lang w:val="sl-SI"/>
        </w:rPr>
        <w:t>(Uradni list RS, št. 137/21 z dne 30. 8. 2021</w:t>
      </w:r>
      <w:r>
        <w:rPr>
          <w:lang w:val="sl-SI"/>
        </w:rPr>
        <w:t>; v nadaljevanju: Pravilnik</w:t>
      </w:r>
      <w:r w:rsidRPr="00A319B4">
        <w:rPr>
          <w:lang w:val="sl-SI"/>
        </w:rPr>
        <w:t>)</w:t>
      </w:r>
      <w:r>
        <w:rPr>
          <w:lang w:val="sl-SI"/>
        </w:rPr>
        <w:t xml:space="preserve">, je zaostrila pogoje za izvzem nepridobitnih prihodkov pri javnih zavodih – lekarnah. Javni zavodi – lekarne, lahko po novem kot nepridobitne izvzemajo prihodke iz naslova </w:t>
      </w:r>
      <w:r w:rsidRPr="007578BC">
        <w:rPr>
          <w:lang w:val="sl-SI"/>
        </w:rPr>
        <w:t>sredst</w:t>
      </w:r>
      <w:r>
        <w:rPr>
          <w:lang w:val="sl-SI"/>
        </w:rPr>
        <w:t>ev</w:t>
      </w:r>
      <w:r w:rsidRPr="007578BC">
        <w:rPr>
          <w:lang w:val="sl-SI"/>
        </w:rPr>
        <w:t xml:space="preserve"> za izvajanje javne službe iz javnofinančnih virov</w:t>
      </w:r>
      <w:r>
        <w:rPr>
          <w:lang w:val="sl-SI"/>
        </w:rPr>
        <w:t xml:space="preserve"> in </w:t>
      </w:r>
      <w:r w:rsidRPr="007578BC">
        <w:rPr>
          <w:lang w:val="sl-SI"/>
        </w:rPr>
        <w:t>namensk</w:t>
      </w:r>
      <w:r>
        <w:rPr>
          <w:lang w:val="sl-SI"/>
        </w:rPr>
        <w:t>ih</w:t>
      </w:r>
      <w:r w:rsidRPr="007578BC">
        <w:rPr>
          <w:lang w:val="sl-SI"/>
        </w:rPr>
        <w:t xml:space="preserve"> javn</w:t>
      </w:r>
      <w:r>
        <w:rPr>
          <w:lang w:val="sl-SI"/>
        </w:rPr>
        <w:t>ih</w:t>
      </w:r>
      <w:r w:rsidRPr="007578BC">
        <w:rPr>
          <w:lang w:val="sl-SI"/>
        </w:rPr>
        <w:t xml:space="preserve"> sredst</w:t>
      </w:r>
      <w:r>
        <w:rPr>
          <w:lang w:val="sl-SI"/>
        </w:rPr>
        <w:t>ev le</w:t>
      </w:r>
      <w:r w:rsidRPr="007578BC">
        <w:rPr>
          <w:lang w:val="sl-SI"/>
        </w:rPr>
        <w:t>, če izvzem teh sredstev</w:t>
      </w:r>
      <w:r>
        <w:rPr>
          <w:lang w:val="sl-SI"/>
        </w:rPr>
        <w:t xml:space="preserve"> (prihodkov in njim pripadajočih odhodkov) ne </w:t>
      </w:r>
      <w:r w:rsidRPr="007578BC">
        <w:rPr>
          <w:lang w:val="sl-SI"/>
        </w:rPr>
        <w:t>vpliva na trgovino med državami članicami in izkrivlja ali bi lahko izkrivljal konkurenco</w:t>
      </w:r>
      <w:r>
        <w:rPr>
          <w:lang w:val="sl-SI"/>
        </w:rPr>
        <w:t xml:space="preserve">. Novela se začne uporabljati s 1.1.2022. Javni zavodi – lekarne morajo v </w:t>
      </w:r>
      <w:r w:rsidRPr="007578BC">
        <w:rPr>
          <w:lang w:val="sl-SI"/>
        </w:rPr>
        <w:t xml:space="preserve">vpliv na trgovino med državami članicami in </w:t>
      </w:r>
      <w:r>
        <w:rPr>
          <w:lang w:val="sl-SI"/>
        </w:rPr>
        <w:t>izkrivljanje</w:t>
      </w:r>
      <w:r w:rsidRPr="007578BC">
        <w:rPr>
          <w:lang w:val="sl-SI"/>
        </w:rPr>
        <w:t xml:space="preserve"> konkurenc</w:t>
      </w:r>
      <w:r>
        <w:rPr>
          <w:lang w:val="sl-SI"/>
        </w:rPr>
        <w:t>e prvič ugotavljati v davčnem obdobju 2022.</w:t>
      </w:r>
    </w:p>
    <w:p w14:paraId="1D91C9FF" w14:textId="77777777" w:rsidR="00A02413" w:rsidRDefault="00A02413" w:rsidP="00A02413">
      <w:pPr>
        <w:jc w:val="both"/>
        <w:rPr>
          <w:lang w:val="sl-SI"/>
        </w:rPr>
      </w:pPr>
    </w:p>
    <w:p w14:paraId="7CFEEB23" w14:textId="77777777" w:rsidR="00A02413" w:rsidRDefault="0040236C" w:rsidP="00A02413">
      <w:pPr>
        <w:jc w:val="both"/>
        <w:rPr>
          <w:lang w:val="sl-SI"/>
        </w:rPr>
      </w:pPr>
      <w:r>
        <w:rPr>
          <w:lang w:val="sl-SI"/>
        </w:rPr>
        <w:t>V skladu s tretjim odstavkom 3. člena Pravilnika se šteje</w:t>
      </w:r>
      <w:r w:rsidRPr="00793DFA">
        <w:rPr>
          <w:lang w:val="sl-SI"/>
        </w:rPr>
        <w:t>, da izvzem sredstev iz šeste in sedme alineje prvega odstavka tega člena, vključno ob uporabi ene od možnosti priznavanja odhodkov iz 27. člena ZDDPO-2, vpliva na trgovino med državami članicami in izkrivlja ali bi lahko izkrivljal konkurenco, če je zaradi njune uporabe razlika v davku pri zavezancu višja od zneska 200.000 eurov v kateremkoli obdobju treh zaporednih proračunskih let.</w:t>
      </w:r>
    </w:p>
    <w:p w14:paraId="5A8FA40F" w14:textId="77777777" w:rsidR="00394780" w:rsidRDefault="00394780" w:rsidP="00A02413">
      <w:pPr>
        <w:jc w:val="both"/>
        <w:rPr>
          <w:lang w:val="sl-SI"/>
        </w:rPr>
      </w:pPr>
    </w:p>
    <w:p w14:paraId="5395C783" w14:textId="77777777" w:rsidR="00394780" w:rsidRDefault="0040236C" w:rsidP="00A02413">
      <w:pPr>
        <w:jc w:val="both"/>
        <w:rPr>
          <w:lang w:val="sl-SI"/>
        </w:rPr>
      </w:pPr>
      <w:r>
        <w:rPr>
          <w:lang w:val="sl-SI"/>
        </w:rPr>
        <w:t xml:space="preserve">V zvezi z navedenim predlagate dopolnitev usmeritev v podrobnejšem opisu »Oprostitev davka za opravljanje nepridobitne dejavnosti – 1. izdaja, februar 2018«. </w:t>
      </w:r>
    </w:p>
    <w:p w14:paraId="3413D44B" w14:textId="77777777" w:rsidR="00394780" w:rsidRDefault="00394780" w:rsidP="00A02413">
      <w:pPr>
        <w:jc w:val="both"/>
        <w:rPr>
          <w:lang w:val="sl-SI"/>
        </w:rPr>
      </w:pPr>
    </w:p>
    <w:p w14:paraId="77C403B4" w14:textId="77777777" w:rsidR="00A02413" w:rsidRDefault="0040236C" w:rsidP="00A02413">
      <w:pPr>
        <w:jc w:val="both"/>
        <w:rPr>
          <w:lang w:val="sl-SI"/>
        </w:rPr>
      </w:pPr>
      <w:r>
        <w:rPr>
          <w:lang w:val="sl-SI"/>
        </w:rPr>
        <w:t>Sporočamo vam, da bomo zgoraj navedeni podrobnejši opis dopolnili, in sicer glede naslednjih vprašanj:</w:t>
      </w:r>
    </w:p>
    <w:p w14:paraId="35CF1504" w14:textId="77777777" w:rsidR="00A02413" w:rsidRDefault="00A02413" w:rsidP="00A02413">
      <w:pPr>
        <w:jc w:val="both"/>
        <w:rPr>
          <w:lang w:val="sl-SI"/>
        </w:rPr>
      </w:pPr>
    </w:p>
    <w:p w14:paraId="64660169" w14:textId="77777777" w:rsidR="00A02413" w:rsidRDefault="0040236C" w:rsidP="00A02413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Kdaj in kako se ugotovi, da je pri javnem zavodu – lekarni, zaradi izvzemanja nepridobitnih prihodkov iz naslova </w:t>
      </w:r>
      <w:r w:rsidRPr="0013482B">
        <w:rPr>
          <w:lang w:val="sl-SI"/>
        </w:rPr>
        <w:t>sredstev za izvajanje javne službe iz javnofinančnih virov in namenskih javnih sredstev</w:t>
      </w:r>
      <w:r>
        <w:rPr>
          <w:lang w:val="sl-SI"/>
        </w:rPr>
        <w:t xml:space="preserve">, prišlo do </w:t>
      </w:r>
      <w:r w:rsidRPr="00793DFA">
        <w:rPr>
          <w:lang w:val="sl-SI"/>
        </w:rPr>
        <w:t>vpliva na trgovino med državami članicami in izkrivlja</w:t>
      </w:r>
      <w:r>
        <w:rPr>
          <w:lang w:val="sl-SI"/>
        </w:rPr>
        <w:t>nja konkurence.</w:t>
      </w:r>
    </w:p>
    <w:p w14:paraId="3850F382" w14:textId="77777777" w:rsidR="00A02413" w:rsidRDefault="00A02413" w:rsidP="00A02413">
      <w:pPr>
        <w:pStyle w:val="Odstavekseznama"/>
        <w:jc w:val="both"/>
        <w:rPr>
          <w:lang w:val="sl-SI"/>
        </w:rPr>
      </w:pPr>
    </w:p>
    <w:p w14:paraId="149A9E51" w14:textId="77777777" w:rsidR="00A02413" w:rsidRDefault="0040236C" w:rsidP="00A02413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Kaj mora javni zavod - lekarna storiti, ko ugotovi, da je oziroma bi zaradi njenega izvzemanja nepridobitnih prihodkov iz naslova </w:t>
      </w:r>
      <w:r w:rsidRPr="0013482B">
        <w:rPr>
          <w:lang w:val="sl-SI"/>
        </w:rPr>
        <w:t>sredstev za izvajanje javne službe iz javnofinančnih virov in namenskih javnih sredstev</w:t>
      </w:r>
      <w:r>
        <w:rPr>
          <w:lang w:val="sl-SI"/>
        </w:rPr>
        <w:t xml:space="preserve">, prišlo do </w:t>
      </w:r>
      <w:r w:rsidRPr="00793DFA">
        <w:rPr>
          <w:lang w:val="sl-SI"/>
        </w:rPr>
        <w:t>vpliva na trgovino med državami članicami in izkrivlja</w:t>
      </w:r>
      <w:r>
        <w:rPr>
          <w:lang w:val="sl-SI"/>
        </w:rPr>
        <w:t>nja konkurence.</w:t>
      </w:r>
    </w:p>
    <w:p w14:paraId="0AB845F9" w14:textId="77777777" w:rsidR="003F6467" w:rsidRDefault="0040236C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5A610BF1" w14:textId="77777777" w:rsidR="00A02413" w:rsidRDefault="0040236C" w:rsidP="00A02413">
      <w:pPr>
        <w:jc w:val="both"/>
        <w:rPr>
          <w:lang w:val="sl-SI"/>
        </w:rPr>
      </w:pPr>
      <w:r>
        <w:rPr>
          <w:lang w:val="sl-SI"/>
        </w:rPr>
        <w:lastRenderedPageBreak/>
        <w:t>V nadaljevanju podajamo odgovore</w:t>
      </w:r>
      <w:r w:rsidR="00002726">
        <w:rPr>
          <w:lang w:val="sl-SI"/>
        </w:rPr>
        <w:t>.</w:t>
      </w:r>
    </w:p>
    <w:p w14:paraId="5813F604" w14:textId="77777777" w:rsidR="00856B98" w:rsidRDefault="00856B98">
      <w:pPr>
        <w:spacing w:line="240" w:lineRule="auto"/>
        <w:rPr>
          <w:lang w:val="sl-SI"/>
        </w:rPr>
      </w:pPr>
    </w:p>
    <w:p w14:paraId="10D1CCA6" w14:textId="77777777" w:rsidR="00FB39BF" w:rsidRPr="00C20ABC" w:rsidRDefault="0040236C" w:rsidP="00FB39BF">
      <w:pPr>
        <w:jc w:val="both"/>
        <w:rPr>
          <w:b/>
          <w:bCs/>
          <w:lang w:val="sl-SI"/>
        </w:rPr>
      </w:pPr>
      <w:r w:rsidRPr="00C20ABC">
        <w:rPr>
          <w:b/>
          <w:bCs/>
          <w:lang w:val="sl-SI"/>
        </w:rPr>
        <w:t>Pod a:</w:t>
      </w:r>
    </w:p>
    <w:p w14:paraId="5BA4C3EF" w14:textId="77777777" w:rsidR="00FB39BF" w:rsidRDefault="0040236C" w:rsidP="00FB39BF">
      <w:pPr>
        <w:jc w:val="both"/>
        <w:rPr>
          <w:lang w:val="sl-SI"/>
        </w:rPr>
      </w:pPr>
      <w:r>
        <w:rPr>
          <w:lang w:val="sl-SI"/>
        </w:rPr>
        <w:t xml:space="preserve">Zaradi izvzemanja dohodkov iz naslova prejetih javnih sredstev lahko prihaja pri javnih zavodih - lekarnah do </w:t>
      </w:r>
      <w:r w:rsidRPr="00793DFA">
        <w:rPr>
          <w:lang w:val="sl-SI"/>
        </w:rPr>
        <w:t>vpliva na trgovino med državami članicami in izkrivlja</w:t>
      </w:r>
      <w:r>
        <w:rPr>
          <w:lang w:val="sl-SI"/>
        </w:rPr>
        <w:t>nja konkurence</w:t>
      </w:r>
      <w:r>
        <w:rPr>
          <w:rStyle w:val="Sprotnaopomba-sklic"/>
          <w:lang w:val="sl-SI"/>
        </w:rPr>
        <w:footnoteReference w:id="1"/>
      </w:r>
      <w:r>
        <w:rPr>
          <w:lang w:val="sl-SI"/>
        </w:rPr>
        <w:t xml:space="preserve">. Zato mora javni zavod – lekarna ugotavljati vpliv izvzemanja dohodkov iz naslova prejetih javnih sredstev po 9. členu </w:t>
      </w:r>
      <w:hyperlink r:id="rId9" w:history="1">
        <w:r>
          <w:rPr>
            <w:rStyle w:val="Hiperpovezava"/>
            <w:lang w:val="sl-SI"/>
          </w:rPr>
          <w:t>Zakona o davku od dohodkov pravnih oseb - ZDDPO-2</w:t>
        </w:r>
      </w:hyperlink>
      <w:r>
        <w:rPr>
          <w:rStyle w:val="Sprotnaopomba-sklic"/>
          <w:lang w:val="sl-SI"/>
        </w:rPr>
        <w:footnoteReference w:id="2"/>
      </w:r>
      <w:r>
        <w:rPr>
          <w:lang w:val="sl-SI"/>
        </w:rPr>
        <w:t xml:space="preserve"> na davčno obveznost v vsakem posameznem davčnem obdobju. Vpliv izvzemanja izračuna tako, da razliko med izvzetimi nepridobitnimi prihodki iz naslova javnih sredstev (stolpec 2 v tabeli) in izvzetimi pripadajočimi nepridobitnimi odhodki (stolpec 3 v tabeli) pomnoži z davčno stopnjo. Tako izračunanemu vplivu izvzemanja na znižanje davčne obveznosti v posameznem davčnem obdobju (stolpec 4 v tabeli) prišteje vplive izvzemanja preteklih dveh davčnih obdobij</w:t>
      </w:r>
      <w:r>
        <w:rPr>
          <w:rStyle w:val="Sprotnaopomba-sklic"/>
          <w:lang w:val="sl-SI"/>
        </w:rPr>
        <w:footnoteReference w:id="3"/>
      </w:r>
      <w:r>
        <w:rPr>
          <w:lang w:val="sl-SI"/>
        </w:rPr>
        <w:t xml:space="preserve"> in odšteje morebitne zneske vplivov, ki presegajo 200.000 EUR, prav tako v preteklih dveh davčnih obdobjih</w:t>
      </w:r>
      <w:r>
        <w:rPr>
          <w:rStyle w:val="Sprotnaopomba-sklic"/>
          <w:lang w:val="sl-SI"/>
        </w:rPr>
        <w:footnoteReference w:id="4"/>
      </w:r>
      <w:r>
        <w:rPr>
          <w:lang w:val="sl-SI"/>
        </w:rPr>
        <w:t>. Na ta način dobi v</w:t>
      </w:r>
      <w:r w:rsidRPr="001A772B">
        <w:rPr>
          <w:lang w:val="sl-SI"/>
        </w:rPr>
        <w:t xml:space="preserve">pliv izvzema dohodkov </w:t>
      </w:r>
      <w:r>
        <w:rPr>
          <w:lang w:val="sl-SI"/>
        </w:rPr>
        <w:t>iz naslova prejetih</w:t>
      </w:r>
      <w:r w:rsidRPr="001A772B">
        <w:rPr>
          <w:lang w:val="sl-SI"/>
        </w:rPr>
        <w:t xml:space="preserve"> javnih sredstev</w:t>
      </w:r>
      <w:r>
        <w:rPr>
          <w:lang w:val="sl-SI"/>
        </w:rPr>
        <w:t xml:space="preserve"> na davčno obveznost</w:t>
      </w:r>
      <w:r w:rsidRPr="001A772B">
        <w:rPr>
          <w:lang w:val="sl-SI"/>
        </w:rPr>
        <w:t xml:space="preserve"> v zadnjih treh obdobjih, ki upošteva pretekla povečanja davčne osnove </w:t>
      </w:r>
      <w:r>
        <w:rPr>
          <w:lang w:val="sl-SI"/>
        </w:rPr>
        <w:t>(stolpec 5 v tabeli). Slednji vpliv izvzemanja dohodkov iz naslova prejetih javnih sredstev na znižanje davčne obveznosti, ki presega 200.000 EUR</w:t>
      </w:r>
      <w:r>
        <w:rPr>
          <w:rStyle w:val="Sprotnaopomba-sklic"/>
          <w:lang w:val="sl-SI"/>
        </w:rPr>
        <w:footnoteReference w:id="5"/>
      </w:r>
      <w:r>
        <w:rPr>
          <w:lang w:val="sl-SI"/>
        </w:rPr>
        <w:t xml:space="preserve"> (stolpec 6 v tabeli) zavezanec deli z davčno stopnjo in tako izračuna znesek za katerega mora v posameznem davčnem obdobju povečati davčno osnovo.</w:t>
      </w:r>
    </w:p>
    <w:p w14:paraId="5AFD9A8A" w14:textId="77777777" w:rsidR="00FB39BF" w:rsidRDefault="00FB39BF" w:rsidP="00FB39BF">
      <w:pPr>
        <w:jc w:val="both"/>
        <w:rPr>
          <w:lang w:val="sl-SI"/>
        </w:rPr>
      </w:pPr>
    </w:p>
    <w:p w14:paraId="4E1E7D7E" w14:textId="77777777" w:rsidR="00FB39BF" w:rsidRPr="00C7123E" w:rsidRDefault="0040236C" w:rsidP="00FB39BF">
      <w:pPr>
        <w:jc w:val="both"/>
        <w:rPr>
          <w:sz w:val="16"/>
          <w:szCs w:val="16"/>
          <w:lang w:val="sl-SI"/>
        </w:rPr>
      </w:pPr>
      <w:r w:rsidRPr="00C7123E">
        <w:rPr>
          <w:sz w:val="16"/>
          <w:szCs w:val="16"/>
          <w:lang w:val="sl-SI"/>
        </w:rPr>
        <w:t>Primer ugotavljanja vplivanja na trgovino med državami članicami in izkrivljanje konkurence pri javnem zavodu- lekarni:</w:t>
      </w:r>
    </w:p>
    <w:p w14:paraId="02C1310E" w14:textId="77777777" w:rsidR="00FB39BF" w:rsidRPr="00D569E7" w:rsidRDefault="0040236C" w:rsidP="00FB39BF">
      <w:pPr>
        <w:jc w:val="both"/>
        <w:rPr>
          <w:rFonts w:ascii="Arial Narrow" w:hAnsi="Arial Narrow"/>
          <w:i/>
          <w:iCs/>
          <w:sz w:val="16"/>
          <w:szCs w:val="16"/>
          <w:lang w:val="sl-SI"/>
        </w:rPr>
      </w:pPr>
      <w:r w:rsidRPr="00C20ABC">
        <w:rPr>
          <w:rFonts w:ascii="Arial Narrow" w:hAnsi="Arial Narrow"/>
          <w:i/>
          <w:iCs/>
          <w:sz w:val="16"/>
          <w:szCs w:val="16"/>
          <w:lang w:val="sl-SI"/>
        </w:rPr>
        <w:t>Zneski so v EUR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1358"/>
        <w:gridCol w:w="1359"/>
        <w:gridCol w:w="1359"/>
        <w:gridCol w:w="1359"/>
        <w:gridCol w:w="1359"/>
        <w:gridCol w:w="1359"/>
      </w:tblGrid>
      <w:tr w:rsidR="008B2307" w:rsidRPr="00074638" w14:paraId="29A1335E" w14:textId="77777777" w:rsidTr="007B430D">
        <w:trPr>
          <w:trHeight w:val="17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973D" w14:textId="77777777" w:rsidR="00FB39BF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davčno obdobje</w:t>
            </w:r>
          </w:p>
          <w:p w14:paraId="7B4DDEFE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(t)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353" w14:textId="77777777" w:rsidR="00FB39BF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Polje 2.1 v davčnem obračunu</w:t>
            </w:r>
          </w:p>
          <w:p w14:paraId="7F9C7D7F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izvzema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nje prihodkov</w:t>
            </w:r>
            <w:r w:rsidRPr="008F50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iz naslova prejetih</w:t>
            </w:r>
            <w:r w:rsidRPr="008F50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 javnih sredstev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6534" w14:textId="77777777" w:rsidR="00FB39BF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Polje 6.1 v davčnem obračunu</w:t>
            </w:r>
          </w:p>
          <w:p w14:paraId="32423D4E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izvzema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nje pripadajočih odhodkov, kot posledice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 prejetih</w:t>
            </w:r>
            <w:r w:rsidRPr="008F50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 javnih sredstev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2C4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V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pliv izvzema </w:t>
            </w:r>
            <w:r w:rsidRPr="008F50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dohodkov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iz naslova prejetih</w:t>
            </w:r>
            <w:r w:rsidRPr="008F50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 javnih sredstev 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znižanje 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davčn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obveznost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v posameznem davčnem obdobju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1357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V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pliv izvzema </w:t>
            </w:r>
            <w:r w:rsidRPr="008F50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dohodkov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iz naslova prejetih</w:t>
            </w:r>
            <w:r w:rsidRPr="008F50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 javnih sredstev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 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zadnjih treh obdob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jih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, ki upošteva pretekl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 povečanja davčne osnove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E26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 w:eastAsia="en-GB"/>
              </w:rPr>
              <w:t>Znesek, ki presega mejo 200.000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73A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it-IT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it-IT" w:eastAsia="en-GB"/>
              </w:rPr>
              <w:t>povečanje davčne osnove v polju 1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it-IT" w:eastAsia="en-GB"/>
              </w:rPr>
              <w:t>2</w:t>
            </w:r>
            <w:r w:rsidRPr="00D569E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it-IT" w:eastAsia="en-GB"/>
              </w:rPr>
              <w:t>.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it-IT" w:eastAsia="en-GB"/>
              </w:rPr>
              <w:t>X</w:t>
            </w:r>
            <w:r w:rsidRPr="00D569E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it-IT" w:eastAsia="en-GB"/>
              </w:rPr>
              <w:t xml:space="preserve"> obračuna</w:t>
            </w:r>
          </w:p>
        </w:tc>
      </w:tr>
      <w:tr w:rsidR="008B2307" w14:paraId="794E33A3" w14:textId="77777777" w:rsidTr="007B430D">
        <w:trPr>
          <w:trHeight w:val="117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8F0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5638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3AC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BD1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4 = (2-3) x 0,19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DFF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5 = 4(t-2) +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 xml:space="preserve">       4(t-1) +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 xml:space="preserve">   4(t) -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 xml:space="preserve">       6(t-2) - </w:t>
            </w: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 xml:space="preserve">     6(t-1)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488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6 = (5 - 200.000)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EC1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7 = 6 / 0,19</w:t>
            </w:r>
          </w:p>
        </w:tc>
      </w:tr>
      <w:tr w:rsidR="008B2307" w14:paraId="268189A6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F6E4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A47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2.900.000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1A47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2.500.000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062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se ne ugotavlja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A3C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se ne ugotavlja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FFA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se ne ugotavlja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9BCB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se ne ugotavlja</w:t>
            </w:r>
          </w:p>
        </w:tc>
      </w:tr>
      <w:tr w:rsidR="008B2307" w14:paraId="6B5F087A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630B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09D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2.800.000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4EC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2.400.000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2349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se ne ugotavlja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839A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se ne ugotavlja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437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se ne ugotavlja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2D3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se ne ugotavlja</w:t>
            </w:r>
          </w:p>
        </w:tc>
      </w:tr>
      <w:tr w:rsidR="008B2307" w14:paraId="54CEBB2A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C07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E31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2.900.000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285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2.300.000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157BF1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114.000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C29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sz w:val="16"/>
                <w:szCs w:val="16"/>
                <w:lang w:val="en-GB" w:eastAsia="en-GB"/>
              </w:rPr>
              <w:t>114.000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19720B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DEF8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  <w:tr w:rsidR="008B2307" w14:paraId="0BF2C13D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9C1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8F62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2.800.000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3E8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2.200.000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4DB2B1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114.000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7BF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sz w:val="16"/>
                <w:szCs w:val="16"/>
                <w:lang w:val="en-GB" w:eastAsia="en-GB"/>
              </w:rPr>
              <w:t>228.000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E3741D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28.000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B53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147.368</w:t>
            </w:r>
          </w:p>
        </w:tc>
      </w:tr>
      <w:tr w:rsidR="008B2307" w14:paraId="1704CD0F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BB7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247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2.700.000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BEF0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2.200.000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CAF286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95.000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9E6" w14:textId="77777777" w:rsidR="00FB39BF" w:rsidRPr="00852B7B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852B7B">
              <w:rPr>
                <w:rFonts w:ascii="Calibri" w:hAnsi="Calibri" w:cs="Calibri"/>
                <w:b/>
                <w:bCs/>
                <w:sz w:val="16"/>
                <w:szCs w:val="16"/>
                <w:lang w:val="en-GB" w:eastAsia="en-GB"/>
              </w:rPr>
              <w:t>295.000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19FB" w14:textId="77777777" w:rsidR="00FB39BF" w:rsidRPr="00852B7B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52B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95.000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D9B516" w14:textId="77777777" w:rsidR="00FB39BF" w:rsidRPr="00852B7B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52B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500.000</w:t>
            </w:r>
          </w:p>
        </w:tc>
      </w:tr>
      <w:tr w:rsidR="008B2307" w14:paraId="5C6DEDDF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78A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0BA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2.600.000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002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2.100.000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EA9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95.000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C74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sz w:val="16"/>
                <w:szCs w:val="16"/>
                <w:lang w:val="en-GB" w:eastAsia="en-GB"/>
              </w:rPr>
              <w:t>181.000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DC9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45F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  <w:tr w:rsidR="008B2307" w14:paraId="12BFD8AC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A4B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066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2.800.000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8E3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2.200.000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0E7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114.000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240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sz w:val="16"/>
                <w:szCs w:val="16"/>
                <w:lang w:val="en-GB" w:eastAsia="en-GB"/>
              </w:rPr>
              <w:t>209.000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D1E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9.000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C6C3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47.368</w:t>
            </w:r>
          </w:p>
        </w:tc>
      </w:tr>
      <w:tr w:rsidR="008B2307" w14:paraId="3614A9D0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E9F1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A9E1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3.000.000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E2BA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2.400.000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9FB6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114.000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E0D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sz w:val="16"/>
                <w:szCs w:val="16"/>
                <w:lang w:val="en-GB" w:eastAsia="en-GB"/>
              </w:rPr>
              <w:t>314.000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6C2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114.000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8BE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600.000</w:t>
            </w:r>
          </w:p>
        </w:tc>
      </w:tr>
      <w:tr w:rsidR="008B2307" w14:paraId="35F5203E" w14:textId="77777777" w:rsidTr="007B430D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3C4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2028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2EC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2.700.000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715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2.300.000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0F5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76.000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6E9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sz w:val="16"/>
                <w:szCs w:val="16"/>
                <w:lang w:val="en-GB" w:eastAsia="en-GB"/>
              </w:rPr>
              <w:t>181.000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5AA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F9C" w14:textId="77777777" w:rsidR="00FB39BF" w:rsidRPr="00D569E7" w:rsidRDefault="0040236C" w:rsidP="007B430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569E7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</w:tbl>
    <w:p w14:paraId="17E2CBEF" w14:textId="77777777" w:rsidR="00FB39BF" w:rsidRDefault="0040236C" w:rsidP="00FB39BF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72B64864" w14:textId="77777777" w:rsidR="00FB39BF" w:rsidRPr="00C20ABC" w:rsidRDefault="0040236C" w:rsidP="00FB39BF">
      <w:pPr>
        <w:jc w:val="both"/>
        <w:rPr>
          <w:b/>
          <w:bCs/>
          <w:lang w:val="sl-SI"/>
        </w:rPr>
      </w:pPr>
      <w:r w:rsidRPr="00C20ABC">
        <w:rPr>
          <w:b/>
          <w:bCs/>
          <w:lang w:val="sl-SI"/>
        </w:rPr>
        <w:lastRenderedPageBreak/>
        <w:t>Pod b:</w:t>
      </w:r>
    </w:p>
    <w:p w14:paraId="560429D9" w14:textId="77777777" w:rsidR="00FB39BF" w:rsidRDefault="0040236C" w:rsidP="00FB39BF">
      <w:pPr>
        <w:jc w:val="both"/>
        <w:rPr>
          <w:lang w:val="sl-SI"/>
        </w:rPr>
      </w:pPr>
      <w:r>
        <w:rPr>
          <w:lang w:val="sl-SI"/>
        </w:rPr>
        <w:t xml:space="preserve">V davčnem obdobju, v katerem </w:t>
      </w:r>
      <w:r w:rsidRPr="00EC3B34">
        <w:rPr>
          <w:lang w:val="sl-SI"/>
        </w:rPr>
        <w:t>vpliv izvzema dohodkov iz naslova prejetih javnih sredstev na davčno obveznost v zadnjih treh obdobjih, ki upošteva pretekla povečanja davčne osnove</w:t>
      </w:r>
      <w:r>
        <w:rPr>
          <w:lang w:val="sl-SI"/>
        </w:rPr>
        <w:t xml:space="preserve"> iz istega razloga, presega 200.000 EUR, javni zavod – lekarna v ustreznem znesku poveča davčno osnovo. V predstavljenem primeru so to obdobja 2023, 2024, 2026 in 2027. V nadaljevanju podajamo ponazoritev izračuna za leto 2024:</w:t>
      </w:r>
    </w:p>
    <w:p w14:paraId="78C65E0B" w14:textId="77777777" w:rsidR="00FB39BF" w:rsidRDefault="00FB39BF" w:rsidP="00FB39BF">
      <w:pPr>
        <w:jc w:val="both"/>
        <w:rPr>
          <w:lang w:val="sl-SI"/>
        </w:rPr>
      </w:pPr>
    </w:p>
    <w:p w14:paraId="6D12C1A2" w14:textId="77777777" w:rsidR="00FB39BF" w:rsidRDefault="00FB39BF" w:rsidP="00FB39BF">
      <w:pPr>
        <w:jc w:val="both"/>
        <w:rPr>
          <w:lang w:val="sl-SI"/>
        </w:rPr>
      </w:pPr>
    </w:p>
    <w:p w14:paraId="039B4497" w14:textId="77777777" w:rsidR="00FB39BF" w:rsidRDefault="00FA3090" w:rsidP="00FB39BF">
      <w:pPr>
        <w:jc w:val="both"/>
        <w:rPr>
          <w:lang w:val="sl-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sl-S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hd w:val="clear" w:color="auto" w:fill="D99594" w:themeFill="accent2" w:themeFillTint="99"/>
                      <w:lang w:val="sl-SI"/>
                    </w:rPr>
                  </m:ctrlPr>
                </m:eqArrPr>
                <m:e>
                  <m:r>
                    <w:rPr>
                      <w:rFonts w:ascii="Cambria Math" w:hAnsi="Cambria Math"/>
                      <w:shd w:val="clear" w:color="auto" w:fill="D99594" w:themeFill="accent2" w:themeFillTint="99"/>
                      <w:lang w:val="sl-SI"/>
                    </w:rPr>
                    <m:t>Polje 11.1</m:t>
                  </m:r>
                </m:e>
                <m:e>
                  <m:r>
                    <w:rPr>
                      <w:rFonts w:ascii="Cambria Math" w:hAnsi="Cambria Math"/>
                      <w:shd w:val="clear" w:color="auto" w:fill="D99594" w:themeFill="accent2" w:themeFillTint="99"/>
                      <w:lang w:val="sl-SI"/>
                    </w:rPr>
                    <m:t>obračuna DDPO</m:t>
                  </m:r>
                  <m:ctrlPr>
                    <w:rPr>
                      <w:rFonts w:ascii="Cambria Math" w:eastAsia="Cambria Math" w:hAnsi="Cambria Math" w:cs="Cambria Math"/>
                      <w:i/>
                      <w:shd w:val="clear" w:color="auto" w:fill="D99594" w:themeFill="accent2" w:themeFillTint="99"/>
                      <w:lang w:val="sl-SI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hd w:val="clear" w:color="auto" w:fill="D99594" w:themeFill="accent2" w:themeFillTint="99"/>
                      <w:lang w:val="sl-SI"/>
                    </w:rPr>
                    <m:t>v letu 2024</m:t>
                  </m:r>
                </m:e>
              </m:eqArr>
            </m:e>
          </m:d>
          <m:r>
            <w:rPr>
              <w:rFonts w:ascii="Cambria Math" w:hAnsi="Cambria Math"/>
              <w:lang w:val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sl-SI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sl-SI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sl-SI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hd w:val="clear" w:color="auto" w:fill="FABF8F" w:themeFill="accent6" w:themeFillTint="99"/>
                              <w:lang w:val="sl-SI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hd w:val="clear" w:color="auto" w:fill="FABF8F" w:themeFill="accent6" w:themeFillTint="99"/>
                              <w:lang w:val="sl-SI"/>
                            </w:rPr>
                            <m:t>114.000+114.000+95.000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sl-SI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hd w:val="clear" w:color="auto" w:fill="95B3D7" w:themeFill="accent1" w:themeFillTint="99"/>
                              <w:lang w:val="sl-SI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hd w:val="clear" w:color="auto" w:fill="95B3D7" w:themeFill="accent1" w:themeFillTint="99"/>
                              <w:lang w:val="sl-SI"/>
                            </w:rPr>
                            <m:t>28.000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lang w:val="sl-SI"/>
                    </w:rPr>
                    <m:t>-200.000</m:t>
                  </m:r>
                </m:e>
              </m:d>
            </m:num>
            <m:den>
              <m:r>
                <w:rPr>
                  <w:rFonts w:ascii="Cambria Math" w:hAnsi="Cambria Math"/>
                  <w:lang w:val="sl-SI"/>
                </w:rPr>
                <m:t>0,19</m:t>
              </m:r>
            </m:den>
          </m:f>
          <m:r>
            <w:rPr>
              <w:rFonts w:ascii="Cambria Math" w:hAnsi="Cambria Math"/>
              <w:lang w:val="sl-SI"/>
            </w:rPr>
            <m:t>=</m:t>
          </m:r>
          <m:r>
            <w:rPr>
              <w:rFonts w:ascii="Cambria Math" w:hAnsi="Cambria Math"/>
              <w:shd w:val="clear" w:color="auto" w:fill="D99594" w:themeFill="accent2" w:themeFillTint="99"/>
              <w:lang w:val="sl-SI"/>
            </w:rPr>
            <m:t>500.000</m:t>
          </m:r>
        </m:oMath>
      </m:oMathPara>
    </w:p>
    <w:p w14:paraId="76A2F526" w14:textId="77777777" w:rsidR="00FB39BF" w:rsidRDefault="00FB39BF" w:rsidP="00FB39BF">
      <w:pPr>
        <w:jc w:val="both"/>
        <w:rPr>
          <w:lang w:val="sl-SI"/>
        </w:rPr>
      </w:pPr>
    </w:p>
    <w:p w14:paraId="64A397A8" w14:textId="77777777" w:rsidR="00FB39BF" w:rsidRDefault="00FB39BF" w:rsidP="00FB39BF">
      <w:pPr>
        <w:jc w:val="both"/>
        <w:rPr>
          <w:lang w:val="sl-SI"/>
        </w:rPr>
      </w:pPr>
    </w:p>
    <w:p w14:paraId="72FDF4C0" w14:textId="77777777" w:rsidR="00FB39BF" w:rsidRDefault="0040236C" w:rsidP="00FB39BF">
      <w:pPr>
        <w:jc w:val="both"/>
        <w:rPr>
          <w:lang w:val="sl-SI"/>
        </w:rPr>
      </w:pPr>
      <w:r>
        <w:rPr>
          <w:lang w:val="sl-SI"/>
        </w:rPr>
        <w:t>Če je povečanje davčne osnove potrebno v davčnem obdobju 2022, ga bo javni zavod – lekarna izvedla v polju 12.5 davčnega obračuna davka od dohodkov pravnih oseb. Za obdobja po 2022, bo za obravnavano povečanje davčne osnove v davčnem obračunu predvidoma vzpostavljeno ločeno polje v skupini 12.</w:t>
      </w:r>
    </w:p>
    <w:p w14:paraId="6F2A2756" w14:textId="77F4BA09" w:rsidR="001A3BA5" w:rsidRPr="00BC2517" w:rsidRDefault="001A3BA5" w:rsidP="005149DF">
      <w:pPr>
        <w:pStyle w:val="podpisi"/>
        <w:tabs>
          <w:tab w:val="left" w:pos="709"/>
        </w:tabs>
        <w:rPr>
          <w:lang w:val="sl-SI"/>
        </w:rPr>
      </w:pPr>
    </w:p>
    <w:sectPr w:rsidR="001A3BA5" w:rsidRPr="00BC2517" w:rsidSect="00F00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EDB5" w14:textId="77777777" w:rsidR="00FA3090" w:rsidRDefault="00FA3090">
      <w:pPr>
        <w:spacing w:line="240" w:lineRule="auto"/>
      </w:pPr>
      <w:r>
        <w:separator/>
      </w:r>
    </w:p>
  </w:endnote>
  <w:endnote w:type="continuationSeparator" w:id="0">
    <w:p w14:paraId="2BF5FD89" w14:textId="77777777" w:rsidR="00FA3090" w:rsidRDefault="00FA3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01D0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5B8E" w14:textId="77777777" w:rsidR="000B0B21" w:rsidRDefault="0040236C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9478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9478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ECDF" w14:textId="77777777" w:rsidR="000B0B21" w:rsidRDefault="0040236C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9478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94780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6E8D" w14:textId="77777777" w:rsidR="00FA3090" w:rsidRDefault="00FA3090">
      <w:pPr>
        <w:spacing w:line="240" w:lineRule="auto"/>
      </w:pPr>
      <w:r>
        <w:separator/>
      </w:r>
    </w:p>
  </w:footnote>
  <w:footnote w:type="continuationSeparator" w:id="0">
    <w:p w14:paraId="1ABEF21F" w14:textId="77777777" w:rsidR="00FA3090" w:rsidRDefault="00FA3090">
      <w:pPr>
        <w:spacing w:line="240" w:lineRule="auto"/>
      </w:pPr>
      <w:r>
        <w:continuationSeparator/>
      </w:r>
    </w:p>
  </w:footnote>
  <w:footnote w:id="1">
    <w:p w14:paraId="0864AFEB" w14:textId="77777777" w:rsidR="00FB39BF" w:rsidRPr="005740D4" w:rsidRDefault="0040236C" w:rsidP="00FB39BF">
      <w:pPr>
        <w:pStyle w:val="Sprotnaopomba-besedilo"/>
        <w:jc w:val="both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 w:rsidRPr="00EA1F24">
        <w:rPr>
          <w:lang w:val="sl-SI"/>
        </w:rPr>
        <w:t xml:space="preserve"> </w:t>
      </w:r>
      <w:r w:rsidRPr="005740D4">
        <w:rPr>
          <w:sz w:val="16"/>
          <w:szCs w:val="16"/>
          <w:lang w:val="sl-SI"/>
        </w:rPr>
        <w:t>Evropska komisija je Slovenijo opozorila, da zaradi različne obravnave sredstev javne zdravstvene blagajne z vidika izračuna davčne osnove davka od dohodkov pravnih oseb, pri lekarnah organiziranih kot javni zavodi in lekarnah organiziranih kot gospodarske družbe</w:t>
      </w:r>
      <w:r>
        <w:rPr>
          <w:sz w:val="16"/>
          <w:szCs w:val="16"/>
          <w:lang w:val="sl-SI"/>
        </w:rPr>
        <w:t>,</w:t>
      </w:r>
      <w:r w:rsidRPr="005740D4">
        <w:rPr>
          <w:sz w:val="16"/>
          <w:szCs w:val="16"/>
          <w:lang w:val="sl-SI"/>
        </w:rPr>
        <w:t xml:space="preserve"> lahko prihaja </w:t>
      </w:r>
      <w:r>
        <w:rPr>
          <w:sz w:val="16"/>
          <w:szCs w:val="16"/>
          <w:lang w:val="sl-SI"/>
        </w:rPr>
        <w:t xml:space="preserve">do </w:t>
      </w:r>
      <w:r w:rsidRPr="00872C2D">
        <w:rPr>
          <w:sz w:val="16"/>
          <w:szCs w:val="16"/>
          <w:lang w:val="sl-SI"/>
        </w:rPr>
        <w:t xml:space="preserve">vpliva na trgovino med državami članicami </w:t>
      </w:r>
      <w:r>
        <w:rPr>
          <w:sz w:val="16"/>
          <w:szCs w:val="16"/>
          <w:lang w:val="sl-SI"/>
        </w:rPr>
        <w:t>in</w:t>
      </w:r>
      <w:r w:rsidRPr="005740D4">
        <w:rPr>
          <w:sz w:val="16"/>
          <w:szCs w:val="16"/>
          <w:lang w:val="sl-SI"/>
        </w:rPr>
        <w:t xml:space="preserve"> izkrivljanja konkurence.</w:t>
      </w:r>
    </w:p>
  </w:footnote>
  <w:footnote w:id="2">
    <w:p w14:paraId="19BD7C0D" w14:textId="77777777" w:rsidR="00FB39BF" w:rsidRPr="00C7123E" w:rsidRDefault="0040236C" w:rsidP="00FB39B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C7123E">
        <w:rPr>
          <w:lang w:val="sl-SI"/>
        </w:rPr>
        <w:t xml:space="preserve"> </w:t>
      </w:r>
      <w:r w:rsidRPr="00C7123E">
        <w:rPr>
          <w:sz w:val="16"/>
          <w:szCs w:val="16"/>
          <w:lang w:val="sl-SI"/>
        </w:rPr>
        <w:t>Po eni od dveh možnih metod</w:t>
      </w:r>
      <w:r>
        <w:rPr>
          <w:sz w:val="16"/>
          <w:szCs w:val="16"/>
          <w:lang w:val="sl-SI"/>
        </w:rPr>
        <w:t>,</w:t>
      </w:r>
      <w:r w:rsidRPr="00C7123E">
        <w:rPr>
          <w:sz w:val="16"/>
          <w:szCs w:val="16"/>
          <w:lang w:val="sl-SI"/>
        </w:rPr>
        <w:t xml:space="preserve"> opredeljenih v 27. členu ZDDPO-2.</w:t>
      </w:r>
    </w:p>
  </w:footnote>
  <w:footnote w:id="3">
    <w:p w14:paraId="154CC29C" w14:textId="77777777" w:rsidR="00FB39BF" w:rsidRPr="008C6D6D" w:rsidRDefault="0040236C" w:rsidP="00FB39B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8C6D6D">
        <w:rPr>
          <w:lang w:val="sl-SI"/>
        </w:rPr>
        <w:t xml:space="preserve"> </w:t>
      </w:r>
      <w:r w:rsidRPr="008C6D6D">
        <w:rPr>
          <w:sz w:val="16"/>
          <w:szCs w:val="16"/>
          <w:lang w:val="sl-SI"/>
        </w:rPr>
        <w:t>Prvo davčno obdobje, ki je vključeno v izračun je 2022.</w:t>
      </w:r>
    </w:p>
  </w:footnote>
  <w:footnote w:id="4">
    <w:p w14:paraId="3CD2A3E1" w14:textId="77777777" w:rsidR="00FB39BF" w:rsidRPr="008C6D6D" w:rsidRDefault="0040236C" w:rsidP="00FB39BF">
      <w:pPr>
        <w:pStyle w:val="Sprotnaopomba-besedilo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 w:rsidRPr="008C6D6D">
        <w:rPr>
          <w:lang w:val="sl-SI"/>
        </w:rPr>
        <w:t xml:space="preserve"> </w:t>
      </w:r>
      <w:r w:rsidRPr="008C6D6D">
        <w:rPr>
          <w:sz w:val="16"/>
          <w:szCs w:val="16"/>
          <w:lang w:val="sl-SI"/>
        </w:rPr>
        <w:t xml:space="preserve">V primeru, da so zneski vplivov v preteklem davčnem obdobju presegali 200.000, je moral </w:t>
      </w:r>
      <w:r>
        <w:rPr>
          <w:sz w:val="16"/>
          <w:szCs w:val="16"/>
          <w:lang w:val="sl-SI"/>
        </w:rPr>
        <w:t xml:space="preserve">zavezanec </w:t>
      </w:r>
      <w:r w:rsidRPr="008C6D6D">
        <w:rPr>
          <w:sz w:val="16"/>
          <w:szCs w:val="16"/>
          <w:lang w:val="sl-SI"/>
        </w:rPr>
        <w:t xml:space="preserve">v </w:t>
      </w:r>
      <w:r>
        <w:rPr>
          <w:sz w:val="16"/>
          <w:szCs w:val="16"/>
          <w:lang w:val="sl-SI"/>
        </w:rPr>
        <w:t xml:space="preserve">preteklem </w:t>
      </w:r>
      <w:r w:rsidRPr="008C6D6D">
        <w:rPr>
          <w:sz w:val="16"/>
          <w:szCs w:val="16"/>
          <w:lang w:val="sl-SI"/>
        </w:rPr>
        <w:t>davčnem obdobju povečati davčno osnovo.</w:t>
      </w:r>
    </w:p>
  </w:footnote>
  <w:footnote w:id="5">
    <w:p w14:paraId="77E5B3F8" w14:textId="77777777" w:rsidR="00FB39BF" w:rsidRPr="00211CA7" w:rsidRDefault="0040236C" w:rsidP="00FB39BF">
      <w:pPr>
        <w:pStyle w:val="Sprotnaopomba-besedilo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 w:rsidRPr="00211CA7">
        <w:rPr>
          <w:lang w:val="sl-SI"/>
        </w:rPr>
        <w:t xml:space="preserve"> </w:t>
      </w:r>
      <w:r w:rsidRPr="00211CA7">
        <w:rPr>
          <w:sz w:val="16"/>
          <w:szCs w:val="16"/>
          <w:lang w:val="sl-SI"/>
        </w:rPr>
        <w:t>Povečanje davčne osnove je potrebno le v delu sredstev, ki povzročijo, da razlika v davku presega znesek 200.000 EUR v kateremkoli obdobju treh zaporednih proračunskih let.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1726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791A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B2307" w14:paraId="1A2F945B" w14:textId="77777777">
      <w:trPr>
        <w:cantSplit/>
        <w:trHeight w:hRule="exact" w:val="847"/>
      </w:trPr>
      <w:tc>
        <w:tcPr>
          <w:tcW w:w="567" w:type="dxa"/>
        </w:tcPr>
        <w:p w14:paraId="4D87FCB8" w14:textId="77777777" w:rsidR="000B0B21" w:rsidRDefault="0040236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4F6EC2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CF18D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F8ED9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C05D0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BDA9D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3295DD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01FEE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9D098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82AA6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CFF3A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C33D6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16D23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8B33E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52766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94958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38FC2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E5B3583" w14:textId="77777777" w:rsidR="000B0B21" w:rsidRPr="008F3500" w:rsidRDefault="0040236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6632B3B" wp14:editId="757E468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7C209CE1" w14:textId="77777777" w:rsidR="000B0B21" w:rsidRPr="00FD746A" w:rsidRDefault="0040236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0A2F7015" w14:textId="77777777" w:rsidR="00ED7E82" w:rsidRDefault="0040236C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58EB9158" w14:textId="77777777" w:rsidR="005254D1" w:rsidRPr="00A12D5C" w:rsidRDefault="0040236C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6033D441" w14:textId="77777777" w:rsidR="005254D1" w:rsidRPr="008F3500" w:rsidRDefault="0040236C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3F62A20C" w14:textId="77777777" w:rsidR="005254D1" w:rsidRPr="008F3500" w:rsidRDefault="0040236C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45EF776F" w14:textId="77777777" w:rsidR="005254D1" w:rsidRPr="008F3500" w:rsidRDefault="0040236C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EC5A555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F6B2A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181D3E" w:tentative="1">
      <w:start w:val="1"/>
      <w:numFmt w:val="lowerLetter"/>
      <w:lvlText w:val="%2."/>
      <w:lvlJc w:val="left"/>
      <w:pPr>
        <w:ind w:left="1800" w:hanging="360"/>
      </w:pPr>
    </w:lvl>
    <w:lvl w:ilvl="2" w:tplc="27A69070" w:tentative="1">
      <w:start w:val="1"/>
      <w:numFmt w:val="lowerRoman"/>
      <w:lvlText w:val="%3."/>
      <w:lvlJc w:val="right"/>
      <w:pPr>
        <w:ind w:left="2520" w:hanging="180"/>
      </w:pPr>
    </w:lvl>
    <w:lvl w:ilvl="3" w:tplc="8ED85AC4" w:tentative="1">
      <w:start w:val="1"/>
      <w:numFmt w:val="decimal"/>
      <w:lvlText w:val="%4."/>
      <w:lvlJc w:val="left"/>
      <w:pPr>
        <w:ind w:left="3240" w:hanging="360"/>
      </w:pPr>
    </w:lvl>
    <w:lvl w:ilvl="4" w:tplc="87FAFA7E" w:tentative="1">
      <w:start w:val="1"/>
      <w:numFmt w:val="lowerLetter"/>
      <w:lvlText w:val="%5."/>
      <w:lvlJc w:val="left"/>
      <w:pPr>
        <w:ind w:left="3960" w:hanging="360"/>
      </w:pPr>
    </w:lvl>
    <w:lvl w:ilvl="5" w:tplc="75F4B1A6" w:tentative="1">
      <w:start w:val="1"/>
      <w:numFmt w:val="lowerRoman"/>
      <w:lvlText w:val="%6."/>
      <w:lvlJc w:val="right"/>
      <w:pPr>
        <w:ind w:left="4680" w:hanging="180"/>
      </w:pPr>
    </w:lvl>
    <w:lvl w:ilvl="6" w:tplc="CDA01328" w:tentative="1">
      <w:start w:val="1"/>
      <w:numFmt w:val="decimal"/>
      <w:lvlText w:val="%7."/>
      <w:lvlJc w:val="left"/>
      <w:pPr>
        <w:ind w:left="5400" w:hanging="360"/>
      </w:pPr>
    </w:lvl>
    <w:lvl w:ilvl="7" w:tplc="663EC18E" w:tentative="1">
      <w:start w:val="1"/>
      <w:numFmt w:val="lowerLetter"/>
      <w:lvlText w:val="%8."/>
      <w:lvlJc w:val="left"/>
      <w:pPr>
        <w:ind w:left="6120" w:hanging="360"/>
      </w:pPr>
    </w:lvl>
    <w:lvl w:ilvl="8" w:tplc="013E1A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E682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B0822C" w:tentative="1">
      <w:start w:val="1"/>
      <w:numFmt w:val="lowerLetter"/>
      <w:lvlText w:val="%2."/>
      <w:lvlJc w:val="left"/>
      <w:pPr>
        <w:ind w:left="1080" w:hanging="360"/>
      </w:pPr>
    </w:lvl>
    <w:lvl w:ilvl="2" w:tplc="621C3B48" w:tentative="1">
      <w:start w:val="1"/>
      <w:numFmt w:val="lowerRoman"/>
      <w:lvlText w:val="%3."/>
      <w:lvlJc w:val="right"/>
      <w:pPr>
        <w:ind w:left="1800" w:hanging="180"/>
      </w:pPr>
    </w:lvl>
    <w:lvl w:ilvl="3" w:tplc="B7165F9C" w:tentative="1">
      <w:start w:val="1"/>
      <w:numFmt w:val="decimal"/>
      <w:lvlText w:val="%4."/>
      <w:lvlJc w:val="left"/>
      <w:pPr>
        <w:ind w:left="2520" w:hanging="360"/>
      </w:pPr>
    </w:lvl>
    <w:lvl w:ilvl="4" w:tplc="477A68C8" w:tentative="1">
      <w:start w:val="1"/>
      <w:numFmt w:val="lowerLetter"/>
      <w:lvlText w:val="%5."/>
      <w:lvlJc w:val="left"/>
      <w:pPr>
        <w:ind w:left="3240" w:hanging="360"/>
      </w:pPr>
    </w:lvl>
    <w:lvl w:ilvl="5" w:tplc="239EDA70" w:tentative="1">
      <w:start w:val="1"/>
      <w:numFmt w:val="lowerRoman"/>
      <w:lvlText w:val="%6."/>
      <w:lvlJc w:val="right"/>
      <w:pPr>
        <w:ind w:left="3960" w:hanging="180"/>
      </w:pPr>
    </w:lvl>
    <w:lvl w:ilvl="6" w:tplc="7E38CFB4" w:tentative="1">
      <w:start w:val="1"/>
      <w:numFmt w:val="decimal"/>
      <w:lvlText w:val="%7."/>
      <w:lvlJc w:val="left"/>
      <w:pPr>
        <w:ind w:left="4680" w:hanging="360"/>
      </w:pPr>
    </w:lvl>
    <w:lvl w:ilvl="7" w:tplc="B0CCEE10" w:tentative="1">
      <w:start w:val="1"/>
      <w:numFmt w:val="lowerLetter"/>
      <w:lvlText w:val="%8."/>
      <w:lvlJc w:val="left"/>
      <w:pPr>
        <w:ind w:left="5400" w:hanging="360"/>
      </w:pPr>
    </w:lvl>
    <w:lvl w:ilvl="8" w:tplc="683E8C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59C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ED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C8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C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04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2D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86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00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CE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979BD"/>
    <w:multiLevelType w:val="hybridMultilevel"/>
    <w:tmpl w:val="CF28DC2A"/>
    <w:lvl w:ilvl="0" w:tplc="08BA2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4CD8F2" w:tentative="1">
      <w:start w:val="1"/>
      <w:numFmt w:val="lowerLetter"/>
      <w:lvlText w:val="%2."/>
      <w:lvlJc w:val="left"/>
      <w:pPr>
        <w:ind w:left="1440" w:hanging="360"/>
      </w:pPr>
    </w:lvl>
    <w:lvl w:ilvl="2" w:tplc="589E1224" w:tentative="1">
      <w:start w:val="1"/>
      <w:numFmt w:val="lowerRoman"/>
      <w:lvlText w:val="%3."/>
      <w:lvlJc w:val="right"/>
      <w:pPr>
        <w:ind w:left="2160" w:hanging="180"/>
      </w:pPr>
    </w:lvl>
    <w:lvl w:ilvl="3" w:tplc="4C84C95C" w:tentative="1">
      <w:start w:val="1"/>
      <w:numFmt w:val="decimal"/>
      <w:lvlText w:val="%4."/>
      <w:lvlJc w:val="left"/>
      <w:pPr>
        <w:ind w:left="2880" w:hanging="360"/>
      </w:pPr>
    </w:lvl>
    <w:lvl w:ilvl="4" w:tplc="67465748" w:tentative="1">
      <w:start w:val="1"/>
      <w:numFmt w:val="lowerLetter"/>
      <w:lvlText w:val="%5."/>
      <w:lvlJc w:val="left"/>
      <w:pPr>
        <w:ind w:left="3600" w:hanging="360"/>
      </w:pPr>
    </w:lvl>
    <w:lvl w:ilvl="5" w:tplc="CB9EE726" w:tentative="1">
      <w:start w:val="1"/>
      <w:numFmt w:val="lowerRoman"/>
      <w:lvlText w:val="%6."/>
      <w:lvlJc w:val="right"/>
      <w:pPr>
        <w:ind w:left="4320" w:hanging="180"/>
      </w:pPr>
    </w:lvl>
    <w:lvl w:ilvl="6" w:tplc="5BA66F80" w:tentative="1">
      <w:start w:val="1"/>
      <w:numFmt w:val="decimal"/>
      <w:lvlText w:val="%7."/>
      <w:lvlJc w:val="left"/>
      <w:pPr>
        <w:ind w:left="5040" w:hanging="360"/>
      </w:pPr>
    </w:lvl>
    <w:lvl w:ilvl="7" w:tplc="15943770" w:tentative="1">
      <w:start w:val="1"/>
      <w:numFmt w:val="lowerLetter"/>
      <w:lvlText w:val="%8."/>
      <w:lvlJc w:val="left"/>
      <w:pPr>
        <w:ind w:left="5760" w:hanging="360"/>
      </w:pPr>
    </w:lvl>
    <w:lvl w:ilvl="8" w:tplc="2804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CACC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26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00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A6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A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67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A6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03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F44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2726"/>
    <w:rsid w:val="000063FF"/>
    <w:rsid w:val="000206AE"/>
    <w:rsid w:val="00023A88"/>
    <w:rsid w:val="000636E1"/>
    <w:rsid w:val="00074638"/>
    <w:rsid w:val="00081F26"/>
    <w:rsid w:val="0008352D"/>
    <w:rsid w:val="000A07CE"/>
    <w:rsid w:val="000A2C92"/>
    <w:rsid w:val="000A7238"/>
    <w:rsid w:val="000B0B21"/>
    <w:rsid w:val="000D08A9"/>
    <w:rsid w:val="000F3D38"/>
    <w:rsid w:val="00110CBD"/>
    <w:rsid w:val="00122263"/>
    <w:rsid w:val="0013482B"/>
    <w:rsid w:val="001357B2"/>
    <w:rsid w:val="00135F9D"/>
    <w:rsid w:val="00151388"/>
    <w:rsid w:val="00151872"/>
    <w:rsid w:val="00160E5F"/>
    <w:rsid w:val="001647B1"/>
    <w:rsid w:val="001A3BA5"/>
    <w:rsid w:val="001A772B"/>
    <w:rsid w:val="001D695D"/>
    <w:rsid w:val="001F3B21"/>
    <w:rsid w:val="001F7BC0"/>
    <w:rsid w:val="00202A77"/>
    <w:rsid w:val="0020525A"/>
    <w:rsid w:val="00211CA7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94780"/>
    <w:rsid w:val="003B5CF4"/>
    <w:rsid w:val="003C3B1D"/>
    <w:rsid w:val="003D0306"/>
    <w:rsid w:val="003E1C74"/>
    <w:rsid w:val="003E7E9E"/>
    <w:rsid w:val="003F4966"/>
    <w:rsid w:val="003F6467"/>
    <w:rsid w:val="0040236C"/>
    <w:rsid w:val="00422C75"/>
    <w:rsid w:val="00484A06"/>
    <w:rsid w:val="004A2490"/>
    <w:rsid w:val="004A4233"/>
    <w:rsid w:val="004A6A59"/>
    <w:rsid w:val="004B160E"/>
    <w:rsid w:val="004D51BA"/>
    <w:rsid w:val="005009EF"/>
    <w:rsid w:val="005149DF"/>
    <w:rsid w:val="005254D1"/>
    <w:rsid w:val="00525C18"/>
    <w:rsid w:val="00526246"/>
    <w:rsid w:val="0055206D"/>
    <w:rsid w:val="0056296D"/>
    <w:rsid w:val="00567106"/>
    <w:rsid w:val="005709F2"/>
    <w:rsid w:val="005740D4"/>
    <w:rsid w:val="005916E5"/>
    <w:rsid w:val="005B0438"/>
    <w:rsid w:val="005D55D3"/>
    <w:rsid w:val="005E1D3C"/>
    <w:rsid w:val="006268BE"/>
    <w:rsid w:val="00632253"/>
    <w:rsid w:val="00642714"/>
    <w:rsid w:val="00643C4E"/>
    <w:rsid w:val="006455CE"/>
    <w:rsid w:val="006D42D9"/>
    <w:rsid w:val="006F142E"/>
    <w:rsid w:val="00726463"/>
    <w:rsid w:val="00732C46"/>
    <w:rsid w:val="00733017"/>
    <w:rsid w:val="00751D38"/>
    <w:rsid w:val="007578BC"/>
    <w:rsid w:val="00775FED"/>
    <w:rsid w:val="00783310"/>
    <w:rsid w:val="00793DFA"/>
    <w:rsid w:val="00794B95"/>
    <w:rsid w:val="00794E63"/>
    <w:rsid w:val="007A4A6D"/>
    <w:rsid w:val="007B430D"/>
    <w:rsid w:val="007D1BCF"/>
    <w:rsid w:val="007D75CF"/>
    <w:rsid w:val="007E6DC5"/>
    <w:rsid w:val="00852B7B"/>
    <w:rsid w:val="00856B98"/>
    <w:rsid w:val="00872C2D"/>
    <w:rsid w:val="0088043C"/>
    <w:rsid w:val="008906C9"/>
    <w:rsid w:val="008A5918"/>
    <w:rsid w:val="008B2307"/>
    <w:rsid w:val="008B2E72"/>
    <w:rsid w:val="008C00F2"/>
    <w:rsid w:val="008C195B"/>
    <w:rsid w:val="008C5738"/>
    <w:rsid w:val="008C6D6D"/>
    <w:rsid w:val="008D04F0"/>
    <w:rsid w:val="008E2D84"/>
    <w:rsid w:val="008E4141"/>
    <w:rsid w:val="008F3500"/>
    <w:rsid w:val="008F500E"/>
    <w:rsid w:val="009022B3"/>
    <w:rsid w:val="00924E3C"/>
    <w:rsid w:val="00925A8B"/>
    <w:rsid w:val="009612BB"/>
    <w:rsid w:val="009B0295"/>
    <w:rsid w:val="009C5340"/>
    <w:rsid w:val="009E42F2"/>
    <w:rsid w:val="00A02413"/>
    <w:rsid w:val="00A05DC7"/>
    <w:rsid w:val="00A125C5"/>
    <w:rsid w:val="00A12D5C"/>
    <w:rsid w:val="00A216AF"/>
    <w:rsid w:val="00A319B4"/>
    <w:rsid w:val="00A3267F"/>
    <w:rsid w:val="00A36906"/>
    <w:rsid w:val="00A45EAF"/>
    <w:rsid w:val="00A5039D"/>
    <w:rsid w:val="00A65EE7"/>
    <w:rsid w:val="00A70039"/>
    <w:rsid w:val="00A70133"/>
    <w:rsid w:val="00A72510"/>
    <w:rsid w:val="00AA47FE"/>
    <w:rsid w:val="00AC05DE"/>
    <w:rsid w:val="00AC5C16"/>
    <w:rsid w:val="00AD5A5B"/>
    <w:rsid w:val="00AE1792"/>
    <w:rsid w:val="00B011EA"/>
    <w:rsid w:val="00B17141"/>
    <w:rsid w:val="00B31575"/>
    <w:rsid w:val="00B63BD4"/>
    <w:rsid w:val="00B653A6"/>
    <w:rsid w:val="00B677B6"/>
    <w:rsid w:val="00B8547D"/>
    <w:rsid w:val="00BC2517"/>
    <w:rsid w:val="00BC61EF"/>
    <w:rsid w:val="00BE423F"/>
    <w:rsid w:val="00C20ABC"/>
    <w:rsid w:val="00C250D5"/>
    <w:rsid w:val="00C47F8D"/>
    <w:rsid w:val="00C52DAE"/>
    <w:rsid w:val="00C57EED"/>
    <w:rsid w:val="00C7123E"/>
    <w:rsid w:val="00C81391"/>
    <w:rsid w:val="00C86592"/>
    <w:rsid w:val="00C92898"/>
    <w:rsid w:val="00C97222"/>
    <w:rsid w:val="00CA28CB"/>
    <w:rsid w:val="00CE7514"/>
    <w:rsid w:val="00D248DE"/>
    <w:rsid w:val="00D25427"/>
    <w:rsid w:val="00D31B74"/>
    <w:rsid w:val="00D3564D"/>
    <w:rsid w:val="00D569E7"/>
    <w:rsid w:val="00D8542D"/>
    <w:rsid w:val="00DB11E1"/>
    <w:rsid w:val="00DB4E6F"/>
    <w:rsid w:val="00DC0A40"/>
    <w:rsid w:val="00DC62F6"/>
    <w:rsid w:val="00DC6A71"/>
    <w:rsid w:val="00DD6CC3"/>
    <w:rsid w:val="00DE5B46"/>
    <w:rsid w:val="00E0357D"/>
    <w:rsid w:val="00E24EC2"/>
    <w:rsid w:val="00E51C0F"/>
    <w:rsid w:val="00E8201C"/>
    <w:rsid w:val="00E94ECF"/>
    <w:rsid w:val="00EA1F24"/>
    <w:rsid w:val="00EC3B34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A3090"/>
    <w:rsid w:val="00FB39BF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627E99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Odstavekseznama">
    <w:name w:val="List Paragraph"/>
    <w:basedOn w:val="Navaden"/>
    <w:uiPriority w:val="34"/>
    <w:qFormat/>
    <w:rsid w:val="00A0241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A0241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2413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A02413"/>
    <w:rPr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2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1-01-2802?sop=2021-01-28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4687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D8A8-AC26-47D6-BFFE-8CD4CDEA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4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6</cp:revision>
  <cp:lastPrinted>2010-07-05T10:38:00Z</cp:lastPrinted>
  <dcterms:created xsi:type="dcterms:W3CDTF">2023-01-26T17:34:00Z</dcterms:created>
  <dcterms:modified xsi:type="dcterms:W3CDTF">2023-01-27T16:03:00Z</dcterms:modified>
</cp:coreProperties>
</file>