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5747" w14:textId="77777777" w:rsidR="00B909CB" w:rsidRDefault="00B909CB" w:rsidP="004D60E4">
      <w:pPr>
        <w:pStyle w:val="datumtevilka"/>
        <w:jc w:val="both"/>
      </w:pPr>
    </w:p>
    <w:p w14:paraId="04780662" w14:textId="77777777" w:rsidR="00B909CB" w:rsidRDefault="00B909CB" w:rsidP="004D60E4">
      <w:pPr>
        <w:pStyle w:val="datumtevilka"/>
        <w:jc w:val="both"/>
      </w:pPr>
    </w:p>
    <w:p w14:paraId="55FF3329" w14:textId="4C200BF8" w:rsidR="000A2C92" w:rsidRPr="00B909CB" w:rsidRDefault="00B909CB" w:rsidP="004D60E4">
      <w:pPr>
        <w:pStyle w:val="datumtevilka"/>
        <w:jc w:val="both"/>
        <w:rPr>
          <w:b/>
          <w:bCs/>
        </w:rPr>
      </w:pPr>
      <w:r w:rsidRPr="00B909CB">
        <w:rPr>
          <w:b/>
          <w:bCs/>
        </w:rPr>
        <w:t>Davčna obravnava plačil povezanim osebam na podlagi negativne obrestne mere</w:t>
      </w:r>
    </w:p>
    <w:p w14:paraId="1BE33E58" w14:textId="7D48D6D4" w:rsidR="007D75CF" w:rsidRPr="00B909CB" w:rsidRDefault="00B909CB" w:rsidP="004D60E4">
      <w:pPr>
        <w:pStyle w:val="datumtevilka"/>
        <w:jc w:val="both"/>
        <w:rPr>
          <w:b/>
          <w:bCs/>
        </w:rPr>
      </w:pPr>
      <w:r w:rsidRPr="00B909CB">
        <w:rPr>
          <w:b/>
          <w:bCs/>
        </w:rPr>
        <w:t xml:space="preserve">Pojasnilo FURS št. </w:t>
      </w:r>
      <w:bookmarkStart w:id="0" w:name="Klasifikacija"/>
      <w:r w:rsidR="007A11E4" w:rsidRPr="00B909CB">
        <w:rPr>
          <w:b/>
          <w:bCs/>
        </w:rPr>
        <w:t>0920-14601/2022-2</w:t>
      </w:r>
      <w:bookmarkEnd w:id="0"/>
      <w:r w:rsidRPr="00B909CB">
        <w:rPr>
          <w:b/>
          <w:bCs/>
        </w:rPr>
        <w:t xml:space="preserve"> z dne </w:t>
      </w:r>
      <w:bookmarkStart w:id="1" w:name="DatumDokumenta"/>
      <w:r w:rsidR="007A11E4" w:rsidRPr="00B909CB">
        <w:rPr>
          <w:b/>
          <w:bCs/>
        </w:rPr>
        <w:t>15. 12. 2022</w:t>
      </w:r>
      <w:bookmarkEnd w:id="1"/>
      <w:r w:rsidR="007A11E4" w:rsidRPr="00B909CB">
        <w:rPr>
          <w:b/>
          <w:bCs/>
        </w:rPr>
        <w:t xml:space="preserve"> </w:t>
      </w:r>
    </w:p>
    <w:p w14:paraId="1639BEBD" w14:textId="6E669174" w:rsidR="007D75CF" w:rsidRDefault="007D75CF" w:rsidP="004D60E4">
      <w:pPr>
        <w:jc w:val="both"/>
        <w:rPr>
          <w:b/>
          <w:bCs/>
          <w:lang w:val="sl-SI"/>
        </w:rPr>
      </w:pPr>
    </w:p>
    <w:p w14:paraId="6FE6F484" w14:textId="77777777" w:rsidR="00B909CB" w:rsidRDefault="00B909CB" w:rsidP="004D60E4">
      <w:pPr>
        <w:jc w:val="both"/>
        <w:rPr>
          <w:lang w:val="sl-SI"/>
        </w:rPr>
      </w:pPr>
    </w:p>
    <w:p w14:paraId="405709E3" w14:textId="77777777" w:rsidR="008D7E5C" w:rsidRDefault="007A11E4" w:rsidP="004D60E4">
      <w:pPr>
        <w:jc w:val="both"/>
        <w:rPr>
          <w:lang w:val="sl-SI"/>
        </w:rPr>
      </w:pPr>
      <w:r>
        <w:rPr>
          <w:lang w:val="sl-SI"/>
        </w:rPr>
        <w:t xml:space="preserve">Znotraj mednarodne skupine podjetij prihaja pogosto do »internega« financiranja, ki ima lahko različne oblike npr. klasična posojila, združevanja denarnih sredstev </w:t>
      </w:r>
      <w:r w:rsidRPr="008D7E5C">
        <w:rPr>
          <w:lang w:val="sl-SI"/>
        </w:rPr>
        <w:t>(»cash-pooling«)</w:t>
      </w:r>
      <w:r>
        <w:rPr>
          <w:lang w:val="sl-SI"/>
        </w:rPr>
        <w:t xml:space="preserve"> itd. </w:t>
      </w:r>
      <w:r w:rsidR="00985695">
        <w:rPr>
          <w:lang w:val="sl-SI"/>
        </w:rPr>
        <w:t>V tržnih pogojih negativnih obrestnih mer nosijo breme posojila posojilodajalci, ki morajo posojilojemalcem za plasma denarja plačati. V konkretnem primeru s</w:t>
      </w:r>
      <w:r w:rsidRPr="008D7E5C">
        <w:rPr>
          <w:lang w:val="sl-SI"/>
        </w:rPr>
        <w:t>lovensk</w:t>
      </w:r>
      <w:r>
        <w:rPr>
          <w:lang w:val="sl-SI"/>
        </w:rPr>
        <w:t>a</w:t>
      </w:r>
      <w:r w:rsidRPr="008D7E5C">
        <w:rPr>
          <w:lang w:val="sl-SI"/>
        </w:rPr>
        <w:t xml:space="preserve"> družb</w:t>
      </w:r>
      <w:r>
        <w:rPr>
          <w:lang w:val="sl-SI"/>
        </w:rPr>
        <w:t>a, ki je del mednarodne skupine</w:t>
      </w:r>
      <w:r w:rsidR="00985695">
        <w:rPr>
          <w:lang w:val="sl-SI"/>
        </w:rPr>
        <w:t>,</w:t>
      </w:r>
      <w:r>
        <w:rPr>
          <w:lang w:val="sl-SI"/>
        </w:rPr>
        <w:t xml:space="preserve"> daje </w:t>
      </w:r>
      <w:r w:rsidRPr="008D7E5C">
        <w:rPr>
          <w:lang w:val="sl-SI"/>
        </w:rPr>
        <w:t xml:space="preserve">posojilo </w:t>
      </w:r>
      <w:r w:rsidR="007F72EF">
        <w:rPr>
          <w:lang w:val="sl-SI"/>
        </w:rPr>
        <w:t xml:space="preserve">tuji </w:t>
      </w:r>
      <w:r>
        <w:rPr>
          <w:lang w:val="sl-SI"/>
        </w:rPr>
        <w:t>povezani družbi</w:t>
      </w:r>
      <w:r w:rsidR="00B83D24">
        <w:rPr>
          <w:lang w:val="sl-SI"/>
        </w:rPr>
        <w:t xml:space="preserve">, </w:t>
      </w:r>
      <w:r w:rsidR="007F72EF">
        <w:rPr>
          <w:lang w:val="sl-SI"/>
        </w:rPr>
        <w:t>nerezidentki</w:t>
      </w:r>
      <w:r w:rsidR="00985695">
        <w:rPr>
          <w:lang w:val="sl-SI"/>
        </w:rPr>
        <w:t xml:space="preserve">. </w:t>
      </w:r>
      <w:r w:rsidRPr="008D7E5C">
        <w:rPr>
          <w:lang w:val="sl-SI"/>
        </w:rPr>
        <w:t xml:space="preserve">V posojilni pogodbi je dogovorjena pogodbena obrestna mera </w:t>
      </w:r>
      <w:r w:rsidR="00985695">
        <w:rPr>
          <w:lang w:val="sl-SI"/>
        </w:rPr>
        <w:t>tri</w:t>
      </w:r>
      <w:r w:rsidRPr="008D7E5C">
        <w:rPr>
          <w:lang w:val="sl-SI"/>
        </w:rPr>
        <w:t>mesečni EU</w:t>
      </w:r>
      <w:r w:rsidRPr="008D7E5C">
        <w:rPr>
          <w:lang w:val="sl-SI"/>
        </w:rPr>
        <w:t>RIBOR.</w:t>
      </w:r>
      <w:r w:rsidR="00985695">
        <w:rPr>
          <w:lang w:val="sl-SI"/>
        </w:rPr>
        <w:t xml:space="preserve"> Ker je bil trimesečni EURIBOR v obdobju </w:t>
      </w:r>
      <w:r w:rsidR="007F72EF">
        <w:rPr>
          <w:lang w:val="sl-SI"/>
        </w:rPr>
        <w:t xml:space="preserve">od leta 2016 do julija tega leta </w:t>
      </w:r>
      <w:r w:rsidRPr="008D7E5C">
        <w:rPr>
          <w:lang w:val="sl-SI"/>
        </w:rPr>
        <w:t>negativ</w:t>
      </w:r>
      <w:r w:rsidR="007F72EF">
        <w:rPr>
          <w:lang w:val="sl-SI"/>
        </w:rPr>
        <w:t>e</w:t>
      </w:r>
      <w:r w:rsidRPr="008D7E5C">
        <w:rPr>
          <w:lang w:val="sl-SI"/>
        </w:rPr>
        <w:t>n</w:t>
      </w:r>
      <w:r w:rsidR="007F72EF">
        <w:rPr>
          <w:lang w:val="sl-SI"/>
        </w:rPr>
        <w:t xml:space="preserve"> je s</w:t>
      </w:r>
      <w:r w:rsidRPr="008D7E5C">
        <w:rPr>
          <w:lang w:val="sl-SI"/>
        </w:rPr>
        <w:t xml:space="preserve">lovenska družba </w:t>
      </w:r>
      <w:r w:rsidR="007F72EF">
        <w:rPr>
          <w:lang w:val="sl-SI"/>
        </w:rPr>
        <w:t xml:space="preserve">morala povezani družbi plačati za plasma denarja in na tej podlagi </w:t>
      </w:r>
      <w:r w:rsidRPr="008D7E5C">
        <w:rPr>
          <w:lang w:val="sl-SI"/>
        </w:rPr>
        <w:t>pripozna</w:t>
      </w:r>
      <w:r w:rsidR="007F72EF">
        <w:rPr>
          <w:lang w:val="sl-SI"/>
        </w:rPr>
        <w:t>ti</w:t>
      </w:r>
      <w:r w:rsidRPr="008D7E5C">
        <w:rPr>
          <w:lang w:val="sl-SI"/>
        </w:rPr>
        <w:t xml:space="preserve"> finančni odhodek.</w:t>
      </w:r>
      <w:r w:rsidR="00FA3245">
        <w:rPr>
          <w:lang w:val="sl-SI"/>
        </w:rPr>
        <w:t xml:space="preserve"> </w:t>
      </w:r>
      <w:r>
        <w:rPr>
          <w:lang w:val="sl-SI"/>
        </w:rPr>
        <w:t>Zanima vas</w:t>
      </w:r>
      <w:r w:rsidR="007B68E2">
        <w:rPr>
          <w:lang w:val="sl-SI"/>
        </w:rPr>
        <w:t>:</w:t>
      </w:r>
    </w:p>
    <w:p w14:paraId="66233044" w14:textId="77777777" w:rsidR="00DE061D" w:rsidRDefault="00DE061D" w:rsidP="004D60E4">
      <w:pPr>
        <w:jc w:val="both"/>
        <w:rPr>
          <w:lang w:val="sl-SI"/>
        </w:rPr>
      </w:pPr>
    </w:p>
    <w:p w14:paraId="6EFF82A2" w14:textId="77777777" w:rsidR="007F72EF" w:rsidRDefault="007A11E4" w:rsidP="007F72EF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7F72EF">
        <w:rPr>
          <w:lang w:val="sl-SI"/>
        </w:rPr>
        <w:t xml:space="preserve">Kako se davčno obravnavajo </w:t>
      </w:r>
      <w:r w:rsidRPr="007F72EF">
        <w:rPr>
          <w:lang w:val="sl-SI"/>
        </w:rPr>
        <w:t>opisani finančni odhodki, ki so posledica negativne obrestne mere, dogovorjene za posojanje oziroma plasma denarja povezani osebi, nerezidentu.</w:t>
      </w:r>
    </w:p>
    <w:p w14:paraId="5B436A33" w14:textId="77777777" w:rsidR="007F72EF" w:rsidRDefault="007A11E4" w:rsidP="007F72EF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Ali plačilo posojilodajalca </w:t>
      </w:r>
      <w:r w:rsidR="00DE061D">
        <w:rPr>
          <w:lang w:val="sl-SI"/>
        </w:rPr>
        <w:t xml:space="preserve">posojilojemalcu </w:t>
      </w:r>
      <w:r w:rsidR="009750CF">
        <w:rPr>
          <w:lang w:val="sl-SI"/>
        </w:rPr>
        <w:t xml:space="preserve">na podlagi negativne obrestne mere </w:t>
      </w:r>
      <w:r w:rsidR="00DE061D">
        <w:rPr>
          <w:lang w:val="sl-SI"/>
        </w:rPr>
        <w:t xml:space="preserve">podlega davčnemu odtegljaju iz druge točke prvega odstavka 70. člena </w:t>
      </w:r>
      <w:hyperlink r:id="rId8" w:history="1">
        <w:r w:rsidR="00DE061D">
          <w:rPr>
            <w:rStyle w:val="Hiperpovezava"/>
            <w:lang w:val="sl-SI"/>
          </w:rPr>
          <w:t>Zakona o davku od dohodkov pravnih oseb - ZDDPO-2</w:t>
        </w:r>
      </w:hyperlink>
      <w:r w:rsidR="00DE061D">
        <w:rPr>
          <w:lang w:val="sl-SI"/>
        </w:rPr>
        <w:t>.</w:t>
      </w:r>
    </w:p>
    <w:p w14:paraId="444E0F5A" w14:textId="77777777" w:rsidR="00DE061D" w:rsidRPr="007F72EF" w:rsidRDefault="007A11E4" w:rsidP="007F72EF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Ali v primeru plačila posojilodajalca </w:t>
      </w:r>
      <w:r w:rsidR="00015C7F">
        <w:rPr>
          <w:lang w:val="sl-SI"/>
        </w:rPr>
        <w:t>posojilojemalcu na podlagi negativne obrestne mere lahko pride do prikritega izplačila dobička iz sedme točke 74. člena ZDDPO-2 in če je odgovor da, v katerih primerih.</w:t>
      </w:r>
    </w:p>
    <w:p w14:paraId="01AFCDF6" w14:textId="77777777" w:rsidR="007F72EF" w:rsidRPr="008D7E5C" w:rsidRDefault="007F72EF" w:rsidP="004D60E4">
      <w:pPr>
        <w:jc w:val="both"/>
        <w:rPr>
          <w:lang w:val="sl-SI"/>
        </w:rPr>
      </w:pPr>
    </w:p>
    <w:p w14:paraId="507CF6CF" w14:textId="77777777" w:rsidR="00F57FED" w:rsidRDefault="007A11E4" w:rsidP="004D60E4">
      <w:pPr>
        <w:jc w:val="both"/>
        <w:rPr>
          <w:lang w:val="sl-SI"/>
        </w:rPr>
      </w:pPr>
      <w:r>
        <w:rPr>
          <w:lang w:val="sl-SI"/>
        </w:rPr>
        <w:t>V nadaljevanju vam odgovarjamo.</w:t>
      </w:r>
    </w:p>
    <w:p w14:paraId="651555FD" w14:textId="77777777" w:rsidR="00015C7F" w:rsidRDefault="00015C7F" w:rsidP="004D60E4">
      <w:pPr>
        <w:jc w:val="both"/>
        <w:rPr>
          <w:lang w:val="sl-SI"/>
        </w:rPr>
      </w:pPr>
    </w:p>
    <w:p w14:paraId="7E90C63D" w14:textId="77777777" w:rsidR="00015C7F" w:rsidRPr="00BC2517" w:rsidRDefault="007A11E4" w:rsidP="004D60E4">
      <w:pPr>
        <w:jc w:val="both"/>
        <w:rPr>
          <w:lang w:val="sl-SI"/>
        </w:rPr>
      </w:pPr>
      <w:r>
        <w:rPr>
          <w:lang w:val="sl-SI"/>
        </w:rPr>
        <w:t>D</w:t>
      </w:r>
      <w:r w:rsidR="00E45FC1">
        <w:rPr>
          <w:lang w:val="sl-SI"/>
        </w:rPr>
        <w:t>enarn</w:t>
      </w:r>
      <w:r>
        <w:rPr>
          <w:lang w:val="sl-SI"/>
        </w:rPr>
        <w:t>a</w:t>
      </w:r>
      <w:r w:rsidR="00E45FC1">
        <w:rPr>
          <w:lang w:val="sl-SI"/>
        </w:rPr>
        <w:t xml:space="preserve"> politik</w:t>
      </w:r>
      <w:r>
        <w:rPr>
          <w:lang w:val="sl-SI"/>
        </w:rPr>
        <w:t>a</w:t>
      </w:r>
      <w:r w:rsidR="00E45FC1">
        <w:rPr>
          <w:lang w:val="sl-SI"/>
        </w:rPr>
        <w:t xml:space="preserve"> Evropske centralne banke</w:t>
      </w:r>
      <w:r>
        <w:rPr>
          <w:lang w:val="sl-SI"/>
        </w:rPr>
        <w:t xml:space="preserve"> je preko usmerjanja </w:t>
      </w:r>
      <w:r w:rsidRPr="00973D3E">
        <w:rPr>
          <w:lang w:val="sl-SI"/>
        </w:rPr>
        <w:t>povprečn</w:t>
      </w:r>
      <w:r>
        <w:rPr>
          <w:lang w:val="sl-SI"/>
        </w:rPr>
        <w:t>e</w:t>
      </w:r>
      <w:r w:rsidRPr="00973D3E">
        <w:rPr>
          <w:lang w:val="sl-SI"/>
        </w:rPr>
        <w:t xml:space="preserve"> obrestn</w:t>
      </w:r>
      <w:r>
        <w:rPr>
          <w:lang w:val="sl-SI"/>
        </w:rPr>
        <w:t>e</w:t>
      </w:r>
      <w:r w:rsidRPr="00973D3E">
        <w:rPr>
          <w:lang w:val="sl-SI"/>
        </w:rPr>
        <w:t xml:space="preserve"> mer</w:t>
      </w:r>
      <w:r>
        <w:rPr>
          <w:lang w:val="sl-SI"/>
        </w:rPr>
        <w:t>e</w:t>
      </w:r>
      <w:r w:rsidRPr="00973D3E">
        <w:rPr>
          <w:lang w:val="sl-SI"/>
        </w:rPr>
        <w:t>, po kateri si skupina izbr</w:t>
      </w:r>
      <w:r w:rsidRPr="00973D3E">
        <w:rPr>
          <w:lang w:val="sl-SI"/>
        </w:rPr>
        <w:t>anih evropskih bank med seboj posoja denar</w:t>
      </w:r>
      <w:r>
        <w:rPr>
          <w:lang w:val="sl-SI"/>
        </w:rPr>
        <w:t xml:space="preserve"> (EURIBOR) dosegla, da so od leta 2016 naprej tudi nefinančni gospodarski subjekti, ki ponujajo denarna sredstva, soočeni z negativno tržno obrestno mero. Pomeni, da za prepustitev rabe denarja </w:t>
      </w:r>
      <w:r w:rsidR="00E82D62">
        <w:rPr>
          <w:lang w:val="sl-SI"/>
        </w:rPr>
        <w:t xml:space="preserve">v posameznih primerih </w:t>
      </w:r>
      <w:r>
        <w:rPr>
          <w:lang w:val="sl-SI"/>
        </w:rPr>
        <w:t>ne morejo zahtevati plačila, ampak morajo za prepustitev celo plačati. To, z vidika zgodovine</w:t>
      </w:r>
      <w:r w:rsidR="00E82D62">
        <w:rPr>
          <w:lang w:val="sl-SI"/>
        </w:rPr>
        <w:t xml:space="preserve"> </w:t>
      </w:r>
      <w:r w:rsidR="00A37BC2">
        <w:rPr>
          <w:lang w:val="sl-SI"/>
        </w:rPr>
        <w:t>denarnih trgov</w:t>
      </w:r>
      <w:r w:rsidR="00AF250A">
        <w:rPr>
          <w:lang w:val="sl-SI"/>
        </w:rPr>
        <w:t xml:space="preserve">, izjemno stanje  </w:t>
      </w:r>
      <w:r>
        <w:rPr>
          <w:lang w:val="sl-SI"/>
        </w:rPr>
        <w:t xml:space="preserve">je </w:t>
      </w:r>
      <w:r w:rsidR="00E82D62">
        <w:rPr>
          <w:lang w:val="sl-SI"/>
        </w:rPr>
        <w:t xml:space="preserve">pred samo davčno obravnavo potrebno vsebinsko opredeliti. Bistveno pri tem je vprašanje, kaj po vsebini predstavlja plačilo </w:t>
      </w:r>
      <w:r w:rsidR="00FF247F">
        <w:rPr>
          <w:lang w:val="sl-SI"/>
        </w:rPr>
        <w:t xml:space="preserve">»posojilodajalca« </w:t>
      </w:r>
      <w:r w:rsidR="00E82D62">
        <w:rPr>
          <w:lang w:val="sl-SI"/>
        </w:rPr>
        <w:t>za prepustitev rabe denarja.</w:t>
      </w:r>
    </w:p>
    <w:p w14:paraId="1312119E" w14:textId="0A3F6305" w:rsidR="00E67F5D" w:rsidRDefault="00E67F5D">
      <w:pPr>
        <w:spacing w:line="240" w:lineRule="auto"/>
        <w:rPr>
          <w:lang w:val="sl-SI"/>
        </w:rPr>
      </w:pPr>
    </w:p>
    <w:p w14:paraId="373A8CD3" w14:textId="77777777" w:rsidR="00CF691B" w:rsidRDefault="007A11E4" w:rsidP="00A311A1">
      <w:pPr>
        <w:jc w:val="both"/>
        <w:rPr>
          <w:lang w:val="sl-SI"/>
        </w:rPr>
      </w:pPr>
      <w:r>
        <w:rPr>
          <w:lang w:val="sl-SI"/>
        </w:rPr>
        <w:t xml:space="preserve">Pravna teorija </w:t>
      </w:r>
      <w:r w:rsidRPr="00A311A1">
        <w:rPr>
          <w:lang w:val="sl-SI"/>
        </w:rPr>
        <w:t>obresti opredeljuje kot plačilo za prepustitev rabe denarnega zneska</w:t>
      </w:r>
      <w:r w:rsidRPr="00A311A1">
        <w:rPr>
          <w:lang w:val="sl-SI"/>
        </w:rPr>
        <w:t xml:space="preserve"> ali druge nadomestne stvari, ki se zaračunava od vsote glavne terjatve in po času, v katerem uporaba traja.</w:t>
      </w:r>
      <w:r>
        <w:rPr>
          <w:lang w:val="sl-SI"/>
        </w:rPr>
        <w:t xml:space="preserve"> Povedano preprosteje so obresti </w:t>
      </w:r>
      <w:r w:rsidRPr="00A311A1">
        <w:rPr>
          <w:lang w:val="sl-SI"/>
        </w:rPr>
        <w:t>nadomestilo za uporabo denarja</w:t>
      </w:r>
      <w:r w:rsidR="008D7C72">
        <w:rPr>
          <w:lang w:val="sl-SI"/>
        </w:rPr>
        <w:t xml:space="preserve"> v času</w:t>
      </w:r>
      <w:r>
        <w:rPr>
          <w:lang w:val="sl-SI"/>
        </w:rPr>
        <w:t xml:space="preserve"> in kot take urejene v </w:t>
      </w:r>
      <w:hyperlink r:id="rId9" w:history="1">
        <w:r w:rsidR="00400AB1">
          <w:rPr>
            <w:rStyle w:val="Hiperpovezava"/>
            <w:lang w:val="sl-SI"/>
          </w:rPr>
          <w:t>Obligacijskem zakoniku - OZ</w:t>
        </w:r>
      </w:hyperlink>
      <w:r>
        <w:rPr>
          <w:lang w:val="sl-SI"/>
        </w:rPr>
        <w:t xml:space="preserve"> v členih od 374 do 383.</w:t>
      </w:r>
      <w:r w:rsidR="00FF247F">
        <w:rPr>
          <w:lang w:val="sl-SI"/>
        </w:rPr>
        <w:t xml:space="preserve"> </w:t>
      </w:r>
      <w:r>
        <w:rPr>
          <w:lang w:val="sl-SI"/>
        </w:rPr>
        <w:t xml:space="preserve">V skladu z drugim odstavkom 5. člena  </w:t>
      </w:r>
      <w:hyperlink r:id="rId10" w:history="1">
        <w:r>
          <w:rPr>
            <w:rStyle w:val="Hiperpovezava"/>
            <w:lang w:val="sl-SI"/>
          </w:rPr>
          <w:t>Zakona o davčnem postopku - ZDavP-2</w:t>
        </w:r>
      </w:hyperlink>
      <w:r>
        <w:rPr>
          <w:lang w:val="sl-SI"/>
        </w:rPr>
        <w:t xml:space="preserve"> se p</w:t>
      </w:r>
      <w:r w:rsidRPr="003D4810">
        <w:rPr>
          <w:lang w:val="sl-SI"/>
        </w:rPr>
        <w:t>redmet obdavčitve in okoliščine ter d</w:t>
      </w:r>
      <w:r w:rsidRPr="003D4810">
        <w:rPr>
          <w:lang w:val="sl-SI"/>
        </w:rPr>
        <w:t>ejstva, ki so bistveni za obdavčenje, vrednotijo po svoji gospodarski (ekonomski) vsebini</w:t>
      </w:r>
      <w:r>
        <w:rPr>
          <w:lang w:val="sl-SI"/>
        </w:rPr>
        <w:t>.</w:t>
      </w:r>
    </w:p>
    <w:p w14:paraId="5C395DDB" w14:textId="77777777" w:rsidR="00CF691B" w:rsidRDefault="00CF691B" w:rsidP="00A311A1">
      <w:pPr>
        <w:jc w:val="both"/>
        <w:rPr>
          <w:lang w:val="sl-SI"/>
        </w:rPr>
      </w:pPr>
    </w:p>
    <w:p w14:paraId="1FD28748" w14:textId="77777777" w:rsidR="00E37345" w:rsidRDefault="007A11E4" w:rsidP="00A311A1">
      <w:pPr>
        <w:jc w:val="both"/>
        <w:rPr>
          <w:lang w:val="sl-SI"/>
        </w:rPr>
      </w:pPr>
      <w:r>
        <w:rPr>
          <w:lang w:val="sl-SI"/>
        </w:rPr>
        <w:t xml:space="preserve">Predstavljenemu pravnemu okviru sledi tudi 19. člen ZDDPO-2, ki omejuje prihodke in odhodke iz naslova obresti na posojila med povezanimi osebami. Tako se pri davčnem </w:t>
      </w:r>
      <w:r w:rsidRPr="00E129D8">
        <w:rPr>
          <w:lang w:val="sl-SI"/>
        </w:rPr>
        <w:t xml:space="preserve">ugotavljanju prihodkov upoštevajo obračunane obresti na </w:t>
      </w:r>
      <w:r w:rsidRPr="00DE05F7">
        <w:rPr>
          <w:b/>
          <w:bCs/>
          <w:lang w:val="sl-SI"/>
        </w:rPr>
        <w:t>dana posojila</w:t>
      </w:r>
      <w:r w:rsidRPr="00E129D8">
        <w:rPr>
          <w:lang w:val="sl-SI"/>
        </w:rPr>
        <w:t xml:space="preserve"> povezanim osebam, v</w:t>
      </w:r>
      <w:r w:rsidRPr="00E129D8">
        <w:rPr>
          <w:lang w:val="sl-SI"/>
        </w:rPr>
        <w:t>endar najmanj do višine priznane obrestne mere</w:t>
      </w:r>
      <w:r w:rsidR="00DE05F7">
        <w:rPr>
          <w:lang w:val="sl-SI"/>
        </w:rPr>
        <w:t xml:space="preserve"> (v nadaljevanju: POM). Obratno se pri </w:t>
      </w:r>
      <w:r w:rsidR="00DE05F7" w:rsidRPr="00DE05F7">
        <w:rPr>
          <w:lang w:val="sl-SI"/>
        </w:rPr>
        <w:t xml:space="preserve">ugotavljanju odhodkov upoštevajo obračunane obresti na </w:t>
      </w:r>
      <w:r w:rsidR="00DE05F7" w:rsidRPr="00DE05F7">
        <w:rPr>
          <w:b/>
          <w:bCs/>
          <w:lang w:val="sl-SI"/>
        </w:rPr>
        <w:t>prejeta posojila</w:t>
      </w:r>
      <w:r w:rsidR="00DE05F7" w:rsidRPr="00DE05F7">
        <w:rPr>
          <w:lang w:val="sl-SI"/>
        </w:rPr>
        <w:t xml:space="preserve"> od povezanih oseb, vendar največ do višine </w:t>
      </w:r>
      <w:r w:rsidR="00DE05F7">
        <w:rPr>
          <w:lang w:val="sl-SI"/>
        </w:rPr>
        <w:t>POM.</w:t>
      </w:r>
    </w:p>
    <w:p w14:paraId="6A9C9E22" w14:textId="77777777" w:rsidR="00E37345" w:rsidRDefault="00E37345" w:rsidP="00A311A1">
      <w:pPr>
        <w:jc w:val="both"/>
        <w:rPr>
          <w:lang w:val="sl-SI"/>
        </w:rPr>
      </w:pPr>
    </w:p>
    <w:p w14:paraId="156B7B69" w14:textId="77777777" w:rsidR="00A11D70" w:rsidRDefault="007A11E4" w:rsidP="00A311A1">
      <w:pPr>
        <w:jc w:val="both"/>
        <w:rPr>
          <w:lang w:val="sl-SI"/>
        </w:rPr>
      </w:pPr>
      <w:r>
        <w:rPr>
          <w:lang w:val="sl-SI"/>
        </w:rPr>
        <w:lastRenderedPageBreak/>
        <w:t>Obresti, kot vrsta dohodka s posebno davčno obravn</w:t>
      </w:r>
      <w:r>
        <w:rPr>
          <w:lang w:val="sl-SI"/>
        </w:rPr>
        <w:t>avo, predstavljajo torej na strani posojilodajalca prihodke na strani posojilojemalca pa odhodke. Iz navedenega sledi</w:t>
      </w:r>
      <w:r w:rsidR="009B0177">
        <w:rPr>
          <w:lang w:val="sl-SI"/>
        </w:rPr>
        <w:t>,</w:t>
      </w:r>
      <w:r>
        <w:rPr>
          <w:lang w:val="sl-SI"/>
        </w:rPr>
        <w:t xml:space="preserve"> da </w:t>
      </w:r>
      <w:r w:rsidR="00CF691B">
        <w:rPr>
          <w:lang w:val="sl-SI"/>
        </w:rPr>
        <w:t>prihodkov, odhodkov in plačil</w:t>
      </w:r>
      <w:r>
        <w:rPr>
          <w:lang w:val="sl-SI"/>
        </w:rPr>
        <w:t xml:space="preserve"> na podlagi negativne obrestne mere ni mogoče obravnavati </w:t>
      </w:r>
      <w:r w:rsidR="00CF691B">
        <w:rPr>
          <w:lang w:val="sl-SI"/>
        </w:rPr>
        <w:t xml:space="preserve">kot prihodkov, odhodkov in plačil iz naslova </w:t>
      </w:r>
      <w:r>
        <w:rPr>
          <w:lang w:val="sl-SI"/>
        </w:rPr>
        <w:t>obresti.</w:t>
      </w:r>
      <w:r w:rsidR="00617BE6">
        <w:rPr>
          <w:lang w:val="sl-SI"/>
        </w:rPr>
        <w:t xml:space="preserve"> </w:t>
      </w:r>
      <w:r w:rsidRPr="00A11D70">
        <w:rPr>
          <w:lang w:val="sl-SI"/>
        </w:rPr>
        <w:t xml:space="preserve">Plačilo na podlagi negativne obrestne </w:t>
      </w:r>
      <w:r w:rsidR="00617BE6">
        <w:rPr>
          <w:lang w:val="sl-SI"/>
        </w:rPr>
        <w:t>se posledično ne presoja</w:t>
      </w:r>
      <w:r w:rsidRPr="00A11D70">
        <w:rPr>
          <w:lang w:val="sl-SI"/>
        </w:rPr>
        <w:t xml:space="preserve"> po</w:t>
      </w:r>
      <w:r>
        <w:rPr>
          <w:lang w:val="sl-SI"/>
        </w:rPr>
        <w:t xml:space="preserve"> </w:t>
      </w:r>
      <w:hyperlink r:id="rId11" w:history="1">
        <w:r>
          <w:rPr>
            <w:rStyle w:val="Hiperpovezava"/>
            <w:lang w:val="sl-SI"/>
          </w:rPr>
          <w:t>Pravil</w:t>
        </w:r>
        <w:r>
          <w:rPr>
            <w:rStyle w:val="Hiperpovezava"/>
            <w:lang w:val="sl-SI"/>
          </w:rPr>
          <w:t>niku o priznani obrestni meri</w:t>
        </w:r>
      </w:hyperlink>
      <w:r>
        <w:rPr>
          <w:lang w:val="sl-SI"/>
        </w:rPr>
        <w:t xml:space="preserve"> </w:t>
      </w:r>
      <w:r w:rsidR="000B03F9">
        <w:rPr>
          <w:lang w:val="sl-SI"/>
        </w:rPr>
        <w:t>(v nadaljevanju: Pravilnik)</w:t>
      </w:r>
      <w:r w:rsidRPr="00A11D70">
        <w:rPr>
          <w:lang w:val="sl-SI"/>
        </w:rPr>
        <w:t xml:space="preserve">. </w:t>
      </w:r>
      <w:r w:rsidR="009643F8">
        <w:rPr>
          <w:lang w:val="sl-SI"/>
        </w:rPr>
        <w:t xml:space="preserve">Pri plačilu </w:t>
      </w:r>
      <w:r w:rsidRPr="00A11D70">
        <w:rPr>
          <w:lang w:val="sl-SI"/>
        </w:rPr>
        <w:t xml:space="preserve">na podlagi negativne obrestne mere </w:t>
      </w:r>
      <w:r w:rsidR="009643F8">
        <w:rPr>
          <w:lang w:val="sl-SI"/>
        </w:rPr>
        <w:t>gre</w:t>
      </w:r>
      <w:r>
        <w:rPr>
          <w:lang w:val="sl-SI"/>
        </w:rPr>
        <w:t xml:space="preserve"> po vsebini</w:t>
      </w:r>
      <w:r w:rsidR="009643F8">
        <w:rPr>
          <w:lang w:val="sl-SI"/>
        </w:rPr>
        <w:t xml:space="preserve"> za plačilo</w:t>
      </w:r>
      <w:r>
        <w:rPr>
          <w:lang w:val="sl-SI"/>
        </w:rPr>
        <w:t xml:space="preserve"> </w:t>
      </w:r>
      <w:r w:rsidR="00617BE6">
        <w:rPr>
          <w:lang w:val="sl-SI"/>
        </w:rPr>
        <w:t>storitve</w:t>
      </w:r>
      <w:r w:rsidR="009643F8">
        <w:rPr>
          <w:lang w:val="sl-SI"/>
        </w:rPr>
        <w:t>, pogosto imenovan</w:t>
      </w:r>
      <w:r w:rsidR="00617BE6">
        <w:rPr>
          <w:lang w:val="sl-SI"/>
        </w:rPr>
        <w:t>e</w:t>
      </w:r>
      <w:r w:rsidR="009643F8">
        <w:rPr>
          <w:lang w:val="sl-SI"/>
        </w:rPr>
        <w:t xml:space="preserve"> ležarina</w:t>
      </w:r>
      <w:r w:rsidRPr="00A11D70">
        <w:rPr>
          <w:lang w:val="sl-SI"/>
        </w:rPr>
        <w:t>. Kadar je plačilo izvršeno povezani osebi, nerezidentu, se davčno priznavanje z njim po</w:t>
      </w:r>
      <w:r w:rsidRPr="00A11D70">
        <w:rPr>
          <w:lang w:val="sl-SI"/>
        </w:rPr>
        <w:t>vezanih odhodkov presoja na podlagi 16. člena ZDDPO-2. Zavezancu se odhodki pri poslovanju s povezanimi osebami</w:t>
      </w:r>
      <w:r w:rsidR="009B0177">
        <w:rPr>
          <w:lang w:val="sl-SI"/>
        </w:rPr>
        <w:t>,</w:t>
      </w:r>
      <w:r w:rsidRPr="00A11D70">
        <w:rPr>
          <w:lang w:val="sl-SI"/>
        </w:rPr>
        <w:t xml:space="preserve"> nerezidenti</w:t>
      </w:r>
      <w:r w:rsidR="009B0177">
        <w:rPr>
          <w:lang w:val="sl-SI"/>
        </w:rPr>
        <w:t>,</w:t>
      </w:r>
      <w:r w:rsidRPr="00A11D70">
        <w:rPr>
          <w:lang w:val="sl-SI"/>
        </w:rPr>
        <w:t xml:space="preserve"> davčno priznajo največ do višine, ugotovljene z upoštevanjem primerljivih tržnih cen.</w:t>
      </w:r>
    </w:p>
    <w:p w14:paraId="576A24B0" w14:textId="77777777" w:rsidR="0069159C" w:rsidRDefault="0069159C" w:rsidP="00A311A1">
      <w:pPr>
        <w:jc w:val="both"/>
        <w:rPr>
          <w:lang w:val="sl-SI"/>
        </w:rPr>
      </w:pPr>
    </w:p>
    <w:p w14:paraId="1E0E60F6" w14:textId="77777777" w:rsidR="00FF247F" w:rsidRDefault="007A11E4" w:rsidP="00A311A1">
      <w:pPr>
        <w:jc w:val="both"/>
        <w:rPr>
          <w:lang w:val="sl-SI"/>
        </w:rPr>
      </w:pPr>
      <w:r>
        <w:rPr>
          <w:lang w:val="sl-SI"/>
        </w:rPr>
        <w:t>Z</w:t>
      </w:r>
      <w:r w:rsidR="007A2351">
        <w:rPr>
          <w:lang w:val="sl-SI"/>
        </w:rPr>
        <w:t xml:space="preserve"> vidika davčne obravnave </w:t>
      </w:r>
      <w:r>
        <w:rPr>
          <w:lang w:val="sl-SI"/>
        </w:rPr>
        <w:t xml:space="preserve">je </w:t>
      </w:r>
      <w:r w:rsidR="007A2351">
        <w:rPr>
          <w:lang w:val="sl-SI"/>
        </w:rPr>
        <w:t xml:space="preserve">pomembno, da so </w:t>
      </w:r>
      <w:r>
        <w:rPr>
          <w:lang w:val="sl-SI"/>
        </w:rPr>
        <w:t xml:space="preserve">(bile) </w:t>
      </w:r>
      <w:r w:rsidR="007A2351">
        <w:rPr>
          <w:lang w:val="sl-SI"/>
        </w:rPr>
        <w:t>v obdobju od 2016 do</w:t>
      </w:r>
      <w:r w:rsidR="00910A80">
        <w:rPr>
          <w:lang w:val="sl-SI"/>
        </w:rPr>
        <w:t xml:space="preserve"> 2022 negativne obrestne mere na posameznih segmentih denarnega trga stvarnost, ki se ji gospodarski subjekti niso mogli izogniti. V praksi so bila tako </w:t>
      </w:r>
      <w:r w:rsidR="009B0177">
        <w:rPr>
          <w:lang w:val="sl-SI"/>
        </w:rPr>
        <w:t xml:space="preserve">primeroma </w:t>
      </w:r>
      <w:r w:rsidR="00910A80">
        <w:rPr>
          <w:lang w:val="sl-SI"/>
        </w:rPr>
        <w:t xml:space="preserve">denarna sredstva na transakcijskih računih obremenjena z bančnimi ležarinami, te pa so zagotovo vplivale na </w:t>
      </w:r>
      <w:r w:rsidR="00CE232F">
        <w:rPr>
          <w:lang w:val="sl-SI"/>
        </w:rPr>
        <w:t>tržne pogoje</w:t>
      </w:r>
      <w:r w:rsidR="00910A80">
        <w:rPr>
          <w:lang w:val="sl-SI"/>
        </w:rPr>
        <w:t xml:space="preserve"> plasmajev presežnih denarnih sredstev</w:t>
      </w:r>
      <w:r w:rsidR="00CE232F">
        <w:rPr>
          <w:lang w:val="sl-SI"/>
        </w:rPr>
        <w:t xml:space="preserve"> na nebančnem trgu. Ker so denarna sredstva neobhodno tako pogoj kot posledica gospodarskega delovanja, bi bilo splošno zavračanje davčnega priznavanja odhodkov iz naslova negativne obrestne mere nedvomno v nasprotju z 29. členom ZDDPO-2 in posledično s samim namenom zakona.</w:t>
      </w:r>
    </w:p>
    <w:p w14:paraId="28AA7BDC" w14:textId="77777777" w:rsidR="003E7DC8" w:rsidRDefault="003E7DC8" w:rsidP="00A311A1">
      <w:pPr>
        <w:jc w:val="both"/>
        <w:rPr>
          <w:lang w:val="sl-SI"/>
        </w:rPr>
      </w:pPr>
    </w:p>
    <w:p w14:paraId="2F5E6D22" w14:textId="77777777" w:rsidR="006C129A" w:rsidRDefault="007A11E4" w:rsidP="00A311A1">
      <w:pPr>
        <w:jc w:val="both"/>
        <w:rPr>
          <w:lang w:val="sl-SI"/>
        </w:rPr>
      </w:pPr>
      <w:r>
        <w:rPr>
          <w:lang w:val="sl-SI"/>
        </w:rPr>
        <w:t>Ker plačilo na podlagi negativne obrestne mere ne predstavlja plačila obresti, se odhodki povezani z njim, pri transakcijah med povezanimi os</w:t>
      </w:r>
      <w:r>
        <w:rPr>
          <w:lang w:val="sl-SI"/>
        </w:rPr>
        <w:t xml:space="preserve">ebami, ne presojajo na podlagi 19. člena ZDDPO oziroma na podlagi </w:t>
      </w:r>
      <w:r w:rsidR="00DE05F7">
        <w:rPr>
          <w:lang w:val="sl-SI"/>
        </w:rPr>
        <w:t>POM</w:t>
      </w:r>
      <w:r>
        <w:rPr>
          <w:lang w:val="sl-SI"/>
        </w:rPr>
        <w:t>.</w:t>
      </w:r>
      <w:r w:rsidR="002B527D">
        <w:rPr>
          <w:lang w:val="sl-SI"/>
        </w:rPr>
        <w:t xml:space="preserve"> To pomeni, da </w:t>
      </w:r>
      <w:r w:rsidR="00E37345">
        <w:rPr>
          <w:lang w:val="sl-SI"/>
        </w:rPr>
        <w:t xml:space="preserve">posojilodajalec </w:t>
      </w:r>
      <w:r w:rsidR="00617BE6">
        <w:rPr>
          <w:lang w:val="sl-SI"/>
        </w:rPr>
        <w:t>(</w:t>
      </w:r>
      <w:r w:rsidR="002B527D">
        <w:rPr>
          <w:lang w:val="sl-SI"/>
        </w:rPr>
        <w:t>položnik</w:t>
      </w:r>
      <w:r w:rsidR="00617BE6">
        <w:rPr>
          <w:lang w:val="sl-SI"/>
        </w:rPr>
        <w:t>)</w:t>
      </w:r>
      <w:r w:rsidR="002B527D">
        <w:rPr>
          <w:lang w:val="sl-SI"/>
        </w:rPr>
        <w:t xml:space="preserve"> ne more dokazovati davčne upravičenosti nastalih </w:t>
      </w:r>
      <w:r w:rsidR="00E37345">
        <w:rPr>
          <w:lang w:val="sl-SI"/>
        </w:rPr>
        <w:t xml:space="preserve">mu </w:t>
      </w:r>
      <w:r w:rsidR="002B527D">
        <w:rPr>
          <w:lang w:val="sl-SI"/>
        </w:rPr>
        <w:t xml:space="preserve">odhodkov s POM, katere izračun na podlagi </w:t>
      </w:r>
      <w:r w:rsidR="000B03F9">
        <w:rPr>
          <w:lang w:val="sl-SI"/>
        </w:rPr>
        <w:t xml:space="preserve">Pravilnika </w:t>
      </w:r>
      <w:r w:rsidR="002B527D">
        <w:rPr>
          <w:lang w:val="sl-SI"/>
        </w:rPr>
        <w:t>vrne negativno vrednost</w:t>
      </w:r>
      <w:r>
        <w:rPr>
          <w:rStyle w:val="Sprotnaopomba-sklic"/>
          <w:lang w:val="sl-SI"/>
        </w:rPr>
        <w:footnoteReference w:id="1"/>
      </w:r>
      <w:r w:rsidR="002B527D">
        <w:rPr>
          <w:lang w:val="sl-SI"/>
        </w:rPr>
        <w:t xml:space="preserve">. V praksi zato velja, da </w:t>
      </w:r>
      <w:r w:rsidR="003478FB">
        <w:rPr>
          <w:lang w:val="sl-SI"/>
        </w:rPr>
        <w:t xml:space="preserve">se </w:t>
      </w:r>
      <w:r w:rsidR="00FA3245">
        <w:rPr>
          <w:lang w:val="sl-SI"/>
        </w:rPr>
        <w:t xml:space="preserve">davčno priznavanje odhodkov, </w:t>
      </w:r>
      <w:r w:rsidR="003478FB">
        <w:rPr>
          <w:lang w:val="sl-SI"/>
        </w:rPr>
        <w:t>lahko utemeljuje le s POM, ki je večji od nič.</w:t>
      </w:r>
    </w:p>
    <w:p w14:paraId="548D6C65" w14:textId="77777777" w:rsidR="00FF247F" w:rsidRDefault="00FF247F" w:rsidP="00A311A1">
      <w:pPr>
        <w:jc w:val="both"/>
        <w:rPr>
          <w:lang w:val="sl-SI"/>
        </w:rPr>
      </w:pPr>
    </w:p>
    <w:p w14:paraId="50843DA0" w14:textId="77777777" w:rsidR="00FF247F" w:rsidRDefault="007A11E4" w:rsidP="00A311A1">
      <w:pPr>
        <w:jc w:val="both"/>
        <w:rPr>
          <w:lang w:val="sl-SI"/>
        </w:rPr>
      </w:pPr>
      <w:r>
        <w:rPr>
          <w:lang w:val="sl-SI"/>
        </w:rPr>
        <w:t>Pod 1:</w:t>
      </w:r>
    </w:p>
    <w:p w14:paraId="7C3D0248" w14:textId="77777777" w:rsidR="00364D4B" w:rsidRDefault="007A11E4" w:rsidP="00B83D24">
      <w:pPr>
        <w:jc w:val="both"/>
        <w:rPr>
          <w:lang w:val="sl-SI"/>
        </w:rPr>
      </w:pPr>
      <w:r>
        <w:rPr>
          <w:lang w:val="sl-SI"/>
        </w:rPr>
        <w:t xml:space="preserve">Plačilo na podlagi negativne obrestne </w:t>
      </w:r>
      <w:r w:rsidR="006858F0">
        <w:rPr>
          <w:lang w:val="sl-SI"/>
        </w:rPr>
        <w:t xml:space="preserve">mere </w:t>
      </w:r>
      <w:r>
        <w:rPr>
          <w:lang w:val="sl-SI"/>
        </w:rPr>
        <w:t>predstavlja</w:t>
      </w:r>
      <w:r w:rsidR="006858F0">
        <w:rPr>
          <w:lang w:val="sl-SI"/>
        </w:rPr>
        <w:t xml:space="preserve"> za davčne namene</w:t>
      </w:r>
      <w:r>
        <w:rPr>
          <w:lang w:val="sl-SI"/>
        </w:rPr>
        <w:t xml:space="preserve"> plačilo za storitev. Kadar je plačilo na podlagi negativne obrestne mer</w:t>
      </w:r>
      <w:r>
        <w:rPr>
          <w:lang w:val="sl-SI"/>
        </w:rPr>
        <w:t>e izvršeno povezan</w:t>
      </w:r>
      <w:r w:rsidR="00B83D24">
        <w:rPr>
          <w:lang w:val="sl-SI"/>
        </w:rPr>
        <w:t>i osebi, nerezidentu</w:t>
      </w:r>
      <w:r>
        <w:rPr>
          <w:lang w:val="sl-SI"/>
        </w:rPr>
        <w:t>, se davčno priznavanje z njim povezanih odhodkov presoja na podlagi 16</w:t>
      </w:r>
      <w:r w:rsidR="00B83D24">
        <w:rPr>
          <w:lang w:val="sl-SI"/>
        </w:rPr>
        <w:t xml:space="preserve">. </w:t>
      </w:r>
      <w:r>
        <w:rPr>
          <w:lang w:val="sl-SI"/>
        </w:rPr>
        <w:t>člena ZDDPO-2.</w:t>
      </w:r>
      <w:r w:rsidR="00B83D24">
        <w:rPr>
          <w:lang w:val="sl-SI"/>
        </w:rPr>
        <w:t xml:space="preserve"> </w:t>
      </w:r>
      <w:r>
        <w:rPr>
          <w:lang w:val="sl-SI"/>
        </w:rPr>
        <w:t>Zavezancu se odhodki pri poslovanju s povezanimi osebami</w:t>
      </w:r>
      <w:r w:rsidR="00B83D24">
        <w:rPr>
          <w:lang w:val="sl-SI"/>
        </w:rPr>
        <w:t xml:space="preserve">, nerezidenti, </w:t>
      </w:r>
      <w:r>
        <w:rPr>
          <w:lang w:val="sl-SI"/>
        </w:rPr>
        <w:t xml:space="preserve">davčno priznajo </w:t>
      </w:r>
      <w:r w:rsidRPr="00364D4B">
        <w:rPr>
          <w:lang w:val="sl-SI"/>
        </w:rPr>
        <w:t>največ do višine, ugotovljene z upoštevanje</w:t>
      </w:r>
      <w:r w:rsidRPr="00364D4B">
        <w:rPr>
          <w:lang w:val="sl-SI"/>
        </w:rPr>
        <w:t>m primerljivih tržnih cen</w:t>
      </w:r>
      <w:r w:rsidR="00B83D24">
        <w:rPr>
          <w:lang w:val="sl-SI"/>
        </w:rPr>
        <w:t>.</w:t>
      </w:r>
    </w:p>
    <w:p w14:paraId="4B8D7838" w14:textId="77777777" w:rsidR="00FF247F" w:rsidRDefault="00FF247F" w:rsidP="00A311A1">
      <w:pPr>
        <w:jc w:val="both"/>
        <w:rPr>
          <w:lang w:val="sl-SI"/>
        </w:rPr>
      </w:pPr>
    </w:p>
    <w:p w14:paraId="0D49E41F" w14:textId="77777777" w:rsidR="00FF247F" w:rsidRDefault="007A11E4" w:rsidP="00A311A1">
      <w:pPr>
        <w:jc w:val="both"/>
        <w:rPr>
          <w:lang w:val="sl-SI"/>
        </w:rPr>
      </w:pPr>
      <w:r>
        <w:rPr>
          <w:lang w:val="sl-SI"/>
        </w:rPr>
        <w:t>Pod 2:</w:t>
      </w:r>
    </w:p>
    <w:p w14:paraId="66C142B0" w14:textId="77777777" w:rsidR="00DB16E5" w:rsidRDefault="007A11E4" w:rsidP="00A311A1">
      <w:pPr>
        <w:jc w:val="both"/>
        <w:rPr>
          <w:lang w:val="sl-SI"/>
        </w:rPr>
      </w:pPr>
      <w:r>
        <w:rPr>
          <w:lang w:val="sl-SI"/>
        </w:rPr>
        <w:t xml:space="preserve">Plačilo na podlagi negativne obrestne </w:t>
      </w:r>
      <w:r w:rsidR="004D3848">
        <w:rPr>
          <w:lang w:val="sl-SI"/>
        </w:rPr>
        <w:t xml:space="preserve">mere </w:t>
      </w:r>
      <w:r w:rsidR="003C1939">
        <w:rPr>
          <w:lang w:val="sl-SI"/>
        </w:rPr>
        <w:t>se za davčne namene ne smatra za plačilo obresti</w:t>
      </w:r>
      <w:r>
        <w:rPr>
          <w:lang w:val="sl-SI"/>
        </w:rPr>
        <w:t xml:space="preserve"> in posledično ne podlegajo davčnemu odtegljaju iz</w:t>
      </w:r>
      <w:r w:rsidR="003C1939">
        <w:rPr>
          <w:lang w:val="sl-SI"/>
        </w:rPr>
        <w:t xml:space="preserve"> druge točke prvega odstavka</w:t>
      </w:r>
      <w:r>
        <w:rPr>
          <w:lang w:val="sl-SI"/>
        </w:rPr>
        <w:t xml:space="preserve"> 70. člena ZDDPO-2.</w:t>
      </w:r>
    </w:p>
    <w:p w14:paraId="1F285A71" w14:textId="77777777" w:rsidR="00A311A1" w:rsidRDefault="00A311A1" w:rsidP="00A311A1">
      <w:pPr>
        <w:jc w:val="both"/>
        <w:rPr>
          <w:lang w:val="sl-SI"/>
        </w:rPr>
      </w:pPr>
    </w:p>
    <w:p w14:paraId="6A22683B" w14:textId="77777777" w:rsidR="00A311A1" w:rsidRDefault="007A11E4" w:rsidP="00A311A1">
      <w:pPr>
        <w:jc w:val="both"/>
        <w:rPr>
          <w:lang w:val="sl-SI"/>
        </w:rPr>
      </w:pPr>
      <w:r>
        <w:rPr>
          <w:lang w:val="sl-SI"/>
        </w:rPr>
        <w:t>Pod 3:</w:t>
      </w:r>
    </w:p>
    <w:p w14:paraId="45058EB4" w14:textId="77777777" w:rsidR="00E67F5D" w:rsidRDefault="007A11E4" w:rsidP="00B74AA5">
      <w:pPr>
        <w:jc w:val="both"/>
        <w:rPr>
          <w:lang w:val="sl-SI"/>
        </w:rPr>
      </w:pPr>
      <w:r>
        <w:rPr>
          <w:lang w:val="sl-SI"/>
        </w:rPr>
        <w:t xml:space="preserve">Do prikritega izplačila </w:t>
      </w:r>
      <w:r>
        <w:rPr>
          <w:lang w:val="sl-SI"/>
        </w:rPr>
        <w:t>dobička iz sedme točke 74. člena ZDDPO-2 pride v primeru plačil</w:t>
      </w:r>
      <w:r w:rsidR="00B83D24">
        <w:rPr>
          <w:lang w:val="sl-SI"/>
        </w:rPr>
        <w:t>a</w:t>
      </w:r>
      <w:r>
        <w:rPr>
          <w:lang w:val="sl-SI"/>
        </w:rPr>
        <w:t xml:space="preserve"> nerezi</w:t>
      </w:r>
      <w:r w:rsidR="00B83D24">
        <w:rPr>
          <w:lang w:val="sl-SI"/>
        </w:rPr>
        <w:t>dentu, ki je višje</w:t>
      </w:r>
      <w:r w:rsidR="00921697">
        <w:rPr>
          <w:lang w:val="sl-SI"/>
        </w:rPr>
        <w:t>,</w:t>
      </w:r>
      <w:r w:rsidR="00B83D24">
        <w:rPr>
          <w:lang w:val="sl-SI"/>
        </w:rPr>
        <w:t xml:space="preserve"> kot bi bilo plačilo izvedeno ob upoštevanju primerljiv</w:t>
      </w:r>
      <w:r w:rsidR="00AF0531">
        <w:rPr>
          <w:lang w:val="sl-SI"/>
        </w:rPr>
        <w:t>e</w:t>
      </w:r>
      <w:r w:rsidR="00B83D24">
        <w:rPr>
          <w:lang w:val="sl-SI"/>
        </w:rPr>
        <w:t xml:space="preserve"> tržn</w:t>
      </w:r>
      <w:r w:rsidR="00AF0531">
        <w:rPr>
          <w:lang w:val="sl-SI"/>
        </w:rPr>
        <w:t>e</w:t>
      </w:r>
      <w:r w:rsidR="00B83D24">
        <w:rPr>
          <w:lang w:val="sl-SI"/>
        </w:rPr>
        <w:t xml:space="preserve"> cen</w:t>
      </w:r>
      <w:r w:rsidR="00AF0531">
        <w:rPr>
          <w:lang w:val="sl-SI"/>
        </w:rPr>
        <w:t xml:space="preserve">e </w:t>
      </w:r>
      <w:r w:rsidR="00382BD3">
        <w:rPr>
          <w:lang w:val="sl-SI"/>
        </w:rPr>
        <w:t>iz 16. člena ZDDPO-2.</w:t>
      </w:r>
    </w:p>
    <w:p w14:paraId="20C6697E" w14:textId="77777777" w:rsidR="00B909CB" w:rsidRDefault="00B909CB" w:rsidP="004D60E4">
      <w:pPr>
        <w:jc w:val="both"/>
        <w:rPr>
          <w:lang w:val="sl-SI"/>
        </w:rPr>
      </w:pPr>
    </w:p>
    <w:p w14:paraId="697B1E53" w14:textId="77777777" w:rsidR="00E67F5D" w:rsidRDefault="00E67F5D" w:rsidP="004D60E4">
      <w:pPr>
        <w:pStyle w:val="podpisi"/>
        <w:jc w:val="both"/>
        <w:rPr>
          <w:lang w:val="sl-SI"/>
        </w:rPr>
      </w:pPr>
    </w:p>
    <w:p w14:paraId="334755FB" w14:textId="77777777" w:rsidR="00E67F5D" w:rsidRDefault="00E67F5D" w:rsidP="004D60E4">
      <w:pPr>
        <w:pStyle w:val="podpisi"/>
        <w:jc w:val="both"/>
        <w:rPr>
          <w:lang w:val="sl-SI"/>
        </w:rPr>
      </w:pPr>
    </w:p>
    <w:sectPr w:rsidR="00E67F5D" w:rsidSect="00F002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E446" w14:textId="77777777" w:rsidR="007A11E4" w:rsidRDefault="007A11E4">
      <w:pPr>
        <w:spacing w:line="240" w:lineRule="auto"/>
      </w:pPr>
      <w:r>
        <w:separator/>
      </w:r>
    </w:p>
  </w:endnote>
  <w:endnote w:type="continuationSeparator" w:id="0">
    <w:p w14:paraId="2F0B7A08" w14:textId="77777777" w:rsidR="007A11E4" w:rsidRDefault="007A1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1F11" w14:textId="77777777" w:rsidR="005254D1" w:rsidRDefault="005254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B35D" w14:textId="77777777" w:rsidR="000B0B21" w:rsidRDefault="007A11E4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AF250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AF250A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971D" w14:textId="77777777" w:rsidR="000B0B21" w:rsidRDefault="007A11E4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AF250A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AF250A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86C9" w14:textId="77777777" w:rsidR="007A11E4" w:rsidRDefault="007A11E4">
      <w:pPr>
        <w:spacing w:line="240" w:lineRule="auto"/>
      </w:pPr>
      <w:r>
        <w:separator/>
      </w:r>
    </w:p>
  </w:footnote>
  <w:footnote w:type="continuationSeparator" w:id="0">
    <w:p w14:paraId="0F3A90C2" w14:textId="77777777" w:rsidR="007A11E4" w:rsidRDefault="007A11E4">
      <w:pPr>
        <w:spacing w:line="240" w:lineRule="auto"/>
      </w:pPr>
      <w:r>
        <w:continuationSeparator/>
      </w:r>
    </w:p>
  </w:footnote>
  <w:footnote w:id="1">
    <w:p w14:paraId="745B0BAB" w14:textId="77777777" w:rsidR="002B527D" w:rsidRPr="002B527D" w:rsidRDefault="007A11E4">
      <w:pPr>
        <w:pStyle w:val="Sprotnaopomba-besedilo"/>
        <w:rPr>
          <w:sz w:val="16"/>
          <w:szCs w:val="16"/>
          <w:lang w:val="it-IT"/>
        </w:rPr>
      </w:pPr>
      <w:r>
        <w:rPr>
          <w:rStyle w:val="Sprotnaopomba-sklic"/>
        </w:rPr>
        <w:footnoteRef/>
      </w:r>
      <w:r w:rsidRPr="002B527D">
        <w:rPr>
          <w:lang w:val="it-IT"/>
        </w:rPr>
        <w:t xml:space="preserve"> </w:t>
      </w:r>
      <w:r w:rsidRPr="002B527D">
        <w:rPr>
          <w:sz w:val="16"/>
          <w:szCs w:val="16"/>
          <w:lang w:val="it-IT"/>
        </w:rPr>
        <w:t>Variabilni del obrestne mere (</w:t>
      </w:r>
      <w:r w:rsidRPr="002B527D">
        <w:rPr>
          <w:sz w:val="16"/>
          <w:szCs w:val="16"/>
          <w:lang w:val="it-IT"/>
        </w:rPr>
        <w:t>najpogosteje EURIBOR) ne more preseči fiksnih pribitkov.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E005" w14:textId="77777777" w:rsidR="005254D1" w:rsidRDefault="005254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3049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E11E5" w14:paraId="2EA23A99" w14:textId="77777777">
      <w:trPr>
        <w:cantSplit/>
        <w:trHeight w:hRule="exact" w:val="847"/>
      </w:trPr>
      <w:tc>
        <w:tcPr>
          <w:tcW w:w="567" w:type="dxa"/>
        </w:tcPr>
        <w:p w14:paraId="105B0BF7" w14:textId="77777777" w:rsidR="000B0B21" w:rsidRDefault="007A11E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FE6C62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4D256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9FD83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C35EDD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F1949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DD3B2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32C45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5A25B5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9846C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DFC5B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AFCDC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7600C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80939E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FEF15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7D66B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D9E7E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0AEC378" w14:textId="77777777" w:rsidR="000B0B21" w:rsidRPr="008F3500" w:rsidRDefault="007A11E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0407F6" wp14:editId="74B239A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6B8D9BCC" w14:textId="77777777" w:rsidR="000B0B21" w:rsidRPr="00FD746A" w:rsidRDefault="007A11E4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329ECCB5" w14:textId="77777777" w:rsidR="00ED7E82" w:rsidRDefault="007A11E4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11200F4D" w14:textId="77777777" w:rsidR="005254D1" w:rsidRPr="00A12D5C" w:rsidRDefault="007A11E4" w:rsidP="005254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15F7C4C2" w14:textId="77777777" w:rsidR="005254D1" w:rsidRPr="008F3500" w:rsidRDefault="007A11E4" w:rsidP="005254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5D43FA67" w14:textId="77777777" w:rsidR="005254D1" w:rsidRPr="008F3500" w:rsidRDefault="007A11E4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13EA168A" w14:textId="77777777" w:rsidR="005254D1" w:rsidRPr="008F3500" w:rsidRDefault="007A11E4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166F6CCC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80F26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D0FB22" w:tentative="1">
      <w:start w:val="1"/>
      <w:numFmt w:val="lowerLetter"/>
      <w:lvlText w:val="%2."/>
      <w:lvlJc w:val="left"/>
      <w:pPr>
        <w:ind w:left="1800" w:hanging="360"/>
      </w:pPr>
    </w:lvl>
    <w:lvl w:ilvl="2" w:tplc="0DAE209E" w:tentative="1">
      <w:start w:val="1"/>
      <w:numFmt w:val="lowerRoman"/>
      <w:lvlText w:val="%3."/>
      <w:lvlJc w:val="right"/>
      <w:pPr>
        <w:ind w:left="2520" w:hanging="180"/>
      </w:pPr>
    </w:lvl>
    <w:lvl w:ilvl="3" w:tplc="B0229C44" w:tentative="1">
      <w:start w:val="1"/>
      <w:numFmt w:val="decimal"/>
      <w:lvlText w:val="%4."/>
      <w:lvlJc w:val="left"/>
      <w:pPr>
        <w:ind w:left="3240" w:hanging="360"/>
      </w:pPr>
    </w:lvl>
    <w:lvl w:ilvl="4" w:tplc="73F04E82" w:tentative="1">
      <w:start w:val="1"/>
      <w:numFmt w:val="lowerLetter"/>
      <w:lvlText w:val="%5."/>
      <w:lvlJc w:val="left"/>
      <w:pPr>
        <w:ind w:left="3960" w:hanging="360"/>
      </w:pPr>
    </w:lvl>
    <w:lvl w:ilvl="5" w:tplc="26ACE67E" w:tentative="1">
      <w:start w:val="1"/>
      <w:numFmt w:val="lowerRoman"/>
      <w:lvlText w:val="%6."/>
      <w:lvlJc w:val="right"/>
      <w:pPr>
        <w:ind w:left="4680" w:hanging="180"/>
      </w:pPr>
    </w:lvl>
    <w:lvl w:ilvl="6" w:tplc="FF62EFCE" w:tentative="1">
      <w:start w:val="1"/>
      <w:numFmt w:val="decimal"/>
      <w:lvlText w:val="%7."/>
      <w:lvlJc w:val="left"/>
      <w:pPr>
        <w:ind w:left="5400" w:hanging="360"/>
      </w:pPr>
    </w:lvl>
    <w:lvl w:ilvl="7" w:tplc="4348AB7E" w:tentative="1">
      <w:start w:val="1"/>
      <w:numFmt w:val="lowerLetter"/>
      <w:lvlText w:val="%8."/>
      <w:lvlJc w:val="left"/>
      <w:pPr>
        <w:ind w:left="6120" w:hanging="360"/>
      </w:pPr>
    </w:lvl>
    <w:lvl w:ilvl="8" w:tplc="A0D0D2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D6D43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EACFC2" w:tentative="1">
      <w:start w:val="1"/>
      <w:numFmt w:val="lowerLetter"/>
      <w:lvlText w:val="%2."/>
      <w:lvlJc w:val="left"/>
      <w:pPr>
        <w:ind w:left="1080" w:hanging="360"/>
      </w:pPr>
    </w:lvl>
    <w:lvl w:ilvl="2" w:tplc="F23C712C" w:tentative="1">
      <w:start w:val="1"/>
      <w:numFmt w:val="lowerRoman"/>
      <w:lvlText w:val="%3."/>
      <w:lvlJc w:val="right"/>
      <w:pPr>
        <w:ind w:left="1800" w:hanging="180"/>
      </w:pPr>
    </w:lvl>
    <w:lvl w:ilvl="3" w:tplc="408EE98A" w:tentative="1">
      <w:start w:val="1"/>
      <w:numFmt w:val="decimal"/>
      <w:lvlText w:val="%4."/>
      <w:lvlJc w:val="left"/>
      <w:pPr>
        <w:ind w:left="2520" w:hanging="360"/>
      </w:pPr>
    </w:lvl>
    <w:lvl w:ilvl="4" w:tplc="1AEE74FA" w:tentative="1">
      <w:start w:val="1"/>
      <w:numFmt w:val="lowerLetter"/>
      <w:lvlText w:val="%5."/>
      <w:lvlJc w:val="left"/>
      <w:pPr>
        <w:ind w:left="3240" w:hanging="360"/>
      </w:pPr>
    </w:lvl>
    <w:lvl w:ilvl="5" w:tplc="1DD01A84" w:tentative="1">
      <w:start w:val="1"/>
      <w:numFmt w:val="lowerRoman"/>
      <w:lvlText w:val="%6."/>
      <w:lvlJc w:val="right"/>
      <w:pPr>
        <w:ind w:left="3960" w:hanging="180"/>
      </w:pPr>
    </w:lvl>
    <w:lvl w:ilvl="6" w:tplc="A31AB1EA" w:tentative="1">
      <w:start w:val="1"/>
      <w:numFmt w:val="decimal"/>
      <w:lvlText w:val="%7."/>
      <w:lvlJc w:val="left"/>
      <w:pPr>
        <w:ind w:left="4680" w:hanging="360"/>
      </w:pPr>
    </w:lvl>
    <w:lvl w:ilvl="7" w:tplc="DC2621F6" w:tentative="1">
      <w:start w:val="1"/>
      <w:numFmt w:val="lowerLetter"/>
      <w:lvlText w:val="%8."/>
      <w:lvlJc w:val="left"/>
      <w:pPr>
        <w:ind w:left="5400" w:hanging="360"/>
      </w:pPr>
    </w:lvl>
    <w:lvl w:ilvl="8" w:tplc="29B8DD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41CE0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2C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C4B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488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02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80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EE8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8C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CA5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03037"/>
    <w:multiLevelType w:val="hybridMultilevel"/>
    <w:tmpl w:val="5A7A7684"/>
    <w:lvl w:ilvl="0" w:tplc="D592F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9CEF2E" w:tentative="1">
      <w:start w:val="1"/>
      <w:numFmt w:val="lowerLetter"/>
      <w:lvlText w:val="%2."/>
      <w:lvlJc w:val="left"/>
      <w:pPr>
        <w:ind w:left="1440" w:hanging="360"/>
      </w:pPr>
    </w:lvl>
    <w:lvl w:ilvl="2" w:tplc="502C29FE" w:tentative="1">
      <w:start w:val="1"/>
      <w:numFmt w:val="lowerRoman"/>
      <w:lvlText w:val="%3."/>
      <w:lvlJc w:val="right"/>
      <w:pPr>
        <w:ind w:left="2160" w:hanging="180"/>
      </w:pPr>
    </w:lvl>
    <w:lvl w:ilvl="3" w:tplc="5B487046" w:tentative="1">
      <w:start w:val="1"/>
      <w:numFmt w:val="decimal"/>
      <w:lvlText w:val="%4."/>
      <w:lvlJc w:val="left"/>
      <w:pPr>
        <w:ind w:left="2880" w:hanging="360"/>
      </w:pPr>
    </w:lvl>
    <w:lvl w:ilvl="4" w:tplc="9D3A48C8" w:tentative="1">
      <w:start w:val="1"/>
      <w:numFmt w:val="lowerLetter"/>
      <w:lvlText w:val="%5."/>
      <w:lvlJc w:val="left"/>
      <w:pPr>
        <w:ind w:left="3600" w:hanging="360"/>
      </w:pPr>
    </w:lvl>
    <w:lvl w:ilvl="5" w:tplc="A4EEF07C" w:tentative="1">
      <w:start w:val="1"/>
      <w:numFmt w:val="lowerRoman"/>
      <w:lvlText w:val="%6."/>
      <w:lvlJc w:val="right"/>
      <w:pPr>
        <w:ind w:left="4320" w:hanging="180"/>
      </w:pPr>
    </w:lvl>
    <w:lvl w:ilvl="6" w:tplc="52AE45A4" w:tentative="1">
      <w:start w:val="1"/>
      <w:numFmt w:val="decimal"/>
      <w:lvlText w:val="%7."/>
      <w:lvlJc w:val="left"/>
      <w:pPr>
        <w:ind w:left="5040" w:hanging="360"/>
      </w:pPr>
    </w:lvl>
    <w:lvl w:ilvl="7" w:tplc="185E467A" w:tentative="1">
      <w:start w:val="1"/>
      <w:numFmt w:val="lowerLetter"/>
      <w:lvlText w:val="%8."/>
      <w:lvlJc w:val="left"/>
      <w:pPr>
        <w:ind w:left="5760" w:hanging="360"/>
      </w:pPr>
    </w:lvl>
    <w:lvl w:ilvl="8" w:tplc="28F46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F5AEA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49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3C2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2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E6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0E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C0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E6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2F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01B3"/>
    <w:rsid w:val="000063FF"/>
    <w:rsid w:val="00015C7F"/>
    <w:rsid w:val="000206AE"/>
    <w:rsid w:val="00023A88"/>
    <w:rsid w:val="00042E85"/>
    <w:rsid w:val="000636E1"/>
    <w:rsid w:val="00077547"/>
    <w:rsid w:val="0008352D"/>
    <w:rsid w:val="000A07CE"/>
    <w:rsid w:val="000A2C92"/>
    <w:rsid w:val="000A7238"/>
    <w:rsid w:val="000B03F9"/>
    <w:rsid w:val="000B0B21"/>
    <w:rsid w:val="000D08A9"/>
    <w:rsid w:val="000F3D38"/>
    <w:rsid w:val="000F42BF"/>
    <w:rsid w:val="00110CBD"/>
    <w:rsid w:val="001258DE"/>
    <w:rsid w:val="001357B2"/>
    <w:rsid w:val="00151388"/>
    <w:rsid w:val="00151872"/>
    <w:rsid w:val="00160E5F"/>
    <w:rsid w:val="00163DE8"/>
    <w:rsid w:val="001A3BA5"/>
    <w:rsid w:val="001A7AD5"/>
    <w:rsid w:val="001E11E5"/>
    <w:rsid w:val="001F3B21"/>
    <w:rsid w:val="001F55BA"/>
    <w:rsid w:val="001F7BC0"/>
    <w:rsid w:val="00202A77"/>
    <w:rsid w:val="002312E5"/>
    <w:rsid w:val="00232E47"/>
    <w:rsid w:val="00261D99"/>
    <w:rsid w:val="00262960"/>
    <w:rsid w:val="00271CE5"/>
    <w:rsid w:val="00282020"/>
    <w:rsid w:val="00282A2F"/>
    <w:rsid w:val="00285890"/>
    <w:rsid w:val="00290D49"/>
    <w:rsid w:val="002934F1"/>
    <w:rsid w:val="00296D93"/>
    <w:rsid w:val="00297F27"/>
    <w:rsid w:val="002A4B44"/>
    <w:rsid w:val="002B527D"/>
    <w:rsid w:val="002C58F0"/>
    <w:rsid w:val="002C7EEB"/>
    <w:rsid w:val="00304726"/>
    <w:rsid w:val="00315D82"/>
    <w:rsid w:val="003478FB"/>
    <w:rsid w:val="00352109"/>
    <w:rsid w:val="003636BF"/>
    <w:rsid w:val="00364D4B"/>
    <w:rsid w:val="00370AA7"/>
    <w:rsid w:val="00371034"/>
    <w:rsid w:val="0037479F"/>
    <w:rsid w:val="00377950"/>
    <w:rsid w:val="003828AD"/>
    <w:rsid w:val="00382BD3"/>
    <w:rsid w:val="003845B4"/>
    <w:rsid w:val="00387B1A"/>
    <w:rsid w:val="003B5CF4"/>
    <w:rsid w:val="003C1939"/>
    <w:rsid w:val="003C3B1D"/>
    <w:rsid w:val="003D0306"/>
    <w:rsid w:val="003D4810"/>
    <w:rsid w:val="003E1C74"/>
    <w:rsid w:val="003E7DC8"/>
    <w:rsid w:val="003E7E9E"/>
    <w:rsid w:val="003F4966"/>
    <w:rsid w:val="00400AB1"/>
    <w:rsid w:val="00413D08"/>
    <w:rsid w:val="00424989"/>
    <w:rsid w:val="00476B6F"/>
    <w:rsid w:val="00480388"/>
    <w:rsid w:val="00484A06"/>
    <w:rsid w:val="00490FAD"/>
    <w:rsid w:val="00497809"/>
    <w:rsid w:val="004A2490"/>
    <w:rsid w:val="004A4233"/>
    <w:rsid w:val="004A6A59"/>
    <w:rsid w:val="004B160E"/>
    <w:rsid w:val="004C3108"/>
    <w:rsid w:val="004D3848"/>
    <w:rsid w:val="004D60E4"/>
    <w:rsid w:val="005149DF"/>
    <w:rsid w:val="005254D1"/>
    <w:rsid w:val="00525C18"/>
    <w:rsid w:val="00526246"/>
    <w:rsid w:val="005328F3"/>
    <w:rsid w:val="0055206D"/>
    <w:rsid w:val="00555119"/>
    <w:rsid w:val="00567106"/>
    <w:rsid w:val="005709F2"/>
    <w:rsid w:val="00580A4F"/>
    <w:rsid w:val="00586E03"/>
    <w:rsid w:val="005916E5"/>
    <w:rsid w:val="005A6AFE"/>
    <w:rsid w:val="005B0438"/>
    <w:rsid w:val="005B267C"/>
    <w:rsid w:val="005B3099"/>
    <w:rsid w:val="005E1D3C"/>
    <w:rsid w:val="00617BE6"/>
    <w:rsid w:val="006268BE"/>
    <w:rsid w:val="00632253"/>
    <w:rsid w:val="00642714"/>
    <w:rsid w:val="00643C4E"/>
    <w:rsid w:val="006455CE"/>
    <w:rsid w:val="006858F0"/>
    <w:rsid w:val="0069159C"/>
    <w:rsid w:val="006C129A"/>
    <w:rsid w:val="006D42D9"/>
    <w:rsid w:val="006F142E"/>
    <w:rsid w:val="00704E8E"/>
    <w:rsid w:val="00726463"/>
    <w:rsid w:val="00733017"/>
    <w:rsid w:val="00751D38"/>
    <w:rsid w:val="00775FED"/>
    <w:rsid w:val="00783310"/>
    <w:rsid w:val="00794B95"/>
    <w:rsid w:val="00794E63"/>
    <w:rsid w:val="007A11E4"/>
    <w:rsid w:val="007A2351"/>
    <w:rsid w:val="007A4A6D"/>
    <w:rsid w:val="007B68E2"/>
    <w:rsid w:val="007D1BCF"/>
    <w:rsid w:val="007D75CF"/>
    <w:rsid w:val="007E6DC5"/>
    <w:rsid w:val="007F07E9"/>
    <w:rsid w:val="007F72EF"/>
    <w:rsid w:val="0088043C"/>
    <w:rsid w:val="008906C9"/>
    <w:rsid w:val="0089276B"/>
    <w:rsid w:val="008A5918"/>
    <w:rsid w:val="008B2E72"/>
    <w:rsid w:val="008C00F2"/>
    <w:rsid w:val="008C5738"/>
    <w:rsid w:val="008D04F0"/>
    <w:rsid w:val="008D7C72"/>
    <w:rsid w:val="008D7E5C"/>
    <w:rsid w:val="008E2D84"/>
    <w:rsid w:val="008F3500"/>
    <w:rsid w:val="0090126F"/>
    <w:rsid w:val="009022B3"/>
    <w:rsid w:val="00910A80"/>
    <w:rsid w:val="00921697"/>
    <w:rsid w:val="00924E3C"/>
    <w:rsid w:val="00925A8B"/>
    <w:rsid w:val="009612BB"/>
    <w:rsid w:val="009643F8"/>
    <w:rsid w:val="00970359"/>
    <w:rsid w:val="00973D3E"/>
    <w:rsid w:val="009750CF"/>
    <w:rsid w:val="00983505"/>
    <w:rsid w:val="00985695"/>
    <w:rsid w:val="009B0177"/>
    <w:rsid w:val="009B0295"/>
    <w:rsid w:val="009B7EF0"/>
    <w:rsid w:val="009C5340"/>
    <w:rsid w:val="009E42F2"/>
    <w:rsid w:val="009F56FF"/>
    <w:rsid w:val="00A05DC7"/>
    <w:rsid w:val="00A11D70"/>
    <w:rsid w:val="00A125C5"/>
    <w:rsid w:val="00A12D5C"/>
    <w:rsid w:val="00A216AF"/>
    <w:rsid w:val="00A311A1"/>
    <w:rsid w:val="00A3267F"/>
    <w:rsid w:val="00A36906"/>
    <w:rsid w:val="00A37BC2"/>
    <w:rsid w:val="00A45EAF"/>
    <w:rsid w:val="00A5039D"/>
    <w:rsid w:val="00A5251D"/>
    <w:rsid w:val="00A65EE7"/>
    <w:rsid w:val="00A70133"/>
    <w:rsid w:val="00A72510"/>
    <w:rsid w:val="00AA47FE"/>
    <w:rsid w:val="00AC05DE"/>
    <w:rsid w:val="00AC5C16"/>
    <w:rsid w:val="00AD5A5B"/>
    <w:rsid w:val="00AE1792"/>
    <w:rsid w:val="00AE4206"/>
    <w:rsid w:val="00AE6693"/>
    <w:rsid w:val="00AF0531"/>
    <w:rsid w:val="00AF250A"/>
    <w:rsid w:val="00B011EA"/>
    <w:rsid w:val="00B17141"/>
    <w:rsid w:val="00B31575"/>
    <w:rsid w:val="00B3269E"/>
    <w:rsid w:val="00B63BD4"/>
    <w:rsid w:val="00B653A6"/>
    <w:rsid w:val="00B677B6"/>
    <w:rsid w:val="00B74AA5"/>
    <w:rsid w:val="00B83D24"/>
    <w:rsid w:val="00B8547D"/>
    <w:rsid w:val="00B909CB"/>
    <w:rsid w:val="00BA4DB9"/>
    <w:rsid w:val="00BC2517"/>
    <w:rsid w:val="00BC61EF"/>
    <w:rsid w:val="00BE423F"/>
    <w:rsid w:val="00C250D5"/>
    <w:rsid w:val="00C43F39"/>
    <w:rsid w:val="00C47F8D"/>
    <w:rsid w:val="00C52DAE"/>
    <w:rsid w:val="00C57EED"/>
    <w:rsid w:val="00C81391"/>
    <w:rsid w:val="00C84226"/>
    <w:rsid w:val="00C92898"/>
    <w:rsid w:val="00C97222"/>
    <w:rsid w:val="00CA28CB"/>
    <w:rsid w:val="00CE232F"/>
    <w:rsid w:val="00CE7514"/>
    <w:rsid w:val="00CF691B"/>
    <w:rsid w:val="00D248DE"/>
    <w:rsid w:val="00D25427"/>
    <w:rsid w:val="00D31B74"/>
    <w:rsid w:val="00D3564D"/>
    <w:rsid w:val="00D41719"/>
    <w:rsid w:val="00D8542D"/>
    <w:rsid w:val="00DB11E1"/>
    <w:rsid w:val="00DB16E5"/>
    <w:rsid w:val="00DB4E6F"/>
    <w:rsid w:val="00DC62F6"/>
    <w:rsid w:val="00DC6A71"/>
    <w:rsid w:val="00DD6CC3"/>
    <w:rsid w:val="00DE05F7"/>
    <w:rsid w:val="00DE061D"/>
    <w:rsid w:val="00DE5B46"/>
    <w:rsid w:val="00E0357D"/>
    <w:rsid w:val="00E129D8"/>
    <w:rsid w:val="00E24EC2"/>
    <w:rsid w:val="00E37345"/>
    <w:rsid w:val="00E45FC1"/>
    <w:rsid w:val="00E51C0F"/>
    <w:rsid w:val="00E67F5D"/>
    <w:rsid w:val="00E80DDC"/>
    <w:rsid w:val="00E8201C"/>
    <w:rsid w:val="00E82D62"/>
    <w:rsid w:val="00E94ECF"/>
    <w:rsid w:val="00E9750F"/>
    <w:rsid w:val="00ED00D1"/>
    <w:rsid w:val="00ED7E82"/>
    <w:rsid w:val="00EF3280"/>
    <w:rsid w:val="00F0025B"/>
    <w:rsid w:val="00F02E53"/>
    <w:rsid w:val="00F240BB"/>
    <w:rsid w:val="00F42CE8"/>
    <w:rsid w:val="00F46724"/>
    <w:rsid w:val="00F47F58"/>
    <w:rsid w:val="00F57FE0"/>
    <w:rsid w:val="00F57FED"/>
    <w:rsid w:val="00F83550"/>
    <w:rsid w:val="00FA3245"/>
    <w:rsid w:val="00FD746A"/>
    <w:rsid w:val="00FE6E11"/>
    <w:rsid w:val="00FF247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02A6C7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paragraph" w:styleId="Odstavekseznama">
    <w:name w:val="List Paragraph"/>
    <w:basedOn w:val="Navaden"/>
    <w:uiPriority w:val="34"/>
    <w:qFormat/>
    <w:rsid w:val="007F72EF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E061D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semiHidden/>
    <w:unhideWhenUsed/>
    <w:rsid w:val="001A7AD5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A7AD5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1A7AD5"/>
    <w:rPr>
      <w:vertAlign w:val="superscript"/>
    </w:rPr>
  </w:style>
  <w:style w:type="character" w:styleId="SledenaHiperpovezava">
    <w:name w:val="FollowedHyperlink"/>
    <w:basedOn w:val="Privzetapisavaodstavka"/>
    <w:semiHidden/>
    <w:unhideWhenUsed/>
    <w:rsid w:val="00E37345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3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468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srs.si/Pis.web/pregledPredpisa?id=PRAV75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isrs.si/Pis.web/pregledPredpisa?id=ZAKO47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1263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7D0B-18F4-4074-B200-82E7F9B8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4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FURS</cp:lastModifiedBy>
  <cp:revision>3</cp:revision>
  <cp:lastPrinted>2010-07-05T10:38:00Z</cp:lastPrinted>
  <dcterms:created xsi:type="dcterms:W3CDTF">2023-01-25T09:25:00Z</dcterms:created>
  <dcterms:modified xsi:type="dcterms:W3CDTF">2023-01-25T09:28:00Z</dcterms:modified>
</cp:coreProperties>
</file>