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5CFF" w14:textId="77777777" w:rsidR="004943BB" w:rsidRDefault="004943BB" w:rsidP="00322E55">
      <w:pPr>
        <w:pStyle w:val="datumtevilka"/>
      </w:pPr>
    </w:p>
    <w:p w14:paraId="6268AFB5" w14:textId="77777777" w:rsidR="004943BB" w:rsidRDefault="004943BB" w:rsidP="00322E55">
      <w:pPr>
        <w:pStyle w:val="datumtevilka"/>
      </w:pPr>
    </w:p>
    <w:p w14:paraId="53C04B47" w14:textId="5FD751C4" w:rsidR="00322E55" w:rsidRPr="004943BB" w:rsidRDefault="004943BB" w:rsidP="00322E55">
      <w:pPr>
        <w:pStyle w:val="datumtevilka"/>
        <w:rPr>
          <w:b/>
          <w:bCs/>
        </w:rPr>
      </w:pPr>
      <w:r w:rsidRPr="004943BB">
        <w:rPr>
          <w:b/>
          <w:bCs/>
        </w:rPr>
        <w:t>Razumevanje priznane obrestne mere iz sedme točke 74. člena ZDDPO-2</w:t>
      </w:r>
    </w:p>
    <w:p w14:paraId="40877F98" w14:textId="598FCD39" w:rsidR="00322E55" w:rsidRPr="004943BB" w:rsidRDefault="004943BB" w:rsidP="00322E55">
      <w:pPr>
        <w:pStyle w:val="datumtevilka"/>
        <w:rPr>
          <w:b/>
          <w:bCs/>
        </w:rPr>
      </w:pPr>
      <w:r w:rsidRPr="004943BB">
        <w:rPr>
          <w:b/>
          <w:bCs/>
        </w:rPr>
        <w:t xml:space="preserve">Pojasnilo FURS št. </w:t>
      </w:r>
      <w:bookmarkStart w:id="0" w:name="Klasifikacija"/>
      <w:r w:rsidR="004C0601" w:rsidRPr="004943BB">
        <w:rPr>
          <w:b/>
          <w:bCs/>
        </w:rPr>
        <w:t>0920-14596/2022-2</w:t>
      </w:r>
      <w:bookmarkEnd w:id="0"/>
      <w:r w:rsidRPr="004943BB">
        <w:rPr>
          <w:b/>
          <w:bCs/>
        </w:rPr>
        <w:t xml:space="preserve">, z dne </w:t>
      </w:r>
      <w:bookmarkStart w:id="1" w:name="DatumDokumenta"/>
      <w:r w:rsidR="004C0601" w:rsidRPr="004943BB">
        <w:rPr>
          <w:b/>
          <w:bCs/>
        </w:rPr>
        <w:t>07. 10. 2022</w:t>
      </w:r>
      <w:bookmarkEnd w:id="1"/>
      <w:r w:rsidR="004C0601" w:rsidRPr="004943BB">
        <w:rPr>
          <w:b/>
          <w:bCs/>
        </w:rPr>
        <w:t xml:space="preserve"> </w:t>
      </w:r>
    </w:p>
    <w:p w14:paraId="2936C183" w14:textId="77777777" w:rsidR="00322E55" w:rsidRDefault="00322E55" w:rsidP="00322E55">
      <w:pPr>
        <w:rPr>
          <w:lang w:val="sl-SI"/>
        </w:rPr>
      </w:pPr>
    </w:p>
    <w:p w14:paraId="5EEFCD66" w14:textId="77777777" w:rsidR="00322E55" w:rsidRDefault="00322E55" w:rsidP="00322E55">
      <w:pPr>
        <w:pStyle w:val="datumtevilka"/>
        <w:jc w:val="both"/>
        <w:rPr>
          <w:bCs/>
        </w:rPr>
      </w:pPr>
    </w:p>
    <w:p w14:paraId="30A79813" w14:textId="4E185210" w:rsidR="00322E55" w:rsidRDefault="004943BB" w:rsidP="00322E55">
      <w:pPr>
        <w:pStyle w:val="datumtevilka"/>
        <w:jc w:val="both"/>
        <w:rPr>
          <w:bCs/>
        </w:rPr>
      </w:pPr>
      <w:r>
        <w:rPr>
          <w:bCs/>
        </w:rPr>
        <w:t>P</w:t>
      </w:r>
      <w:r w:rsidR="004C0601">
        <w:rPr>
          <w:bCs/>
        </w:rPr>
        <w:t>rejeli</w:t>
      </w:r>
      <w:r>
        <w:rPr>
          <w:bCs/>
        </w:rPr>
        <w:t xml:space="preserve"> smo </w:t>
      </w:r>
      <w:r w:rsidR="004C0601">
        <w:rPr>
          <w:bCs/>
        </w:rPr>
        <w:t xml:space="preserve">vašo </w:t>
      </w:r>
      <w:r w:rsidR="004C0601" w:rsidRPr="00EF7227">
        <w:rPr>
          <w:bCs/>
        </w:rPr>
        <w:t xml:space="preserve">prošnjo po razjasnitvi </w:t>
      </w:r>
      <w:r w:rsidR="004C0601">
        <w:rPr>
          <w:bCs/>
        </w:rPr>
        <w:t>razumevanja priznane obrestne mere iz sedme</w:t>
      </w:r>
      <w:r w:rsidR="004C0601" w:rsidRPr="00EF7227">
        <w:rPr>
          <w:bCs/>
        </w:rPr>
        <w:t xml:space="preserve"> točke 74. člena </w:t>
      </w:r>
      <w:hyperlink r:id="rId8" w:history="1">
        <w:r w:rsidR="004C0601">
          <w:rPr>
            <w:rStyle w:val="Hiperpovezava"/>
            <w:bCs/>
          </w:rPr>
          <w:t>Zakona o davku od dohodkov pravnih oseb - ZDDPO-2</w:t>
        </w:r>
      </w:hyperlink>
      <w:r w:rsidR="004C0601" w:rsidRPr="00EF7227">
        <w:rPr>
          <w:bCs/>
        </w:rPr>
        <w:t xml:space="preserve"> </w:t>
      </w:r>
      <w:r w:rsidR="004C0601">
        <w:rPr>
          <w:bCs/>
        </w:rPr>
        <w:t>v povezavi z</w:t>
      </w:r>
      <w:r w:rsidR="004C0601" w:rsidRPr="00EF7227">
        <w:rPr>
          <w:bCs/>
        </w:rPr>
        <w:t xml:space="preserve"> 19. členom </w:t>
      </w:r>
      <w:r w:rsidR="004C0601">
        <w:rPr>
          <w:bCs/>
        </w:rPr>
        <w:t xml:space="preserve">istega zakona </w:t>
      </w:r>
      <w:r w:rsidR="004C0601" w:rsidRPr="00EF7227">
        <w:rPr>
          <w:bCs/>
        </w:rPr>
        <w:t>in podredno</w:t>
      </w:r>
      <w:r w:rsidR="004C0601">
        <w:rPr>
          <w:bCs/>
        </w:rPr>
        <w:t xml:space="preserve"> s prvo</w:t>
      </w:r>
      <w:r w:rsidR="004C0601" w:rsidRPr="00EF7227">
        <w:rPr>
          <w:bCs/>
        </w:rPr>
        <w:t xml:space="preserve"> točko četrtega odstavka 90. člena </w:t>
      </w:r>
      <w:hyperlink r:id="rId9" w:history="1">
        <w:r w:rsidR="004C0601">
          <w:rPr>
            <w:rStyle w:val="Hiperpovezava"/>
            <w:bCs/>
          </w:rPr>
          <w:t>Zakona o dohodnini - ZDoh-2</w:t>
        </w:r>
      </w:hyperlink>
      <w:r w:rsidR="004C0601">
        <w:rPr>
          <w:bCs/>
        </w:rPr>
        <w:t xml:space="preserve">. </w:t>
      </w:r>
    </w:p>
    <w:p w14:paraId="2881D876" w14:textId="77777777" w:rsidR="00322E55" w:rsidRDefault="00322E55" w:rsidP="00322E55">
      <w:pPr>
        <w:pStyle w:val="datumtevilka"/>
        <w:jc w:val="both"/>
        <w:rPr>
          <w:bCs/>
        </w:rPr>
      </w:pPr>
    </w:p>
    <w:p w14:paraId="1859EC41" w14:textId="77777777" w:rsidR="00322E55" w:rsidRDefault="004C0601" w:rsidP="00322E55">
      <w:pPr>
        <w:pStyle w:val="datumtevilka"/>
        <w:jc w:val="both"/>
        <w:rPr>
          <w:bCs/>
        </w:rPr>
      </w:pPr>
      <w:r w:rsidRPr="00EA6F47">
        <w:rPr>
          <w:bCs/>
        </w:rPr>
        <w:t xml:space="preserve">Pri ugotavljanju odhodkov se </w:t>
      </w:r>
      <w:r>
        <w:rPr>
          <w:bCs/>
        </w:rPr>
        <w:t xml:space="preserve">v skladu z 19. členom ZDDPO-2 </w:t>
      </w:r>
      <w:r w:rsidRPr="00EA6F47">
        <w:rPr>
          <w:bCs/>
        </w:rPr>
        <w:t xml:space="preserve">upoštevajo obračunane obresti na prejeta posojila od povezanih oseb, vendar največ do višine zadnje objavljene, ob času odobritve posojila znane priznane obrestne mere, razen, če zavezanec dokaže, da bi v enakih ali primerljivih okoliščinah dobil posojilo po obrestni meri, ki je višja od </w:t>
      </w:r>
      <w:r>
        <w:rPr>
          <w:bCs/>
        </w:rPr>
        <w:t xml:space="preserve">objavljene </w:t>
      </w:r>
      <w:r w:rsidRPr="00EA6F47">
        <w:rPr>
          <w:bCs/>
        </w:rPr>
        <w:t>priznane obrestne mere od posojilodajalca – nepovezane osebe.</w:t>
      </w:r>
      <w:r>
        <w:rPr>
          <w:bCs/>
        </w:rPr>
        <w:t xml:space="preserve"> Poenostavljeno lahko rečemo, da so odhodki iz naslova obresti med povezanimi osebami navzgor omejeni z zadnjo objavljeno, ob času odobritve posojila znane priznane obrestne mere, razen če dolžnik dokaže, da so tržne obrestne mere višje. </w:t>
      </w:r>
      <w:r w:rsidRPr="00D7449E">
        <w:rPr>
          <w:bCs/>
        </w:rPr>
        <w:t xml:space="preserve">Za dohodke, podobne dividendam, se </w:t>
      </w:r>
      <w:r>
        <w:rPr>
          <w:bCs/>
        </w:rPr>
        <w:t xml:space="preserve">na podlagi sedme točke 74. člena ZDDPO-2 </w:t>
      </w:r>
      <w:r w:rsidRPr="00D7449E">
        <w:rPr>
          <w:bCs/>
        </w:rPr>
        <w:t>šteje</w:t>
      </w:r>
      <w:r>
        <w:rPr>
          <w:bCs/>
        </w:rPr>
        <w:t xml:space="preserve"> tudi </w:t>
      </w:r>
      <w:r w:rsidRPr="00D7449E">
        <w:rPr>
          <w:bCs/>
        </w:rPr>
        <w:t xml:space="preserve">prikrito izplačilo dobička, </w:t>
      </w:r>
      <w:r>
        <w:rPr>
          <w:bCs/>
        </w:rPr>
        <w:t xml:space="preserve">ki se opravi osebi, ki ima </w:t>
      </w:r>
      <w:r w:rsidRPr="009220A1">
        <w:rPr>
          <w:bCs/>
        </w:rPr>
        <w:t>neposredno ali posredno v lasti najmanj 25% vrednosti ali števila delnic ali deležev v kapitalu, upravljanju ali nadzoru izplačevalca ali obvladuje izplačevalca na podlagi pogodbe ali na način, ki se razlikuje od razmerij med nepovezanimi osebami</w:t>
      </w:r>
      <w:r>
        <w:rPr>
          <w:bCs/>
        </w:rPr>
        <w:t>,</w:t>
      </w:r>
      <w:r w:rsidRPr="009220A1">
        <w:rPr>
          <w:bCs/>
        </w:rPr>
        <w:t> </w:t>
      </w:r>
      <w:r w:rsidRPr="00D7449E">
        <w:rPr>
          <w:bCs/>
        </w:rPr>
        <w:t xml:space="preserve"> ki </w:t>
      </w:r>
      <w:r>
        <w:rPr>
          <w:bCs/>
        </w:rPr>
        <w:t xml:space="preserve">med drugim zajema </w:t>
      </w:r>
      <w:r w:rsidRPr="00D7449E">
        <w:rPr>
          <w:bCs/>
        </w:rPr>
        <w:t>obresti na posojila</w:t>
      </w:r>
      <w:r>
        <w:rPr>
          <w:bCs/>
        </w:rPr>
        <w:t xml:space="preserve"> </w:t>
      </w:r>
      <w:r w:rsidRPr="00D7449E">
        <w:rPr>
          <w:bCs/>
        </w:rPr>
        <w:t>prejeta po višji obrestni meri, kot znaša priznana obrestna mera iz 19. člena tega zakona</w:t>
      </w:r>
      <w:r>
        <w:rPr>
          <w:bCs/>
        </w:rPr>
        <w:t xml:space="preserve">. </w:t>
      </w:r>
    </w:p>
    <w:p w14:paraId="4CC934BB" w14:textId="77777777" w:rsidR="00322E55" w:rsidRDefault="00322E55" w:rsidP="00322E55">
      <w:pPr>
        <w:pStyle w:val="datumtevilka"/>
        <w:jc w:val="both"/>
        <w:rPr>
          <w:bCs/>
        </w:rPr>
      </w:pPr>
    </w:p>
    <w:p w14:paraId="5DF8CFD6" w14:textId="77777777" w:rsidR="00322E55" w:rsidRDefault="004C0601" w:rsidP="00322E55">
      <w:pPr>
        <w:pStyle w:val="datumtevilka"/>
        <w:jc w:val="both"/>
        <w:rPr>
          <w:bCs/>
        </w:rPr>
      </w:pPr>
      <w:r>
        <w:rPr>
          <w:bCs/>
        </w:rPr>
        <w:t xml:space="preserve">Zanima vas, ali davčni organ, pri ugotavljanju obstoja prikritega izplačila dobička v primerih posojil med povezanimi osebami, priznano obrestno mero iz sedme točke 74. člena ZDDPO-2 razume kot zadnjo objavljeno priznano obrestno mero konkretno določeno s </w:t>
      </w:r>
      <w:hyperlink r:id="rId10" w:history="1">
        <w:r>
          <w:rPr>
            <w:rStyle w:val="Hiperpovezava"/>
            <w:bCs/>
          </w:rPr>
          <w:t>Pravilnikom o priznani obrestni meri</w:t>
        </w:r>
      </w:hyperlink>
      <w:r>
        <w:rPr>
          <w:rStyle w:val="Hiperpovezava"/>
          <w:bCs/>
        </w:rPr>
        <w:t xml:space="preserve"> (v nadaljnjem besedilu Pravilnik)</w:t>
      </w:r>
      <w:r>
        <w:rPr>
          <w:bCs/>
        </w:rPr>
        <w:t>.</w:t>
      </w:r>
    </w:p>
    <w:p w14:paraId="2D4A1FC8" w14:textId="77777777" w:rsidR="00322E55" w:rsidRDefault="00322E55" w:rsidP="00322E55">
      <w:pPr>
        <w:pStyle w:val="datumtevilka"/>
        <w:jc w:val="both"/>
        <w:rPr>
          <w:bCs/>
        </w:rPr>
      </w:pPr>
    </w:p>
    <w:p w14:paraId="0FB209BC" w14:textId="77777777" w:rsidR="00322E55" w:rsidRDefault="004C0601" w:rsidP="00322E55">
      <w:pPr>
        <w:pStyle w:val="datumtevilka"/>
        <w:jc w:val="both"/>
        <w:rPr>
          <w:bCs/>
        </w:rPr>
      </w:pPr>
      <w:r>
        <w:rPr>
          <w:bCs/>
        </w:rPr>
        <w:t>V nadaljevanju vam odgovarjamo sledeče.</w:t>
      </w:r>
    </w:p>
    <w:p w14:paraId="3C2C2F1D" w14:textId="77777777" w:rsidR="00322E55" w:rsidRDefault="00322E55" w:rsidP="00322E55">
      <w:pPr>
        <w:pStyle w:val="datumtevilka"/>
        <w:jc w:val="both"/>
        <w:rPr>
          <w:bCs/>
        </w:rPr>
      </w:pPr>
    </w:p>
    <w:p w14:paraId="06183FC2" w14:textId="77777777" w:rsidR="00322E55" w:rsidRPr="004F3D06" w:rsidRDefault="004C0601" w:rsidP="00322E55">
      <w:pPr>
        <w:pStyle w:val="datumtevilka"/>
        <w:jc w:val="both"/>
        <w:rPr>
          <w:bCs/>
          <w:i/>
          <w:iCs/>
        </w:rPr>
      </w:pPr>
      <w:r w:rsidRPr="004F3D06">
        <w:rPr>
          <w:bCs/>
          <w:i/>
          <w:iCs/>
        </w:rPr>
        <w:t>Davčni organ v primerih posojil med povezanimi osebami obstoja prikritega izplačila dobička ne ugotavlja na podlagi zadnje objavljene priznane obrestne mere iz Pravilnika, ampak na podlagi priznane obrestne mere posameznega posojilnega razmerja, ki predstavlja obrestno mero, na podlagi katere se v posameznem primeru dejansko davčno priznajo odhodki iz naslova obresti po določilih 19. člena ZDDPO-2.</w:t>
      </w:r>
      <w:r>
        <w:rPr>
          <w:bCs/>
        </w:rPr>
        <w:t xml:space="preserve"> </w:t>
      </w:r>
      <w:r w:rsidRPr="004F3D06">
        <w:rPr>
          <w:bCs/>
          <w:i/>
          <w:iCs/>
        </w:rPr>
        <w:t>Dejansko priznana obrestna mera posameznega posojilnega razmerja je v primeru prejetih posojil lahko enaka zadnji objavljeni priznani obrestni meri, določeni s Pravilnikom, lahko pa je višja, če zavezanec dokaže, da je skladna s tržno obrestno mero, ki je v času sklenitve posojilnega razmerja veljala za enake oziroma primerljive posojilne posle med nepovezanimi osebami.</w:t>
      </w:r>
    </w:p>
    <w:p w14:paraId="6B52AF3E" w14:textId="77777777" w:rsidR="00322E55" w:rsidRDefault="00322E55" w:rsidP="00322E55">
      <w:pPr>
        <w:pStyle w:val="datumtevilka"/>
        <w:jc w:val="both"/>
        <w:rPr>
          <w:bCs/>
        </w:rPr>
      </w:pPr>
    </w:p>
    <w:p w14:paraId="5E19DF73" w14:textId="77777777" w:rsidR="00322E55" w:rsidRDefault="004C0601" w:rsidP="00322E55">
      <w:pPr>
        <w:pStyle w:val="datumtevilka"/>
        <w:jc w:val="both"/>
        <w:rPr>
          <w:bCs/>
        </w:rPr>
      </w:pPr>
      <w:r>
        <w:rPr>
          <w:bCs/>
        </w:rPr>
        <w:t xml:space="preserve">V kolikor bi davčni organ v primerih posojil med povezanimi osebami obstoj prikritega izplačila dobička ugotavljal </w:t>
      </w:r>
      <w:r w:rsidR="004F3D06">
        <w:rPr>
          <w:bCs/>
        </w:rPr>
        <w:t xml:space="preserve">le </w:t>
      </w:r>
      <w:r>
        <w:rPr>
          <w:bCs/>
        </w:rPr>
        <w:t>na podlagi zadnje objavljene priznane obrestne mere iz Pravilnika, bi v primerih, ko bi zavezanec uspešno dokazoval, da je tržna obrestna mera višja od zadnje objavljene priznane obrestne mere, prišlo do:</w:t>
      </w:r>
    </w:p>
    <w:p w14:paraId="219E176B" w14:textId="77777777" w:rsidR="00322E55" w:rsidRDefault="00322E55" w:rsidP="00322E55">
      <w:pPr>
        <w:pStyle w:val="datumtevilka"/>
        <w:jc w:val="both"/>
        <w:rPr>
          <w:bCs/>
        </w:rPr>
      </w:pPr>
    </w:p>
    <w:p w14:paraId="48F53924" w14:textId="77777777" w:rsidR="00322E55" w:rsidRDefault="004C0601" w:rsidP="00322E55">
      <w:pPr>
        <w:pStyle w:val="datumtevilka"/>
        <w:numPr>
          <w:ilvl w:val="0"/>
          <w:numId w:val="6"/>
        </w:numPr>
        <w:jc w:val="both"/>
        <w:rPr>
          <w:bCs/>
        </w:rPr>
      </w:pPr>
      <w:r>
        <w:rPr>
          <w:bCs/>
        </w:rPr>
        <w:t xml:space="preserve">opredelitve </w:t>
      </w:r>
      <w:r w:rsidRPr="00CA2B85">
        <w:rPr>
          <w:bCs/>
        </w:rPr>
        <w:t>plačila obresti povezani osebi</w:t>
      </w:r>
      <w:r>
        <w:rPr>
          <w:bCs/>
        </w:rPr>
        <w:t xml:space="preserve"> za prikrito izplačilo dobička</w:t>
      </w:r>
      <w:r w:rsidRPr="00CA2B85">
        <w:rPr>
          <w:bCs/>
        </w:rPr>
        <w:t>, kljub temu, da bi izplačevalec uspešno dokazal, da izplačilo ne krši neodvisnega tržnega načela</w:t>
      </w:r>
      <w:r>
        <w:rPr>
          <w:bCs/>
        </w:rPr>
        <w:t>,</w:t>
      </w:r>
    </w:p>
    <w:p w14:paraId="029DE8AF" w14:textId="77777777" w:rsidR="00322E55" w:rsidRDefault="00322E55" w:rsidP="00322E55">
      <w:pPr>
        <w:pStyle w:val="datumtevilka"/>
        <w:ind w:left="720"/>
        <w:jc w:val="both"/>
        <w:rPr>
          <w:bCs/>
        </w:rPr>
      </w:pPr>
    </w:p>
    <w:p w14:paraId="7EF42370" w14:textId="77777777" w:rsidR="00322E55" w:rsidRPr="00CA2B85" w:rsidRDefault="004C0601" w:rsidP="00322E55">
      <w:pPr>
        <w:pStyle w:val="datumtevilka"/>
        <w:numPr>
          <w:ilvl w:val="0"/>
          <w:numId w:val="6"/>
        </w:numPr>
        <w:jc w:val="both"/>
        <w:rPr>
          <w:bCs/>
        </w:rPr>
      </w:pPr>
      <w:r w:rsidRPr="00CA2B85">
        <w:rPr>
          <w:bCs/>
        </w:rPr>
        <w:t>kolizije določb 19. in 30. člena ZDDPO-2. Odhodek, ki bi bil posledica razlike med višjo tržno obrestno mero in nižjo zadnjo objavljeno priznano obrestno mero</w:t>
      </w:r>
      <w:r>
        <w:rPr>
          <w:bCs/>
        </w:rPr>
        <w:t>,</w:t>
      </w:r>
      <w:r w:rsidRPr="00CA2B85">
        <w:rPr>
          <w:bCs/>
        </w:rPr>
        <w:t xml:space="preserve"> bi bil hkrati davčno priznan na podlagi drugega odstavka 19. člena ZDDPO-2 in hkrati davčno nepriznan na podlagi prve točke prvega odstavka 30. člena istega zakona.</w:t>
      </w:r>
    </w:p>
    <w:p w14:paraId="770083C9" w14:textId="77777777" w:rsidR="00322E55" w:rsidRDefault="00322E55" w:rsidP="00322E55">
      <w:pPr>
        <w:pStyle w:val="datumtevilka"/>
        <w:jc w:val="both"/>
        <w:rPr>
          <w:bCs/>
        </w:rPr>
      </w:pPr>
    </w:p>
    <w:p w14:paraId="69CCAFC7" w14:textId="77777777" w:rsidR="00322E55" w:rsidRDefault="004C0601" w:rsidP="00322E55">
      <w:pPr>
        <w:pStyle w:val="datumtevilka"/>
        <w:jc w:val="both"/>
        <w:rPr>
          <w:bCs/>
        </w:rPr>
      </w:pPr>
      <w:r>
        <w:rPr>
          <w:bCs/>
        </w:rPr>
        <w:t>Opisano nesporno kaže, da bi bilo enačenje priznane obrestne mere iz sedme točke 74. člena ZDDPO-2 z zadnjo objavljeno priznano obrestno mero iz Pravilnika, v nasprotju z vsebinskim razumevanjem prikritega izplačila dobička, kot izplačila povezani osebi, ki z vidika neodvisnega tržnega načela nesorazmerno bremeni izplačevalca, prejemniku pa predstavlja nesorazmerno korist.</w:t>
      </w:r>
    </w:p>
    <w:p w14:paraId="6C804593" w14:textId="77777777" w:rsidR="00322E55" w:rsidRDefault="00322E55" w:rsidP="00322E55">
      <w:pPr>
        <w:pStyle w:val="datumtevilka"/>
        <w:jc w:val="both"/>
        <w:rPr>
          <w:bCs/>
        </w:rPr>
      </w:pPr>
    </w:p>
    <w:p w14:paraId="0FFA01E8" w14:textId="77777777" w:rsidR="00322E55" w:rsidRDefault="004C0601" w:rsidP="00322E55">
      <w:pPr>
        <w:pStyle w:val="datumtevilka"/>
        <w:jc w:val="both"/>
        <w:rPr>
          <w:bCs/>
        </w:rPr>
      </w:pPr>
      <w:r>
        <w:rPr>
          <w:bCs/>
        </w:rPr>
        <w:t>Vaše vprašanje se podredno nanaša tudi na prvo točko četrtega odstavka 90. člena ZDoh-2, in sicer glede uporabe dokazljive višje obrestne mere od priznane obrestne mere, v primeru posojila družbi s strani fizične osebe, ki je 100 % družbenik. Davčni organ tudi v tem primeru ugotavlja obrestno mero na podlagi priznane obrestne mere posameznega posojilnega razmerja</w:t>
      </w:r>
      <w:r w:rsidR="004F3D06">
        <w:rPr>
          <w:bCs/>
        </w:rPr>
        <w:t>.</w:t>
      </w:r>
      <w:r>
        <w:rPr>
          <w:bCs/>
        </w:rPr>
        <w:t xml:space="preserve"> </w:t>
      </w:r>
    </w:p>
    <w:p w14:paraId="0527CB2C" w14:textId="77777777" w:rsidR="00322E55" w:rsidRDefault="00322E55" w:rsidP="00322E55">
      <w:pPr>
        <w:jc w:val="both"/>
        <w:rPr>
          <w:lang w:val="sl-SI"/>
        </w:rPr>
      </w:pPr>
    </w:p>
    <w:p w14:paraId="48A90EC3" w14:textId="77777777" w:rsidR="001A3BA5" w:rsidRPr="00322E55" w:rsidRDefault="001A3BA5" w:rsidP="00322E55"/>
    <w:sectPr w:rsidR="001A3BA5" w:rsidRPr="00322E55" w:rsidSect="00F0025B">
      <w:headerReference w:type="even" r:id="rId11"/>
      <w:headerReference w:type="default" r:id="rId12"/>
      <w:footerReference w:type="even" r:id="rId13"/>
      <w:footerReference w:type="default" r:id="rId14"/>
      <w:headerReference w:type="first" r:id="rId15"/>
      <w:footerReference w:type="first" r:id="rId1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142F" w14:textId="77777777" w:rsidR="001A4ACC" w:rsidRDefault="001A4ACC">
      <w:pPr>
        <w:spacing w:line="240" w:lineRule="auto"/>
      </w:pPr>
      <w:r>
        <w:separator/>
      </w:r>
    </w:p>
  </w:endnote>
  <w:endnote w:type="continuationSeparator" w:id="0">
    <w:p w14:paraId="13DBCAF6" w14:textId="77777777" w:rsidR="001A4ACC" w:rsidRDefault="001A4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F51"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E4DA" w14:textId="77777777" w:rsidR="000B0B21" w:rsidRDefault="004C0601"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5283" w14:textId="77777777" w:rsidR="000B0B21" w:rsidRDefault="004C0601"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0342" w14:textId="77777777" w:rsidR="001A4ACC" w:rsidRDefault="001A4ACC">
      <w:pPr>
        <w:spacing w:line="240" w:lineRule="auto"/>
      </w:pPr>
      <w:r>
        <w:separator/>
      </w:r>
    </w:p>
  </w:footnote>
  <w:footnote w:type="continuationSeparator" w:id="0">
    <w:p w14:paraId="66C1CC61" w14:textId="77777777" w:rsidR="001A4ACC" w:rsidRDefault="001A4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F239"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71D"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B448B" w14:paraId="2823D5F6" w14:textId="77777777">
      <w:trPr>
        <w:cantSplit/>
        <w:trHeight w:hRule="exact" w:val="847"/>
      </w:trPr>
      <w:tc>
        <w:tcPr>
          <w:tcW w:w="567" w:type="dxa"/>
        </w:tcPr>
        <w:p w14:paraId="519570A1" w14:textId="77777777" w:rsidR="000B0B21" w:rsidRDefault="004C060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D0EA78D" w14:textId="77777777" w:rsidR="000B0B21" w:rsidRPr="006D42D9" w:rsidRDefault="000B0B21" w:rsidP="006D42D9">
          <w:pPr>
            <w:rPr>
              <w:rFonts w:ascii="Republika" w:hAnsi="Republika"/>
              <w:sz w:val="60"/>
              <w:szCs w:val="60"/>
              <w:lang w:val="sl-SI"/>
            </w:rPr>
          </w:pPr>
        </w:p>
        <w:p w14:paraId="663ECEF8" w14:textId="77777777" w:rsidR="000B0B21" w:rsidRPr="006D42D9" w:rsidRDefault="000B0B21" w:rsidP="006D42D9">
          <w:pPr>
            <w:rPr>
              <w:rFonts w:ascii="Republika" w:hAnsi="Republika"/>
              <w:sz w:val="60"/>
              <w:szCs w:val="60"/>
              <w:lang w:val="sl-SI"/>
            </w:rPr>
          </w:pPr>
        </w:p>
        <w:p w14:paraId="1296FEF3" w14:textId="77777777" w:rsidR="000B0B21" w:rsidRPr="006D42D9" w:rsidRDefault="000B0B21" w:rsidP="006D42D9">
          <w:pPr>
            <w:rPr>
              <w:rFonts w:ascii="Republika" w:hAnsi="Republika"/>
              <w:sz w:val="60"/>
              <w:szCs w:val="60"/>
              <w:lang w:val="sl-SI"/>
            </w:rPr>
          </w:pPr>
        </w:p>
        <w:p w14:paraId="45BF779C" w14:textId="77777777" w:rsidR="000B0B21" w:rsidRPr="006D42D9" w:rsidRDefault="000B0B21" w:rsidP="006D42D9">
          <w:pPr>
            <w:rPr>
              <w:rFonts w:ascii="Republika" w:hAnsi="Republika"/>
              <w:sz w:val="60"/>
              <w:szCs w:val="60"/>
              <w:lang w:val="sl-SI"/>
            </w:rPr>
          </w:pPr>
        </w:p>
        <w:p w14:paraId="5D5C7283" w14:textId="77777777" w:rsidR="000B0B21" w:rsidRPr="006D42D9" w:rsidRDefault="000B0B21" w:rsidP="006D42D9">
          <w:pPr>
            <w:rPr>
              <w:rFonts w:ascii="Republika" w:hAnsi="Republika"/>
              <w:sz w:val="60"/>
              <w:szCs w:val="60"/>
              <w:lang w:val="sl-SI"/>
            </w:rPr>
          </w:pPr>
        </w:p>
        <w:p w14:paraId="3EA1F96F" w14:textId="77777777" w:rsidR="000B0B21" w:rsidRPr="006D42D9" w:rsidRDefault="000B0B21" w:rsidP="006D42D9">
          <w:pPr>
            <w:rPr>
              <w:rFonts w:ascii="Republika" w:hAnsi="Republika"/>
              <w:sz w:val="60"/>
              <w:szCs w:val="60"/>
              <w:lang w:val="sl-SI"/>
            </w:rPr>
          </w:pPr>
        </w:p>
        <w:p w14:paraId="66EAFC1A" w14:textId="77777777" w:rsidR="000B0B21" w:rsidRPr="006D42D9" w:rsidRDefault="000B0B21" w:rsidP="006D42D9">
          <w:pPr>
            <w:rPr>
              <w:rFonts w:ascii="Republika" w:hAnsi="Republika"/>
              <w:sz w:val="60"/>
              <w:szCs w:val="60"/>
              <w:lang w:val="sl-SI"/>
            </w:rPr>
          </w:pPr>
        </w:p>
        <w:p w14:paraId="5FD6570C" w14:textId="77777777" w:rsidR="000B0B21" w:rsidRPr="006D42D9" w:rsidRDefault="000B0B21" w:rsidP="006D42D9">
          <w:pPr>
            <w:rPr>
              <w:rFonts w:ascii="Republika" w:hAnsi="Republika"/>
              <w:sz w:val="60"/>
              <w:szCs w:val="60"/>
              <w:lang w:val="sl-SI"/>
            </w:rPr>
          </w:pPr>
        </w:p>
        <w:p w14:paraId="3CD64CE3" w14:textId="77777777" w:rsidR="000B0B21" w:rsidRPr="006D42D9" w:rsidRDefault="000B0B21" w:rsidP="006D42D9">
          <w:pPr>
            <w:rPr>
              <w:rFonts w:ascii="Republika" w:hAnsi="Republika"/>
              <w:sz w:val="60"/>
              <w:szCs w:val="60"/>
              <w:lang w:val="sl-SI"/>
            </w:rPr>
          </w:pPr>
        </w:p>
        <w:p w14:paraId="04507F07" w14:textId="77777777" w:rsidR="000B0B21" w:rsidRPr="006D42D9" w:rsidRDefault="000B0B21" w:rsidP="006D42D9">
          <w:pPr>
            <w:rPr>
              <w:rFonts w:ascii="Republika" w:hAnsi="Republika"/>
              <w:sz w:val="60"/>
              <w:szCs w:val="60"/>
              <w:lang w:val="sl-SI"/>
            </w:rPr>
          </w:pPr>
        </w:p>
        <w:p w14:paraId="1F25EBDD" w14:textId="77777777" w:rsidR="000B0B21" w:rsidRPr="006D42D9" w:rsidRDefault="000B0B21" w:rsidP="006D42D9">
          <w:pPr>
            <w:rPr>
              <w:rFonts w:ascii="Republika" w:hAnsi="Republika"/>
              <w:sz w:val="60"/>
              <w:szCs w:val="60"/>
              <w:lang w:val="sl-SI"/>
            </w:rPr>
          </w:pPr>
        </w:p>
        <w:p w14:paraId="0CD6393B" w14:textId="77777777" w:rsidR="000B0B21" w:rsidRPr="006D42D9" w:rsidRDefault="000B0B21" w:rsidP="006D42D9">
          <w:pPr>
            <w:rPr>
              <w:rFonts w:ascii="Republika" w:hAnsi="Republika"/>
              <w:sz w:val="60"/>
              <w:szCs w:val="60"/>
              <w:lang w:val="sl-SI"/>
            </w:rPr>
          </w:pPr>
        </w:p>
        <w:p w14:paraId="115E4BE7" w14:textId="77777777" w:rsidR="000B0B21" w:rsidRPr="006D42D9" w:rsidRDefault="000B0B21" w:rsidP="006D42D9">
          <w:pPr>
            <w:rPr>
              <w:rFonts w:ascii="Republika" w:hAnsi="Republika"/>
              <w:sz w:val="60"/>
              <w:szCs w:val="60"/>
              <w:lang w:val="sl-SI"/>
            </w:rPr>
          </w:pPr>
        </w:p>
        <w:p w14:paraId="69928A9F" w14:textId="77777777" w:rsidR="000B0B21" w:rsidRPr="006D42D9" w:rsidRDefault="000B0B21" w:rsidP="006D42D9">
          <w:pPr>
            <w:rPr>
              <w:rFonts w:ascii="Republika" w:hAnsi="Republika"/>
              <w:sz w:val="60"/>
              <w:szCs w:val="60"/>
              <w:lang w:val="sl-SI"/>
            </w:rPr>
          </w:pPr>
        </w:p>
        <w:p w14:paraId="35DCEE53" w14:textId="77777777" w:rsidR="000B0B21" w:rsidRPr="006D42D9" w:rsidRDefault="000B0B21" w:rsidP="006D42D9">
          <w:pPr>
            <w:rPr>
              <w:rFonts w:ascii="Republika" w:hAnsi="Republika"/>
              <w:sz w:val="60"/>
              <w:szCs w:val="60"/>
              <w:lang w:val="sl-SI"/>
            </w:rPr>
          </w:pPr>
        </w:p>
        <w:p w14:paraId="77AFA397" w14:textId="77777777" w:rsidR="000B0B21" w:rsidRPr="006D42D9" w:rsidRDefault="000B0B21" w:rsidP="006D42D9">
          <w:pPr>
            <w:rPr>
              <w:rFonts w:ascii="Republika" w:hAnsi="Republika"/>
              <w:sz w:val="60"/>
              <w:szCs w:val="60"/>
              <w:lang w:val="sl-SI"/>
            </w:rPr>
          </w:pPr>
        </w:p>
      </w:tc>
    </w:tr>
  </w:tbl>
  <w:p w14:paraId="01D40CD2" w14:textId="77777777" w:rsidR="000B0B21" w:rsidRPr="008F3500" w:rsidRDefault="004C0601"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71F5C547" wp14:editId="7C9E2CF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3EFC8E95" w14:textId="77777777" w:rsidR="000B0B21" w:rsidRPr="00FD746A" w:rsidRDefault="004C0601"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9F6D01B" w14:textId="77777777" w:rsidR="00ED7E82" w:rsidRDefault="004C060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0C9A94D2" w14:textId="77777777" w:rsidR="005254D1" w:rsidRPr="00A12D5C" w:rsidRDefault="004C0601"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14BFD41" w14:textId="77777777" w:rsidR="005254D1" w:rsidRPr="008F3500" w:rsidRDefault="004C0601"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B3F6C98" w14:textId="77777777" w:rsidR="005254D1" w:rsidRPr="008F3500" w:rsidRDefault="004C0601"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B35F615" w14:textId="77777777" w:rsidR="005254D1" w:rsidRPr="008F3500" w:rsidRDefault="004C0601"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02E6F00"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E7A9E3E">
      <w:start w:val="1"/>
      <w:numFmt w:val="decimal"/>
      <w:lvlText w:val="%1."/>
      <w:lvlJc w:val="left"/>
      <w:pPr>
        <w:tabs>
          <w:tab w:val="num" w:pos="1080"/>
        </w:tabs>
        <w:ind w:left="1080" w:hanging="360"/>
      </w:pPr>
      <w:rPr>
        <w:rFonts w:hint="default"/>
      </w:rPr>
    </w:lvl>
    <w:lvl w:ilvl="1" w:tplc="44444EFC" w:tentative="1">
      <w:start w:val="1"/>
      <w:numFmt w:val="lowerLetter"/>
      <w:lvlText w:val="%2."/>
      <w:lvlJc w:val="left"/>
      <w:pPr>
        <w:ind w:left="1800" w:hanging="360"/>
      </w:pPr>
    </w:lvl>
    <w:lvl w:ilvl="2" w:tplc="9EFA7EC0" w:tentative="1">
      <w:start w:val="1"/>
      <w:numFmt w:val="lowerRoman"/>
      <w:lvlText w:val="%3."/>
      <w:lvlJc w:val="right"/>
      <w:pPr>
        <w:ind w:left="2520" w:hanging="180"/>
      </w:pPr>
    </w:lvl>
    <w:lvl w:ilvl="3" w:tplc="EC7ABE1A" w:tentative="1">
      <w:start w:val="1"/>
      <w:numFmt w:val="decimal"/>
      <w:lvlText w:val="%4."/>
      <w:lvlJc w:val="left"/>
      <w:pPr>
        <w:ind w:left="3240" w:hanging="360"/>
      </w:pPr>
    </w:lvl>
    <w:lvl w:ilvl="4" w:tplc="943EAEA2" w:tentative="1">
      <w:start w:val="1"/>
      <w:numFmt w:val="lowerLetter"/>
      <w:lvlText w:val="%5."/>
      <w:lvlJc w:val="left"/>
      <w:pPr>
        <w:ind w:left="3960" w:hanging="360"/>
      </w:pPr>
    </w:lvl>
    <w:lvl w:ilvl="5" w:tplc="1DA803B0" w:tentative="1">
      <w:start w:val="1"/>
      <w:numFmt w:val="lowerRoman"/>
      <w:lvlText w:val="%6."/>
      <w:lvlJc w:val="right"/>
      <w:pPr>
        <w:ind w:left="4680" w:hanging="180"/>
      </w:pPr>
    </w:lvl>
    <w:lvl w:ilvl="6" w:tplc="E1E23E62" w:tentative="1">
      <w:start w:val="1"/>
      <w:numFmt w:val="decimal"/>
      <w:lvlText w:val="%7."/>
      <w:lvlJc w:val="left"/>
      <w:pPr>
        <w:ind w:left="5400" w:hanging="360"/>
      </w:pPr>
    </w:lvl>
    <w:lvl w:ilvl="7" w:tplc="93F0C542" w:tentative="1">
      <w:start w:val="1"/>
      <w:numFmt w:val="lowerLetter"/>
      <w:lvlText w:val="%8."/>
      <w:lvlJc w:val="left"/>
      <w:pPr>
        <w:ind w:left="6120" w:hanging="360"/>
      </w:pPr>
    </w:lvl>
    <w:lvl w:ilvl="8" w:tplc="EEFE296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CDEA183C">
      <w:start w:val="1"/>
      <w:numFmt w:val="decimal"/>
      <w:lvlText w:val="%1."/>
      <w:lvlJc w:val="left"/>
      <w:pPr>
        <w:tabs>
          <w:tab w:val="num" w:pos="360"/>
        </w:tabs>
        <w:ind w:left="360" w:hanging="360"/>
      </w:pPr>
      <w:rPr>
        <w:rFonts w:hint="default"/>
      </w:rPr>
    </w:lvl>
    <w:lvl w:ilvl="1" w:tplc="06DC849E" w:tentative="1">
      <w:start w:val="1"/>
      <w:numFmt w:val="lowerLetter"/>
      <w:lvlText w:val="%2."/>
      <w:lvlJc w:val="left"/>
      <w:pPr>
        <w:ind w:left="1080" w:hanging="360"/>
      </w:pPr>
    </w:lvl>
    <w:lvl w:ilvl="2" w:tplc="0A803BD6" w:tentative="1">
      <w:start w:val="1"/>
      <w:numFmt w:val="lowerRoman"/>
      <w:lvlText w:val="%3."/>
      <w:lvlJc w:val="right"/>
      <w:pPr>
        <w:ind w:left="1800" w:hanging="180"/>
      </w:pPr>
    </w:lvl>
    <w:lvl w:ilvl="3" w:tplc="C978AAAA" w:tentative="1">
      <w:start w:val="1"/>
      <w:numFmt w:val="decimal"/>
      <w:lvlText w:val="%4."/>
      <w:lvlJc w:val="left"/>
      <w:pPr>
        <w:ind w:left="2520" w:hanging="360"/>
      </w:pPr>
    </w:lvl>
    <w:lvl w:ilvl="4" w:tplc="C6B805EA" w:tentative="1">
      <w:start w:val="1"/>
      <w:numFmt w:val="lowerLetter"/>
      <w:lvlText w:val="%5."/>
      <w:lvlJc w:val="left"/>
      <w:pPr>
        <w:ind w:left="3240" w:hanging="360"/>
      </w:pPr>
    </w:lvl>
    <w:lvl w:ilvl="5" w:tplc="4DD43102" w:tentative="1">
      <w:start w:val="1"/>
      <w:numFmt w:val="lowerRoman"/>
      <w:lvlText w:val="%6."/>
      <w:lvlJc w:val="right"/>
      <w:pPr>
        <w:ind w:left="3960" w:hanging="180"/>
      </w:pPr>
    </w:lvl>
    <w:lvl w:ilvl="6" w:tplc="838E4524" w:tentative="1">
      <w:start w:val="1"/>
      <w:numFmt w:val="decimal"/>
      <w:lvlText w:val="%7."/>
      <w:lvlJc w:val="left"/>
      <w:pPr>
        <w:ind w:left="4680" w:hanging="360"/>
      </w:pPr>
    </w:lvl>
    <w:lvl w:ilvl="7" w:tplc="CF4C4586" w:tentative="1">
      <w:start w:val="1"/>
      <w:numFmt w:val="lowerLetter"/>
      <w:lvlText w:val="%8."/>
      <w:lvlJc w:val="left"/>
      <w:pPr>
        <w:ind w:left="5400" w:hanging="360"/>
      </w:pPr>
    </w:lvl>
    <w:lvl w:ilvl="8" w:tplc="AC083C8A"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5498AA60">
      <w:start w:val="1"/>
      <w:numFmt w:val="decimal"/>
      <w:lvlText w:val="%1."/>
      <w:lvlJc w:val="left"/>
      <w:pPr>
        <w:tabs>
          <w:tab w:val="num" w:pos="720"/>
        </w:tabs>
        <w:ind w:left="720" w:hanging="360"/>
      </w:pPr>
      <w:rPr>
        <w:rFonts w:hint="default"/>
      </w:rPr>
    </w:lvl>
    <w:lvl w:ilvl="1" w:tplc="B5A031EA" w:tentative="1">
      <w:start w:val="1"/>
      <w:numFmt w:val="lowerLetter"/>
      <w:lvlText w:val="%2."/>
      <w:lvlJc w:val="left"/>
      <w:pPr>
        <w:tabs>
          <w:tab w:val="num" w:pos="1440"/>
        </w:tabs>
        <w:ind w:left="1440" w:hanging="360"/>
      </w:pPr>
    </w:lvl>
    <w:lvl w:ilvl="2" w:tplc="5BC29B74" w:tentative="1">
      <w:start w:val="1"/>
      <w:numFmt w:val="lowerRoman"/>
      <w:lvlText w:val="%3."/>
      <w:lvlJc w:val="right"/>
      <w:pPr>
        <w:tabs>
          <w:tab w:val="num" w:pos="2160"/>
        </w:tabs>
        <w:ind w:left="2160" w:hanging="180"/>
      </w:pPr>
    </w:lvl>
    <w:lvl w:ilvl="3" w:tplc="45D2056E" w:tentative="1">
      <w:start w:val="1"/>
      <w:numFmt w:val="decimal"/>
      <w:lvlText w:val="%4."/>
      <w:lvlJc w:val="left"/>
      <w:pPr>
        <w:tabs>
          <w:tab w:val="num" w:pos="2880"/>
        </w:tabs>
        <w:ind w:left="2880" w:hanging="360"/>
      </w:pPr>
    </w:lvl>
    <w:lvl w:ilvl="4" w:tplc="8DA4720E" w:tentative="1">
      <w:start w:val="1"/>
      <w:numFmt w:val="lowerLetter"/>
      <w:lvlText w:val="%5."/>
      <w:lvlJc w:val="left"/>
      <w:pPr>
        <w:tabs>
          <w:tab w:val="num" w:pos="3600"/>
        </w:tabs>
        <w:ind w:left="3600" w:hanging="360"/>
      </w:pPr>
    </w:lvl>
    <w:lvl w:ilvl="5" w:tplc="FB2207EC" w:tentative="1">
      <w:start w:val="1"/>
      <w:numFmt w:val="lowerRoman"/>
      <w:lvlText w:val="%6."/>
      <w:lvlJc w:val="right"/>
      <w:pPr>
        <w:tabs>
          <w:tab w:val="num" w:pos="4320"/>
        </w:tabs>
        <w:ind w:left="4320" w:hanging="180"/>
      </w:pPr>
    </w:lvl>
    <w:lvl w:ilvl="6" w:tplc="44EC6B88" w:tentative="1">
      <w:start w:val="1"/>
      <w:numFmt w:val="decimal"/>
      <w:lvlText w:val="%7."/>
      <w:lvlJc w:val="left"/>
      <w:pPr>
        <w:tabs>
          <w:tab w:val="num" w:pos="5040"/>
        </w:tabs>
        <w:ind w:left="5040" w:hanging="360"/>
      </w:pPr>
    </w:lvl>
    <w:lvl w:ilvl="7" w:tplc="DCBCCA54" w:tentative="1">
      <w:start w:val="1"/>
      <w:numFmt w:val="lowerLetter"/>
      <w:lvlText w:val="%8."/>
      <w:lvlJc w:val="left"/>
      <w:pPr>
        <w:tabs>
          <w:tab w:val="num" w:pos="5760"/>
        </w:tabs>
        <w:ind w:left="5760" w:hanging="360"/>
      </w:pPr>
    </w:lvl>
    <w:lvl w:ilvl="8" w:tplc="AF34FE04" w:tentative="1">
      <w:start w:val="1"/>
      <w:numFmt w:val="lowerRoman"/>
      <w:lvlText w:val="%9."/>
      <w:lvlJc w:val="right"/>
      <w:pPr>
        <w:tabs>
          <w:tab w:val="num" w:pos="6480"/>
        </w:tabs>
        <w:ind w:left="6480" w:hanging="180"/>
      </w:pPr>
    </w:lvl>
  </w:abstractNum>
  <w:abstractNum w:abstractNumId="3" w15:restartNumberingAfterBreak="0">
    <w:nsid w:val="2D666C0B"/>
    <w:multiLevelType w:val="hybridMultilevel"/>
    <w:tmpl w:val="7ED04E56"/>
    <w:lvl w:ilvl="0" w:tplc="C4EAF564">
      <w:start w:val="1"/>
      <w:numFmt w:val="lowerLetter"/>
      <w:lvlText w:val="%1)"/>
      <w:lvlJc w:val="left"/>
      <w:pPr>
        <w:ind w:left="720" w:hanging="360"/>
      </w:pPr>
      <w:rPr>
        <w:rFonts w:hint="default"/>
      </w:rPr>
    </w:lvl>
    <w:lvl w:ilvl="1" w:tplc="C6565650" w:tentative="1">
      <w:start w:val="1"/>
      <w:numFmt w:val="lowerLetter"/>
      <w:lvlText w:val="%2."/>
      <w:lvlJc w:val="left"/>
      <w:pPr>
        <w:ind w:left="1440" w:hanging="360"/>
      </w:pPr>
    </w:lvl>
    <w:lvl w:ilvl="2" w:tplc="B210A90C" w:tentative="1">
      <w:start w:val="1"/>
      <w:numFmt w:val="lowerRoman"/>
      <w:lvlText w:val="%3."/>
      <w:lvlJc w:val="right"/>
      <w:pPr>
        <w:ind w:left="2160" w:hanging="180"/>
      </w:pPr>
    </w:lvl>
    <w:lvl w:ilvl="3" w:tplc="9A72B54A" w:tentative="1">
      <w:start w:val="1"/>
      <w:numFmt w:val="decimal"/>
      <w:lvlText w:val="%4."/>
      <w:lvlJc w:val="left"/>
      <w:pPr>
        <w:ind w:left="2880" w:hanging="360"/>
      </w:pPr>
    </w:lvl>
    <w:lvl w:ilvl="4" w:tplc="56B6F32E" w:tentative="1">
      <w:start w:val="1"/>
      <w:numFmt w:val="lowerLetter"/>
      <w:lvlText w:val="%5."/>
      <w:lvlJc w:val="left"/>
      <w:pPr>
        <w:ind w:left="3600" w:hanging="360"/>
      </w:pPr>
    </w:lvl>
    <w:lvl w:ilvl="5" w:tplc="E19E00DA" w:tentative="1">
      <w:start w:val="1"/>
      <w:numFmt w:val="lowerRoman"/>
      <w:lvlText w:val="%6."/>
      <w:lvlJc w:val="right"/>
      <w:pPr>
        <w:ind w:left="4320" w:hanging="180"/>
      </w:pPr>
    </w:lvl>
    <w:lvl w:ilvl="6" w:tplc="F5787C44" w:tentative="1">
      <w:start w:val="1"/>
      <w:numFmt w:val="decimal"/>
      <w:lvlText w:val="%7."/>
      <w:lvlJc w:val="left"/>
      <w:pPr>
        <w:ind w:left="5040" w:hanging="360"/>
      </w:pPr>
    </w:lvl>
    <w:lvl w:ilvl="7" w:tplc="E11C79F0" w:tentative="1">
      <w:start w:val="1"/>
      <w:numFmt w:val="lowerLetter"/>
      <w:lvlText w:val="%8."/>
      <w:lvlJc w:val="left"/>
      <w:pPr>
        <w:ind w:left="5760" w:hanging="360"/>
      </w:pPr>
    </w:lvl>
    <w:lvl w:ilvl="8" w:tplc="65D4DABE" w:tentative="1">
      <w:start w:val="1"/>
      <w:numFmt w:val="lowerRoman"/>
      <w:lvlText w:val="%9."/>
      <w:lvlJc w:val="right"/>
      <w:pPr>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8A74ED00">
      <w:start w:val="1"/>
      <w:numFmt w:val="decimal"/>
      <w:lvlText w:val="%1."/>
      <w:lvlJc w:val="left"/>
      <w:pPr>
        <w:tabs>
          <w:tab w:val="num" w:pos="720"/>
        </w:tabs>
        <w:ind w:left="720" w:hanging="360"/>
      </w:pPr>
    </w:lvl>
    <w:lvl w:ilvl="1" w:tplc="BE14A0FE" w:tentative="1">
      <w:start w:val="1"/>
      <w:numFmt w:val="lowerLetter"/>
      <w:lvlText w:val="%2."/>
      <w:lvlJc w:val="left"/>
      <w:pPr>
        <w:tabs>
          <w:tab w:val="num" w:pos="1440"/>
        </w:tabs>
        <w:ind w:left="1440" w:hanging="360"/>
      </w:pPr>
    </w:lvl>
    <w:lvl w:ilvl="2" w:tplc="C19298F6" w:tentative="1">
      <w:start w:val="1"/>
      <w:numFmt w:val="lowerRoman"/>
      <w:lvlText w:val="%3."/>
      <w:lvlJc w:val="right"/>
      <w:pPr>
        <w:tabs>
          <w:tab w:val="num" w:pos="2160"/>
        </w:tabs>
        <w:ind w:left="2160" w:hanging="180"/>
      </w:pPr>
    </w:lvl>
    <w:lvl w:ilvl="3" w:tplc="928A518A" w:tentative="1">
      <w:start w:val="1"/>
      <w:numFmt w:val="decimal"/>
      <w:lvlText w:val="%4."/>
      <w:lvlJc w:val="left"/>
      <w:pPr>
        <w:tabs>
          <w:tab w:val="num" w:pos="2880"/>
        </w:tabs>
        <w:ind w:left="2880" w:hanging="360"/>
      </w:pPr>
    </w:lvl>
    <w:lvl w:ilvl="4" w:tplc="94528EDA" w:tentative="1">
      <w:start w:val="1"/>
      <w:numFmt w:val="lowerLetter"/>
      <w:lvlText w:val="%5."/>
      <w:lvlJc w:val="left"/>
      <w:pPr>
        <w:tabs>
          <w:tab w:val="num" w:pos="3600"/>
        </w:tabs>
        <w:ind w:left="3600" w:hanging="360"/>
      </w:pPr>
    </w:lvl>
    <w:lvl w:ilvl="5" w:tplc="E4FACB5E" w:tentative="1">
      <w:start w:val="1"/>
      <w:numFmt w:val="lowerRoman"/>
      <w:lvlText w:val="%6."/>
      <w:lvlJc w:val="right"/>
      <w:pPr>
        <w:tabs>
          <w:tab w:val="num" w:pos="4320"/>
        </w:tabs>
        <w:ind w:left="4320" w:hanging="180"/>
      </w:pPr>
    </w:lvl>
    <w:lvl w:ilvl="6" w:tplc="5CF0FA6A" w:tentative="1">
      <w:start w:val="1"/>
      <w:numFmt w:val="decimal"/>
      <w:lvlText w:val="%7."/>
      <w:lvlJc w:val="left"/>
      <w:pPr>
        <w:tabs>
          <w:tab w:val="num" w:pos="5040"/>
        </w:tabs>
        <w:ind w:left="5040" w:hanging="360"/>
      </w:pPr>
    </w:lvl>
    <w:lvl w:ilvl="7" w:tplc="579C8EC0" w:tentative="1">
      <w:start w:val="1"/>
      <w:numFmt w:val="lowerLetter"/>
      <w:lvlText w:val="%8."/>
      <w:lvlJc w:val="left"/>
      <w:pPr>
        <w:tabs>
          <w:tab w:val="num" w:pos="5760"/>
        </w:tabs>
        <w:ind w:left="5760" w:hanging="360"/>
      </w:pPr>
    </w:lvl>
    <w:lvl w:ilvl="8" w:tplc="ECBEF136"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36402"/>
    <w:rsid w:val="00060352"/>
    <w:rsid w:val="000636E1"/>
    <w:rsid w:val="00071ECD"/>
    <w:rsid w:val="0008352D"/>
    <w:rsid w:val="00097FF3"/>
    <w:rsid w:val="000A07CE"/>
    <w:rsid w:val="000A2C92"/>
    <w:rsid w:val="000A6669"/>
    <w:rsid w:val="000A7238"/>
    <w:rsid w:val="000B0B21"/>
    <w:rsid w:val="000C4E4D"/>
    <w:rsid w:val="000D08A9"/>
    <w:rsid w:val="000D4738"/>
    <w:rsid w:val="000F05A2"/>
    <w:rsid w:val="000F3D38"/>
    <w:rsid w:val="00110CBD"/>
    <w:rsid w:val="00112B18"/>
    <w:rsid w:val="00113E24"/>
    <w:rsid w:val="001357B2"/>
    <w:rsid w:val="00151388"/>
    <w:rsid w:val="00151872"/>
    <w:rsid w:val="00160E5F"/>
    <w:rsid w:val="001A3BA5"/>
    <w:rsid w:val="001A4ACC"/>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277E"/>
    <w:rsid w:val="002C7EEB"/>
    <w:rsid w:val="002E5BD3"/>
    <w:rsid w:val="00304726"/>
    <w:rsid w:val="00315D82"/>
    <w:rsid w:val="00322E55"/>
    <w:rsid w:val="00326539"/>
    <w:rsid w:val="003435C5"/>
    <w:rsid w:val="00352109"/>
    <w:rsid w:val="00355DCE"/>
    <w:rsid w:val="003636BF"/>
    <w:rsid w:val="00370AA7"/>
    <w:rsid w:val="00371034"/>
    <w:rsid w:val="0037468F"/>
    <w:rsid w:val="0037479F"/>
    <w:rsid w:val="00377950"/>
    <w:rsid w:val="003828AD"/>
    <w:rsid w:val="003845B4"/>
    <w:rsid w:val="00387B1A"/>
    <w:rsid w:val="00391FB5"/>
    <w:rsid w:val="003B5CF4"/>
    <w:rsid w:val="003C3B1D"/>
    <w:rsid w:val="003D0306"/>
    <w:rsid w:val="003D7732"/>
    <w:rsid w:val="003E1C74"/>
    <w:rsid w:val="003E7E9E"/>
    <w:rsid w:val="003F4966"/>
    <w:rsid w:val="003F5A1E"/>
    <w:rsid w:val="00484A06"/>
    <w:rsid w:val="004877F8"/>
    <w:rsid w:val="004943BB"/>
    <w:rsid w:val="004A2490"/>
    <w:rsid w:val="004A4233"/>
    <w:rsid w:val="004A4EBC"/>
    <w:rsid w:val="004A6A59"/>
    <w:rsid w:val="004B160E"/>
    <w:rsid w:val="004C0601"/>
    <w:rsid w:val="004F3D06"/>
    <w:rsid w:val="00505003"/>
    <w:rsid w:val="005149DF"/>
    <w:rsid w:val="0051593F"/>
    <w:rsid w:val="005254D1"/>
    <w:rsid w:val="00525C18"/>
    <w:rsid w:val="00526246"/>
    <w:rsid w:val="0055206D"/>
    <w:rsid w:val="00567106"/>
    <w:rsid w:val="005709F2"/>
    <w:rsid w:val="005916E5"/>
    <w:rsid w:val="005A5345"/>
    <w:rsid w:val="005B0438"/>
    <w:rsid w:val="005E1D3C"/>
    <w:rsid w:val="006268BE"/>
    <w:rsid w:val="00632253"/>
    <w:rsid w:val="00642714"/>
    <w:rsid w:val="00643C4E"/>
    <w:rsid w:val="006455CE"/>
    <w:rsid w:val="00686DC7"/>
    <w:rsid w:val="006B3BAB"/>
    <w:rsid w:val="006B3FB6"/>
    <w:rsid w:val="006B448B"/>
    <w:rsid w:val="006D42D9"/>
    <w:rsid w:val="006F142E"/>
    <w:rsid w:val="007150F4"/>
    <w:rsid w:val="00726463"/>
    <w:rsid w:val="00733017"/>
    <w:rsid w:val="00751D38"/>
    <w:rsid w:val="00775FED"/>
    <w:rsid w:val="00783310"/>
    <w:rsid w:val="00794B95"/>
    <w:rsid w:val="00794E63"/>
    <w:rsid w:val="007A4A6D"/>
    <w:rsid w:val="007D1BCF"/>
    <w:rsid w:val="007D75CF"/>
    <w:rsid w:val="007E6DC5"/>
    <w:rsid w:val="008537DF"/>
    <w:rsid w:val="008647D6"/>
    <w:rsid w:val="0088043C"/>
    <w:rsid w:val="008906C9"/>
    <w:rsid w:val="008A5918"/>
    <w:rsid w:val="008B2E72"/>
    <w:rsid w:val="008C00F2"/>
    <w:rsid w:val="008C5738"/>
    <w:rsid w:val="008D04F0"/>
    <w:rsid w:val="008E2D84"/>
    <w:rsid w:val="008F3500"/>
    <w:rsid w:val="009022B3"/>
    <w:rsid w:val="009220A1"/>
    <w:rsid w:val="00924E3C"/>
    <w:rsid w:val="00925A8B"/>
    <w:rsid w:val="009612BB"/>
    <w:rsid w:val="009673AE"/>
    <w:rsid w:val="009B0295"/>
    <w:rsid w:val="009C5340"/>
    <w:rsid w:val="009E42F2"/>
    <w:rsid w:val="00A00FA2"/>
    <w:rsid w:val="00A05DC7"/>
    <w:rsid w:val="00A125C5"/>
    <w:rsid w:val="00A12D5C"/>
    <w:rsid w:val="00A216AF"/>
    <w:rsid w:val="00A236B9"/>
    <w:rsid w:val="00A3267F"/>
    <w:rsid w:val="00A36906"/>
    <w:rsid w:val="00A45EAF"/>
    <w:rsid w:val="00A5039D"/>
    <w:rsid w:val="00A65EE7"/>
    <w:rsid w:val="00A70133"/>
    <w:rsid w:val="00A72510"/>
    <w:rsid w:val="00A72FFD"/>
    <w:rsid w:val="00A751DA"/>
    <w:rsid w:val="00AA47FE"/>
    <w:rsid w:val="00AC05DE"/>
    <w:rsid w:val="00AC5C16"/>
    <w:rsid w:val="00AD5A5B"/>
    <w:rsid w:val="00AE1792"/>
    <w:rsid w:val="00B011EA"/>
    <w:rsid w:val="00B17141"/>
    <w:rsid w:val="00B31575"/>
    <w:rsid w:val="00B36B89"/>
    <w:rsid w:val="00B46727"/>
    <w:rsid w:val="00B63BD4"/>
    <w:rsid w:val="00B653A6"/>
    <w:rsid w:val="00B677B6"/>
    <w:rsid w:val="00B8547D"/>
    <w:rsid w:val="00BC2517"/>
    <w:rsid w:val="00BC61EF"/>
    <w:rsid w:val="00BE423F"/>
    <w:rsid w:val="00C250D5"/>
    <w:rsid w:val="00C47F8D"/>
    <w:rsid w:val="00C52DAE"/>
    <w:rsid w:val="00C57EED"/>
    <w:rsid w:val="00C81391"/>
    <w:rsid w:val="00C92898"/>
    <w:rsid w:val="00C97222"/>
    <w:rsid w:val="00CA28CB"/>
    <w:rsid w:val="00CA2B85"/>
    <w:rsid w:val="00CE7514"/>
    <w:rsid w:val="00CF31D4"/>
    <w:rsid w:val="00D248DE"/>
    <w:rsid w:val="00D25427"/>
    <w:rsid w:val="00D31B74"/>
    <w:rsid w:val="00D3564D"/>
    <w:rsid w:val="00D7449E"/>
    <w:rsid w:val="00D8542D"/>
    <w:rsid w:val="00DB11E1"/>
    <w:rsid w:val="00DB4E6F"/>
    <w:rsid w:val="00DC62F6"/>
    <w:rsid w:val="00DC6A71"/>
    <w:rsid w:val="00DD6CC3"/>
    <w:rsid w:val="00DE5B46"/>
    <w:rsid w:val="00E0357D"/>
    <w:rsid w:val="00E1219F"/>
    <w:rsid w:val="00E24EC2"/>
    <w:rsid w:val="00E51C0F"/>
    <w:rsid w:val="00E761D0"/>
    <w:rsid w:val="00E8201C"/>
    <w:rsid w:val="00E94ECF"/>
    <w:rsid w:val="00EA6F47"/>
    <w:rsid w:val="00ED00D1"/>
    <w:rsid w:val="00ED1815"/>
    <w:rsid w:val="00ED7E82"/>
    <w:rsid w:val="00EF3280"/>
    <w:rsid w:val="00EF7227"/>
    <w:rsid w:val="00F0025B"/>
    <w:rsid w:val="00F02E53"/>
    <w:rsid w:val="00F0676F"/>
    <w:rsid w:val="00F240BB"/>
    <w:rsid w:val="00F42CE8"/>
    <w:rsid w:val="00F46724"/>
    <w:rsid w:val="00F47F58"/>
    <w:rsid w:val="00F57FED"/>
    <w:rsid w:val="00F64434"/>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FF29DC"/>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styleId="Nerazreenaomemba">
    <w:name w:val="Unresolved Mention"/>
    <w:basedOn w:val="Privzetapisavaodstavka"/>
    <w:uiPriority w:val="99"/>
    <w:semiHidden/>
    <w:unhideWhenUsed/>
    <w:rsid w:val="000D4738"/>
    <w:rPr>
      <w:color w:val="605E5C"/>
      <w:shd w:val="clear" w:color="auto" w:fill="E1DFDD"/>
    </w:rPr>
  </w:style>
  <w:style w:type="paragraph" w:styleId="Sprotnaopomba-besedilo">
    <w:name w:val="footnote text"/>
    <w:basedOn w:val="Navaden"/>
    <w:link w:val="Sprotnaopomba-besediloZnak"/>
    <w:semiHidden/>
    <w:unhideWhenUsed/>
    <w:rsid w:val="00322E55"/>
    <w:pPr>
      <w:spacing w:line="240" w:lineRule="auto"/>
    </w:pPr>
    <w:rPr>
      <w:szCs w:val="20"/>
    </w:rPr>
  </w:style>
  <w:style w:type="character" w:customStyle="1" w:styleId="Sprotnaopomba-besediloZnak">
    <w:name w:val="Sprotna opomba - besedilo Znak"/>
    <w:basedOn w:val="Privzetapisavaodstavka"/>
    <w:link w:val="Sprotnaopomba-besedilo"/>
    <w:semiHidden/>
    <w:rsid w:val="00322E55"/>
    <w:rPr>
      <w:rFonts w:ascii="Arial" w:hAnsi="Arial"/>
      <w:lang w:val="en-US" w:eastAsia="en-US"/>
    </w:rPr>
  </w:style>
  <w:style w:type="character" w:styleId="Sprotnaopomba-sklic">
    <w:name w:val="footnote reference"/>
    <w:basedOn w:val="Privzetapisavaodstavka"/>
    <w:semiHidden/>
    <w:unhideWhenUsed/>
    <w:rsid w:val="00322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6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isrs.si/Pis.web/pregledPredpisa?id=PRAV7544"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2</Pages>
  <Words>674</Words>
  <Characters>3842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2023-01-25T09:37:00Z</dcterms:created>
  <dcterms:modified xsi:type="dcterms:W3CDTF">2023-01-25T09:37:00Z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537fe57880c7970a52232a6bd531edee5b33b3ffceb83efbfad413e59ffdb064</vt:lpwstr>
  </property>
</Properties>
</file>