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F9D" w:rsidRDefault="008E6F9D" w:rsidP="00577016">
      <w:pPr>
        <w:pStyle w:val="ZADEVA"/>
        <w:rPr>
          <w:lang w:val="sl-SI"/>
        </w:rPr>
      </w:pPr>
    </w:p>
    <w:p w:rsidR="008E6F9D" w:rsidRDefault="008E6F9D" w:rsidP="00577016">
      <w:pPr>
        <w:pStyle w:val="ZADEVA"/>
        <w:rPr>
          <w:lang w:val="sl-SI"/>
        </w:rPr>
      </w:pPr>
    </w:p>
    <w:p w:rsidR="00B328A0" w:rsidRDefault="00B328A0" w:rsidP="00577016">
      <w:pPr>
        <w:pStyle w:val="ZADEVA"/>
        <w:rPr>
          <w:lang w:val="sl-SI"/>
        </w:rPr>
      </w:pPr>
    </w:p>
    <w:p w:rsidR="00B328A0" w:rsidRDefault="00B328A0" w:rsidP="00577016">
      <w:pPr>
        <w:pStyle w:val="ZADEVA"/>
        <w:rPr>
          <w:lang w:val="sl-SI"/>
        </w:rPr>
      </w:pPr>
    </w:p>
    <w:p w:rsidR="00B328A0" w:rsidRDefault="00B328A0" w:rsidP="00577016">
      <w:pPr>
        <w:pStyle w:val="ZADEVA"/>
        <w:rPr>
          <w:lang w:val="sl-SI"/>
        </w:rPr>
      </w:pPr>
    </w:p>
    <w:p w:rsidR="00577016" w:rsidRDefault="00577016" w:rsidP="00577016">
      <w:pPr>
        <w:pStyle w:val="ZADEVA"/>
        <w:rPr>
          <w:lang w:val="sl-SI"/>
        </w:rPr>
      </w:pPr>
      <w:r>
        <w:rPr>
          <w:lang w:val="sl-SI"/>
        </w:rPr>
        <w:t>DDV obravnava prekinitve (odpovedi) pogodb finančnega lizinga – popravek pojasnila</w:t>
      </w:r>
    </w:p>
    <w:p w:rsidR="0032085F" w:rsidRPr="008E6F9D" w:rsidRDefault="0032085F" w:rsidP="0032085F">
      <w:pPr>
        <w:shd w:val="clear" w:color="auto" w:fill="FFFFFF"/>
        <w:spacing w:line="240" w:lineRule="auto"/>
        <w:rPr>
          <w:rFonts w:cs="Arial"/>
          <w:b/>
          <w:bCs/>
          <w:szCs w:val="20"/>
          <w:lang w:val="sl-SI" w:eastAsia="sl-SI"/>
        </w:rPr>
      </w:pPr>
      <w:r w:rsidRPr="0032085F">
        <w:rPr>
          <w:b/>
          <w:bCs/>
          <w:lang w:val="sl-SI"/>
        </w:rPr>
        <w:t xml:space="preserve">Pojasnilo FURS št. </w:t>
      </w:r>
      <w:r w:rsidRPr="008E6F9D">
        <w:rPr>
          <w:rFonts w:cs="Arial"/>
          <w:b/>
          <w:bCs/>
          <w:szCs w:val="20"/>
          <w:lang w:val="sl-SI" w:eastAsia="sl-SI"/>
        </w:rPr>
        <w:t>4230-156526/2014-3</w:t>
      </w:r>
      <w:r w:rsidRPr="0032085F">
        <w:rPr>
          <w:rFonts w:cs="Arial"/>
          <w:b/>
          <w:bCs/>
          <w:szCs w:val="20"/>
          <w:lang w:val="sl-SI" w:eastAsia="sl-SI"/>
        </w:rPr>
        <w:t xml:space="preserve"> z dne 21. 7. 2021</w:t>
      </w:r>
    </w:p>
    <w:p w:rsidR="00577016" w:rsidRDefault="00577016" w:rsidP="00577016">
      <w:pPr>
        <w:pStyle w:val="ZADEVA"/>
        <w:rPr>
          <w:lang w:val="sl-SI"/>
        </w:rPr>
      </w:pPr>
    </w:p>
    <w:p w:rsidR="00577016" w:rsidRPr="00BC2517" w:rsidRDefault="00577016" w:rsidP="00577016">
      <w:pPr>
        <w:pStyle w:val="ZADEVA"/>
        <w:rPr>
          <w:lang w:val="sl-SI"/>
        </w:rPr>
      </w:pPr>
    </w:p>
    <w:p w:rsidR="00577016" w:rsidRPr="00631643" w:rsidRDefault="00577016" w:rsidP="00577016">
      <w:pPr>
        <w:jc w:val="both"/>
        <w:rPr>
          <w:szCs w:val="20"/>
          <w:lang w:val="sl-SI"/>
        </w:rPr>
      </w:pPr>
      <w:r w:rsidRPr="00631643">
        <w:rPr>
          <w:szCs w:val="20"/>
          <w:lang w:val="sl-SI"/>
        </w:rPr>
        <w:t xml:space="preserve">V zvezi s pojasnilom Finančne uprave Republike Slovenije št. 4230-156526/2014-2, s katerim je bilo glede DDV obravnave prekinitve (odpovedi) pogodb finančnega lizinga med drugim pojasnjeno tudi, da </w:t>
      </w:r>
      <w:r w:rsidRPr="00631643">
        <w:rPr>
          <w:rFonts w:cs="Arial"/>
          <w:szCs w:val="20"/>
          <w:lang w:val="sl-SI"/>
        </w:rPr>
        <w:t>če se pogodba o finančnem lizingu prekine in je predmet lizinga vrnjen, vrednost do prekinitve pogodbe nezapadlih obrokov ni predmet DDV, na podlagi sodne prakse, objavljene po izdaji prej navedenega pojasnila, v nadaljevanju v tem delu posredujemo popravek</w:t>
      </w:r>
      <w:r>
        <w:rPr>
          <w:rFonts w:cs="Arial"/>
          <w:szCs w:val="20"/>
          <w:lang w:val="sl-SI"/>
        </w:rPr>
        <w:t xml:space="preserve"> pojasnila v delu glede višine davčne osnove in obračunanega DDV, za katerega lahko lizingodajalec izvede popravek. </w:t>
      </w:r>
      <w:r w:rsidRPr="00631643">
        <w:rPr>
          <w:rFonts w:cs="Arial"/>
          <w:szCs w:val="20"/>
          <w:lang w:val="sl-SI"/>
        </w:rPr>
        <w:t xml:space="preserve"> </w:t>
      </w:r>
    </w:p>
    <w:p w:rsidR="00577016" w:rsidRDefault="00577016" w:rsidP="00577016">
      <w:pPr>
        <w:jc w:val="both"/>
        <w:rPr>
          <w:szCs w:val="20"/>
          <w:lang w:val="sl-SI"/>
        </w:rPr>
      </w:pPr>
    </w:p>
    <w:p w:rsidR="00577016" w:rsidRDefault="00577016" w:rsidP="00577016">
      <w:pPr>
        <w:jc w:val="both"/>
        <w:rPr>
          <w:rFonts w:cs="Arial"/>
          <w:i/>
          <w:szCs w:val="20"/>
          <w:lang w:val="sl-SI"/>
        </w:rPr>
      </w:pPr>
      <w:r w:rsidRPr="00631643">
        <w:rPr>
          <w:rFonts w:cs="Arial"/>
          <w:i/>
          <w:szCs w:val="20"/>
          <w:lang w:val="sl-SI"/>
        </w:rPr>
        <w:t>Če je pogodba o finančnem najemu prekinjena</w:t>
      </w:r>
      <w:r>
        <w:rPr>
          <w:rFonts w:cs="Arial"/>
          <w:i/>
          <w:szCs w:val="20"/>
          <w:lang w:val="sl-SI"/>
        </w:rPr>
        <w:t xml:space="preserve"> (ne glede na to, ali je predmet lizinga vrnjen ali ne)</w:t>
      </w:r>
      <w:r w:rsidRPr="00631643">
        <w:rPr>
          <w:rFonts w:cs="Arial"/>
          <w:i/>
          <w:szCs w:val="20"/>
          <w:lang w:val="sl-SI"/>
        </w:rPr>
        <w:t>, je vrednost do prekinitve pogodbe nezapadlih obrokov predmet DDV.</w:t>
      </w:r>
      <w:r>
        <w:rPr>
          <w:rFonts w:cs="Arial"/>
          <w:i/>
          <w:szCs w:val="20"/>
          <w:lang w:val="sl-SI"/>
        </w:rPr>
        <w:t xml:space="preserve"> </w:t>
      </w:r>
    </w:p>
    <w:p w:rsidR="00577016" w:rsidRDefault="00577016" w:rsidP="00577016">
      <w:pPr>
        <w:jc w:val="both"/>
        <w:rPr>
          <w:rFonts w:cs="Arial"/>
          <w:i/>
          <w:szCs w:val="20"/>
          <w:lang w:val="sl-SI"/>
        </w:rPr>
      </w:pPr>
    </w:p>
    <w:p w:rsidR="00577016" w:rsidRPr="00994033" w:rsidRDefault="00577016" w:rsidP="00577016">
      <w:pPr>
        <w:jc w:val="both"/>
        <w:rPr>
          <w:i/>
          <w:lang w:val="sl-SI"/>
        </w:rPr>
      </w:pPr>
      <w:r>
        <w:rPr>
          <w:i/>
          <w:lang w:val="sl-SI"/>
        </w:rPr>
        <w:t>L</w:t>
      </w:r>
      <w:r w:rsidRPr="00994033">
        <w:rPr>
          <w:i/>
          <w:lang w:val="sl-SI"/>
        </w:rPr>
        <w:t>izingodajalec</w:t>
      </w:r>
      <w:r>
        <w:rPr>
          <w:i/>
          <w:lang w:val="sl-SI"/>
        </w:rPr>
        <w:t xml:space="preserve"> lahko</w:t>
      </w:r>
      <w:r w:rsidRPr="00994033">
        <w:rPr>
          <w:i/>
          <w:lang w:val="sl-SI"/>
        </w:rPr>
        <w:t xml:space="preserve"> zmanjša davčno osnovo in posledično obračunani DDV, če lizingojemalca pisno obvesti o znesku DDV, do katerega lizingojemalec nima pravice do odbitka. Če je lizingojemalec končni potrošnik, mora za znižanje obračunanega DDV lizingodajalec razpolagati z dokumentom, ki dokazuje </w:t>
      </w:r>
      <w:r>
        <w:rPr>
          <w:i/>
          <w:lang w:val="sl-SI"/>
        </w:rPr>
        <w:t xml:space="preserve">prekinitev lizing pogodbe in dokazati, </w:t>
      </w:r>
      <w:r w:rsidRPr="00994033">
        <w:rPr>
          <w:i/>
          <w:lang w:val="sl-SI"/>
        </w:rPr>
        <w:t xml:space="preserve">da je bila kupnina ali del kupnine vrnjen kupcu ali njeno plačilo odpuščeno. </w:t>
      </w:r>
    </w:p>
    <w:p w:rsidR="00577016" w:rsidRDefault="00577016" w:rsidP="00577016">
      <w:pPr>
        <w:jc w:val="both"/>
        <w:rPr>
          <w:lang w:val="sl-SI"/>
        </w:rPr>
      </w:pPr>
    </w:p>
    <w:p w:rsidR="00577016" w:rsidRDefault="00577016" w:rsidP="00577016">
      <w:pPr>
        <w:jc w:val="both"/>
        <w:rPr>
          <w:szCs w:val="20"/>
          <w:lang w:val="sl-SI"/>
        </w:rPr>
      </w:pPr>
    </w:p>
    <w:p w:rsidR="00577016" w:rsidRDefault="00577016" w:rsidP="00577016">
      <w:pPr>
        <w:jc w:val="both"/>
        <w:rPr>
          <w:lang w:val="sl-SI"/>
        </w:rPr>
      </w:pPr>
      <w:r w:rsidRPr="00994033">
        <w:rPr>
          <w:lang w:val="sl-SI"/>
        </w:rPr>
        <w:t xml:space="preserve">Pri finančnem lizingu se izročitev blaga v najem v skladu z b točko drugega odstavka 6. člena </w:t>
      </w:r>
      <w:r w:rsidRPr="00631643">
        <w:rPr>
          <w:rFonts w:cs="Arial"/>
          <w:color w:val="000000"/>
          <w:szCs w:val="20"/>
          <w:lang w:val="sl-SI"/>
        </w:rPr>
        <w:t xml:space="preserve">Zakon o davku na dodano vrednost – </w:t>
      </w:r>
      <w:hyperlink r:id="rId8" w:history="1">
        <w:r w:rsidRPr="00631643">
          <w:rPr>
            <w:rStyle w:val="Hiperpovezava"/>
            <w:rFonts w:cs="Arial"/>
            <w:szCs w:val="20"/>
            <w:lang w:val="sl-SI"/>
          </w:rPr>
          <w:t>ZDDV-1</w:t>
        </w:r>
      </w:hyperlink>
      <w:r>
        <w:rPr>
          <w:rStyle w:val="Hiperpovezava"/>
          <w:rFonts w:cs="Arial"/>
          <w:szCs w:val="20"/>
          <w:lang w:val="sl-SI"/>
        </w:rPr>
        <w:t xml:space="preserve"> </w:t>
      </w:r>
      <w:r w:rsidRPr="00994033">
        <w:rPr>
          <w:lang w:val="sl-SI"/>
        </w:rPr>
        <w:t xml:space="preserve">obravnava kot dobava blaga, pri čemer je DDV obračunan od celotne vrednosti na začetku najema, ob izročitvi blaga. </w:t>
      </w:r>
    </w:p>
    <w:p w:rsidR="00577016" w:rsidRPr="00994033" w:rsidRDefault="00577016" w:rsidP="00577016">
      <w:pPr>
        <w:jc w:val="both"/>
        <w:rPr>
          <w:lang w:val="sl-SI"/>
        </w:rPr>
      </w:pPr>
    </w:p>
    <w:p w:rsidR="00577016" w:rsidRPr="00631643" w:rsidRDefault="00577016" w:rsidP="00577016">
      <w:pPr>
        <w:jc w:val="both"/>
        <w:rPr>
          <w:rFonts w:cs="Arial"/>
          <w:color w:val="000000"/>
          <w:szCs w:val="20"/>
          <w:lang w:val="sl-SI"/>
        </w:rPr>
      </w:pPr>
      <w:r w:rsidRPr="00631643">
        <w:rPr>
          <w:szCs w:val="20"/>
          <w:lang w:val="sl-SI"/>
        </w:rPr>
        <w:t>Kot izhaja iz sodne prakse Sodišča Evropske unije</w:t>
      </w:r>
      <w:r w:rsidRPr="00631643">
        <w:rPr>
          <w:rStyle w:val="Sprotnaopomba-sklic"/>
          <w:rFonts w:cs="Arial"/>
          <w:szCs w:val="20"/>
          <w:lang w:val="sl-SI"/>
        </w:rPr>
        <w:footnoteReference w:id="1"/>
      </w:r>
      <w:r>
        <w:rPr>
          <w:szCs w:val="20"/>
          <w:lang w:val="sl-SI"/>
        </w:rPr>
        <w:t>,</w:t>
      </w:r>
      <w:r w:rsidRPr="00631643">
        <w:rPr>
          <w:szCs w:val="20"/>
          <w:lang w:val="sl-SI"/>
        </w:rPr>
        <w:t xml:space="preserve"> je</w:t>
      </w:r>
      <w:r w:rsidRPr="00631643">
        <w:rPr>
          <w:rFonts w:cs="Arial"/>
          <w:color w:val="000000"/>
          <w:szCs w:val="20"/>
          <w:lang w:val="sl-SI"/>
        </w:rPr>
        <w:t xml:space="preserve"> treba vnaprej določeni znesek, ki ga gospodarski subjekt prejme, če pride do predčasnega prenehanja pogodbe, ker njegova stranka od nje odstopi ali iz razloga, ki se lahko pripiše tej stranki, in katerega višina ustreza znesku, ki bi ga ta subjekt prejel med preostankom navedenega obdobja, če do tega prenehanja ne bi prišlo, šteti za plačilo za dobavo, opravljeno za plačilo, ki je kot taka predmet DDV, čeprav tako prenehanje pomeni </w:t>
      </w:r>
      <w:proofErr w:type="spellStart"/>
      <w:r w:rsidRPr="00631643">
        <w:rPr>
          <w:rFonts w:cs="Arial"/>
          <w:color w:val="000000"/>
          <w:szCs w:val="20"/>
          <w:lang w:val="sl-SI"/>
        </w:rPr>
        <w:t>dezaktivacijo</w:t>
      </w:r>
      <w:proofErr w:type="spellEnd"/>
      <w:r w:rsidRPr="00631643">
        <w:rPr>
          <w:rFonts w:cs="Arial"/>
          <w:color w:val="000000"/>
          <w:szCs w:val="20"/>
          <w:lang w:val="sl-SI"/>
        </w:rPr>
        <w:t xml:space="preserve"> proizvodov in storitev, določenih s pogodbo, pred potekom dogovorjenega najkrajšega trajanja razm</w:t>
      </w:r>
      <w:r>
        <w:rPr>
          <w:rFonts w:cs="Arial"/>
          <w:color w:val="000000"/>
          <w:szCs w:val="20"/>
          <w:lang w:val="sl-SI"/>
        </w:rPr>
        <w:t>e</w:t>
      </w:r>
      <w:r w:rsidRPr="00631643">
        <w:rPr>
          <w:rFonts w:cs="Arial"/>
          <w:color w:val="000000"/>
          <w:szCs w:val="20"/>
          <w:lang w:val="sl-SI"/>
        </w:rPr>
        <w:t xml:space="preserve">rja. Znesek, ki ga je treba plačati v primeru prenehanja pogodbe pred dogovorjenim rokom, je vsota vseh neplačanih obrokov lizinga za celotno trajanje pogodbe. Zato plačilo dolgovanega zneska zaradi predčasnega prenehanja pogodbe lizingodajalcu omogoči, da prejme enak prihodek, kot bi ga prejel, če ne bi prišlo do razdrtja pogodbe. Iz tega sledi, da v okviru pogodbe tipa, kot je ta v zadevi iz postopka v glavni stvari, razdrtje pogodbe ne spremeni ekonomske stvarnosti pogodbenega razmerja. Tako je treba šteti, da je protivrednost zneska, ki ga je lizingojemalec plačal lizingodajalcu, pravica lizingojemalca do tega, da ta gospodarski subjekt izpolni določene obveznosti iz pogodbe, tudi če lizingojemalec ne želi ali ne more uresničevati te pravice iz razloga, ki je na njegovi strani. Če je lizingodajalec lizingojemalcu dal možnost, da koristi storitve iz pogodbe, dejansko ni pomembno, ali je </w:t>
      </w:r>
      <w:r w:rsidRPr="00631643">
        <w:rPr>
          <w:rFonts w:cs="Arial"/>
          <w:color w:val="000000"/>
          <w:szCs w:val="20"/>
          <w:lang w:val="sl-SI"/>
        </w:rPr>
        <w:lastRenderedPageBreak/>
        <w:t>lizingojemalec po datumu razdrtja pogodbe še razpolagal z blagom ali ne, ker odgovornost za razdrtje te pogodbe ni na strani lizingodajalca.</w:t>
      </w:r>
    </w:p>
    <w:p w:rsidR="00577016" w:rsidRPr="00631643" w:rsidRDefault="00577016" w:rsidP="00577016">
      <w:pPr>
        <w:jc w:val="both"/>
        <w:rPr>
          <w:rFonts w:cs="Arial"/>
          <w:color w:val="000000"/>
          <w:szCs w:val="20"/>
          <w:lang w:val="sl-SI"/>
        </w:rPr>
      </w:pPr>
    </w:p>
    <w:p w:rsidR="00577016" w:rsidRPr="00631643" w:rsidRDefault="00577016" w:rsidP="00577016">
      <w:pPr>
        <w:jc w:val="both"/>
        <w:rPr>
          <w:rFonts w:cs="Arial"/>
          <w:color w:val="000000"/>
          <w:szCs w:val="20"/>
          <w:lang w:val="sl-SI"/>
        </w:rPr>
      </w:pPr>
      <w:r w:rsidRPr="00631643">
        <w:rPr>
          <w:rFonts w:cs="Arial"/>
          <w:color w:val="000000"/>
          <w:szCs w:val="20"/>
          <w:lang w:val="sl-SI"/>
        </w:rPr>
        <w:t>Glede pogoja, da plačani zneski pomenijo ustrezno protivrednost za določljivo storitev, je treba upoštevati, da so obveznosti lizingodajalca in znesek, ki se zaračuna lizingojemalcu v primeru predčasnega prenehanja pogodbe, že določeni ob sklenitvi pogodbe. Poleg tega je dolgovani znesek zaradi predčasnega prenehanja pogodbe enak skupnemu znesku mesečnih obrokov, ki zapadejo v takojšnje plačilo, ne da bi se spremenila ekonomska stvarnost pogodbenega razmerja.</w:t>
      </w:r>
    </w:p>
    <w:p w:rsidR="00577016" w:rsidRPr="00631643" w:rsidRDefault="00577016" w:rsidP="00577016">
      <w:pPr>
        <w:rPr>
          <w:rFonts w:cs="Arial"/>
          <w:color w:val="000000"/>
          <w:szCs w:val="20"/>
          <w:lang w:val="sl-SI"/>
        </w:rPr>
      </w:pPr>
    </w:p>
    <w:p w:rsidR="00577016" w:rsidRPr="00631643" w:rsidRDefault="00577016" w:rsidP="00577016">
      <w:pPr>
        <w:jc w:val="both"/>
        <w:rPr>
          <w:rFonts w:cs="Arial"/>
          <w:color w:val="000000"/>
          <w:szCs w:val="20"/>
          <w:lang w:val="sl-SI"/>
        </w:rPr>
      </w:pPr>
      <w:r w:rsidRPr="00631643">
        <w:rPr>
          <w:rFonts w:cs="Arial"/>
          <w:color w:val="000000"/>
          <w:szCs w:val="20"/>
          <w:lang w:val="sl-SI"/>
        </w:rPr>
        <w:t>Iz tega sledi, da je treba dolgovani znesek zaradi predčasnega prenehanja pogodbe obravnavati kot sestavni del skupnega zneska, ki se ga je lizingojemalec zavezal plačati za izpolnitev pogodbenih obveznosti lizingodajalca.</w:t>
      </w:r>
    </w:p>
    <w:p w:rsidR="00577016" w:rsidRPr="00631643" w:rsidRDefault="00577016" w:rsidP="00577016">
      <w:pPr>
        <w:rPr>
          <w:rFonts w:cs="Arial"/>
          <w:color w:val="000000"/>
          <w:szCs w:val="20"/>
          <w:lang w:val="sl-SI"/>
        </w:rPr>
      </w:pPr>
    </w:p>
    <w:p w:rsidR="00577016" w:rsidRPr="00631643" w:rsidRDefault="00577016" w:rsidP="00577016">
      <w:pPr>
        <w:jc w:val="both"/>
        <w:rPr>
          <w:rFonts w:cs="Arial"/>
          <w:color w:val="000000"/>
          <w:szCs w:val="20"/>
          <w:lang w:val="sl-SI"/>
        </w:rPr>
      </w:pPr>
      <w:r w:rsidRPr="00631643">
        <w:rPr>
          <w:rFonts w:cs="Arial"/>
          <w:color w:val="000000"/>
          <w:szCs w:val="20"/>
          <w:lang w:val="sl-SI"/>
        </w:rPr>
        <w:t xml:space="preserve">Neplačilo dela dolgovanih obrokov lizinga iz pogodbe o lizingu za obdobje od ustavitve plačil do razdrtja pogodbe brez retroaktivnega učinka, na eni strani, in neplačilo dolgovane odškodnine zaradi predčasnega prenehanja pogodbe, ki ustreza vsoti vseh neplačanih obrokov lizinga do izteka trajanja te pogodbe, na drugi strani, predstavljata primer neplačila, ki lahko spada pod odstopanje od obveznosti zmanjšanja davčne osnove za DDV iz drugega odstavka 90. člena </w:t>
      </w:r>
      <w:hyperlink r:id="rId9" w:history="1">
        <w:r w:rsidRPr="00631643">
          <w:rPr>
            <w:rStyle w:val="Hiperpovezava"/>
            <w:rFonts w:cs="Arial"/>
            <w:szCs w:val="20"/>
            <w:lang w:val="sl-SI"/>
          </w:rPr>
          <w:t>Direktive Sveta 2006/112/ES</w:t>
        </w:r>
      </w:hyperlink>
      <w:r w:rsidRPr="00631643">
        <w:rPr>
          <w:rStyle w:val="Sprotnaopomba-sklic"/>
          <w:rFonts w:cs="Arial"/>
          <w:color w:val="000000"/>
          <w:szCs w:val="20"/>
          <w:lang w:val="sl-SI"/>
        </w:rPr>
        <w:footnoteReference w:id="2"/>
      </w:r>
      <w:r w:rsidRPr="00631643">
        <w:rPr>
          <w:rFonts w:cs="Arial"/>
          <w:color w:val="000000"/>
          <w:szCs w:val="20"/>
          <w:lang w:val="sl-SI"/>
        </w:rPr>
        <w:t>.</w:t>
      </w:r>
      <w:r>
        <w:rPr>
          <w:rFonts w:cs="Arial"/>
          <w:color w:val="000000"/>
          <w:szCs w:val="20"/>
          <w:lang w:val="sl-SI"/>
        </w:rPr>
        <w:t xml:space="preserve"> Vendar Slovenija te možnosti ni izbrala. </w:t>
      </w:r>
    </w:p>
    <w:p w:rsidR="00577016" w:rsidRPr="00631643" w:rsidRDefault="00577016" w:rsidP="00577016">
      <w:pPr>
        <w:jc w:val="both"/>
        <w:rPr>
          <w:rFonts w:cs="Arial"/>
          <w:color w:val="000000"/>
          <w:szCs w:val="20"/>
          <w:lang w:val="sl-SI"/>
        </w:rPr>
      </w:pPr>
    </w:p>
    <w:p w:rsidR="00577016" w:rsidRDefault="00577016" w:rsidP="00577016">
      <w:pPr>
        <w:jc w:val="both"/>
        <w:rPr>
          <w:rFonts w:cs="Arial"/>
          <w:color w:val="000000"/>
          <w:szCs w:val="20"/>
          <w:lang w:val="sl-SI"/>
        </w:rPr>
      </w:pPr>
      <w:r w:rsidRPr="00994033">
        <w:rPr>
          <w:lang w:val="sl-SI"/>
        </w:rPr>
        <w:t>ZDDV-1</w:t>
      </w:r>
      <w:r w:rsidRPr="00631643">
        <w:rPr>
          <w:rFonts w:cs="Arial"/>
          <w:color w:val="000000"/>
          <w:szCs w:val="20"/>
          <w:lang w:val="sl-SI"/>
        </w:rPr>
        <w:t xml:space="preserve"> vsebuje določb</w:t>
      </w:r>
      <w:r>
        <w:rPr>
          <w:rFonts w:cs="Arial"/>
          <w:color w:val="000000"/>
          <w:szCs w:val="20"/>
          <w:lang w:val="sl-SI"/>
        </w:rPr>
        <w:t>e</w:t>
      </w:r>
      <w:r w:rsidRPr="00631643">
        <w:rPr>
          <w:rFonts w:cs="Arial"/>
          <w:color w:val="000000"/>
          <w:szCs w:val="20"/>
          <w:lang w:val="sl-SI"/>
        </w:rPr>
        <w:t xml:space="preserve">, ki </w:t>
      </w:r>
      <w:r>
        <w:rPr>
          <w:rFonts w:cs="Arial"/>
          <w:color w:val="000000"/>
          <w:szCs w:val="20"/>
          <w:lang w:val="sl-SI"/>
        </w:rPr>
        <w:t>ob izpolnjevanju določenih pogojev</w:t>
      </w:r>
      <w:r w:rsidRPr="00631643">
        <w:rPr>
          <w:rFonts w:cs="Arial"/>
          <w:color w:val="000000"/>
          <w:szCs w:val="20"/>
          <w:lang w:val="sl-SI"/>
        </w:rPr>
        <w:t xml:space="preserve"> omogoča</w:t>
      </w:r>
      <w:r>
        <w:rPr>
          <w:rFonts w:cs="Arial"/>
          <w:color w:val="000000"/>
          <w:szCs w:val="20"/>
          <w:lang w:val="sl-SI"/>
        </w:rPr>
        <w:t>jo</w:t>
      </w:r>
      <w:r w:rsidRPr="00631643">
        <w:rPr>
          <w:rFonts w:cs="Arial"/>
          <w:color w:val="000000"/>
          <w:szCs w:val="20"/>
          <w:lang w:val="sl-SI"/>
        </w:rPr>
        <w:t xml:space="preserve"> znižanje davčne osnove iz razloga neplačila</w:t>
      </w:r>
      <w:r>
        <w:rPr>
          <w:rFonts w:cs="Arial"/>
          <w:color w:val="000000"/>
          <w:szCs w:val="20"/>
          <w:lang w:val="sl-SI"/>
        </w:rPr>
        <w:t>, vendar le za primere in pod pogoji, izrecno določenimi v tretjem in četrtem odstavku 39. člena zakona.</w:t>
      </w:r>
      <w:r w:rsidRPr="00631643" w:rsidDel="00FA0243">
        <w:rPr>
          <w:rFonts w:cs="Arial"/>
          <w:color w:val="000000"/>
          <w:szCs w:val="20"/>
          <w:lang w:val="sl-SI"/>
        </w:rPr>
        <w:t xml:space="preserve"> </w:t>
      </w:r>
    </w:p>
    <w:p w:rsidR="00577016" w:rsidRDefault="00577016" w:rsidP="00577016">
      <w:pPr>
        <w:jc w:val="both"/>
        <w:rPr>
          <w:rFonts w:cs="Arial"/>
          <w:color w:val="000000"/>
          <w:szCs w:val="20"/>
          <w:lang w:val="sl-SI"/>
        </w:rPr>
      </w:pPr>
    </w:p>
    <w:p w:rsidR="00577016" w:rsidRDefault="00577016" w:rsidP="00577016">
      <w:pPr>
        <w:jc w:val="both"/>
        <w:rPr>
          <w:rFonts w:cs="Arial"/>
          <w:szCs w:val="20"/>
          <w:lang w:val="sl-SI"/>
        </w:rPr>
      </w:pPr>
      <w:r>
        <w:rPr>
          <w:rFonts w:cs="Arial"/>
          <w:color w:val="000000"/>
          <w:szCs w:val="20"/>
          <w:lang w:val="sl-SI"/>
        </w:rPr>
        <w:t>I</w:t>
      </w:r>
      <w:r w:rsidRPr="00631643">
        <w:rPr>
          <w:rFonts w:cs="Arial"/>
          <w:color w:val="000000"/>
          <w:szCs w:val="20"/>
          <w:lang w:val="sl-SI"/>
        </w:rPr>
        <w:t>z navedenega izhaja, da č</w:t>
      </w:r>
      <w:r w:rsidRPr="00631643">
        <w:rPr>
          <w:rFonts w:cs="Arial"/>
          <w:szCs w:val="20"/>
          <w:lang w:val="sl-SI"/>
        </w:rPr>
        <w:t xml:space="preserve">e je pogodba o finančnem najemu prekinjena in predmet lizinga vrnjen, je predmet DDV tudi vrednost do prekinitve pogodbe nezapadlih obrokov. </w:t>
      </w:r>
      <w:r>
        <w:rPr>
          <w:rFonts w:cs="Arial"/>
          <w:szCs w:val="20"/>
          <w:lang w:val="sl-SI"/>
        </w:rPr>
        <w:t>Dodajamo pa</w:t>
      </w:r>
      <w:r w:rsidRPr="00631643">
        <w:rPr>
          <w:rFonts w:cs="Arial"/>
          <w:szCs w:val="20"/>
          <w:lang w:val="sl-SI"/>
        </w:rPr>
        <w:t xml:space="preserve">, da </w:t>
      </w:r>
      <w:r>
        <w:rPr>
          <w:rFonts w:cs="Arial"/>
          <w:szCs w:val="20"/>
          <w:lang w:val="sl-SI"/>
        </w:rPr>
        <w:t xml:space="preserve">lahko </w:t>
      </w:r>
      <w:r w:rsidRPr="00631643">
        <w:rPr>
          <w:rFonts w:cs="Arial"/>
          <w:szCs w:val="20"/>
          <w:lang w:val="sl-SI"/>
        </w:rPr>
        <w:t>davčni zavezanec v skladu z</w:t>
      </w:r>
      <w:r>
        <w:rPr>
          <w:rFonts w:cs="Arial"/>
          <w:szCs w:val="20"/>
          <w:lang w:val="sl-SI"/>
        </w:rPr>
        <w:t xml:space="preserve"> drugim odstavkom</w:t>
      </w:r>
      <w:r w:rsidRPr="00631643">
        <w:rPr>
          <w:rFonts w:cs="Arial"/>
          <w:szCs w:val="20"/>
          <w:lang w:val="sl-SI"/>
        </w:rPr>
        <w:t xml:space="preserve"> 39. člen</w:t>
      </w:r>
      <w:r>
        <w:rPr>
          <w:rFonts w:cs="Arial"/>
          <w:szCs w:val="20"/>
          <w:lang w:val="sl-SI"/>
        </w:rPr>
        <w:t>a</w:t>
      </w:r>
      <w:r w:rsidRPr="00631643">
        <w:rPr>
          <w:rFonts w:cs="Arial"/>
          <w:szCs w:val="20"/>
          <w:lang w:val="sl-SI"/>
        </w:rPr>
        <w:t xml:space="preserve"> ZDDV-1</w:t>
      </w:r>
      <w:r>
        <w:rPr>
          <w:rFonts w:cs="Arial"/>
          <w:szCs w:val="20"/>
          <w:lang w:val="sl-SI"/>
        </w:rPr>
        <w:t xml:space="preserve"> (če je lizingojemalec davčni zavezanec)</w:t>
      </w:r>
      <w:r w:rsidRPr="00631643">
        <w:rPr>
          <w:rFonts w:cs="Arial"/>
          <w:szCs w:val="20"/>
          <w:lang w:val="sl-SI"/>
        </w:rPr>
        <w:t xml:space="preserve"> oz. v skladu </w:t>
      </w:r>
      <w:r>
        <w:rPr>
          <w:rFonts w:cs="Arial"/>
          <w:szCs w:val="20"/>
          <w:lang w:val="sl-SI"/>
        </w:rPr>
        <w:t>s</w:t>
      </w:r>
      <w:r w:rsidRPr="00631643">
        <w:rPr>
          <w:rFonts w:cs="Arial"/>
          <w:szCs w:val="20"/>
          <w:lang w:val="sl-SI"/>
        </w:rPr>
        <w:t xml:space="preserve"> </w:t>
      </w:r>
      <w:r>
        <w:rPr>
          <w:rFonts w:cs="Arial"/>
          <w:szCs w:val="20"/>
          <w:lang w:val="sl-SI"/>
        </w:rPr>
        <w:t>41</w:t>
      </w:r>
      <w:r w:rsidRPr="00631643">
        <w:rPr>
          <w:rFonts w:cs="Arial"/>
          <w:szCs w:val="20"/>
          <w:lang w:val="sl-SI"/>
        </w:rPr>
        <w:t>. člen</w:t>
      </w:r>
      <w:r>
        <w:rPr>
          <w:rFonts w:cs="Arial"/>
          <w:szCs w:val="20"/>
          <w:lang w:val="sl-SI"/>
        </w:rPr>
        <w:t>om</w:t>
      </w:r>
      <w:r w:rsidRPr="00631643">
        <w:rPr>
          <w:rFonts w:cs="Arial"/>
          <w:szCs w:val="20"/>
          <w:lang w:val="sl-SI"/>
        </w:rPr>
        <w:t xml:space="preserve"> </w:t>
      </w:r>
      <w:r w:rsidRPr="00994033">
        <w:rPr>
          <w:lang w:val="sl-SI"/>
        </w:rPr>
        <w:t>Pravilnik</w:t>
      </w:r>
      <w:r>
        <w:rPr>
          <w:lang w:val="sl-SI"/>
        </w:rPr>
        <w:t>a</w:t>
      </w:r>
      <w:r w:rsidRPr="00E678C8">
        <w:rPr>
          <w:rFonts w:cs="Arial"/>
          <w:szCs w:val="20"/>
          <w:lang w:val="sl-SI"/>
        </w:rPr>
        <w:t xml:space="preserve"> </w:t>
      </w:r>
      <w:r w:rsidRPr="00631643">
        <w:rPr>
          <w:rFonts w:cs="Arial"/>
          <w:szCs w:val="20"/>
          <w:lang w:val="sl-SI"/>
        </w:rPr>
        <w:t xml:space="preserve">o izvajanju Zakona o davku na dodano vrednost – </w:t>
      </w:r>
      <w:hyperlink r:id="rId10" w:history="1">
        <w:r w:rsidRPr="00631643">
          <w:rPr>
            <w:rStyle w:val="Hiperpovezava"/>
            <w:rFonts w:cs="Arial"/>
            <w:szCs w:val="20"/>
            <w:lang w:val="sl-SI"/>
          </w:rPr>
          <w:t>Pravilnik</w:t>
        </w:r>
      </w:hyperlink>
      <w:r>
        <w:rPr>
          <w:rFonts w:cs="Arial"/>
          <w:szCs w:val="20"/>
          <w:lang w:val="sl-SI"/>
        </w:rPr>
        <w:t xml:space="preserve"> (</w:t>
      </w:r>
      <w:r w:rsidRPr="00631643">
        <w:rPr>
          <w:rFonts w:cs="Arial"/>
          <w:szCs w:val="20"/>
          <w:lang w:val="sl-SI"/>
        </w:rPr>
        <w:t>če je lizingojemalec končni potrošnik</w:t>
      </w:r>
      <w:r>
        <w:rPr>
          <w:rFonts w:cs="Arial"/>
          <w:szCs w:val="20"/>
          <w:lang w:val="sl-SI"/>
        </w:rPr>
        <w:t>)</w:t>
      </w:r>
      <w:r w:rsidRPr="00631643">
        <w:rPr>
          <w:rFonts w:cs="Arial"/>
          <w:szCs w:val="20"/>
          <w:lang w:val="sl-SI"/>
        </w:rPr>
        <w:t xml:space="preserve">, zmanjša davčno osnovo in popravi (zmanjša) znesek obračunanega DDV. </w:t>
      </w:r>
      <w:r>
        <w:rPr>
          <w:rFonts w:cs="Arial"/>
          <w:szCs w:val="20"/>
          <w:lang w:val="sl-SI"/>
        </w:rPr>
        <w:t xml:space="preserve"> </w:t>
      </w:r>
    </w:p>
    <w:p w:rsidR="00577016" w:rsidRDefault="00577016" w:rsidP="00577016">
      <w:pPr>
        <w:jc w:val="both"/>
        <w:rPr>
          <w:rFonts w:cs="Arial"/>
          <w:szCs w:val="20"/>
          <w:lang w:val="sl-SI"/>
        </w:rPr>
      </w:pPr>
    </w:p>
    <w:p w:rsidR="00577016" w:rsidRPr="00994033" w:rsidRDefault="00577016" w:rsidP="00577016">
      <w:pPr>
        <w:jc w:val="both"/>
        <w:rPr>
          <w:lang w:val="sl-SI"/>
        </w:rPr>
      </w:pPr>
      <w:r w:rsidRPr="00994033">
        <w:rPr>
          <w:lang w:val="sl-SI"/>
        </w:rPr>
        <w:t xml:space="preserve">V skladu z drugim odstavkom 39. člena ZDDV-1 se pri preklicu naročila, vračilu ali znižanju cene po opravljeni dobavi davčna osnova ustrezno zmanjša. Davčni zavezanec lahko popravi (zmanjša) znesek obračunanega DDV, če pisno obvesti kupca o znesku DDV, do katerega kupec nima pravice do odbitka. V skladu z navedeno določbo lahko lizingodajalec v primeru, če se pogodba o finančnem lizingu prekine in lizingojemalec vrne predmet lizinga, zmanjša davčno osnovo in posledično obračunani DDV, če lizingojemalca pisno obvesti o znesku DDV, do katerega lizingojemalec nima pravice do odbitka. Temelj za popravek obračunanega DDV je torej listina, s katero lizingodajalec lizingojemalca obvesti o znesku DDV, za katerega lizingojemalec nima pravice do odbitka DDV. Katera je ta listina, je odvisno od primera do primera (najpogosteje je to dobropis, ni pa nujno). </w:t>
      </w:r>
    </w:p>
    <w:p w:rsidR="00577016" w:rsidRPr="00994033" w:rsidRDefault="00577016" w:rsidP="00577016">
      <w:pPr>
        <w:jc w:val="both"/>
        <w:rPr>
          <w:lang w:val="sl-SI"/>
        </w:rPr>
      </w:pPr>
    </w:p>
    <w:p w:rsidR="00577016" w:rsidRPr="00994033" w:rsidRDefault="00577016" w:rsidP="00577016">
      <w:pPr>
        <w:jc w:val="both"/>
        <w:rPr>
          <w:lang w:val="sl-SI"/>
        </w:rPr>
      </w:pPr>
      <w:r w:rsidRPr="00994033">
        <w:rPr>
          <w:lang w:val="sl-SI"/>
        </w:rPr>
        <w:t xml:space="preserve">Kadar je lizingojemalec končni potrošnik, se upošteva določba tretjega odstavka 41. člena </w:t>
      </w:r>
      <w:r w:rsidRPr="00631643">
        <w:rPr>
          <w:rFonts w:cs="Arial"/>
          <w:szCs w:val="20"/>
          <w:lang w:val="sl-SI"/>
        </w:rPr>
        <w:t>Pravilnika</w:t>
      </w:r>
      <w:r w:rsidRPr="00994033">
        <w:rPr>
          <w:lang w:val="sl-SI"/>
        </w:rPr>
        <w:t xml:space="preserve">, ki določa, da lahko v tem primeru davčni zavezanec zmanjša davčno osnovo, če razpolaga z dokumentom, ki dokazuje prekinitev pogodbe oziroma odpoved dobave blaga oziroma storitve, in če dokaže, da je bila kupnina ali del kupnine vrnjen kupcu ali njeno plačilo odpuščeno. </w:t>
      </w:r>
    </w:p>
    <w:p w:rsidR="00577016" w:rsidRPr="00631643" w:rsidRDefault="00577016" w:rsidP="00577016">
      <w:pPr>
        <w:jc w:val="both"/>
        <w:rPr>
          <w:rFonts w:cs="Arial"/>
          <w:szCs w:val="20"/>
          <w:lang w:val="sl-SI"/>
        </w:rPr>
      </w:pPr>
    </w:p>
    <w:p w:rsidR="00577016" w:rsidRDefault="00577016" w:rsidP="00577016">
      <w:pPr>
        <w:jc w:val="both"/>
        <w:rPr>
          <w:rFonts w:cs="Arial"/>
          <w:color w:val="000000"/>
          <w:szCs w:val="20"/>
          <w:lang w:val="sl-SI"/>
        </w:rPr>
      </w:pPr>
      <w:r w:rsidRPr="007A7731">
        <w:rPr>
          <w:lang w:val="sl-SI"/>
        </w:rPr>
        <w:t>Poudarjamo, da je treba glede na to, da prihaja v praksi pri odpovedi pogodb finančnega lizinga do različnih situacij, glede na konkretne okoliščine primera (pogodbena določila pogodbe o finančnem lizingu, spremljajoči splošni pogoji, kdaj je opravljen odvzem oziroma vračilo predmeta lizinga…) v vsakem posameznem primeru ugotoviti obveznosti in pravice lizingodajalca z vidika DDV zakonodaje.</w:t>
      </w:r>
    </w:p>
    <w:p w:rsidR="00577016" w:rsidRDefault="00577016" w:rsidP="00577016">
      <w:pPr>
        <w:jc w:val="both"/>
        <w:rPr>
          <w:lang w:val="sl-SI"/>
        </w:rPr>
      </w:pPr>
    </w:p>
    <w:p w:rsidR="00577016" w:rsidRDefault="00577016" w:rsidP="00577016">
      <w:pPr>
        <w:jc w:val="both"/>
        <w:rPr>
          <w:lang w:val="sl-SI"/>
        </w:rPr>
      </w:pPr>
      <w:r>
        <w:rPr>
          <w:lang w:val="sl-SI"/>
        </w:rPr>
        <w:lastRenderedPageBreak/>
        <w:t>Zgoraj navedeno velja tudi za primere, ko</w:t>
      </w:r>
      <w:r w:rsidRPr="00994033">
        <w:rPr>
          <w:lang w:val="sl-SI"/>
        </w:rPr>
        <w:t xml:space="preserve"> predmet lizinga ob prekinitvi pogodbe ni vrnjen</w:t>
      </w:r>
      <w:r>
        <w:rPr>
          <w:lang w:val="sl-SI"/>
        </w:rPr>
        <w:t>.</w:t>
      </w:r>
      <w:r w:rsidRPr="00994033">
        <w:rPr>
          <w:lang w:val="sl-SI"/>
        </w:rPr>
        <w:t xml:space="preserve"> V tem primeru lizingojemalec sicer uporablja predmet lizinga v nasprotju z določili pogodbe o lizingu, ki je bila enostransko prekinjena, na podlagi katerih bi moral lizingojemalec ob prekinitvi v določenem roku lizingodajalcu vrniti predmet lizinga oziroma ga ima le ta pravico zaseči, vendar navedeno dejstvo na obdavčitev z vidika DDV ne vpliva. </w:t>
      </w:r>
    </w:p>
    <w:p w:rsidR="00577016" w:rsidRDefault="00577016" w:rsidP="00577016">
      <w:pPr>
        <w:jc w:val="both"/>
        <w:rPr>
          <w:lang w:val="sl-SI"/>
        </w:rPr>
      </w:pPr>
    </w:p>
    <w:p w:rsidR="00577016" w:rsidRDefault="00577016" w:rsidP="00577016">
      <w:pPr>
        <w:jc w:val="both"/>
        <w:rPr>
          <w:lang w:val="sl-SI"/>
        </w:rPr>
      </w:pPr>
      <w:r w:rsidRPr="00994033">
        <w:rPr>
          <w:lang w:val="sl-SI"/>
        </w:rPr>
        <w:t xml:space="preserve">Nadaljnja dobava odvzetega predmeta lizinga z vidika DDV predstavlja samostojno transakcijo, ki je predmet DDV. </w:t>
      </w:r>
    </w:p>
    <w:p w:rsidR="00577016" w:rsidRDefault="00577016" w:rsidP="00577016">
      <w:pPr>
        <w:jc w:val="both"/>
        <w:rPr>
          <w:lang w:val="sl-SI"/>
        </w:rPr>
      </w:pPr>
    </w:p>
    <w:p w:rsidR="00577016" w:rsidRDefault="00577016" w:rsidP="00577016">
      <w:pPr>
        <w:jc w:val="both"/>
        <w:rPr>
          <w:lang w:val="sl-SI"/>
        </w:rPr>
      </w:pPr>
      <w:r>
        <w:rPr>
          <w:lang w:val="sl-SI"/>
        </w:rPr>
        <w:t xml:space="preserve">S tem pojasnilom se nadomešča oz. dopolnjuje pojasnilo </w:t>
      </w:r>
      <w:r w:rsidRPr="00631643">
        <w:rPr>
          <w:szCs w:val="20"/>
          <w:lang w:val="sl-SI"/>
        </w:rPr>
        <w:t>št. 4230-156526/2014-2</w:t>
      </w:r>
      <w:r>
        <w:rPr>
          <w:szCs w:val="20"/>
          <w:lang w:val="sl-SI"/>
        </w:rPr>
        <w:t xml:space="preserve"> v delu glede določitve davčne osnove oz. popravka le te v primeru prekinitve lizing pogodbe in vračila predmeta lizinga.</w:t>
      </w:r>
    </w:p>
    <w:p w:rsidR="00577016" w:rsidRPr="00E678C8" w:rsidRDefault="00577016" w:rsidP="00577016">
      <w:pPr>
        <w:jc w:val="both"/>
        <w:rPr>
          <w:rFonts w:cs="Arial"/>
          <w:color w:val="000000"/>
          <w:szCs w:val="20"/>
          <w:lang w:val="sl-SI"/>
        </w:rPr>
      </w:pPr>
    </w:p>
    <w:p w:rsidR="00577016" w:rsidRPr="00BC2517" w:rsidRDefault="00577016" w:rsidP="00577016">
      <w:pPr>
        <w:pStyle w:val="podpisi"/>
        <w:rPr>
          <w:lang w:val="sl-SI"/>
        </w:rPr>
      </w:pPr>
      <w:bookmarkStart w:id="0" w:name="_GoBack"/>
      <w:bookmarkEnd w:id="0"/>
    </w:p>
    <w:p w:rsidR="007D75CF" w:rsidRPr="00BC2517" w:rsidRDefault="007D75CF" w:rsidP="007D75CF">
      <w:pPr>
        <w:rPr>
          <w:lang w:val="sl-SI"/>
        </w:rPr>
      </w:pPr>
    </w:p>
    <w:p w:rsidR="007D75CF" w:rsidRPr="00BC2517" w:rsidRDefault="007D75CF" w:rsidP="007D75CF">
      <w:pPr>
        <w:rPr>
          <w:lang w:val="sl-SI"/>
        </w:rPr>
      </w:pPr>
    </w:p>
    <w:p w:rsidR="00F57FED" w:rsidRPr="00BC2517" w:rsidRDefault="00F57FED" w:rsidP="007D75CF">
      <w:pPr>
        <w:rPr>
          <w:lang w:val="sl-SI"/>
        </w:rPr>
      </w:pPr>
    </w:p>
    <w:p w:rsidR="00377950" w:rsidRPr="00BC2517" w:rsidRDefault="00377950" w:rsidP="007D75CF">
      <w:pPr>
        <w:rPr>
          <w:lang w:val="sl-SI"/>
        </w:rPr>
      </w:pPr>
    </w:p>
    <w:p w:rsidR="00377950" w:rsidRPr="00BC2517" w:rsidRDefault="00377950" w:rsidP="007D75CF">
      <w:pPr>
        <w:rPr>
          <w:lang w:val="sl-SI"/>
        </w:rPr>
      </w:pPr>
    </w:p>
    <w:p w:rsidR="007D75CF" w:rsidRPr="00BC2517" w:rsidRDefault="007D75CF" w:rsidP="003E1C74">
      <w:pPr>
        <w:pStyle w:val="podpisi"/>
        <w:rPr>
          <w:lang w:val="sl-SI"/>
        </w:rPr>
      </w:pPr>
    </w:p>
    <w:p w:rsidR="00F02E53" w:rsidRPr="00BC2517" w:rsidRDefault="00F02E53" w:rsidP="003E1C74">
      <w:pPr>
        <w:pStyle w:val="podpisi"/>
        <w:rPr>
          <w:lang w:val="sl-SI"/>
        </w:rPr>
      </w:pPr>
    </w:p>
    <w:p w:rsidR="00F02E53" w:rsidRPr="00BC2517" w:rsidRDefault="00F02E53" w:rsidP="003E1C74">
      <w:pPr>
        <w:pStyle w:val="podpisi"/>
        <w:rPr>
          <w:lang w:val="sl-SI"/>
        </w:rPr>
      </w:pPr>
    </w:p>
    <w:sectPr w:rsidR="00F02E53" w:rsidRPr="00BC2517" w:rsidSect="00F0025B">
      <w:headerReference w:type="default"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332" w:rsidRDefault="00825332">
      <w:pPr>
        <w:spacing w:line="240" w:lineRule="auto"/>
      </w:pPr>
      <w:r>
        <w:separator/>
      </w:r>
    </w:p>
  </w:endnote>
  <w:endnote w:type="continuationSeparator" w:id="0">
    <w:p w:rsidR="00825332" w:rsidRDefault="00825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Republika"/>
    <w:panose1 w:val="02000806030000020004"/>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Default="00C43B28"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577016">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577016">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Default="00C43B28"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332" w:rsidRDefault="00825332">
      <w:pPr>
        <w:spacing w:line="240" w:lineRule="auto"/>
      </w:pPr>
      <w:r>
        <w:separator/>
      </w:r>
    </w:p>
  </w:footnote>
  <w:footnote w:type="continuationSeparator" w:id="0">
    <w:p w:rsidR="00825332" w:rsidRDefault="00825332">
      <w:pPr>
        <w:spacing w:line="240" w:lineRule="auto"/>
      </w:pPr>
      <w:r>
        <w:continuationSeparator/>
      </w:r>
    </w:p>
  </w:footnote>
  <w:footnote w:id="1">
    <w:p w:rsidR="00577016" w:rsidRPr="00994033" w:rsidRDefault="00577016" w:rsidP="00577016">
      <w:pPr>
        <w:pStyle w:val="Sprotnaopomba-besedilo"/>
        <w:rPr>
          <w:sz w:val="16"/>
          <w:szCs w:val="16"/>
          <w:lang w:val="sl-SI"/>
        </w:rPr>
      </w:pPr>
      <w:r w:rsidRPr="00994033">
        <w:rPr>
          <w:rStyle w:val="Sprotnaopomba-sklic"/>
          <w:sz w:val="16"/>
          <w:szCs w:val="16"/>
        </w:rPr>
        <w:footnoteRef/>
      </w:r>
      <w:r w:rsidRPr="00994033">
        <w:rPr>
          <w:sz w:val="16"/>
          <w:szCs w:val="16"/>
          <w:lang w:val="sl-SI"/>
        </w:rPr>
        <w:t xml:space="preserve"> </w:t>
      </w:r>
      <w:r w:rsidRPr="00994033">
        <w:rPr>
          <w:rFonts w:cs="Arial"/>
          <w:sz w:val="16"/>
          <w:szCs w:val="16"/>
          <w:lang w:val="sl-SI"/>
        </w:rPr>
        <w:t>Sodba Sodišča Evropske unije v zadevi C-242/18 z dne 3. 7. 2019.</w:t>
      </w:r>
    </w:p>
  </w:footnote>
  <w:footnote w:id="2">
    <w:p w:rsidR="00577016" w:rsidRPr="00994033" w:rsidRDefault="00577016" w:rsidP="00577016">
      <w:pPr>
        <w:pStyle w:val="Sprotnaopomba-besedilo"/>
        <w:rPr>
          <w:sz w:val="16"/>
          <w:szCs w:val="16"/>
          <w:lang w:val="sl-SI"/>
        </w:rPr>
      </w:pPr>
      <w:r w:rsidRPr="00994033">
        <w:rPr>
          <w:rStyle w:val="Sprotnaopomba-sklic"/>
          <w:sz w:val="16"/>
          <w:szCs w:val="16"/>
        </w:rPr>
        <w:footnoteRef/>
      </w:r>
      <w:r w:rsidRPr="00994033">
        <w:rPr>
          <w:sz w:val="16"/>
          <w:szCs w:val="16"/>
          <w:lang w:val="sl-SI"/>
        </w:rPr>
        <w:t xml:space="preserve"> </w:t>
      </w:r>
      <w:r w:rsidRPr="00994033">
        <w:rPr>
          <w:sz w:val="16"/>
          <w:szCs w:val="16"/>
          <w:lang w:val="sl-SI"/>
        </w:rPr>
        <w:t xml:space="preserve">Drugi odstavek 90. člena </w:t>
      </w:r>
      <w:r w:rsidRPr="00994033">
        <w:rPr>
          <w:rFonts w:cs="Arial"/>
          <w:color w:val="000000"/>
          <w:sz w:val="16"/>
          <w:szCs w:val="16"/>
          <w:lang w:val="sl-SI"/>
        </w:rPr>
        <w:t>Direktive Sveta 2006/112/ES določa, da države članice lahko odstopajo od prvega odstavka tega člena v primeru celotnega ali delnega neplačila.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Pr="00110CBD" w:rsidRDefault="000F062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7767">
      <w:trPr>
        <w:cantSplit/>
        <w:trHeight w:hRule="exact" w:val="847"/>
      </w:trPr>
      <w:tc>
        <w:tcPr>
          <w:tcW w:w="567" w:type="dxa"/>
        </w:tcPr>
        <w:p w:rsidR="000F062C" w:rsidRDefault="00C43B2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tc>
    </w:tr>
  </w:tbl>
  <w:p w:rsidR="000F062C" w:rsidRPr="008F3500" w:rsidRDefault="00C43B28"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rsidR="000F062C" w:rsidRPr="008F3500" w:rsidRDefault="00C43B28"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0F062C" w:rsidRPr="008F3500" w:rsidRDefault="00C43B28"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rsidR="000F062C" w:rsidRPr="00111B51" w:rsidRDefault="00C43B28" w:rsidP="00111B51">
    <w:pPr>
      <w:pStyle w:val="Glava"/>
      <w:tabs>
        <w:tab w:val="clear" w:pos="4320"/>
        <w:tab w:val="clear" w:pos="8640"/>
        <w:tab w:val="left" w:pos="5112"/>
      </w:tabs>
      <w:spacing w:after="120" w:line="240" w:lineRule="exact"/>
      <w:rPr>
        <w:rFonts w:ascii="Republika" w:hAnsi="Republika"/>
        <w:caps/>
        <w:lang w:val="sl-SI"/>
      </w:rPr>
    </w:pPr>
    <w:r w:rsidRPr="00111B51">
      <w:rPr>
        <w:rFonts w:ascii="Republika" w:hAnsi="Republika"/>
        <w:lang w:val="sl-SI"/>
      </w:rPr>
      <w:t>Generalni finančni urad</w:t>
    </w:r>
  </w:p>
  <w:p w:rsidR="00111B51" w:rsidRPr="008F3500" w:rsidRDefault="00C43B28" w:rsidP="00111B51">
    <w:pPr>
      <w:pStyle w:val="Glava"/>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111B51" w:rsidRPr="008F3500" w:rsidRDefault="00C43B28" w:rsidP="00111B5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111B51" w:rsidRPr="008F3500" w:rsidRDefault="00C43B28" w:rsidP="00111B5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2D8A6D8C">
      <w:start w:val="1"/>
      <w:numFmt w:val="decimal"/>
      <w:lvlText w:val="%1."/>
      <w:lvlJc w:val="left"/>
      <w:pPr>
        <w:tabs>
          <w:tab w:val="num" w:pos="1080"/>
        </w:tabs>
        <w:ind w:left="1080" w:hanging="360"/>
      </w:pPr>
      <w:rPr>
        <w:rFonts w:hint="default"/>
      </w:rPr>
    </w:lvl>
    <w:lvl w:ilvl="1" w:tplc="2744D1C4" w:tentative="1">
      <w:start w:val="1"/>
      <w:numFmt w:val="lowerLetter"/>
      <w:lvlText w:val="%2."/>
      <w:lvlJc w:val="left"/>
      <w:pPr>
        <w:ind w:left="1800" w:hanging="360"/>
      </w:pPr>
    </w:lvl>
    <w:lvl w:ilvl="2" w:tplc="FDF434A8" w:tentative="1">
      <w:start w:val="1"/>
      <w:numFmt w:val="lowerRoman"/>
      <w:lvlText w:val="%3."/>
      <w:lvlJc w:val="right"/>
      <w:pPr>
        <w:ind w:left="2520" w:hanging="180"/>
      </w:pPr>
    </w:lvl>
    <w:lvl w:ilvl="3" w:tplc="974CB416" w:tentative="1">
      <w:start w:val="1"/>
      <w:numFmt w:val="decimal"/>
      <w:lvlText w:val="%4."/>
      <w:lvlJc w:val="left"/>
      <w:pPr>
        <w:ind w:left="3240" w:hanging="360"/>
      </w:pPr>
    </w:lvl>
    <w:lvl w:ilvl="4" w:tplc="45EE0930" w:tentative="1">
      <w:start w:val="1"/>
      <w:numFmt w:val="lowerLetter"/>
      <w:lvlText w:val="%5."/>
      <w:lvlJc w:val="left"/>
      <w:pPr>
        <w:ind w:left="3960" w:hanging="360"/>
      </w:pPr>
    </w:lvl>
    <w:lvl w:ilvl="5" w:tplc="D67CE02A" w:tentative="1">
      <w:start w:val="1"/>
      <w:numFmt w:val="lowerRoman"/>
      <w:lvlText w:val="%6."/>
      <w:lvlJc w:val="right"/>
      <w:pPr>
        <w:ind w:left="4680" w:hanging="180"/>
      </w:pPr>
    </w:lvl>
    <w:lvl w:ilvl="6" w:tplc="6A689C1A" w:tentative="1">
      <w:start w:val="1"/>
      <w:numFmt w:val="decimal"/>
      <w:lvlText w:val="%7."/>
      <w:lvlJc w:val="left"/>
      <w:pPr>
        <w:ind w:left="5400" w:hanging="360"/>
      </w:pPr>
    </w:lvl>
    <w:lvl w:ilvl="7" w:tplc="0FF2057E" w:tentative="1">
      <w:start w:val="1"/>
      <w:numFmt w:val="lowerLetter"/>
      <w:lvlText w:val="%8."/>
      <w:lvlJc w:val="left"/>
      <w:pPr>
        <w:ind w:left="6120" w:hanging="360"/>
      </w:pPr>
    </w:lvl>
    <w:lvl w:ilvl="8" w:tplc="2D0C7166"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B70A8B34">
      <w:start w:val="1"/>
      <w:numFmt w:val="decimal"/>
      <w:lvlText w:val="%1."/>
      <w:lvlJc w:val="left"/>
      <w:pPr>
        <w:tabs>
          <w:tab w:val="num" w:pos="360"/>
        </w:tabs>
        <w:ind w:left="360" w:hanging="360"/>
      </w:pPr>
      <w:rPr>
        <w:rFonts w:hint="default"/>
      </w:rPr>
    </w:lvl>
    <w:lvl w:ilvl="1" w:tplc="DA34B414" w:tentative="1">
      <w:start w:val="1"/>
      <w:numFmt w:val="lowerLetter"/>
      <w:lvlText w:val="%2."/>
      <w:lvlJc w:val="left"/>
      <w:pPr>
        <w:ind w:left="1080" w:hanging="360"/>
      </w:pPr>
    </w:lvl>
    <w:lvl w:ilvl="2" w:tplc="DDB877F2" w:tentative="1">
      <w:start w:val="1"/>
      <w:numFmt w:val="lowerRoman"/>
      <w:lvlText w:val="%3."/>
      <w:lvlJc w:val="right"/>
      <w:pPr>
        <w:ind w:left="1800" w:hanging="180"/>
      </w:pPr>
    </w:lvl>
    <w:lvl w:ilvl="3" w:tplc="E1E834B6" w:tentative="1">
      <w:start w:val="1"/>
      <w:numFmt w:val="decimal"/>
      <w:lvlText w:val="%4."/>
      <w:lvlJc w:val="left"/>
      <w:pPr>
        <w:ind w:left="2520" w:hanging="360"/>
      </w:pPr>
    </w:lvl>
    <w:lvl w:ilvl="4" w:tplc="97CAA8AE" w:tentative="1">
      <w:start w:val="1"/>
      <w:numFmt w:val="lowerLetter"/>
      <w:lvlText w:val="%5."/>
      <w:lvlJc w:val="left"/>
      <w:pPr>
        <w:ind w:left="3240" w:hanging="360"/>
      </w:pPr>
    </w:lvl>
    <w:lvl w:ilvl="5" w:tplc="8B8CE80A" w:tentative="1">
      <w:start w:val="1"/>
      <w:numFmt w:val="lowerRoman"/>
      <w:lvlText w:val="%6."/>
      <w:lvlJc w:val="right"/>
      <w:pPr>
        <w:ind w:left="3960" w:hanging="180"/>
      </w:pPr>
    </w:lvl>
    <w:lvl w:ilvl="6" w:tplc="7346D2B2" w:tentative="1">
      <w:start w:val="1"/>
      <w:numFmt w:val="decimal"/>
      <w:lvlText w:val="%7."/>
      <w:lvlJc w:val="left"/>
      <w:pPr>
        <w:ind w:left="4680" w:hanging="360"/>
      </w:pPr>
    </w:lvl>
    <w:lvl w:ilvl="7" w:tplc="A228642A" w:tentative="1">
      <w:start w:val="1"/>
      <w:numFmt w:val="lowerLetter"/>
      <w:lvlText w:val="%8."/>
      <w:lvlJc w:val="left"/>
      <w:pPr>
        <w:ind w:left="5400" w:hanging="360"/>
      </w:pPr>
    </w:lvl>
    <w:lvl w:ilvl="8" w:tplc="FC560840"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7F5C6354">
      <w:start w:val="1"/>
      <w:numFmt w:val="decimal"/>
      <w:lvlText w:val="%1."/>
      <w:lvlJc w:val="left"/>
      <w:pPr>
        <w:tabs>
          <w:tab w:val="num" w:pos="720"/>
        </w:tabs>
        <w:ind w:left="720" w:hanging="360"/>
      </w:pPr>
      <w:rPr>
        <w:rFonts w:hint="default"/>
      </w:rPr>
    </w:lvl>
    <w:lvl w:ilvl="1" w:tplc="188AD1A6" w:tentative="1">
      <w:start w:val="1"/>
      <w:numFmt w:val="lowerLetter"/>
      <w:lvlText w:val="%2."/>
      <w:lvlJc w:val="left"/>
      <w:pPr>
        <w:tabs>
          <w:tab w:val="num" w:pos="1440"/>
        </w:tabs>
        <w:ind w:left="1440" w:hanging="360"/>
      </w:pPr>
    </w:lvl>
    <w:lvl w:ilvl="2" w:tplc="57304D32" w:tentative="1">
      <w:start w:val="1"/>
      <w:numFmt w:val="lowerRoman"/>
      <w:lvlText w:val="%3."/>
      <w:lvlJc w:val="right"/>
      <w:pPr>
        <w:tabs>
          <w:tab w:val="num" w:pos="2160"/>
        </w:tabs>
        <w:ind w:left="2160" w:hanging="180"/>
      </w:pPr>
    </w:lvl>
    <w:lvl w:ilvl="3" w:tplc="C8DAD678" w:tentative="1">
      <w:start w:val="1"/>
      <w:numFmt w:val="decimal"/>
      <w:lvlText w:val="%4."/>
      <w:lvlJc w:val="left"/>
      <w:pPr>
        <w:tabs>
          <w:tab w:val="num" w:pos="2880"/>
        </w:tabs>
        <w:ind w:left="2880" w:hanging="360"/>
      </w:pPr>
    </w:lvl>
    <w:lvl w:ilvl="4" w:tplc="46F2195E" w:tentative="1">
      <w:start w:val="1"/>
      <w:numFmt w:val="lowerLetter"/>
      <w:lvlText w:val="%5."/>
      <w:lvlJc w:val="left"/>
      <w:pPr>
        <w:tabs>
          <w:tab w:val="num" w:pos="3600"/>
        </w:tabs>
        <w:ind w:left="3600" w:hanging="360"/>
      </w:pPr>
    </w:lvl>
    <w:lvl w:ilvl="5" w:tplc="B4A6F702" w:tentative="1">
      <w:start w:val="1"/>
      <w:numFmt w:val="lowerRoman"/>
      <w:lvlText w:val="%6."/>
      <w:lvlJc w:val="right"/>
      <w:pPr>
        <w:tabs>
          <w:tab w:val="num" w:pos="4320"/>
        </w:tabs>
        <w:ind w:left="4320" w:hanging="180"/>
      </w:pPr>
    </w:lvl>
    <w:lvl w:ilvl="6" w:tplc="ABE61868" w:tentative="1">
      <w:start w:val="1"/>
      <w:numFmt w:val="decimal"/>
      <w:lvlText w:val="%7."/>
      <w:lvlJc w:val="left"/>
      <w:pPr>
        <w:tabs>
          <w:tab w:val="num" w:pos="5040"/>
        </w:tabs>
        <w:ind w:left="5040" w:hanging="360"/>
      </w:pPr>
    </w:lvl>
    <w:lvl w:ilvl="7" w:tplc="BC524612" w:tentative="1">
      <w:start w:val="1"/>
      <w:numFmt w:val="lowerLetter"/>
      <w:lvlText w:val="%8."/>
      <w:lvlJc w:val="left"/>
      <w:pPr>
        <w:tabs>
          <w:tab w:val="num" w:pos="5760"/>
        </w:tabs>
        <w:ind w:left="5760" w:hanging="360"/>
      </w:pPr>
    </w:lvl>
    <w:lvl w:ilvl="8" w:tplc="7542015E"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A82C0C62">
      <w:start w:val="1"/>
      <w:numFmt w:val="decimal"/>
      <w:lvlText w:val="%1."/>
      <w:lvlJc w:val="left"/>
      <w:pPr>
        <w:tabs>
          <w:tab w:val="num" w:pos="720"/>
        </w:tabs>
        <w:ind w:left="720" w:hanging="360"/>
      </w:pPr>
    </w:lvl>
    <w:lvl w:ilvl="1" w:tplc="4D9A9D64" w:tentative="1">
      <w:start w:val="1"/>
      <w:numFmt w:val="lowerLetter"/>
      <w:lvlText w:val="%2."/>
      <w:lvlJc w:val="left"/>
      <w:pPr>
        <w:tabs>
          <w:tab w:val="num" w:pos="1440"/>
        </w:tabs>
        <w:ind w:left="1440" w:hanging="360"/>
      </w:pPr>
    </w:lvl>
    <w:lvl w:ilvl="2" w:tplc="894461A8" w:tentative="1">
      <w:start w:val="1"/>
      <w:numFmt w:val="lowerRoman"/>
      <w:lvlText w:val="%3."/>
      <w:lvlJc w:val="right"/>
      <w:pPr>
        <w:tabs>
          <w:tab w:val="num" w:pos="2160"/>
        </w:tabs>
        <w:ind w:left="2160" w:hanging="180"/>
      </w:pPr>
    </w:lvl>
    <w:lvl w:ilvl="3" w:tplc="FB0A4718" w:tentative="1">
      <w:start w:val="1"/>
      <w:numFmt w:val="decimal"/>
      <w:lvlText w:val="%4."/>
      <w:lvlJc w:val="left"/>
      <w:pPr>
        <w:tabs>
          <w:tab w:val="num" w:pos="2880"/>
        </w:tabs>
        <w:ind w:left="2880" w:hanging="360"/>
      </w:pPr>
    </w:lvl>
    <w:lvl w:ilvl="4" w:tplc="B42EF10A" w:tentative="1">
      <w:start w:val="1"/>
      <w:numFmt w:val="lowerLetter"/>
      <w:lvlText w:val="%5."/>
      <w:lvlJc w:val="left"/>
      <w:pPr>
        <w:tabs>
          <w:tab w:val="num" w:pos="3600"/>
        </w:tabs>
        <w:ind w:left="3600" w:hanging="360"/>
      </w:pPr>
    </w:lvl>
    <w:lvl w:ilvl="5" w:tplc="CBAAEBE6" w:tentative="1">
      <w:start w:val="1"/>
      <w:numFmt w:val="lowerRoman"/>
      <w:lvlText w:val="%6."/>
      <w:lvlJc w:val="right"/>
      <w:pPr>
        <w:tabs>
          <w:tab w:val="num" w:pos="4320"/>
        </w:tabs>
        <w:ind w:left="4320" w:hanging="180"/>
      </w:pPr>
    </w:lvl>
    <w:lvl w:ilvl="6" w:tplc="6EE024EA" w:tentative="1">
      <w:start w:val="1"/>
      <w:numFmt w:val="decimal"/>
      <w:lvlText w:val="%7."/>
      <w:lvlJc w:val="left"/>
      <w:pPr>
        <w:tabs>
          <w:tab w:val="num" w:pos="5040"/>
        </w:tabs>
        <w:ind w:left="5040" w:hanging="360"/>
      </w:pPr>
    </w:lvl>
    <w:lvl w:ilvl="7" w:tplc="6A54A26C" w:tentative="1">
      <w:start w:val="1"/>
      <w:numFmt w:val="lowerLetter"/>
      <w:lvlText w:val="%8."/>
      <w:lvlJc w:val="left"/>
      <w:pPr>
        <w:tabs>
          <w:tab w:val="num" w:pos="5760"/>
        </w:tabs>
        <w:ind w:left="5760" w:hanging="360"/>
      </w:pPr>
    </w:lvl>
    <w:lvl w:ilvl="8" w:tplc="94C6DAE4"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062C"/>
    <w:rsid w:val="000F3D38"/>
    <w:rsid w:val="00110CBD"/>
    <w:rsid w:val="00111B51"/>
    <w:rsid w:val="001357B2"/>
    <w:rsid w:val="00151388"/>
    <w:rsid w:val="00151872"/>
    <w:rsid w:val="00160E5F"/>
    <w:rsid w:val="001A3BA5"/>
    <w:rsid w:val="001D2D63"/>
    <w:rsid w:val="001F3B21"/>
    <w:rsid w:val="001F7BC0"/>
    <w:rsid w:val="00202A77"/>
    <w:rsid w:val="00232E47"/>
    <w:rsid w:val="00261D99"/>
    <w:rsid w:val="00262960"/>
    <w:rsid w:val="00271CE5"/>
    <w:rsid w:val="00282020"/>
    <w:rsid w:val="00285890"/>
    <w:rsid w:val="002934F1"/>
    <w:rsid w:val="00296D93"/>
    <w:rsid w:val="002A4B44"/>
    <w:rsid w:val="002C7EEB"/>
    <w:rsid w:val="00304726"/>
    <w:rsid w:val="00315D82"/>
    <w:rsid w:val="0032085F"/>
    <w:rsid w:val="00352109"/>
    <w:rsid w:val="003636BF"/>
    <w:rsid w:val="00370AA7"/>
    <w:rsid w:val="00371034"/>
    <w:rsid w:val="0037479F"/>
    <w:rsid w:val="00377950"/>
    <w:rsid w:val="003845B4"/>
    <w:rsid w:val="00387B1A"/>
    <w:rsid w:val="003B5CF4"/>
    <w:rsid w:val="003C3B1D"/>
    <w:rsid w:val="003D0306"/>
    <w:rsid w:val="003E1C74"/>
    <w:rsid w:val="003E7E9E"/>
    <w:rsid w:val="003F4966"/>
    <w:rsid w:val="00416CED"/>
    <w:rsid w:val="00484A06"/>
    <w:rsid w:val="004A2490"/>
    <w:rsid w:val="004A4233"/>
    <w:rsid w:val="004A6A59"/>
    <w:rsid w:val="004B160E"/>
    <w:rsid w:val="005149DF"/>
    <w:rsid w:val="00525C18"/>
    <w:rsid w:val="00526246"/>
    <w:rsid w:val="00567106"/>
    <w:rsid w:val="005709F2"/>
    <w:rsid w:val="00577016"/>
    <w:rsid w:val="005916E5"/>
    <w:rsid w:val="005B0438"/>
    <w:rsid w:val="005E1D3C"/>
    <w:rsid w:val="006268BE"/>
    <w:rsid w:val="00632253"/>
    <w:rsid w:val="00642714"/>
    <w:rsid w:val="00643C4E"/>
    <w:rsid w:val="006455CE"/>
    <w:rsid w:val="006D42D9"/>
    <w:rsid w:val="006E0551"/>
    <w:rsid w:val="006E6072"/>
    <w:rsid w:val="006F142E"/>
    <w:rsid w:val="00726463"/>
    <w:rsid w:val="00733017"/>
    <w:rsid w:val="00751D38"/>
    <w:rsid w:val="00775FED"/>
    <w:rsid w:val="00783310"/>
    <w:rsid w:val="00794E63"/>
    <w:rsid w:val="007A4A6D"/>
    <w:rsid w:val="007D1BCF"/>
    <w:rsid w:val="007D75CF"/>
    <w:rsid w:val="007E6DC5"/>
    <w:rsid w:val="00825332"/>
    <w:rsid w:val="0088043C"/>
    <w:rsid w:val="008906C9"/>
    <w:rsid w:val="008A5918"/>
    <w:rsid w:val="008B2E72"/>
    <w:rsid w:val="008C00F2"/>
    <w:rsid w:val="008C5738"/>
    <w:rsid w:val="008D04F0"/>
    <w:rsid w:val="008E6F9D"/>
    <w:rsid w:val="008F3500"/>
    <w:rsid w:val="009022B3"/>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5C16"/>
    <w:rsid w:val="00AD5A5B"/>
    <w:rsid w:val="00AE1792"/>
    <w:rsid w:val="00B011EA"/>
    <w:rsid w:val="00B17141"/>
    <w:rsid w:val="00B31575"/>
    <w:rsid w:val="00B328A0"/>
    <w:rsid w:val="00B63BD4"/>
    <w:rsid w:val="00B677B6"/>
    <w:rsid w:val="00B8547D"/>
    <w:rsid w:val="00BC2517"/>
    <w:rsid w:val="00BC61EF"/>
    <w:rsid w:val="00BE423F"/>
    <w:rsid w:val="00C250D5"/>
    <w:rsid w:val="00C43B28"/>
    <w:rsid w:val="00C47F8D"/>
    <w:rsid w:val="00C52DAE"/>
    <w:rsid w:val="00C57EED"/>
    <w:rsid w:val="00C81391"/>
    <w:rsid w:val="00C92898"/>
    <w:rsid w:val="00C97222"/>
    <w:rsid w:val="00CE7514"/>
    <w:rsid w:val="00D248DE"/>
    <w:rsid w:val="00D25427"/>
    <w:rsid w:val="00D31B74"/>
    <w:rsid w:val="00D3564D"/>
    <w:rsid w:val="00D77767"/>
    <w:rsid w:val="00D8542D"/>
    <w:rsid w:val="00DB11E1"/>
    <w:rsid w:val="00DC62F6"/>
    <w:rsid w:val="00DC6A71"/>
    <w:rsid w:val="00DD6CC3"/>
    <w:rsid w:val="00DE5B46"/>
    <w:rsid w:val="00E0357D"/>
    <w:rsid w:val="00E24EC2"/>
    <w:rsid w:val="00E51C0F"/>
    <w:rsid w:val="00E8201C"/>
    <w:rsid w:val="00ED00D1"/>
    <w:rsid w:val="00ED7E82"/>
    <w:rsid w:val="00EF3280"/>
    <w:rsid w:val="00F0025B"/>
    <w:rsid w:val="00F02E53"/>
    <w:rsid w:val="00F240BB"/>
    <w:rsid w:val="00F42CE8"/>
    <w:rsid w:val="00F46724"/>
    <w:rsid w:val="00F47F58"/>
    <w:rsid w:val="00F57FED"/>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C78EE8"/>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Sprotnaopomba-besedilo">
    <w:name w:val="footnote text"/>
    <w:basedOn w:val="Navaden"/>
    <w:link w:val="Sprotnaopomba-besediloZnak"/>
    <w:semiHidden/>
    <w:unhideWhenUsed/>
    <w:rsid w:val="00577016"/>
    <w:pPr>
      <w:spacing w:line="240" w:lineRule="auto"/>
    </w:pPr>
    <w:rPr>
      <w:szCs w:val="20"/>
    </w:rPr>
  </w:style>
  <w:style w:type="character" w:customStyle="1" w:styleId="Sprotnaopomba-besediloZnak">
    <w:name w:val="Sprotna opomba - besedilo Znak"/>
    <w:basedOn w:val="Privzetapisavaodstavka"/>
    <w:link w:val="Sprotnaopomba-besedilo"/>
    <w:semiHidden/>
    <w:rsid w:val="00577016"/>
    <w:rPr>
      <w:rFonts w:ascii="Arial" w:hAnsi="Arial"/>
      <w:lang w:val="en-US" w:eastAsia="en-US"/>
    </w:rPr>
  </w:style>
  <w:style w:type="character" w:styleId="Sprotnaopomba-sklic">
    <w:name w:val="footnote reference"/>
    <w:basedOn w:val="Privzetapisavaodstavka"/>
    <w:semiHidden/>
    <w:unhideWhenUsed/>
    <w:rsid w:val="00577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01995">
      <w:bodyDiv w:val="1"/>
      <w:marLeft w:val="0"/>
      <w:marRight w:val="0"/>
      <w:marTop w:val="0"/>
      <w:marBottom w:val="0"/>
      <w:divBdr>
        <w:top w:val="none" w:sz="0" w:space="0" w:color="auto"/>
        <w:left w:val="none" w:sz="0" w:space="0" w:color="auto"/>
        <w:bottom w:val="none" w:sz="0" w:space="0" w:color="auto"/>
        <w:right w:val="none" w:sz="0" w:space="0" w:color="auto"/>
      </w:divBdr>
    </w:div>
    <w:div w:id="807359846">
      <w:bodyDiv w:val="1"/>
      <w:marLeft w:val="0"/>
      <w:marRight w:val="0"/>
      <w:marTop w:val="0"/>
      <w:marBottom w:val="0"/>
      <w:divBdr>
        <w:top w:val="none" w:sz="0" w:space="0" w:color="auto"/>
        <w:left w:val="none" w:sz="0" w:space="0" w:color="auto"/>
        <w:bottom w:val="none" w:sz="0" w:space="0" w:color="auto"/>
        <w:right w:val="none" w:sz="0" w:space="0" w:color="auto"/>
      </w:divBdr>
      <w:divsChild>
        <w:div w:id="723336633">
          <w:marLeft w:val="-150"/>
          <w:marRight w:val="0"/>
          <w:marTop w:val="0"/>
          <w:marBottom w:val="0"/>
          <w:divBdr>
            <w:top w:val="none" w:sz="0" w:space="0" w:color="auto"/>
            <w:left w:val="none" w:sz="0" w:space="0" w:color="auto"/>
            <w:bottom w:val="none" w:sz="0" w:space="0" w:color="auto"/>
            <w:right w:val="none" w:sz="0" w:space="0" w:color="auto"/>
          </w:divBdr>
        </w:div>
        <w:div w:id="78329935">
          <w:marLeft w:val="-150"/>
          <w:marRight w:val="0"/>
          <w:marTop w:val="0"/>
          <w:marBottom w:val="0"/>
          <w:divBdr>
            <w:top w:val="none" w:sz="0" w:space="0" w:color="auto"/>
            <w:left w:val="none" w:sz="0" w:space="0" w:color="auto"/>
            <w:bottom w:val="none" w:sz="0" w:space="0" w:color="auto"/>
            <w:right w:val="none" w:sz="0" w:space="0" w:color="auto"/>
          </w:divBdr>
        </w:div>
        <w:div w:id="1390880843">
          <w:marLeft w:val="-150"/>
          <w:marRight w:val="0"/>
          <w:marTop w:val="0"/>
          <w:marBottom w:val="0"/>
          <w:divBdr>
            <w:top w:val="none" w:sz="0" w:space="0" w:color="auto"/>
            <w:left w:val="none" w:sz="0" w:space="0" w:color="auto"/>
            <w:bottom w:val="none" w:sz="0" w:space="0" w:color="auto"/>
            <w:right w:val="none" w:sz="0" w:space="0" w:color="auto"/>
          </w:divBdr>
        </w:div>
        <w:div w:id="1568302367">
          <w:marLeft w:val="-150"/>
          <w:marRight w:val="0"/>
          <w:marTop w:val="0"/>
          <w:marBottom w:val="0"/>
          <w:divBdr>
            <w:top w:val="none" w:sz="0" w:space="0" w:color="auto"/>
            <w:left w:val="none" w:sz="0" w:space="0" w:color="auto"/>
            <w:bottom w:val="none" w:sz="0" w:space="0" w:color="auto"/>
            <w:right w:val="none" w:sz="0" w:space="0" w:color="auto"/>
          </w:divBdr>
        </w:div>
        <w:div w:id="1886990524">
          <w:marLeft w:val="-150"/>
          <w:marRight w:val="0"/>
          <w:marTop w:val="0"/>
          <w:marBottom w:val="0"/>
          <w:divBdr>
            <w:top w:val="none" w:sz="0" w:space="0" w:color="auto"/>
            <w:left w:val="none" w:sz="0" w:space="0" w:color="auto"/>
            <w:bottom w:val="none" w:sz="0" w:space="0" w:color="auto"/>
            <w:right w:val="none" w:sz="0" w:space="0" w:color="auto"/>
          </w:divBdr>
        </w:div>
        <w:div w:id="1028143842">
          <w:marLeft w:val="-150"/>
          <w:marRight w:val="0"/>
          <w:marTop w:val="0"/>
          <w:marBottom w:val="0"/>
          <w:divBdr>
            <w:top w:val="none" w:sz="0" w:space="0" w:color="auto"/>
            <w:left w:val="none" w:sz="0" w:space="0" w:color="auto"/>
            <w:bottom w:val="none" w:sz="0" w:space="0" w:color="auto"/>
            <w:right w:val="none" w:sz="0" w:space="0" w:color="auto"/>
          </w:divBdr>
        </w:div>
        <w:div w:id="68695317">
          <w:marLeft w:val="-150"/>
          <w:marRight w:val="0"/>
          <w:marTop w:val="0"/>
          <w:marBottom w:val="0"/>
          <w:divBdr>
            <w:top w:val="none" w:sz="0" w:space="0" w:color="auto"/>
            <w:left w:val="none" w:sz="0" w:space="0" w:color="auto"/>
            <w:bottom w:val="none" w:sz="0" w:space="0" w:color="auto"/>
            <w:right w:val="none" w:sz="0" w:space="0" w:color="auto"/>
          </w:divBdr>
        </w:div>
        <w:div w:id="1942298150">
          <w:marLeft w:val="-150"/>
          <w:marRight w:val="0"/>
          <w:marTop w:val="0"/>
          <w:marBottom w:val="0"/>
          <w:divBdr>
            <w:top w:val="none" w:sz="0" w:space="0" w:color="auto"/>
            <w:left w:val="none" w:sz="0" w:space="0" w:color="auto"/>
            <w:bottom w:val="none" w:sz="0" w:space="0" w:color="auto"/>
            <w:right w:val="none" w:sz="0" w:space="0" w:color="auto"/>
          </w:divBdr>
        </w:div>
      </w:divsChild>
    </w:div>
    <w:div w:id="12966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srs.si/Pis.web/pregledPredpisa?id=PRAV7542" TargetMode="External"/><Relationship Id="rId4" Type="http://schemas.openxmlformats.org/officeDocument/2006/relationships/settings" Target="settings.xml"/><Relationship Id="rId9" Type="http://schemas.openxmlformats.org/officeDocument/2006/relationships/hyperlink" Target="https://eur-lex.europa.eu/legal-content/EN/TXT/?qid=1522853383585&amp;uri=CELEX:02006L0112-20190116"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4BD7-92A6-4E2D-91A9-AFEC00EF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3</Pages>
  <Words>1164</Words>
  <Characters>6639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Volavšek</dc:creator>
  <cp:lastModifiedBy>Ida Volavšek</cp:lastModifiedBy>
  <cp:revision>2</cp:revision>
  <cp:lastPrinted>2010-07-05T10:38:00Z</cp:lastPrinted>
  <dcterms:created xsi:type="dcterms:W3CDTF">2021-09-15T10:44:00Z</dcterms:created>
  <dcterms:modified xsi:type="dcterms:W3CDTF">2021-09-15T10:44:00Z</dcterms:modified>
</cp:coreProperties>
</file>