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92" w:rsidRDefault="000A2C92" w:rsidP="00DC6A71">
      <w:pPr>
        <w:pStyle w:val="datumtevilka"/>
        <w:rPr>
          <w:b/>
        </w:rPr>
      </w:pPr>
    </w:p>
    <w:p w:rsidR="006268BE" w:rsidRDefault="006268BE" w:rsidP="00DC6A71">
      <w:pPr>
        <w:pStyle w:val="datumtevilka"/>
        <w:rPr>
          <w:b/>
        </w:rPr>
      </w:pPr>
    </w:p>
    <w:p w:rsidR="00637DDD" w:rsidRDefault="00637DDD" w:rsidP="00DC6A71">
      <w:pPr>
        <w:pStyle w:val="datumtevilka"/>
        <w:rPr>
          <w:b/>
        </w:rPr>
      </w:pPr>
    </w:p>
    <w:p w:rsidR="00637DDD" w:rsidRDefault="00637DDD" w:rsidP="00DC6A71">
      <w:pPr>
        <w:pStyle w:val="datumtevilka"/>
        <w:rPr>
          <w:b/>
        </w:rPr>
      </w:pPr>
    </w:p>
    <w:p w:rsidR="00B81A50" w:rsidRDefault="00637DDD" w:rsidP="00637DDD">
      <w:pPr>
        <w:spacing w:line="260" w:lineRule="exact"/>
        <w:jc w:val="both"/>
        <w:rPr>
          <w:rFonts w:cs="Arial"/>
          <w:b/>
          <w:bCs/>
          <w:szCs w:val="20"/>
          <w:lang w:val="sl-SI"/>
        </w:rPr>
      </w:pPr>
      <w:r w:rsidRPr="000C6DB5">
        <w:rPr>
          <w:rFonts w:cs="Arial"/>
          <w:b/>
          <w:bCs/>
          <w:szCs w:val="20"/>
          <w:lang w:val="sl-SI"/>
        </w:rPr>
        <w:t xml:space="preserve">Obvestilo o sodbi Sodišča Evropske unije (C-288/16) </w:t>
      </w:r>
      <w:r w:rsidR="00B81A50">
        <w:rPr>
          <w:rFonts w:cs="Arial"/>
          <w:b/>
          <w:bCs/>
          <w:szCs w:val="20"/>
          <w:lang w:val="sl-SI"/>
        </w:rPr>
        <w:t>v zvezi z obravnavo storitev, ki so</w:t>
      </w:r>
    </w:p>
    <w:p w:rsidR="00637DDD" w:rsidRDefault="00B81A50" w:rsidP="00637DDD">
      <w:pPr>
        <w:spacing w:line="26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neposredno povezane z izvozom, po ZDDV-1</w:t>
      </w:r>
    </w:p>
    <w:p w:rsidR="00B81A50" w:rsidRDefault="00B81A50" w:rsidP="00637DDD">
      <w:pPr>
        <w:spacing w:line="260" w:lineRule="exact"/>
        <w:jc w:val="both"/>
        <w:rPr>
          <w:rFonts w:cs="Arial"/>
          <w:b/>
          <w:bCs/>
          <w:szCs w:val="20"/>
          <w:lang w:val="sl-SI"/>
        </w:rPr>
      </w:pPr>
    </w:p>
    <w:p w:rsidR="00B81A50" w:rsidRPr="000C6DB5" w:rsidRDefault="00B81A50" w:rsidP="00637DDD">
      <w:pPr>
        <w:spacing w:line="260" w:lineRule="exact"/>
        <w:jc w:val="both"/>
        <w:rPr>
          <w:rFonts w:cs="Arial"/>
          <w:b/>
          <w:bCs/>
          <w:szCs w:val="20"/>
          <w:lang w:val="sl-SI"/>
        </w:rPr>
      </w:pPr>
      <w:bookmarkStart w:id="0" w:name="_GoBack"/>
      <w:r>
        <w:rPr>
          <w:rFonts w:cs="Arial"/>
          <w:b/>
          <w:bCs/>
          <w:szCs w:val="20"/>
          <w:lang w:val="sl-SI"/>
        </w:rPr>
        <w:t>Pojasnilo FURS številka 4230-582/2017-2 z dne 13. september 2017</w:t>
      </w:r>
    </w:p>
    <w:bookmarkEnd w:id="0"/>
    <w:p w:rsidR="00637DDD" w:rsidRPr="001009F6" w:rsidRDefault="00637DDD" w:rsidP="00637DDD">
      <w:pPr>
        <w:pStyle w:val="Default"/>
        <w:spacing w:line="260" w:lineRule="exact"/>
        <w:jc w:val="both"/>
        <w:rPr>
          <w:bCs/>
          <w:color w:val="auto"/>
          <w:sz w:val="20"/>
          <w:szCs w:val="20"/>
        </w:rPr>
      </w:pPr>
    </w:p>
    <w:p w:rsidR="00637DDD" w:rsidRPr="002D41BF" w:rsidRDefault="00637DDD" w:rsidP="00637DDD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V Uradnem li</w:t>
      </w:r>
      <w:r w:rsidR="00AA46BF">
        <w:rPr>
          <w:bCs/>
          <w:color w:val="auto"/>
          <w:sz w:val="20"/>
          <w:szCs w:val="20"/>
        </w:rPr>
        <w:t>stu Evropske unije številka 283 z dne 28. avgusta 2017</w:t>
      </w:r>
      <w:r>
        <w:rPr>
          <w:bCs/>
          <w:color w:val="auto"/>
          <w:sz w:val="20"/>
          <w:szCs w:val="20"/>
        </w:rPr>
        <w:t xml:space="preserve"> je bila objavljena sodba </w:t>
      </w:r>
      <w:r w:rsidRPr="002D41BF">
        <w:rPr>
          <w:bCs/>
          <w:color w:val="auto"/>
          <w:sz w:val="20"/>
          <w:szCs w:val="20"/>
        </w:rPr>
        <w:t xml:space="preserve">Sodišča Evropske unije (v nadaljevanju sodišče EU) v zadevi </w:t>
      </w:r>
      <w:r w:rsidRPr="002D41BF">
        <w:rPr>
          <w:sz w:val="20"/>
          <w:szCs w:val="20"/>
        </w:rPr>
        <w:t>C</w:t>
      </w:r>
      <w:r w:rsidRPr="002D41BF">
        <w:rPr>
          <w:sz w:val="20"/>
          <w:szCs w:val="20"/>
        </w:rPr>
        <w:noBreakHyphen/>
        <w:t xml:space="preserve">288/16 </w:t>
      </w:r>
      <w:r w:rsidRPr="001009F6">
        <w:rPr>
          <w:sz w:val="20"/>
          <w:szCs w:val="20"/>
        </w:rPr>
        <w:t xml:space="preserve">z dne 29. junija 2017 </w:t>
      </w:r>
      <w:r w:rsidRPr="002D41BF">
        <w:rPr>
          <w:bCs/>
          <w:color w:val="auto"/>
          <w:sz w:val="20"/>
          <w:szCs w:val="20"/>
        </w:rPr>
        <w:t xml:space="preserve">glede obravnave </w:t>
      </w:r>
      <w:r w:rsidRPr="002D41BF">
        <w:rPr>
          <w:sz w:val="20"/>
          <w:szCs w:val="20"/>
        </w:rPr>
        <w:t>storitev, ki so neposredno povezane z izvozom</w:t>
      </w:r>
      <w:r>
        <w:rPr>
          <w:sz w:val="20"/>
          <w:szCs w:val="20"/>
        </w:rPr>
        <w:t xml:space="preserve">. </w:t>
      </w:r>
      <w:r w:rsidRPr="002D41BF">
        <w:rPr>
          <w:bCs/>
          <w:color w:val="auto"/>
          <w:sz w:val="20"/>
          <w:szCs w:val="20"/>
        </w:rPr>
        <w:t xml:space="preserve"> </w:t>
      </w:r>
    </w:p>
    <w:p w:rsidR="00637DDD" w:rsidRPr="001009F6" w:rsidRDefault="00637DDD" w:rsidP="00637DDD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</w:p>
    <w:p w:rsidR="00637DDD" w:rsidRPr="001009F6" w:rsidRDefault="00637DDD" w:rsidP="00637DDD">
      <w:pPr>
        <w:pStyle w:val="Default"/>
        <w:spacing w:line="260" w:lineRule="exact"/>
        <w:jc w:val="both"/>
        <w:rPr>
          <w:bCs/>
          <w:sz w:val="20"/>
          <w:szCs w:val="20"/>
        </w:rPr>
      </w:pPr>
      <w:r w:rsidRPr="001009F6">
        <w:rPr>
          <w:color w:val="auto"/>
          <w:sz w:val="20"/>
          <w:szCs w:val="20"/>
        </w:rPr>
        <w:t xml:space="preserve"> </w:t>
      </w:r>
      <w:r w:rsidRPr="001009F6">
        <w:rPr>
          <w:sz w:val="20"/>
          <w:szCs w:val="20"/>
        </w:rPr>
        <w:t>Sodba Sodišča Evropske unije v zadevi C-288/16 določa, da je:</w:t>
      </w:r>
      <w:r w:rsidRPr="001009F6">
        <w:rPr>
          <w:bCs/>
          <w:sz w:val="20"/>
          <w:szCs w:val="20"/>
        </w:rPr>
        <w:t xml:space="preserve"> </w:t>
      </w:r>
    </w:p>
    <w:p w:rsidR="00637DDD" w:rsidRPr="001009F6" w:rsidRDefault="00637DDD" w:rsidP="00637DDD">
      <w:pPr>
        <w:pStyle w:val="c30dispositifalinea"/>
        <w:spacing w:before="0" w:beforeAutospacing="0" w:after="0" w:afterAutospacing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637DDD" w:rsidRPr="001009F6" w:rsidRDefault="00637DDD" w:rsidP="00637DDD">
      <w:pPr>
        <w:pStyle w:val="c30dispositifalinea"/>
        <w:numPr>
          <w:ilvl w:val="0"/>
          <w:numId w:val="6"/>
        </w:numPr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1009F6">
        <w:rPr>
          <w:rFonts w:ascii="Arial" w:hAnsi="Arial" w:cs="Arial"/>
          <w:bCs/>
          <w:sz w:val="20"/>
          <w:szCs w:val="20"/>
        </w:rPr>
        <w:t>člen 146(1)(e) Direktive Sveta 2006/112/ES treba razlagati tako, da se oprostitev iz te določbe ne uporablja za opravljanje storitev, kakršno je to v postopku v glavni stvari, ki se nanaša na transakcijo prevoza blaga v tretjo državo, če se te storitve ne opravljajo neposredno za pošiljatelja ali naslovnika tega blaga.</w:t>
      </w:r>
    </w:p>
    <w:p w:rsidR="00637DDD" w:rsidRPr="001009F6" w:rsidRDefault="00637DDD" w:rsidP="00637DDD">
      <w:pPr>
        <w:pStyle w:val="c01pointnumerotealtn"/>
        <w:spacing w:before="0" w:beforeAutospacing="0" w:after="0" w:line="260" w:lineRule="exact"/>
        <w:ind w:left="0" w:firstLine="28"/>
        <w:rPr>
          <w:rFonts w:ascii="Arial" w:hAnsi="Arial" w:cs="Arial"/>
          <w:sz w:val="20"/>
          <w:szCs w:val="20"/>
        </w:rPr>
      </w:pPr>
    </w:p>
    <w:p w:rsidR="00637DDD" w:rsidRPr="001009F6" w:rsidRDefault="00637DDD" w:rsidP="00637DDD">
      <w:pPr>
        <w:pStyle w:val="c01pointnumerotealtn"/>
        <w:spacing w:before="0" w:beforeAutospacing="0" w:after="0" w:line="260" w:lineRule="exac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skladu s č</w:t>
      </w:r>
      <w:r w:rsidRPr="001009F6">
        <w:rPr>
          <w:rFonts w:ascii="Arial" w:hAnsi="Arial" w:cs="Arial"/>
          <w:sz w:val="20"/>
          <w:szCs w:val="20"/>
        </w:rPr>
        <w:t>len</w:t>
      </w:r>
      <w:r>
        <w:rPr>
          <w:rFonts w:ascii="Arial" w:hAnsi="Arial" w:cs="Arial"/>
          <w:sz w:val="20"/>
          <w:szCs w:val="20"/>
        </w:rPr>
        <w:t>om</w:t>
      </w:r>
      <w:r w:rsidRPr="001009F6">
        <w:rPr>
          <w:rFonts w:ascii="Arial" w:hAnsi="Arial" w:cs="Arial"/>
          <w:sz w:val="20"/>
          <w:szCs w:val="20"/>
        </w:rPr>
        <w:t xml:space="preserve"> 146(1)(e) </w:t>
      </w:r>
      <w:r>
        <w:rPr>
          <w:rFonts w:ascii="Arial" w:hAnsi="Arial" w:cs="Arial"/>
          <w:sz w:val="20"/>
          <w:szCs w:val="20"/>
        </w:rPr>
        <w:t xml:space="preserve">Direktive Sveta 2006/112/ES (e točka prvega odstavka 52. člena ZDDV-1) </w:t>
      </w:r>
      <w:r w:rsidRPr="001009F6">
        <w:rPr>
          <w:rFonts w:ascii="Arial" w:hAnsi="Arial" w:cs="Arial"/>
          <w:sz w:val="20"/>
          <w:szCs w:val="20"/>
        </w:rPr>
        <w:t>so storitve prevoza, ki so neposredno povezane z izvozom blaga zunaj Unije, oproščene DDV.</w:t>
      </w:r>
      <w:r>
        <w:rPr>
          <w:rFonts w:ascii="Arial" w:hAnsi="Arial" w:cs="Arial"/>
          <w:sz w:val="20"/>
          <w:szCs w:val="20"/>
        </w:rPr>
        <w:t xml:space="preserve"> Namen določbe je</w:t>
      </w:r>
      <w:r w:rsidRPr="001009F6">
        <w:rPr>
          <w:rFonts w:ascii="Arial" w:hAnsi="Arial" w:cs="Arial"/>
          <w:sz w:val="20"/>
          <w:szCs w:val="20"/>
        </w:rPr>
        <w:t xml:space="preserve"> zagotoviti obdavčitev opravljanja zadevnih storitev v njihovem namembnem kraju, torej kraju, kjer bodo izvoženi proizvodi porabljeni.</w:t>
      </w:r>
    </w:p>
    <w:p w:rsidR="00637DDD" w:rsidRPr="001009F6" w:rsidRDefault="00637DDD" w:rsidP="00637DDD">
      <w:pPr>
        <w:pStyle w:val="c01pointnumerotealtn"/>
        <w:spacing w:before="0" w:beforeAutospacing="0" w:after="0" w:line="260" w:lineRule="exact"/>
        <w:ind w:left="0" w:firstLine="0"/>
        <w:rPr>
          <w:rFonts w:ascii="Arial" w:hAnsi="Arial" w:cs="Arial"/>
          <w:sz w:val="20"/>
          <w:szCs w:val="20"/>
        </w:rPr>
      </w:pPr>
    </w:p>
    <w:p w:rsidR="00637DDD" w:rsidRPr="001009F6" w:rsidRDefault="00637DDD" w:rsidP="00637DDD">
      <w:pPr>
        <w:pStyle w:val="c01pointnumerotealtn"/>
        <w:spacing w:before="0" w:beforeAutospacing="0" w:after="0" w:line="260" w:lineRule="exact"/>
        <w:ind w:left="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</w:t>
      </w:r>
      <w:r w:rsidRPr="001009F6">
        <w:rPr>
          <w:rFonts w:ascii="Arial" w:hAnsi="Arial" w:cs="Arial"/>
          <w:sz w:val="20"/>
          <w:szCs w:val="20"/>
        </w:rPr>
        <w:t xml:space="preserve">rostitve DDV </w:t>
      </w:r>
      <w:r>
        <w:rPr>
          <w:rFonts w:ascii="Arial" w:hAnsi="Arial" w:cs="Arial"/>
          <w:sz w:val="20"/>
          <w:szCs w:val="20"/>
        </w:rPr>
        <w:t xml:space="preserve">je treba </w:t>
      </w:r>
      <w:r w:rsidRPr="001009F6">
        <w:rPr>
          <w:rFonts w:ascii="Arial" w:hAnsi="Arial" w:cs="Arial"/>
          <w:sz w:val="20"/>
          <w:szCs w:val="20"/>
        </w:rPr>
        <w:t xml:space="preserve">v skladu z ustaljeno sodno prakso </w:t>
      </w:r>
      <w:r>
        <w:rPr>
          <w:rFonts w:ascii="Arial" w:hAnsi="Arial" w:cs="Arial"/>
          <w:sz w:val="20"/>
          <w:szCs w:val="20"/>
        </w:rPr>
        <w:t>s</w:t>
      </w:r>
      <w:r w:rsidRPr="001009F6">
        <w:rPr>
          <w:rFonts w:ascii="Arial" w:hAnsi="Arial" w:cs="Arial"/>
          <w:sz w:val="20"/>
          <w:szCs w:val="20"/>
        </w:rPr>
        <w:t xml:space="preserve">odišča </w:t>
      </w:r>
      <w:r>
        <w:rPr>
          <w:rFonts w:ascii="Arial" w:hAnsi="Arial" w:cs="Arial"/>
          <w:sz w:val="20"/>
          <w:szCs w:val="20"/>
        </w:rPr>
        <w:t xml:space="preserve">EU </w:t>
      </w:r>
      <w:r w:rsidRPr="001009F6">
        <w:rPr>
          <w:rFonts w:ascii="Arial" w:hAnsi="Arial" w:cs="Arial"/>
          <w:sz w:val="20"/>
          <w:szCs w:val="20"/>
        </w:rPr>
        <w:t xml:space="preserve">razlagati ozko, ker pomenijo izjemo od splošnega načela, na podlagi katerega se ta davek plačuje za vsako dobavo blaga ali storitev, ki jo davčni zavezanec opravi za plačilo. </w:t>
      </w:r>
    </w:p>
    <w:p w:rsidR="00637DDD" w:rsidRPr="001009F6" w:rsidRDefault="00637DDD" w:rsidP="00637DDD">
      <w:pPr>
        <w:pStyle w:val="c01pointnumerotealtn"/>
        <w:spacing w:before="0" w:beforeAutospacing="0" w:after="0" w:line="260" w:lineRule="exact"/>
        <w:rPr>
          <w:rFonts w:ascii="Arial" w:hAnsi="Arial" w:cs="Arial"/>
          <w:sz w:val="20"/>
          <w:szCs w:val="20"/>
        </w:rPr>
      </w:pPr>
    </w:p>
    <w:p w:rsidR="00637DDD" w:rsidRPr="001009F6" w:rsidRDefault="00637DDD" w:rsidP="00637DDD">
      <w:pPr>
        <w:pStyle w:val="c01pointnumerotealtn"/>
        <w:spacing w:before="0" w:beforeAutospacing="0" w:after="0" w:line="260" w:lineRule="exact"/>
        <w:ind w:left="0" w:firstLine="0"/>
        <w:rPr>
          <w:rFonts w:ascii="Arial" w:hAnsi="Arial" w:cs="Arial"/>
          <w:sz w:val="20"/>
          <w:szCs w:val="20"/>
        </w:rPr>
      </w:pPr>
      <w:r w:rsidRPr="001009F6">
        <w:rPr>
          <w:rFonts w:ascii="Arial" w:hAnsi="Arial" w:cs="Arial"/>
          <w:sz w:val="20"/>
          <w:szCs w:val="20"/>
        </w:rPr>
        <w:t>Zato iz besedila in cilja člena 146(1)(e) Direktive 2006/112 izhaja, da je treba to določbo razlagati tako, da obstoj neposredne vezi ne pomeni samo, da opravljanje zadevnih storitev v skladu z njihovim namenom prispeva k dejanski izvedbi transakcije izvoza ali uvoza, temveč tudi, da se te storitve opravljajo neposredno za – odvisno od primera – izvoznika, uvoznika ali naslovnika blaga iz navedene določbe.</w:t>
      </w:r>
    </w:p>
    <w:p w:rsidR="00637DDD" w:rsidRPr="001009F6" w:rsidRDefault="00637DDD" w:rsidP="00637DDD">
      <w:pPr>
        <w:spacing w:line="260" w:lineRule="exact"/>
        <w:ind w:left="567"/>
        <w:jc w:val="both"/>
        <w:rPr>
          <w:rFonts w:cs="Arial"/>
          <w:szCs w:val="20"/>
          <w:lang w:val="sl-SI" w:eastAsia="sl-SI"/>
        </w:rPr>
      </w:pPr>
    </w:p>
    <w:p w:rsidR="00637DDD" w:rsidRPr="006A6A16" w:rsidRDefault="00637DDD" w:rsidP="00637DDD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6A6A16">
        <w:rPr>
          <w:rFonts w:cs="Arial"/>
          <w:szCs w:val="20"/>
          <w:lang w:val="sl-SI" w:eastAsia="sl-SI"/>
        </w:rPr>
        <w:t xml:space="preserve">Izhajajoč iz te sodbe </w:t>
      </w:r>
      <w:r w:rsidRPr="006A6A16">
        <w:rPr>
          <w:rFonts w:cs="Arial"/>
          <w:bCs/>
          <w:szCs w:val="20"/>
          <w:lang w:val="sl-SI"/>
        </w:rPr>
        <w:t xml:space="preserve">se oprostitev iz določbe </w:t>
      </w:r>
      <w:r w:rsidRPr="006A6A16">
        <w:rPr>
          <w:rFonts w:cs="Arial"/>
          <w:szCs w:val="20"/>
          <w:lang w:val="sl-SI" w:eastAsia="sl-SI"/>
        </w:rPr>
        <w:t xml:space="preserve">e) točke prvega odstavka 52. člena ZDDV-1 </w:t>
      </w:r>
      <w:r w:rsidRPr="006A6A16">
        <w:rPr>
          <w:rFonts w:cs="Arial"/>
          <w:bCs/>
          <w:szCs w:val="20"/>
          <w:lang w:val="sl-SI"/>
        </w:rPr>
        <w:t xml:space="preserve">ne uporablja za opravljanje </w:t>
      </w:r>
      <w:r w:rsidRPr="006A6A16">
        <w:rPr>
          <w:rFonts w:cs="Arial"/>
          <w:szCs w:val="20"/>
          <w:lang w:val="sl-SI" w:eastAsia="sl-SI"/>
        </w:rPr>
        <w:t xml:space="preserve">storitve, </w:t>
      </w:r>
      <w:r w:rsidRPr="006A6A16">
        <w:rPr>
          <w:rFonts w:cs="Arial"/>
          <w:bCs/>
          <w:szCs w:val="20"/>
          <w:lang w:val="sl-SI"/>
        </w:rPr>
        <w:t xml:space="preserve">ki se nanaša na transakcijo prevoza blaga v tretjo državo, če se te storitve ne opravljajo neposredno za pošiljatelja ali naslovnika tega blaga. To pomeni, da storitev prevoza, ki jo opravi </w:t>
      </w:r>
      <w:proofErr w:type="spellStart"/>
      <w:r w:rsidRPr="006A6A16">
        <w:rPr>
          <w:rFonts w:cs="Arial"/>
          <w:bCs/>
          <w:szCs w:val="20"/>
          <w:lang w:val="sl-SI"/>
        </w:rPr>
        <w:t>podprevoznik</w:t>
      </w:r>
      <w:proofErr w:type="spellEnd"/>
      <w:r w:rsidRPr="006A6A16">
        <w:rPr>
          <w:rFonts w:cs="Arial"/>
          <w:bCs/>
          <w:szCs w:val="20"/>
          <w:lang w:val="sl-SI"/>
        </w:rPr>
        <w:t xml:space="preserve">, ni oproščena plačila DDV v skladu z e) točko prvega odstavka 52. člena ZDDV-1. Enako velja tudi za druge storitve, povezane z izvozom, ki jih opravijo podizvajalci. </w:t>
      </w:r>
    </w:p>
    <w:p w:rsidR="00637DDD" w:rsidRDefault="00637DDD" w:rsidP="00637DDD">
      <w:pPr>
        <w:pStyle w:val="datumtevilka"/>
        <w:spacing w:line="260" w:lineRule="exact"/>
        <w:jc w:val="both"/>
        <w:rPr>
          <w:rFonts w:cs="Arial"/>
        </w:rPr>
      </w:pPr>
    </w:p>
    <w:p w:rsidR="00637DDD" w:rsidRDefault="00637DDD" w:rsidP="00637DDD">
      <w:pPr>
        <w:pStyle w:val="datumtevilka"/>
        <w:spacing w:line="260" w:lineRule="exact"/>
        <w:jc w:val="both"/>
        <w:rPr>
          <w:rFonts w:cs="Arial"/>
        </w:rPr>
      </w:pPr>
      <w:r>
        <w:rPr>
          <w:rFonts w:cs="Arial"/>
        </w:rPr>
        <w:t xml:space="preserve">To razlago se uporablja od dneva objave sodbe v Uradnem listu,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 je od 28. avgust</w:t>
      </w:r>
      <w:r w:rsidR="00AA46BF">
        <w:rPr>
          <w:rFonts w:cs="Arial"/>
        </w:rPr>
        <w:t>a</w:t>
      </w:r>
      <w:r>
        <w:rPr>
          <w:rFonts w:cs="Arial"/>
        </w:rPr>
        <w:t xml:space="preserve"> 2017 dalje. </w:t>
      </w:r>
    </w:p>
    <w:p w:rsidR="00637DDD" w:rsidRDefault="00637DDD" w:rsidP="00637DDD">
      <w:pPr>
        <w:pStyle w:val="datumtevilka"/>
        <w:spacing w:line="260" w:lineRule="exact"/>
        <w:jc w:val="both"/>
        <w:rPr>
          <w:rFonts w:cs="Arial"/>
        </w:rPr>
      </w:pPr>
    </w:p>
    <w:p w:rsidR="008347A0" w:rsidRDefault="008347A0" w:rsidP="00637DDD">
      <w:pPr>
        <w:pStyle w:val="datumtevilka"/>
        <w:spacing w:line="260" w:lineRule="exact"/>
        <w:jc w:val="both"/>
        <w:rPr>
          <w:rFonts w:cs="Arial"/>
        </w:rPr>
      </w:pPr>
    </w:p>
    <w:sectPr w:rsidR="008347A0" w:rsidSect="00F0025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75" w:rsidRDefault="00B90075">
      <w:pPr>
        <w:spacing w:line="240" w:lineRule="auto"/>
      </w:pPr>
      <w:r>
        <w:separator/>
      </w:r>
    </w:p>
  </w:endnote>
  <w:endnote w:type="continuationSeparator" w:id="0">
    <w:p w:rsidR="00B90075" w:rsidRDefault="00B9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8347A0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A4E2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A4E2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8347A0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A4E2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A4E2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75" w:rsidRDefault="00B90075">
      <w:pPr>
        <w:spacing w:line="240" w:lineRule="auto"/>
      </w:pPr>
      <w:r>
        <w:separator/>
      </w:r>
    </w:p>
  </w:footnote>
  <w:footnote w:type="continuationSeparator" w:id="0">
    <w:p w:rsidR="00B90075" w:rsidRDefault="00B90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0B0B21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83836">
      <w:trPr>
        <w:cantSplit/>
        <w:trHeight w:hRule="exact" w:val="847"/>
      </w:trPr>
      <w:tc>
        <w:tcPr>
          <w:tcW w:w="567" w:type="dxa"/>
        </w:tcPr>
        <w:p w:rsidR="000B0B21" w:rsidRDefault="008347A0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8347A0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7C4EC7" wp14:editId="587C4EC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ADFF3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0B0B21" w:rsidRPr="00FD746A" w:rsidRDefault="008347A0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:rsidR="00ED7E82" w:rsidRDefault="008347A0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Pr="00A12D5C" w:rsidRDefault="008347A0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:rsidR="000B0B21" w:rsidRPr="008F3500" w:rsidRDefault="008347A0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8347A0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8347A0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8347A0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5EE4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567F06" w:tentative="1">
      <w:start w:val="1"/>
      <w:numFmt w:val="lowerLetter"/>
      <w:lvlText w:val="%2."/>
      <w:lvlJc w:val="left"/>
      <w:pPr>
        <w:ind w:left="1800" w:hanging="360"/>
      </w:pPr>
    </w:lvl>
    <w:lvl w:ilvl="2" w:tplc="8452E83C" w:tentative="1">
      <w:start w:val="1"/>
      <w:numFmt w:val="lowerRoman"/>
      <w:lvlText w:val="%3."/>
      <w:lvlJc w:val="right"/>
      <w:pPr>
        <w:ind w:left="2520" w:hanging="180"/>
      </w:pPr>
    </w:lvl>
    <w:lvl w:ilvl="3" w:tplc="0BBCAC92" w:tentative="1">
      <w:start w:val="1"/>
      <w:numFmt w:val="decimal"/>
      <w:lvlText w:val="%4."/>
      <w:lvlJc w:val="left"/>
      <w:pPr>
        <w:ind w:left="3240" w:hanging="360"/>
      </w:pPr>
    </w:lvl>
    <w:lvl w:ilvl="4" w:tplc="D60E7344" w:tentative="1">
      <w:start w:val="1"/>
      <w:numFmt w:val="lowerLetter"/>
      <w:lvlText w:val="%5."/>
      <w:lvlJc w:val="left"/>
      <w:pPr>
        <w:ind w:left="3960" w:hanging="360"/>
      </w:pPr>
    </w:lvl>
    <w:lvl w:ilvl="5" w:tplc="575AB356" w:tentative="1">
      <w:start w:val="1"/>
      <w:numFmt w:val="lowerRoman"/>
      <w:lvlText w:val="%6."/>
      <w:lvlJc w:val="right"/>
      <w:pPr>
        <w:ind w:left="4680" w:hanging="180"/>
      </w:pPr>
    </w:lvl>
    <w:lvl w:ilvl="6" w:tplc="924E367C" w:tentative="1">
      <w:start w:val="1"/>
      <w:numFmt w:val="decimal"/>
      <w:lvlText w:val="%7."/>
      <w:lvlJc w:val="left"/>
      <w:pPr>
        <w:ind w:left="5400" w:hanging="360"/>
      </w:pPr>
    </w:lvl>
    <w:lvl w:ilvl="7" w:tplc="9E56F3BC" w:tentative="1">
      <w:start w:val="1"/>
      <w:numFmt w:val="lowerLetter"/>
      <w:lvlText w:val="%8."/>
      <w:lvlJc w:val="left"/>
      <w:pPr>
        <w:ind w:left="6120" w:hanging="360"/>
      </w:pPr>
    </w:lvl>
    <w:lvl w:ilvl="8" w:tplc="3C920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11C89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EC4D64" w:tentative="1">
      <w:start w:val="1"/>
      <w:numFmt w:val="lowerLetter"/>
      <w:lvlText w:val="%2."/>
      <w:lvlJc w:val="left"/>
      <w:pPr>
        <w:ind w:left="1080" w:hanging="360"/>
      </w:pPr>
    </w:lvl>
    <w:lvl w:ilvl="2" w:tplc="7902BC8A" w:tentative="1">
      <w:start w:val="1"/>
      <w:numFmt w:val="lowerRoman"/>
      <w:lvlText w:val="%3."/>
      <w:lvlJc w:val="right"/>
      <w:pPr>
        <w:ind w:left="1800" w:hanging="180"/>
      </w:pPr>
    </w:lvl>
    <w:lvl w:ilvl="3" w:tplc="A7CCE9AE" w:tentative="1">
      <w:start w:val="1"/>
      <w:numFmt w:val="decimal"/>
      <w:lvlText w:val="%4."/>
      <w:lvlJc w:val="left"/>
      <w:pPr>
        <w:ind w:left="2520" w:hanging="360"/>
      </w:pPr>
    </w:lvl>
    <w:lvl w:ilvl="4" w:tplc="6FFEF5A0" w:tentative="1">
      <w:start w:val="1"/>
      <w:numFmt w:val="lowerLetter"/>
      <w:lvlText w:val="%5."/>
      <w:lvlJc w:val="left"/>
      <w:pPr>
        <w:ind w:left="3240" w:hanging="360"/>
      </w:pPr>
    </w:lvl>
    <w:lvl w:ilvl="5" w:tplc="C0724BD4" w:tentative="1">
      <w:start w:val="1"/>
      <w:numFmt w:val="lowerRoman"/>
      <w:lvlText w:val="%6."/>
      <w:lvlJc w:val="right"/>
      <w:pPr>
        <w:ind w:left="3960" w:hanging="180"/>
      </w:pPr>
    </w:lvl>
    <w:lvl w:ilvl="6" w:tplc="7AFA5F9A" w:tentative="1">
      <w:start w:val="1"/>
      <w:numFmt w:val="decimal"/>
      <w:lvlText w:val="%7."/>
      <w:lvlJc w:val="left"/>
      <w:pPr>
        <w:ind w:left="4680" w:hanging="360"/>
      </w:pPr>
    </w:lvl>
    <w:lvl w:ilvl="7" w:tplc="349A483A" w:tentative="1">
      <w:start w:val="1"/>
      <w:numFmt w:val="lowerLetter"/>
      <w:lvlText w:val="%8."/>
      <w:lvlJc w:val="left"/>
      <w:pPr>
        <w:ind w:left="5400" w:hanging="360"/>
      </w:pPr>
    </w:lvl>
    <w:lvl w:ilvl="8" w:tplc="4EEC06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99A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4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83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69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66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8A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AE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88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E1310"/>
    <w:multiLevelType w:val="hybridMultilevel"/>
    <w:tmpl w:val="75DAB7D0"/>
    <w:lvl w:ilvl="0" w:tplc="A5CC145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94FAD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E5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A3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5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80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CC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8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66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42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F3D38"/>
    <w:rsid w:val="00110CBD"/>
    <w:rsid w:val="001357B2"/>
    <w:rsid w:val="00151388"/>
    <w:rsid w:val="00151872"/>
    <w:rsid w:val="00160E5F"/>
    <w:rsid w:val="0019368D"/>
    <w:rsid w:val="001A3BA5"/>
    <w:rsid w:val="001F3B21"/>
    <w:rsid w:val="001F7BC0"/>
    <w:rsid w:val="00202A77"/>
    <w:rsid w:val="00232E47"/>
    <w:rsid w:val="00262960"/>
    <w:rsid w:val="00271CE5"/>
    <w:rsid w:val="00282020"/>
    <w:rsid w:val="00285890"/>
    <w:rsid w:val="002934F1"/>
    <w:rsid w:val="002C1DC4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3B1D"/>
    <w:rsid w:val="003D0306"/>
    <w:rsid w:val="003E1C74"/>
    <w:rsid w:val="003F4966"/>
    <w:rsid w:val="00484A06"/>
    <w:rsid w:val="004A4233"/>
    <w:rsid w:val="004A6A59"/>
    <w:rsid w:val="004B160E"/>
    <w:rsid w:val="005149DF"/>
    <w:rsid w:val="00525C18"/>
    <w:rsid w:val="00526246"/>
    <w:rsid w:val="00567106"/>
    <w:rsid w:val="005709F2"/>
    <w:rsid w:val="005916E5"/>
    <w:rsid w:val="005B0438"/>
    <w:rsid w:val="005E1D3C"/>
    <w:rsid w:val="006268BE"/>
    <w:rsid w:val="00632253"/>
    <w:rsid w:val="00637DDD"/>
    <w:rsid w:val="00642714"/>
    <w:rsid w:val="00643C4E"/>
    <w:rsid w:val="006455CE"/>
    <w:rsid w:val="006D42D9"/>
    <w:rsid w:val="006F142E"/>
    <w:rsid w:val="00726463"/>
    <w:rsid w:val="00733017"/>
    <w:rsid w:val="00751D38"/>
    <w:rsid w:val="00775FED"/>
    <w:rsid w:val="00783310"/>
    <w:rsid w:val="00783836"/>
    <w:rsid w:val="00794E63"/>
    <w:rsid w:val="007A4A6D"/>
    <w:rsid w:val="007D1BCF"/>
    <w:rsid w:val="007D75CF"/>
    <w:rsid w:val="007E6DC5"/>
    <w:rsid w:val="008347A0"/>
    <w:rsid w:val="0088043C"/>
    <w:rsid w:val="008906C9"/>
    <w:rsid w:val="008A5918"/>
    <w:rsid w:val="008B2E72"/>
    <w:rsid w:val="008C00F2"/>
    <w:rsid w:val="008C5738"/>
    <w:rsid w:val="008D04F0"/>
    <w:rsid w:val="008F3500"/>
    <w:rsid w:val="009022B3"/>
    <w:rsid w:val="00924E3C"/>
    <w:rsid w:val="009612BB"/>
    <w:rsid w:val="009B0295"/>
    <w:rsid w:val="009C5340"/>
    <w:rsid w:val="009E42F2"/>
    <w:rsid w:val="00A05DC7"/>
    <w:rsid w:val="00A10F71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6BF"/>
    <w:rsid w:val="00AA47FE"/>
    <w:rsid w:val="00AB0DAA"/>
    <w:rsid w:val="00AC5C16"/>
    <w:rsid w:val="00AD3395"/>
    <w:rsid w:val="00AD5A5B"/>
    <w:rsid w:val="00B011EA"/>
    <w:rsid w:val="00B17141"/>
    <w:rsid w:val="00B31575"/>
    <w:rsid w:val="00B677B6"/>
    <w:rsid w:val="00B81A50"/>
    <w:rsid w:val="00B8547D"/>
    <w:rsid w:val="00B90075"/>
    <w:rsid w:val="00BC61EF"/>
    <w:rsid w:val="00BE423F"/>
    <w:rsid w:val="00C250D5"/>
    <w:rsid w:val="00C47F8D"/>
    <w:rsid w:val="00C52DAE"/>
    <w:rsid w:val="00C57EED"/>
    <w:rsid w:val="00C81391"/>
    <w:rsid w:val="00C92898"/>
    <w:rsid w:val="00C97222"/>
    <w:rsid w:val="00CE7514"/>
    <w:rsid w:val="00D248DE"/>
    <w:rsid w:val="00D25427"/>
    <w:rsid w:val="00D31B74"/>
    <w:rsid w:val="00D3564D"/>
    <w:rsid w:val="00D8542D"/>
    <w:rsid w:val="00DA4E28"/>
    <w:rsid w:val="00DB11E1"/>
    <w:rsid w:val="00DC62F6"/>
    <w:rsid w:val="00DC6A71"/>
    <w:rsid w:val="00DD6CC3"/>
    <w:rsid w:val="00DE5B46"/>
    <w:rsid w:val="00E0357D"/>
    <w:rsid w:val="00E24EC2"/>
    <w:rsid w:val="00E51C0F"/>
    <w:rsid w:val="00E8201C"/>
    <w:rsid w:val="00ED00D1"/>
    <w:rsid w:val="00ED7E82"/>
    <w:rsid w:val="00EF3280"/>
    <w:rsid w:val="00EF7B6C"/>
    <w:rsid w:val="00F0025B"/>
    <w:rsid w:val="00F02E53"/>
    <w:rsid w:val="00F240BB"/>
    <w:rsid w:val="00F42CE8"/>
    <w:rsid w:val="00F46724"/>
    <w:rsid w:val="00F47F58"/>
    <w:rsid w:val="00F57FED"/>
    <w:rsid w:val="00F6766C"/>
    <w:rsid w:val="00F907E8"/>
    <w:rsid w:val="00FD746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548EA6-F893-456D-874A-A3C3DDCD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637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01pointnumerotealtn">
    <w:name w:val="c01pointnumerotealtn"/>
    <w:basedOn w:val="Navaden"/>
    <w:rsid w:val="00637DDD"/>
    <w:pPr>
      <w:spacing w:before="100" w:beforeAutospacing="1" w:after="240" w:line="240" w:lineRule="auto"/>
      <w:ind w:left="567" w:hanging="539"/>
      <w:jc w:val="both"/>
    </w:pPr>
    <w:rPr>
      <w:rFonts w:ascii="Times New Roman" w:hAnsi="Times New Roman"/>
      <w:sz w:val="24"/>
      <w:lang w:val="sl-SI" w:eastAsia="sl-SI"/>
    </w:rPr>
  </w:style>
  <w:style w:type="paragraph" w:customStyle="1" w:styleId="c30dispositifalinea">
    <w:name w:val="c30dispositifalinea"/>
    <w:basedOn w:val="Navaden"/>
    <w:rsid w:val="00637DD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ADE-4C76-4E61-859C-71DD5D5E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</TotalTime>
  <Pages>1</Pages>
  <Words>376</Words>
  <Characters>2059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Andreja Levstik</cp:lastModifiedBy>
  <cp:revision>2</cp:revision>
  <cp:lastPrinted>2017-09-14T07:34:00Z</cp:lastPrinted>
  <dcterms:created xsi:type="dcterms:W3CDTF">2017-09-14T07:58:00Z</dcterms:created>
  <dcterms:modified xsi:type="dcterms:W3CDTF">2017-09-14T07:58:00Z</dcterms:modified>
</cp:coreProperties>
</file>