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6978D5" w:rsidRDefault="003A4F98" w:rsidP="00EF28BC">
      <w:pPr>
        <w:pStyle w:val="datumtevilka"/>
        <w:spacing w:line="276" w:lineRule="auto"/>
        <w:jc w:val="center"/>
        <w:rPr>
          <w:b/>
          <w:sz w:val="32"/>
          <w:szCs w:val="32"/>
        </w:rPr>
      </w:pPr>
      <w:r>
        <w:rPr>
          <w:b/>
          <w:sz w:val="32"/>
          <w:szCs w:val="32"/>
        </w:rPr>
        <w:t xml:space="preserve">VRAČILO TROŠARINE </w:t>
      </w:r>
    </w:p>
    <w:p w:rsidR="003A4F98" w:rsidRDefault="003A4F98" w:rsidP="00EF28BC">
      <w:pPr>
        <w:pStyle w:val="datumtevilka"/>
        <w:spacing w:line="276" w:lineRule="auto"/>
        <w:jc w:val="center"/>
        <w:rPr>
          <w:b/>
          <w:sz w:val="32"/>
          <w:szCs w:val="32"/>
        </w:rPr>
      </w:pPr>
      <w:r>
        <w:rPr>
          <w:b/>
          <w:sz w:val="32"/>
          <w:szCs w:val="32"/>
        </w:rPr>
        <w:t>ZA KOMERCIALNI PREVOZ</w:t>
      </w:r>
    </w:p>
    <w:p w:rsidR="003A4F98" w:rsidRDefault="003A4F98" w:rsidP="00EF28BC">
      <w:pPr>
        <w:pStyle w:val="datumtevilka"/>
        <w:spacing w:line="276" w:lineRule="auto"/>
        <w:jc w:val="center"/>
        <w:rPr>
          <w:b/>
          <w:sz w:val="32"/>
          <w:szCs w:val="32"/>
        </w:rPr>
      </w:pPr>
    </w:p>
    <w:p w:rsidR="003A4F98" w:rsidRPr="00E853E8" w:rsidRDefault="003A4F98" w:rsidP="00EF28BC">
      <w:pPr>
        <w:pStyle w:val="datumtevilka"/>
        <w:spacing w:line="276" w:lineRule="auto"/>
        <w:rPr>
          <w:b/>
          <w:sz w:val="32"/>
          <w:szCs w:val="32"/>
        </w:rP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Pr="00E853E8" w:rsidRDefault="003A4F98" w:rsidP="00EF28BC">
      <w:pPr>
        <w:pStyle w:val="datumtevilka"/>
        <w:spacing w:line="276" w:lineRule="auto"/>
        <w:jc w:val="center"/>
        <w:rPr>
          <w:b/>
          <w:sz w:val="28"/>
          <w:szCs w:val="28"/>
        </w:rPr>
      </w:pPr>
      <w:r>
        <w:rPr>
          <w:b/>
          <w:sz w:val="28"/>
          <w:szCs w:val="28"/>
        </w:rPr>
        <w:t>Podrobnejši opis</w:t>
      </w: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datumtevilka"/>
        <w:spacing w:line="276" w:lineRule="auto"/>
        <w:jc w:val="cente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Default="003A4F98" w:rsidP="00EF28BC">
      <w:pPr>
        <w:pStyle w:val="podpisi"/>
        <w:spacing w:line="276" w:lineRule="auto"/>
        <w:jc w:val="center"/>
        <w:rPr>
          <w:lang w:val="sl-SI"/>
        </w:rPr>
      </w:pPr>
    </w:p>
    <w:p w:rsidR="003A4F98" w:rsidRPr="003A76FF" w:rsidRDefault="003A76FF" w:rsidP="00EF28BC">
      <w:pPr>
        <w:pStyle w:val="podpisi"/>
        <w:spacing w:line="276" w:lineRule="auto"/>
        <w:jc w:val="center"/>
        <w:rPr>
          <w:b/>
          <w:color w:val="FF0000"/>
          <w:sz w:val="28"/>
          <w:lang w:val="sl-SI"/>
        </w:rPr>
      </w:pPr>
      <w:r w:rsidRPr="00885091">
        <w:rPr>
          <w:b/>
          <w:sz w:val="28"/>
          <w:lang w:val="sl-SI"/>
        </w:rPr>
        <w:t>3</w:t>
      </w:r>
      <w:r w:rsidR="001E03E6" w:rsidRPr="00885091">
        <w:rPr>
          <w:b/>
          <w:sz w:val="28"/>
          <w:lang w:val="sl-SI"/>
        </w:rPr>
        <w:t xml:space="preserve">. izdaja, </w:t>
      </w:r>
      <w:r w:rsidRPr="00885091">
        <w:rPr>
          <w:b/>
          <w:sz w:val="28"/>
          <w:lang w:val="sl-SI"/>
        </w:rPr>
        <w:t>JUNIJ</w:t>
      </w:r>
      <w:r w:rsidR="004D0E19" w:rsidRPr="00885091">
        <w:rPr>
          <w:b/>
          <w:sz w:val="28"/>
          <w:lang w:val="sl-SI"/>
        </w:rPr>
        <w:t xml:space="preserve"> </w:t>
      </w:r>
      <w:r w:rsidR="001F6E59" w:rsidRPr="00885091">
        <w:rPr>
          <w:b/>
          <w:sz w:val="28"/>
          <w:lang w:val="sl-SI"/>
        </w:rPr>
        <w:t>2018</w:t>
      </w:r>
    </w:p>
    <w:p w:rsidR="003A4F98" w:rsidRPr="000C203D" w:rsidRDefault="003A4F98" w:rsidP="00EF28BC">
      <w:pPr>
        <w:spacing w:line="276" w:lineRule="auto"/>
        <w:rPr>
          <w:b/>
          <w:sz w:val="24"/>
        </w:rPr>
      </w:pPr>
      <w:r>
        <w:rPr>
          <w:sz w:val="28"/>
        </w:rPr>
        <w:br w:type="page"/>
      </w:r>
      <w:r w:rsidRPr="000C203D">
        <w:rPr>
          <w:b/>
          <w:sz w:val="24"/>
        </w:rPr>
        <w:lastRenderedPageBreak/>
        <w:t>KAZALO</w:t>
      </w:r>
    </w:p>
    <w:p w:rsidR="003A4F98" w:rsidRPr="000C203D" w:rsidRDefault="003A4F98" w:rsidP="00EF28BC">
      <w:pPr>
        <w:spacing w:line="276" w:lineRule="auto"/>
        <w:rPr>
          <w:b/>
          <w:sz w:val="24"/>
        </w:rPr>
      </w:pPr>
    </w:p>
    <w:p w:rsidR="00A9489E" w:rsidRDefault="003A4F98">
      <w:pPr>
        <w:pStyle w:val="Kazalovsebine1"/>
        <w:rPr>
          <w:rFonts w:asciiTheme="minorHAnsi" w:eastAsiaTheme="minorEastAsia" w:hAnsiTheme="minorHAnsi" w:cstheme="minorBidi"/>
          <w:noProof/>
          <w:sz w:val="22"/>
          <w:szCs w:val="22"/>
          <w:lang w:eastAsia="sl-SI"/>
        </w:rPr>
      </w:pPr>
      <w:r>
        <w:rPr>
          <w:b/>
          <w:sz w:val="28"/>
        </w:rPr>
        <w:fldChar w:fldCharType="begin"/>
      </w:r>
      <w:r>
        <w:rPr>
          <w:b/>
          <w:sz w:val="28"/>
        </w:rPr>
        <w:instrText xml:space="preserve"> TOC \h \z \t "FURS_naslov_1;1;FURS_naslov_2;2" </w:instrText>
      </w:r>
      <w:r>
        <w:rPr>
          <w:b/>
          <w:sz w:val="28"/>
        </w:rPr>
        <w:fldChar w:fldCharType="separate"/>
      </w:r>
      <w:hyperlink w:anchor="_Toc520290783" w:history="1">
        <w:r w:rsidR="00A9489E" w:rsidRPr="001B549B">
          <w:rPr>
            <w:rStyle w:val="Hiperpovezava"/>
            <w:noProof/>
          </w:rPr>
          <w:t>1.0 UPORABA ENERGENTA ZA KOMERCIALNI PREVOZ</w:t>
        </w:r>
        <w:r w:rsidR="00A9489E">
          <w:rPr>
            <w:noProof/>
            <w:webHidden/>
          </w:rPr>
          <w:tab/>
        </w:r>
        <w:r w:rsidR="00A9489E">
          <w:rPr>
            <w:noProof/>
            <w:webHidden/>
          </w:rPr>
          <w:fldChar w:fldCharType="begin"/>
        </w:r>
        <w:r w:rsidR="00A9489E">
          <w:rPr>
            <w:noProof/>
            <w:webHidden/>
          </w:rPr>
          <w:instrText xml:space="preserve"> PAGEREF _Toc520290783 \h </w:instrText>
        </w:r>
        <w:r w:rsidR="00A9489E">
          <w:rPr>
            <w:noProof/>
            <w:webHidden/>
          </w:rPr>
        </w:r>
        <w:r w:rsidR="00A9489E">
          <w:rPr>
            <w:noProof/>
            <w:webHidden/>
          </w:rPr>
          <w:fldChar w:fldCharType="separate"/>
        </w:r>
        <w:r w:rsidR="00A9489E">
          <w:rPr>
            <w:noProof/>
            <w:webHidden/>
          </w:rPr>
          <w:t>3</w:t>
        </w:r>
        <w:r w:rsidR="00A9489E">
          <w:rPr>
            <w:noProof/>
            <w:webHidden/>
          </w:rPr>
          <w:fldChar w:fldCharType="end"/>
        </w:r>
      </w:hyperlink>
    </w:p>
    <w:p w:rsidR="00A9489E" w:rsidRDefault="00FA1570">
      <w:pPr>
        <w:pStyle w:val="Kazalovsebine1"/>
        <w:rPr>
          <w:rFonts w:asciiTheme="minorHAnsi" w:eastAsiaTheme="minorEastAsia" w:hAnsiTheme="minorHAnsi" w:cstheme="minorBidi"/>
          <w:noProof/>
          <w:sz w:val="22"/>
          <w:szCs w:val="22"/>
          <w:lang w:eastAsia="sl-SI"/>
        </w:rPr>
      </w:pPr>
      <w:hyperlink w:anchor="_Toc520290784" w:history="1">
        <w:r w:rsidR="00A9489E" w:rsidRPr="001B549B">
          <w:rPr>
            <w:rStyle w:val="Hiperpovezava"/>
            <w:noProof/>
          </w:rPr>
          <w:t>2.0 UPRAVIČENCI DO VRAČILA</w:t>
        </w:r>
        <w:r w:rsidR="00A9489E">
          <w:rPr>
            <w:noProof/>
            <w:webHidden/>
          </w:rPr>
          <w:tab/>
        </w:r>
        <w:r w:rsidR="00A9489E">
          <w:rPr>
            <w:noProof/>
            <w:webHidden/>
          </w:rPr>
          <w:fldChar w:fldCharType="begin"/>
        </w:r>
        <w:r w:rsidR="00A9489E">
          <w:rPr>
            <w:noProof/>
            <w:webHidden/>
          </w:rPr>
          <w:instrText xml:space="preserve"> PAGEREF _Toc520290784 \h </w:instrText>
        </w:r>
        <w:r w:rsidR="00A9489E">
          <w:rPr>
            <w:noProof/>
            <w:webHidden/>
          </w:rPr>
        </w:r>
        <w:r w:rsidR="00A9489E">
          <w:rPr>
            <w:noProof/>
            <w:webHidden/>
          </w:rPr>
          <w:fldChar w:fldCharType="separate"/>
        </w:r>
        <w:r w:rsidR="00A9489E">
          <w:rPr>
            <w:noProof/>
            <w:webHidden/>
          </w:rPr>
          <w:t>3</w:t>
        </w:r>
        <w:r w:rsidR="00A9489E">
          <w:rPr>
            <w:noProof/>
            <w:webHidden/>
          </w:rPr>
          <w:fldChar w:fldCharType="end"/>
        </w:r>
      </w:hyperlink>
    </w:p>
    <w:p w:rsidR="00A9489E" w:rsidRDefault="00FA1570">
      <w:pPr>
        <w:pStyle w:val="Kazalovsebine1"/>
        <w:rPr>
          <w:rFonts w:asciiTheme="minorHAnsi" w:eastAsiaTheme="minorEastAsia" w:hAnsiTheme="minorHAnsi" w:cstheme="minorBidi"/>
          <w:noProof/>
          <w:sz w:val="22"/>
          <w:szCs w:val="22"/>
          <w:lang w:eastAsia="sl-SI"/>
        </w:rPr>
      </w:pPr>
      <w:hyperlink w:anchor="_Toc520290785" w:history="1">
        <w:r w:rsidR="00A9489E" w:rsidRPr="001B549B">
          <w:rPr>
            <w:rStyle w:val="Hiperpovezava"/>
            <w:noProof/>
          </w:rPr>
          <w:t>3.0 VIŠINA VRAČILA</w:t>
        </w:r>
        <w:r w:rsidR="00A9489E">
          <w:rPr>
            <w:noProof/>
            <w:webHidden/>
          </w:rPr>
          <w:tab/>
        </w:r>
        <w:r w:rsidR="00A9489E">
          <w:rPr>
            <w:noProof/>
            <w:webHidden/>
          </w:rPr>
          <w:fldChar w:fldCharType="begin"/>
        </w:r>
        <w:r w:rsidR="00A9489E">
          <w:rPr>
            <w:noProof/>
            <w:webHidden/>
          </w:rPr>
          <w:instrText xml:space="preserve"> PAGEREF _Toc520290785 \h </w:instrText>
        </w:r>
        <w:r w:rsidR="00A9489E">
          <w:rPr>
            <w:noProof/>
            <w:webHidden/>
          </w:rPr>
        </w:r>
        <w:r w:rsidR="00A9489E">
          <w:rPr>
            <w:noProof/>
            <w:webHidden/>
          </w:rPr>
          <w:fldChar w:fldCharType="separate"/>
        </w:r>
        <w:r w:rsidR="00A9489E">
          <w:rPr>
            <w:noProof/>
            <w:webHidden/>
          </w:rPr>
          <w:t>3</w:t>
        </w:r>
        <w:r w:rsidR="00A9489E">
          <w:rPr>
            <w:noProof/>
            <w:webHidden/>
          </w:rPr>
          <w:fldChar w:fldCharType="end"/>
        </w:r>
      </w:hyperlink>
    </w:p>
    <w:p w:rsidR="00A9489E" w:rsidRDefault="00FA1570">
      <w:pPr>
        <w:pStyle w:val="Kazalovsebine1"/>
        <w:rPr>
          <w:rFonts w:asciiTheme="minorHAnsi" w:eastAsiaTheme="minorEastAsia" w:hAnsiTheme="minorHAnsi" w:cstheme="minorBidi"/>
          <w:noProof/>
          <w:sz w:val="22"/>
          <w:szCs w:val="22"/>
          <w:lang w:eastAsia="sl-SI"/>
        </w:rPr>
      </w:pPr>
      <w:hyperlink w:anchor="_Toc520290786" w:history="1">
        <w:r w:rsidR="00A9489E" w:rsidRPr="001B549B">
          <w:rPr>
            <w:rStyle w:val="Hiperpovezava"/>
            <w:noProof/>
          </w:rPr>
          <w:t xml:space="preserve">4.0 </w:t>
        </w:r>
        <w:r w:rsidR="00A9489E" w:rsidRPr="001B549B">
          <w:rPr>
            <w:rStyle w:val="Hiperpovezava"/>
            <w:caps/>
            <w:noProof/>
          </w:rPr>
          <w:t>Interni servis za točenje goriv</w:t>
        </w:r>
        <w:r w:rsidR="00A9489E">
          <w:rPr>
            <w:noProof/>
            <w:webHidden/>
          </w:rPr>
          <w:tab/>
        </w:r>
        <w:r w:rsidR="00A9489E">
          <w:rPr>
            <w:noProof/>
            <w:webHidden/>
          </w:rPr>
          <w:fldChar w:fldCharType="begin"/>
        </w:r>
        <w:r w:rsidR="00A9489E">
          <w:rPr>
            <w:noProof/>
            <w:webHidden/>
          </w:rPr>
          <w:instrText xml:space="preserve"> PAGEREF _Toc520290786 \h </w:instrText>
        </w:r>
        <w:r w:rsidR="00A9489E">
          <w:rPr>
            <w:noProof/>
            <w:webHidden/>
          </w:rPr>
        </w:r>
        <w:r w:rsidR="00A9489E">
          <w:rPr>
            <w:noProof/>
            <w:webHidden/>
          </w:rPr>
          <w:fldChar w:fldCharType="separate"/>
        </w:r>
        <w:r w:rsidR="00A9489E">
          <w:rPr>
            <w:noProof/>
            <w:webHidden/>
          </w:rPr>
          <w:t>3</w:t>
        </w:r>
        <w:r w:rsidR="00A9489E">
          <w:rPr>
            <w:noProof/>
            <w:webHidden/>
          </w:rPr>
          <w:fldChar w:fldCharType="end"/>
        </w:r>
      </w:hyperlink>
    </w:p>
    <w:p w:rsidR="00A9489E" w:rsidRDefault="00FA1570">
      <w:pPr>
        <w:pStyle w:val="Kazalovsebine1"/>
        <w:rPr>
          <w:rFonts w:asciiTheme="minorHAnsi" w:eastAsiaTheme="minorEastAsia" w:hAnsiTheme="minorHAnsi" w:cstheme="minorBidi"/>
          <w:noProof/>
          <w:sz w:val="22"/>
          <w:szCs w:val="22"/>
          <w:lang w:eastAsia="sl-SI"/>
        </w:rPr>
      </w:pPr>
      <w:hyperlink w:anchor="_Toc520290787" w:history="1">
        <w:r w:rsidR="00A9489E" w:rsidRPr="001B549B">
          <w:rPr>
            <w:rStyle w:val="Hiperpovezava"/>
            <w:caps/>
            <w:noProof/>
          </w:rPr>
          <w:t>5.0 Obrazec, dokazila in evidence</w:t>
        </w:r>
        <w:r w:rsidR="00A9489E">
          <w:rPr>
            <w:noProof/>
            <w:webHidden/>
          </w:rPr>
          <w:tab/>
        </w:r>
        <w:r w:rsidR="00A9489E">
          <w:rPr>
            <w:noProof/>
            <w:webHidden/>
          </w:rPr>
          <w:fldChar w:fldCharType="begin"/>
        </w:r>
        <w:r w:rsidR="00A9489E">
          <w:rPr>
            <w:noProof/>
            <w:webHidden/>
          </w:rPr>
          <w:instrText xml:space="preserve"> PAGEREF _Toc520290787 \h </w:instrText>
        </w:r>
        <w:r w:rsidR="00A9489E">
          <w:rPr>
            <w:noProof/>
            <w:webHidden/>
          </w:rPr>
        </w:r>
        <w:r w:rsidR="00A9489E">
          <w:rPr>
            <w:noProof/>
            <w:webHidden/>
          </w:rPr>
          <w:fldChar w:fldCharType="separate"/>
        </w:r>
        <w:r w:rsidR="00A9489E">
          <w:rPr>
            <w:noProof/>
            <w:webHidden/>
          </w:rPr>
          <w:t>4</w:t>
        </w:r>
        <w:r w:rsidR="00A9489E">
          <w:rPr>
            <w:noProof/>
            <w:webHidden/>
          </w:rPr>
          <w:fldChar w:fldCharType="end"/>
        </w:r>
      </w:hyperlink>
    </w:p>
    <w:p w:rsidR="00A9489E" w:rsidRDefault="00FA1570">
      <w:pPr>
        <w:pStyle w:val="Kazalovsebine2"/>
        <w:rPr>
          <w:rFonts w:asciiTheme="minorHAnsi" w:eastAsiaTheme="minorEastAsia" w:hAnsiTheme="minorHAnsi" w:cstheme="minorBidi"/>
          <w:noProof/>
        </w:rPr>
      </w:pPr>
      <w:hyperlink w:anchor="_Toc520290788" w:history="1">
        <w:r w:rsidR="00A9489E" w:rsidRPr="001B549B">
          <w:rPr>
            <w:rStyle w:val="Hiperpovezava"/>
            <w:noProof/>
          </w:rPr>
          <w:t>5.1 Obrazec</w:t>
        </w:r>
        <w:r w:rsidR="00A9489E">
          <w:rPr>
            <w:noProof/>
            <w:webHidden/>
          </w:rPr>
          <w:tab/>
        </w:r>
        <w:r w:rsidR="00A9489E">
          <w:rPr>
            <w:noProof/>
            <w:webHidden/>
          </w:rPr>
          <w:fldChar w:fldCharType="begin"/>
        </w:r>
        <w:r w:rsidR="00A9489E">
          <w:rPr>
            <w:noProof/>
            <w:webHidden/>
          </w:rPr>
          <w:instrText xml:space="preserve"> PAGEREF _Toc520290788 \h </w:instrText>
        </w:r>
        <w:r w:rsidR="00A9489E">
          <w:rPr>
            <w:noProof/>
            <w:webHidden/>
          </w:rPr>
        </w:r>
        <w:r w:rsidR="00A9489E">
          <w:rPr>
            <w:noProof/>
            <w:webHidden/>
          </w:rPr>
          <w:fldChar w:fldCharType="separate"/>
        </w:r>
        <w:r w:rsidR="00A9489E">
          <w:rPr>
            <w:noProof/>
            <w:webHidden/>
          </w:rPr>
          <w:t>4</w:t>
        </w:r>
        <w:r w:rsidR="00A9489E">
          <w:rPr>
            <w:noProof/>
            <w:webHidden/>
          </w:rPr>
          <w:fldChar w:fldCharType="end"/>
        </w:r>
      </w:hyperlink>
    </w:p>
    <w:p w:rsidR="00A9489E" w:rsidRDefault="00FA1570">
      <w:pPr>
        <w:pStyle w:val="Kazalovsebine2"/>
        <w:rPr>
          <w:rFonts w:asciiTheme="minorHAnsi" w:eastAsiaTheme="minorEastAsia" w:hAnsiTheme="minorHAnsi" w:cstheme="minorBidi"/>
          <w:noProof/>
        </w:rPr>
      </w:pPr>
      <w:hyperlink w:anchor="_Toc520290789" w:history="1">
        <w:r w:rsidR="00A9489E" w:rsidRPr="001B549B">
          <w:rPr>
            <w:rStyle w:val="Hiperpovezava"/>
            <w:noProof/>
          </w:rPr>
          <w:t>5.2 Računi o nakupu plinskega olja</w:t>
        </w:r>
        <w:r w:rsidR="00A9489E">
          <w:rPr>
            <w:noProof/>
            <w:webHidden/>
          </w:rPr>
          <w:tab/>
        </w:r>
        <w:r w:rsidR="00A9489E">
          <w:rPr>
            <w:noProof/>
            <w:webHidden/>
          </w:rPr>
          <w:fldChar w:fldCharType="begin"/>
        </w:r>
        <w:r w:rsidR="00A9489E">
          <w:rPr>
            <w:noProof/>
            <w:webHidden/>
          </w:rPr>
          <w:instrText xml:space="preserve"> PAGEREF _Toc520290789 \h </w:instrText>
        </w:r>
        <w:r w:rsidR="00A9489E">
          <w:rPr>
            <w:noProof/>
            <w:webHidden/>
          </w:rPr>
        </w:r>
        <w:r w:rsidR="00A9489E">
          <w:rPr>
            <w:noProof/>
            <w:webHidden/>
          </w:rPr>
          <w:fldChar w:fldCharType="separate"/>
        </w:r>
        <w:r w:rsidR="00A9489E">
          <w:rPr>
            <w:noProof/>
            <w:webHidden/>
          </w:rPr>
          <w:t>4</w:t>
        </w:r>
        <w:r w:rsidR="00A9489E">
          <w:rPr>
            <w:noProof/>
            <w:webHidden/>
          </w:rPr>
          <w:fldChar w:fldCharType="end"/>
        </w:r>
      </w:hyperlink>
    </w:p>
    <w:p w:rsidR="00A9489E" w:rsidRDefault="00FA1570">
      <w:pPr>
        <w:pStyle w:val="Kazalovsebine2"/>
        <w:rPr>
          <w:rFonts w:asciiTheme="minorHAnsi" w:eastAsiaTheme="minorEastAsia" w:hAnsiTheme="minorHAnsi" w:cstheme="minorBidi"/>
          <w:noProof/>
        </w:rPr>
      </w:pPr>
      <w:hyperlink w:anchor="_Toc520290790" w:history="1">
        <w:r w:rsidR="00A9489E" w:rsidRPr="001B549B">
          <w:rPr>
            <w:rStyle w:val="Hiperpovezava"/>
            <w:noProof/>
          </w:rPr>
          <w:t>5.3 Evidence o nakupu in porabi plinskega olja</w:t>
        </w:r>
        <w:r w:rsidR="00A9489E">
          <w:rPr>
            <w:noProof/>
            <w:webHidden/>
          </w:rPr>
          <w:tab/>
        </w:r>
        <w:r w:rsidR="00A9489E">
          <w:rPr>
            <w:noProof/>
            <w:webHidden/>
          </w:rPr>
          <w:fldChar w:fldCharType="begin"/>
        </w:r>
        <w:r w:rsidR="00A9489E">
          <w:rPr>
            <w:noProof/>
            <w:webHidden/>
          </w:rPr>
          <w:instrText xml:space="preserve"> PAGEREF _Toc520290790 \h </w:instrText>
        </w:r>
        <w:r w:rsidR="00A9489E">
          <w:rPr>
            <w:noProof/>
            <w:webHidden/>
          </w:rPr>
        </w:r>
        <w:r w:rsidR="00A9489E">
          <w:rPr>
            <w:noProof/>
            <w:webHidden/>
          </w:rPr>
          <w:fldChar w:fldCharType="separate"/>
        </w:r>
        <w:r w:rsidR="00A9489E">
          <w:rPr>
            <w:noProof/>
            <w:webHidden/>
          </w:rPr>
          <w:t>4</w:t>
        </w:r>
        <w:r w:rsidR="00A9489E">
          <w:rPr>
            <w:noProof/>
            <w:webHidden/>
          </w:rPr>
          <w:fldChar w:fldCharType="end"/>
        </w:r>
      </w:hyperlink>
    </w:p>
    <w:p w:rsidR="00A9489E" w:rsidRDefault="00FA1570">
      <w:pPr>
        <w:pStyle w:val="Kazalovsebine2"/>
        <w:rPr>
          <w:rFonts w:asciiTheme="minorHAnsi" w:eastAsiaTheme="minorEastAsia" w:hAnsiTheme="minorHAnsi" w:cstheme="minorBidi"/>
          <w:noProof/>
        </w:rPr>
      </w:pPr>
      <w:hyperlink w:anchor="_Toc520290791" w:history="1">
        <w:r w:rsidR="00A9489E" w:rsidRPr="001B549B">
          <w:rPr>
            <w:rStyle w:val="Hiperpovezava"/>
            <w:noProof/>
          </w:rPr>
          <w:t>5.4 Dokazila o registraciji vozila in hramba listin</w:t>
        </w:r>
        <w:r w:rsidR="00A9489E">
          <w:rPr>
            <w:noProof/>
            <w:webHidden/>
          </w:rPr>
          <w:tab/>
        </w:r>
        <w:r w:rsidR="00A9489E">
          <w:rPr>
            <w:noProof/>
            <w:webHidden/>
          </w:rPr>
          <w:fldChar w:fldCharType="begin"/>
        </w:r>
        <w:r w:rsidR="00A9489E">
          <w:rPr>
            <w:noProof/>
            <w:webHidden/>
          </w:rPr>
          <w:instrText xml:space="preserve"> PAGEREF _Toc520290791 \h </w:instrText>
        </w:r>
        <w:r w:rsidR="00A9489E">
          <w:rPr>
            <w:noProof/>
            <w:webHidden/>
          </w:rPr>
        </w:r>
        <w:r w:rsidR="00A9489E">
          <w:rPr>
            <w:noProof/>
            <w:webHidden/>
          </w:rPr>
          <w:fldChar w:fldCharType="separate"/>
        </w:r>
        <w:r w:rsidR="00A9489E">
          <w:rPr>
            <w:noProof/>
            <w:webHidden/>
          </w:rPr>
          <w:t>4</w:t>
        </w:r>
        <w:r w:rsidR="00A9489E">
          <w:rPr>
            <w:noProof/>
            <w:webHidden/>
          </w:rPr>
          <w:fldChar w:fldCharType="end"/>
        </w:r>
      </w:hyperlink>
    </w:p>
    <w:p w:rsidR="00A9489E" w:rsidRDefault="00FA1570">
      <w:pPr>
        <w:pStyle w:val="Kazalovsebine1"/>
        <w:rPr>
          <w:rFonts w:asciiTheme="minorHAnsi" w:eastAsiaTheme="minorEastAsia" w:hAnsiTheme="minorHAnsi" w:cstheme="minorBidi"/>
          <w:noProof/>
          <w:sz w:val="22"/>
          <w:szCs w:val="22"/>
          <w:lang w:eastAsia="sl-SI"/>
        </w:rPr>
      </w:pPr>
      <w:hyperlink w:anchor="_Toc520290792" w:history="1">
        <w:r w:rsidR="00A9489E" w:rsidRPr="001B549B">
          <w:rPr>
            <w:rStyle w:val="Hiperpovezava"/>
            <w:caps/>
            <w:noProof/>
          </w:rPr>
          <w:t>6.0 Poraba goriva za vozila z vgrajenimi napravami</w:t>
        </w:r>
        <w:r w:rsidR="00A9489E">
          <w:rPr>
            <w:noProof/>
            <w:webHidden/>
          </w:rPr>
          <w:tab/>
        </w:r>
        <w:r w:rsidR="00A9489E">
          <w:rPr>
            <w:noProof/>
            <w:webHidden/>
          </w:rPr>
          <w:fldChar w:fldCharType="begin"/>
        </w:r>
        <w:r w:rsidR="00A9489E">
          <w:rPr>
            <w:noProof/>
            <w:webHidden/>
          </w:rPr>
          <w:instrText xml:space="preserve"> PAGEREF _Toc520290792 \h </w:instrText>
        </w:r>
        <w:r w:rsidR="00A9489E">
          <w:rPr>
            <w:noProof/>
            <w:webHidden/>
          </w:rPr>
        </w:r>
        <w:r w:rsidR="00A9489E">
          <w:rPr>
            <w:noProof/>
            <w:webHidden/>
          </w:rPr>
          <w:fldChar w:fldCharType="separate"/>
        </w:r>
        <w:r w:rsidR="00A9489E">
          <w:rPr>
            <w:noProof/>
            <w:webHidden/>
          </w:rPr>
          <w:t>4</w:t>
        </w:r>
        <w:r w:rsidR="00A9489E">
          <w:rPr>
            <w:noProof/>
            <w:webHidden/>
          </w:rPr>
          <w:fldChar w:fldCharType="end"/>
        </w:r>
      </w:hyperlink>
    </w:p>
    <w:p w:rsidR="00A9489E" w:rsidRDefault="00FA1570">
      <w:pPr>
        <w:pStyle w:val="Kazalovsebine1"/>
        <w:rPr>
          <w:rFonts w:asciiTheme="minorHAnsi" w:eastAsiaTheme="minorEastAsia" w:hAnsiTheme="minorHAnsi" w:cstheme="minorBidi"/>
          <w:noProof/>
          <w:sz w:val="22"/>
          <w:szCs w:val="22"/>
          <w:lang w:eastAsia="sl-SI"/>
        </w:rPr>
      </w:pPr>
      <w:hyperlink w:anchor="_Toc520290793" w:history="1">
        <w:r w:rsidR="00A9489E" w:rsidRPr="001B549B">
          <w:rPr>
            <w:rStyle w:val="Hiperpovezava"/>
            <w:caps/>
            <w:noProof/>
          </w:rPr>
          <w:t>7.0 Obdobje uveljavljanja vračila trošarine</w:t>
        </w:r>
        <w:r w:rsidR="00A9489E">
          <w:rPr>
            <w:noProof/>
            <w:webHidden/>
          </w:rPr>
          <w:tab/>
        </w:r>
        <w:r w:rsidR="00A9489E">
          <w:rPr>
            <w:noProof/>
            <w:webHidden/>
          </w:rPr>
          <w:fldChar w:fldCharType="begin"/>
        </w:r>
        <w:r w:rsidR="00A9489E">
          <w:rPr>
            <w:noProof/>
            <w:webHidden/>
          </w:rPr>
          <w:instrText xml:space="preserve"> PAGEREF _Toc520290793 \h </w:instrText>
        </w:r>
        <w:r w:rsidR="00A9489E">
          <w:rPr>
            <w:noProof/>
            <w:webHidden/>
          </w:rPr>
        </w:r>
        <w:r w:rsidR="00A9489E">
          <w:rPr>
            <w:noProof/>
            <w:webHidden/>
          </w:rPr>
          <w:fldChar w:fldCharType="separate"/>
        </w:r>
        <w:r w:rsidR="00A9489E">
          <w:rPr>
            <w:noProof/>
            <w:webHidden/>
          </w:rPr>
          <w:t>5</w:t>
        </w:r>
        <w:r w:rsidR="00A9489E">
          <w:rPr>
            <w:noProof/>
            <w:webHidden/>
          </w:rPr>
          <w:fldChar w:fldCharType="end"/>
        </w:r>
      </w:hyperlink>
    </w:p>
    <w:p w:rsidR="00A9489E" w:rsidRDefault="00FA1570">
      <w:pPr>
        <w:pStyle w:val="Kazalovsebine1"/>
        <w:rPr>
          <w:rFonts w:asciiTheme="minorHAnsi" w:eastAsiaTheme="minorEastAsia" w:hAnsiTheme="minorHAnsi" w:cstheme="minorBidi"/>
          <w:noProof/>
          <w:sz w:val="22"/>
          <w:szCs w:val="22"/>
          <w:lang w:eastAsia="sl-SI"/>
        </w:rPr>
      </w:pPr>
      <w:hyperlink w:anchor="_Toc520290794" w:history="1">
        <w:r w:rsidR="00A9489E" w:rsidRPr="001B549B">
          <w:rPr>
            <w:rStyle w:val="Hiperpovezava"/>
            <w:noProof/>
          </w:rPr>
          <w:t>8.0 UPRAVIČENCI IZ DRUGE DRŽAVE ČLANICE EU ALI EFTE</w:t>
        </w:r>
        <w:r w:rsidR="00A9489E">
          <w:rPr>
            <w:noProof/>
            <w:webHidden/>
          </w:rPr>
          <w:tab/>
        </w:r>
        <w:r w:rsidR="00A9489E">
          <w:rPr>
            <w:noProof/>
            <w:webHidden/>
          </w:rPr>
          <w:fldChar w:fldCharType="begin"/>
        </w:r>
        <w:r w:rsidR="00A9489E">
          <w:rPr>
            <w:noProof/>
            <w:webHidden/>
          </w:rPr>
          <w:instrText xml:space="preserve"> PAGEREF _Toc520290794 \h </w:instrText>
        </w:r>
        <w:r w:rsidR="00A9489E">
          <w:rPr>
            <w:noProof/>
            <w:webHidden/>
          </w:rPr>
        </w:r>
        <w:r w:rsidR="00A9489E">
          <w:rPr>
            <w:noProof/>
            <w:webHidden/>
          </w:rPr>
          <w:fldChar w:fldCharType="separate"/>
        </w:r>
        <w:r w:rsidR="00A9489E">
          <w:rPr>
            <w:noProof/>
            <w:webHidden/>
          </w:rPr>
          <w:t>5</w:t>
        </w:r>
        <w:r w:rsidR="00A9489E">
          <w:rPr>
            <w:noProof/>
            <w:webHidden/>
          </w:rPr>
          <w:fldChar w:fldCharType="end"/>
        </w:r>
      </w:hyperlink>
    </w:p>
    <w:p w:rsidR="00A9489E" w:rsidRDefault="00FA1570">
      <w:pPr>
        <w:pStyle w:val="Kazalovsebine1"/>
        <w:rPr>
          <w:rFonts w:asciiTheme="minorHAnsi" w:eastAsiaTheme="minorEastAsia" w:hAnsiTheme="minorHAnsi" w:cstheme="minorBidi"/>
          <w:noProof/>
          <w:sz w:val="22"/>
          <w:szCs w:val="22"/>
          <w:lang w:eastAsia="sl-SI"/>
        </w:rPr>
      </w:pPr>
      <w:hyperlink w:anchor="_Toc520290795" w:history="1">
        <w:r w:rsidR="00A9489E" w:rsidRPr="001B549B">
          <w:rPr>
            <w:rStyle w:val="Hiperpovezava"/>
            <w:noProof/>
          </w:rPr>
          <w:t>9.0 VRAČILO TROŠARINE</w:t>
        </w:r>
        <w:r w:rsidR="00A9489E">
          <w:rPr>
            <w:noProof/>
            <w:webHidden/>
          </w:rPr>
          <w:tab/>
        </w:r>
        <w:r w:rsidR="00A9489E">
          <w:rPr>
            <w:noProof/>
            <w:webHidden/>
          </w:rPr>
          <w:fldChar w:fldCharType="begin"/>
        </w:r>
        <w:r w:rsidR="00A9489E">
          <w:rPr>
            <w:noProof/>
            <w:webHidden/>
          </w:rPr>
          <w:instrText xml:space="preserve"> PAGEREF _Toc520290795 \h </w:instrText>
        </w:r>
        <w:r w:rsidR="00A9489E">
          <w:rPr>
            <w:noProof/>
            <w:webHidden/>
          </w:rPr>
        </w:r>
        <w:r w:rsidR="00A9489E">
          <w:rPr>
            <w:noProof/>
            <w:webHidden/>
          </w:rPr>
          <w:fldChar w:fldCharType="separate"/>
        </w:r>
        <w:r w:rsidR="00A9489E">
          <w:rPr>
            <w:noProof/>
            <w:webHidden/>
          </w:rPr>
          <w:t>5</w:t>
        </w:r>
        <w:r w:rsidR="00A9489E">
          <w:rPr>
            <w:noProof/>
            <w:webHidden/>
          </w:rPr>
          <w:fldChar w:fldCharType="end"/>
        </w:r>
      </w:hyperlink>
    </w:p>
    <w:p w:rsidR="00A9489E" w:rsidRDefault="00FA1570">
      <w:pPr>
        <w:pStyle w:val="Kazalovsebine1"/>
        <w:rPr>
          <w:rFonts w:asciiTheme="minorHAnsi" w:eastAsiaTheme="minorEastAsia" w:hAnsiTheme="minorHAnsi" w:cstheme="minorBidi"/>
          <w:noProof/>
          <w:sz w:val="22"/>
          <w:szCs w:val="22"/>
          <w:lang w:eastAsia="sl-SI"/>
        </w:rPr>
      </w:pPr>
      <w:hyperlink w:anchor="_Toc520290796" w:history="1">
        <w:r w:rsidR="00A9489E" w:rsidRPr="001B549B">
          <w:rPr>
            <w:rStyle w:val="Hiperpovezava"/>
            <w:noProof/>
          </w:rPr>
          <w:t>10.0 VPRAŠANJA IN ODGOVORI</w:t>
        </w:r>
        <w:r w:rsidR="00A9489E">
          <w:rPr>
            <w:noProof/>
            <w:webHidden/>
          </w:rPr>
          <w:tab/>
        </w:r>
        <w:r w:rsidR="00A9489E">
          <w:rPr>
            <w:noProof/>
            <w:webHidden/>
          </w:rPr>
          <w:fldChar w:fldCharType="begin"/>
        </w:r>
        <w:r w:rsidR="00A9489E">
          <w:rPr>
            <w:noProof/>
            <w:webHidden/>
          </w:rPr>
          <w:instrText xml:space="preserve"> PAGEREF _Toc520290796 \h </w:instrText>
        </w:r>
        <w:r w:rsidR="00A9489E">
          <w:rPr>
            <w:noProof/>
            <w:webHidden/>
          </w:rPr>
        </w:r>
        <w:r w:rsidR="00A9489E">
          <w:rPr>
            <w:noProof/>
            <w:webHidden/>
          </w:rPr>
          <w:fldChar w:fldCharType="separate"/>
        </w:r>
        <w:r w:rsidR="00A9489E">
          <w:rPr>
            <w:noProof/>
            <w:webHidden/>
          </w:rPr>
          <w:t>6</w:t>
        </w:r>
        <w:r w:rsidR="00A9489E">
          <w:rPr>
            <w:noProof/>
            <w:webHidden/>
          </w:rPr>
          <w:fldChar w:fldCharType="end"/>
        </w:r>
      </w:hyperlink>
    </w:p>
    <w:p w:rsidR="00783372" w:rsidRPr="00450B9B" w:rsidRDefault="003A4F98" w:rsidP="00EF28BC">
      <w:pPr>
        <w:pStyle w:val="FURSnaslov1"/>
        <w:spacing w:line="276" w:lineRule="auto"/>
      </w:pPr>
      <w:r>
        <w:rPr>
          <w:sz w:val="28"/>
          <w:lang w:val="en-US"/>
        </w:rPr>
        <w:fldChar w:fldCharType="end"/>
      </w: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83372" w:rsidRDefault="00783372" w:rsidP="00EF28BC">
      <w:pPr>
        <w:pStyle w:val="FURSnaslov1"/>
        <w:spacing w:line="276" w:lineRule="auto"/>
        <w:outlineLvl w:val="0"/>
      </w:pPr>
    </w:p>
    <w:p w:rsidR="00797D85" w:rsidRDefault="00797D85" w:rsidP="00EF28BC">
      <w:pPr>
        <w:pStyle w:val="FURSnaslov1"/>
        <w:spacing w:line="276" w:lineRule="auto"/>
        <w:outlineLvl w:val="0"/>
      </w:pPr>
    </w:p>
    <w:p w:rsidR="00797D85" w:rsidRDefault="00797D85" w:rsidP="00EF28BC">
      <w:pPr>
        <w:pStyle w:val="FURSnaslov1"/>
        <w:spacing w:line="276" w:lineRule="auto"/>
        <w:outlineLvl w:val="0"/>
      </w:pPr>
    </w:p>
    <w:p w:rsidR="00783372" w:rsidRDefault="00783372" w:rsidP="00EF28BC">
      <w:pPr>
        <w:pStyle w:val="FURSnaslov1"/>
        <w:spacing w:line="276" w:lineRule="auto"/>
        <w:outlineLvl w:val="0"/>
      </w:pPr>
    </w:p>
    <w:p w:rsidR="003A4F98" w:rsidRPr="00450B9B" w:rsidRDefault="00450B9B" w:rsidP="00EF28BC">
      <w:pPr>
        <w:pStyle w:val="FURSnaslov1"/>
        <w:spacing w:line="276" w:lineRule="auto"/>
        <w:outlineLvl w:val="0"/>
      </w:pPr>
      <w:bookmarkStart w:id="0" w:name="_Toc520290783"/>
      <w:r w:rsidRPr="00450B9B">
        <w:lastRenderedPageBreak/>
        <w:t xml:space="preserve">1.0 UPORABA </w:t>
      </w:r>
      <w:r w:rsidR="001F6E59">
        <w:t xml:space="preserve">ENERGENTA </w:t>
      </w:r>
      <w:r w:rsidRPr="00450B9B">
        <w:t>ZA KOMERCIALNI PREVOZ</w:t>
      </w:r>
      <w:bookmarkEnd w:id="0"/>
    </w:p>
    <w:p w:rsidR="00450B9B" w:rsidRPr="0069015B" w:rsidRDefault="00450B9B" w:rsidP="00EF28BC">
      <w:pPr>
        <w:pStyle w:val="FURSnaslov1"/>
        <w:spacing w:line="276" w:lineRule="auto"/>
        <w:rPr>
          <w:sz w:val="20"/>
          <w:szCs w:val="20"/>
        </w:rPr>
      </w:pPr>
    </w:p>
    <w:p w:rsidR="00783372" w:rsidRDefault="004D0E19" w:rsidP="0044106B">
      <w:pPr>
        <w:spacing w:line="276" w:lineRule="auto"/>
        <w:jc w:val="both"/>
        <w:rPr>
          <w:rFonts w:cs="Arial"/>
          <w:szCs w:val="20"/>
        </w:rPr>
      </w:pPr>
      <w:r>
        <w:t xml:space="preserve">Na podlagi 95. člena </w:t>
      </w:r>
      <w:hyperlink r:id="rId8" w:history="1">
        <w:r w:rsidRPr="00797D85">
          <w:rPr>
            <w:rStyle w:val="Hiperpovezava"/>
          </w:rPr>
          <w:t>Zakona o trošarinah</w:t>
        </w:r>
      </w:hyperlink>
      <w:r>
        <w:t xml:space="preserve"> in </w:t>
      </w:r>
      <w:hyperlink r:id="rId9" w:history="1">
        <w:r w:rsidRPr="00797D85">
          <w:rPr>
            <w:rStyle w:val="Hiperpovezava"/>
            <w:bCs/>
          </w:rPr>
          <w:t xml:space="preserve">Pravilnika </w:t>
        </w:r>
        <w:r w:rsidRPr="00797D85">
          <w:rPr>
            <w:rStyle w:val="Hiperpovezava"/>
          </w:rPr>
          <w:t>o načinu vračila trošarine za energente, ki se porabijo za industrijsko-komercialni namen in komercialni prevoz</w:t>
        </w:r>
      </w:hyperlink>
      <w:r w:rsidRPr="004D0E19">
        <w:rPr>
          <w:b/>
          <w:bCs/>
        </w:rPr>
        <w:t xml:space="preserve"> </w:t>
      </w:r>
      <w:r>
        <w:rPr>
          <w:bCs/>
        </w:rPr>
        <w:t xml:space="preserve">imajo kupci </w:t>
      </w:r>
      <w:r w:rsidR="00783372" w:rsidRPr="005E548B">
        <w:rPr>
          <w:rFonts w:cs="Arial"/>
          <w:szCs w:val="20"/>
        </w:rPr>
        <w:t xml:space="preserve">pravico do vračila dela plačane trošarine za plinsko olje, ki se dokazljivo porabi kot pogonsko gorivo za komercialni prevoz. </w:t>
      </w:r>
    </w:p>
    <w:p w:rsidR="00797D85" w:rsidRDefault="00797D85" w:rsidP="00EF28BC">
      <w:pPr>
        <w:spacing w:line="276" w:lineRule="auto"/>
        <w:jc w:val="both"/>
        <w:rPr>
          <w:rFonts w:cs="Arial"/>
          <w:szCs w:val="20"/>
        </w:rPr>
      </w:pPr>
    </w:p>
    <w:p w:rsidR="003A4F98" w:rsidRPr="005B09F6" w:rsidRDefault="003A4F98" w:rsidP="00EF28BC">
      <w:pPr>
        <w:spacing w:line="276" w:lineRule="auto"/>
        <w:jc w:val="both"/>
        <w:rPr>
          <w:rFonts w:cs="Arial"/>
          <w:szCs w:val="20"/>
        </w:rPr>
      </w:pPr>
      <w:r w:rsidRPr="005B09F6">
        <w:rPr>
          <w:rFonts w:cs="Arial"/>
          <w:szCs w:val="20"/>
        </w:rPr>
        <w:t>Šteje se, da je plinsko olje, nabavljeno v Sloveniji, porabljeno kot pogonsko gorivo za komercialni prevoz:</w:t>
      </w:r>
    </w:p>
    <w:p w:rsidR="003A4F98" w:rsidRPr="005B09F6" w:rsidRDefault="003A4F98" w:rsidP="00797D85">
      <w:pPr>
        <w:numPr>
          <w:ilvl w:val="0"/>
          <w:numId w:val="11"/>
        </w:numPr>
        <w:spacing w:after="100" w:afterAutospacing="1" w:line="276" w:lineRule="auto"/>
        <w:jc w:val="both"/>
        <w:rPr>
          <w:rFonts w:cs="Arial"/>
          <w:szCs w:val="20"/>
        </w:rPr>
      </w:pPr>
      <w:r w:rsidRPr="005B09F6">
        <w:rPr>
          <w:rFonts w:cs="Arial"/>
          <w:szCs w:val="20"/>
        </w:rPr>
        <w:t xml:space="preserve">če je porabljeno za </w:t>
      </w:r>
      <w:r w:rsidRPr="00797D85">
        <w:rPr>
          <w:rFonts w:cs="Arial"/>
          <w:szCs w:val="20"/>
        </w:rPr>
        <w:t>prevoz blaga za plačilo ali za lasten račun</w:t>
      </w:r>
      <w:r w:rsidRPr="005B09F6">
        <w:rPr>
          <w:rFonts w:cs="Arial"/>
          <w:szCs w:val="20"/>
        </w:rPr>
        <w:t xml:space="preserve"> z lastnimi ali z najetimi registriranimi motornimi vozili ali tovornjaki s prikolico, ki so namenjeni izključno cestnemu prevozu blaga in je njihova največja dovoljena masa najmanj 7,5 tone; </w:t>
      </w:r>
    </w:p>
    <w:p w:rsidR="003A4F98" w:rsidRDefault="003A4F98" w:rsidP="00797D85">
      <w:pPr>
        <w:numPr>
          <w:ilvl w:val="0"/>
          <w:numId w:val="11"/>
        </w:numPr>
        <w:spacing w:line="276" w:lineRule="auto"/>
        <w:jc w:val="both"/>
        <w:rPr>
          <w:rFonts w:cs="Arial"/>
          <w:szCs w:val="20"/>
        </w:rPr>
      </w:pPr>
      <w:r w:rsidRPr="005B09F6">
        <w:rPr>
          <w:rFonts w:cs="Arial"/>
          <w:szCs w:val="20"/>
        </w:rPr>
        <w:t xml:space="preserve">če je porabljeno za </w:t>
      </w:r>
      <w:r w:rsidRPr="00797D85">
        <w:rPr>
          <w:rFonts w:cs="Arial"/>
          <w:szCs w:val="20"/>
        </w:rPr>
        <w:t>prevoz potnikov</w:t>
      </w:r>
      <w:r w:rsidRPr="005B09F6">
        <w:rPr>
          <w:rFonts w:cs="Arial"/>
          <w:szCs w:val="20"/>
        </w:rPr>
        <w:t xml:space="preserve"> (linijski, izredni) z motornimi vozili kategorije M2 ali M3 skladno s predpisi, ki urejajo področje ugotavljanja skladnosti vozil.</w:t>
      </w:r>
    </w:p>
    <w:p w:rsidR="00797D85" w:rsidRDefault="00797D85" w:rsidP="00797D85">
      <w:pPr>
        <w:spacing w:line="276" w:lineRule="auto"/>
        <w:jc w:val="both"/>
        <w:rPr>
          <w:rFonts w:cs="Arial"/>
          <w:szCs w:val="20"/>
        </w:rPr>
      </w:pPr>
    </w:p>
    <w:p w:rsidR="00063F08" w:rsidRPr="00450B9B" w:rsidRDefault="00063F08" w:rsidP="00797D85">
      <w:pPr>
        <w:spacing w:line="276" w:lineRule="auto"/>
        <w:jc w:val="both"/>
        <w:rPr>
          <w:rFonts w:cs="Arial"/>
          <w:szCs w:val="20"/>
        </w:rPr>
      </w:pPr>
    </w:p>
    <w:p w:rsidR="00450B9B" w:rsidRDefault="00450B9B" w:rsidP="00EF28BC">
      <w:pPr>
        <w:pStyle w:val="FURSnaslov1"/>
        <w:spacing w:line="276" w:lineRule="auto"/>
        <w:outlineLvl w:val="0"/>
      </w:pPr>
      <w:bookmarkStart w:id="1" w:name="_Toc520290784"/>
      <w:r>
        <w:t>2.0 UPRAVIČENCI DO VRAČILA</w:t>
      </w:r>
      <w:bookmarkEnd w:id="1"/>
      <w:r>
        <w:t xml:space="preserve"> </w:t>
      </w:r>
    </w:p>
    <w:p w:rsidR="00450B9B" w:rsidRPr="0069015B" w:rsidRDefault="00450B9B" w:rsidP="00EF28BC">
      <w:pPr>
        <w:pStyle w:val="FURSnaslov1"/>
        <w:spacing w:line="276" w:lineRule="auto"/>
        <w:rPr>
          <w:sz w:val="20"/>
          <w:szCs w:val="20"/>
        </w:rPr>
      </w:pPr>
    </w:p>
    <w:p w:rsidR="00450B9B" w:rsidRPr="00797D85" w:rsidRDefault="00450B9B" w:rsidP="00797D85">
      <w:pPr>
        <w:spacing w:line="276" w:lineRule="auto"/>
        <w:jc w:val="both"/>
        <w:rPr>
          <w:rFonts w:ascii="Times New Roman" w:hAnsi="Times New Roman"/>
          <w:sz w:val="24"/>
        </w:rPr>
      </w:pPr>
      <w:r w:rsidRPr="005B09F6">
        <w:rPr>
          <w:rFonts w:cs="Arial"/>
          <w:szCs w:val="20"/>
        </w:rPr>
        <w:t xml:space="preserve">Upravičenci so osebe, ki opravljajo </w:t>
      </w:r>
      <w:r w:rsidRPr="00797D85">
        <w:rPr>
          <w:rFonts w:cs="Arial"/>
          <w:szCs w:val="20"/>
        </w:rPr>
        <w:t>registrirano dejavnost</w:t>
      </w:r>
      <w:r w:rsidRPr="004D0E19">
        <w:rPr>
          <w:rFonts w:cs="Arial"/>
          <w:szCs w:val="20"/>
        </w:rPr>
        <w:t xml:space="preserve"> in imajo </w:t>
      </w:r>
      <w:r w:rsidR="00561116">
        <w:rPr>
          <w:rFonts w:cs="Arial"/>
          <w:szCs w:val="20"/>
        </w:rPr>
        <w:t xml:space="preserve">sedež v </w:t>
      </w:r>
      <w:r w:rsidR="00797D85">
        <w:rPr>
          <w:rFonts w:cs="Arial"/>
          <w:szCs w:val="20"/>
        </w:rPr>
        <w:t xml:space="preserve">Uniji ali </w:t>
      </w:r>
      <w:r w:rsidRPr="00797D85">
        <w:rPr>
          <w:rFonts w:cs="Arial"/>
          <w:szCs w:val="20"/>
        </w:rPr>
        <w:t xml:space="preserve">državah </w:t>
      </w:r>
      <w:r w:rsidR="00797D85">
        <w:rPr>
          <w:rFonts w:cs="Arial"/>
          <w:szCs w:val="20"/>
        </w:rPr>
        <w:t>članicah Evropskega združenja za prosto trgovino (EFTA).</w:t>
      </w:r>
      <w:r w:rsidRPr="004D0E19">
        <w:rPr>
          <w:rFonts w:ascii="Times New Roman" w:hAnsi="Times New Roman"/>
          <w:sz w:val="24"/>
        </w:rPr>
        <w:t> </w:t>
      </w:r>
      <w:r w:rsidRPr="00797D85">
        <w:rPr>
          <w:rFonts w:ascii="Times New Roman" w:hAnsi="Times New Roman"/>
          <w:sz w:val="24"/>
        </w:rPr>
        <w:t xml:space="preserve"> </w:t>
      </w:r>
    </w:p>
    <w:p w:rsidR="003A4F98" w:rsidRDefault="003A4F98" w:rsidP="00EF28BC">
      <w:pPr>
        <w:pStyle w:val="FURSnaslov1"/>
        <w:spacing w:line="276" w:lineRule="auto"/>
        <w:jc w:val="both"/>
        <w:rPr>
          <w:sz w:val="20"/>
          <w:szCs w:val="20"/>
        </w:rPr>
      </w:pPr>
    </w:p>
    <w:p w:rsidR="00063F08" w:rsidRPr="0069015B" w:rsidRDefault="00063F08" w:rsidP="00EF28BC">
      <w:pPr>
        <w:pStyle w:val="FURSnaslov1"/>
        <w:spacing w:line="276" w:lineRule="auto"/>
        <w:jc w:val="both"/>
        <w:rPr>
          <w:sz w:val="20"/>
          <w:szCs w:val="20"/>
        </w:rPr>
      </w:pPr>
    </w:p>
    <w:p w:rsidR="00450B9B" w:rsidRDefault="00450B9B" w:rsidP="00EF28BC">
      <w:pPr>
        <w:pStyle w:val="FURSnaslov1"/>
        <w:spacing w:line="276" w:lineRule="auto"/>
        <w:outlineLvl w:val="0"/>
      </w:pPr>
      <w:bookmarkStart w:id="2" w:name="_Toc520290785"/>
      <w:r>
        <w:t>3.0 VIŠINA VRAČILA</w:t>
      </w:r>
      <w:bookmarkEnd w:id="2"/>
    </w:p>
    <w:p w:rsidR="00450B9B" w:rsidRPr="0069015B" w:rsidRDefault="00450B9B" w:rsidP="00EF28BC">
      <w:pPr>
        <w:pStyle w:val="FURSnaslov1"/>
        <w:spacing w:line="276" w:lineRule="auto"/>
        <w:rPr>
          <w:sz w:val="20"/>
          <w:szCs w:val="20"/>
        </w:rPr>
      </w:pPr>
    </w:p>
    <w:p w:rsidR="00450B9B" w:rsidRDefault="00450B9B" w:rsidP="00EF28BC">
      <w:pPr>
        <w:spacing w:line="276" w:lineRule="auto"/>
        <w:jc w:val="both"/>
        <w:rPr>
          <w:rFonts w:cs="Arial"/>
          <w:szCs w:val="20"/>
        </w:rPr>
      </w:pPr>
      <w:r w:rsidRPr="005B09F6">
        <w:rPr>
          <w:rFonts w:cs="Arial"/>
          <w:szCs w:val="20"/>
        </w:rPr>
        <w:t xml:space="preserve">Višina vračila je razlika med zneskom povprečne trošarine, ki jo za </w:t>
      </w:r>
      <w:r w:rsidR="00797D85">
        <w:rPr>
          <w:rFonts w:cs="Arial"/>
          <w:szCs w:val="20"/>
        </w:rPr>
        <w:t>posamezen koledarski mesec ugotovi ministrica</w:t>
      </w:r>
      <w:r w:rsidRPr="005B09F6">
        <w:rPr>
          <w:rFonts w:cs="Arial"/>
          <w:szCs w:val="20"/>
        </w:rPr>
        <w:t xml:space="preserve"> za finance, in najnižjim dovoljenim zneskom trošarine, ki ga določa 7. člen Energetske direktive (330 € za 1000 litrov od 1.</w:t>
      </w:r>
      <w:r w:rsidR="0069015B">
        <w:rPr>
          <w:rFonts w:cs="Arial"/>
          <w:szCs w:val="20"/>
        </w:rPr>
        <w:t xml:space="preserve"> </w:t>
      </w:r>
      <w:r w:rsidRPr="005B09F6">
        <w:rPr>
          <w:rFonts w:cs="Arial"/>
          <w:szCs w:val="20"/>
        </w:rPr>
        <w:t>1.</w:t>
      </w:r>
      <w:r w:rsidR="0069015B">
        <w:rPr>
          <w:rFonts w:cs="Arial"/>
          <w:szCs w:val="20"/>
        </w:rPr>
        <w:t xml:space="preserve"> </w:t>
      </w:r>
      <w:r w:rsidRPr="005B09F6">
        <w:rPr>
          <w:rFonts w:cs="Arial"/>
          <w:szCs w:val="20"/>
        </w:rPr>
        <w:t xml:space="preserve">2010). Če se v posameznem mesecu trošarina ne spremeni, se upošteva znesek trošarine, ki velja na prvi dan meseca, na katerega se zahtevek nanaša. </w:t>
      </w:r>
    </w:p>
    <w:p w:rsidR="00064427" w:rsidRDefault="00064427" w:rsidP="00EF28BC">
      <w:pPr>
        <w:spacing w:line="276" w:lineRule="auto"/>
        <w:jc w:val="both"/>
        <w:rPr>
          <w:rFonts w:cs="Arial"/>
          <w:szCs w:val="20"/>
        </w:rPr>
      </w:pPr>
    </w:p>
    <w:p w:rsidR="00064427" w:rsidRDefault="00FA1570" w:rsidP="00064427">
      <w:pPr>
        <w:spacing w:line="276" w:lineRule="auto"/>
        <w:jc w:val="both"/>
        <w:rPr>
          <w:rFonts w:cs="Arial"/>
          <w:szCs w:val="20"/>
        </w:rPr>
      </w:pPr>
      <w:hyperlink r:id="rId10" w:history="1">
        <w:r w:rsidR="00064427" w:rsidRPr="001E03E6">
          <w:rPr>
            <w:rStyle w:val="Hiperpovezava"/>
          </w:rPr>
          <w:t>Višina vračila za 100</w:t>
        </w:r>
        <w:r w:rsidR="001E03E6" w:rsidRPr="001E03E6">
          <w:rPr>
            <w:rStyle w:val="Hiperpovezava"/>
          </w:rPr>
          <w:t>0 litrov porabljenih energentov</w:t>
        </w:r>
      </w:hyperlink>
      <w:r w:rsidR="00064427" w:rsidRPr="00394A04">
        <w:t xml:space="preserve"> </w:t>
      </w:r>
      <w:r w:rsidR="00064427">
        <w:t>(zneski so informativne narave).</w:t>
      </w:r>
    </w:p>
    <w:p w:rsidR="00064427" w:rsidRDefault="00064427" w:rsidP="00EF28BC">
      <w:pPr>
        <w:spacing w:line="276" w:lineRule="auto"/>
        <w:jc w:val="both"/>
        <w:rPr>
          <w:rFonts w:cs="Arial"/>
          <w:szCs w:val="20"/>
        </w:rPr>
      </w:pPr>
    </w:p>
    <w:p w:rsidR="00063F08" w:rsidRDefault="00063F08" w:rsidP="00EF28BC">
      <w:pPr>
        <w:spacing w:line="276" w:lineRule="auto"/>
        <w:jc w:val="both"/>
        <w:rPr>
          <w:rFonts w:cs="Arial"/>
          <w:szCs w:val="20"/>
        </w:rPr>
      </w:pPr>
    </w:p>
    <w:p w:rsidR="00A26CE6" w:rsidRDefault="00A26CE6" w:rsidP="00EF28BC">
      <w:pPr>
        <w:pStyle w:val="FURSnaslov1"/>
        <w:spacing w:line="276" w:lineRule="auto"/>
        <w:outlineLvl w:val="0"/>
        <w:rPr>
          <w:caps/>
        </w:rPr>
      </w:pPr>
      <w:bookmarkStart w:id="3" w:name="_Toc520290786"/>
      <w:r>
        <w:t xml:space="preserve">4.0 </w:t>
      </w:r>
      <w:r w:rsidRPr="00A26CE6">
        <w:rPr>
          <w:caps/>
        </w:rPr>
        <w:t>Interni servis za točenje goriv</w:t>
      </w:r>
      <w:bookmarkEnd w:id="3"/>
    </w:p>
    <w:p w:rsidR="00A26CE6" w:rsidRPr="005B09F6" w:rsidRDefault="00A26CE6" w:rsidP="00EF28BC">
      <w:pPr>
        <w:pStyle w:val="FURSnaslov1"/>
        <w:spacing w:line="276" w:lineRule="auto"/>
      </w:pPr>
    </w:p>
    <w:p w:rsidR="00D13BB7" w:rsidRDefault="00A26CE6" w:rsidP="00EF28BC">
      <w:pPr>
        <w:spacing w:line="276" w:lineRule="auto"/>
        <w:jc w:val="both"/>
        <w:rPr>
          <w:rFonts w:cs="Arial"/>
          <w:szCs w:val="20"/>
        </w:rPr>
      </w:pPr>
      <w:r w:rsidRPr="005B09F6">
        <w:rPr>
          <w:rFonts w:cs="Arial"/>
          <w:szCs w:val="20"/>
        </w:rPr>
        <w:t>Če ima upravičenec do vračila interni servis za točenje goriv v skladu s pravilnikom, ki ureja tehnične zahteve za gradnjo in obratovanje postaj za preskrbo motornih vozil z gorivom, mora poleg evidence o nakupu in porabi plinskega olja</w:t>
      </w:r>
      <w:r w:rsidR="00224BEE">
        <w:rPr>
          <w:rFonts w:cs="Arial"/>
          <w:szCs w:val="20"/>
        </w:rPr>
        <w:t xml:space="preserve"> voditi tudi podatke</w:t>
      </w:r>
      <w:r w:rsidR="00160AD9">
        <w:rPr>
          <w:rFonts w:cs="Arial"/>
          <w:szCs w:val="20"/>
        </w:rPr>
        <w:t xml:space="preserve"> o</w:t>
      </w:r>
      <w:r w:rsidRPr="005B09F6">
        <w:rPr>
          <w:rFonts w:cs="Arial"/>
          <w:szCs w:val="20"/>
        </w:rPr>
        <w:t>:</w:t>
      </w:r>
    </w:p>
    <w:p w:rsidR="00D13BB7" w:rsidRPr="00D13BB7" w:rsidRDefault="00D13BB7" w:rsidP="00797D85">
      <w:pPr>
        <w:pStyle w:val="Odstavekseznama"/>
        <w:numPr>
          <w:ilvl w:val="0"/>
          <w:numId w:val="12"/>
        </w:numPr>
        <w:spacing w:line="276" w:lineRule="auto"/>
        <w:jc w:val="both"/>
        <w:rPr>
          <w:rFonts w:cs="Arial"/>
          <w:szCs w:val="20"/>
        </w:rPr>
      </w:pPr>
      <w:r w:rsidRPr="00D13BB7">
        <w:rPr>
          <w:rFonts w:cs="Arial"/>
          <w:szCs w:val="20"/>
        </w:rPr>
        <w:t>prostornini rezervoarja int</w:t>
      </w:r>
      <w:r w:rsidR="00797D85">
        <w:rPr>
          <w:rFonts w:cs="Arial"/>
          <w:szCs w:val="20"/>
        </w:rPr>
        <w:t>ernega servisa za točenje goriv;</w:t>
      </w:r>
      <w:r w:rsidRPr="00D13BB7">
        <w:rPr>
          <w:rFonts w:cs="Arial"/>
          <w:szCs w:val="20"/>
        </w:rPr>
        <w:t xml:space="preserve"> </w:t>
      </w:r>
    </w:p>
    <w:p w:rsidR="00D13BB7" w:rsidRPr="001F6E59" w:rsidRDefault="00D13BB7" w:rsidP="00797D85">
      <w:pPr>
        <w:pStyle w:val="Odstavekseznama"/>
        <w:numPr>
          <w:ilvl w:val="0"/>
          <w:numId w:val="12"/>
        </w:numPr>
        <w:spacing w:line="276" w:lineRule="auto"/>
        <w:jc w:val="both"/>
        <w:rPr>
          <w:rFonts w:cs="Arial"/>
          <w:szCs w:val="20"/>
        </w:rPr>
      </w:pPr>
      <w:r w:rsidRPr="0044106B">
        <w:rPr>
          <w:rFonts w:cs="Arial"/>
          <w:szCs w:val="20"/>
        </w:rPr>
        <w:t>količini in datum</w:t>
      </w:r>
      <w:r w:rsidRPr="000A6590">
        <w:rPr>
          <w:rFonts w:cs="Arial"/>
          <w:szCs w:val="20"/>
        </w:rPr>
        <w:t xml:space="preserve">u točenju </w:t>
      </w:r>
      <w:r w:rsidRPr="00EE7ECC">
        <w:rPr>
          <w:rFonts w:cs="Arial"/>
          <w:szCs w:val="20"/>
        </w:rPr>
        <w:t xml:space="preserve">goriva v druga vozila </w:t>
      </w:r>
      <w:r w:rsidRPr="001F6E59">
        <w:rPr>
          <w:rFonts w:cs="Arial"/>
          <w:szCs w:val="20"/>
        </w:rPr>
        <w:t>in naprave ter količ</w:t>
      </w:r>
      <w:r w:rsidR="00797D85">
        <w:rPr>
          <w:rFonts w:cs="Arial"/>
          <w:szCs w:val="20"/>
        </w:rPr>
        <w:t>ino porabe goriva za drug namen;</w:t>
      </w:r>
      <w:r w:rsidRPr="001F6E59">
        <w:rPr>
          <w:rFonts w:cs="Arial"/>
          <w:szCs w:val="20"/>
        </w:rPr>
        <w:t xml:space="preserve"> </w:t>
      </w:r>
    </w:p>
    <w:p w:rsidR="00D13BB7" w:rsidRPr="001F6E59" w:rsidRDefault="00D13BB7" w:rsidP="00797D85">
      <w:pPr>
        <w:pStyle w:val="Odstavekseznama"/>
        <w:numPr>
          <w:ilvl w:val="0"/>
          <w:numId w:val="12"/>
        </w:numPr>
        <w:spacing w:line="276" w:lineRule="auto"/>
        <w:jc w:val="both"/>
        <w:rPr>
          <w:rFonts w:cs="Arial"/>
          <w:szCs w:val="20"/>
        </w:rPr>
      </w:pPr>
      <w:r w:rsidRPr="001F6E59">
        <w:rPr>
          <w:rFonts w:cs="Arial"/>
          <w:szCs w:val="20"/>
        </w:rPr>
        <w:t>količini in datumu polnjenja internega servisa za točenje gori</w:t>
      </w:r>
      <w:r w:rsidR="00797D85">
        <w:rPr>
          <w:rFonts w:cs="Arial"/>
          <w:szCs w:val="20"/>
        </w:rPr>
        <w:t>v, s številko izdanega računa;</w:t>
      </w:r>
    </w:p>
    <w:p w:rsidR="00D13BB7" w:rsidRPr="001F6E59" w:rsidRDefault="00D13BB7" w:rsidP="00797D85">
      <w:pPr>
        <w:pStyle w:val="Odstavekseznama"/>
        <w:numPr>
          <w:ilvl w:val="0"/>
          <w:numId w:val="12"/>
        </w:numPr>
        <w:spacing w:line="276" w:lineRule="auto"/>
        <w:jc w:val="both"/>
        <w:rPr>
          <w:rFonts w:cs="Arial"/>
          <w:szCs w:val="20"/>
        </w:rPr>
      </w:pPr>
      <w:r w:rsidRPr="001F6E59">
        <w:rPr>
          <w:rFonts w:cs="Arial"/>
          <w:szCs w:val="20"/>
        </w:rPr>
        <w:t xml:space="preserve">podatke o zalogi goriva na začetku in koncu meseca. </w:t>
      </w:r>
    </w:p>
    <w:p w:rsidR="00D13BB7" w:rsidRPr="005B09F6" w:rsidRDefault="00D13BB7" w:rsidP="00EF28BC">
      <w:pPr>
        <w:spacing w:line="276" w:lineRule="auto"/>
        <w:jc w:val="both"/>
        <w:rPr>
          <w:rFonts w:cs="Arial"/>
          <w:szCs w:val="20"/>
        </w:rPr>
      </w:pPr>
    </w:p>
    <w:p w:rsidR="00A26CE6" w:rsidRPr="00797D85" w:rsidRDefault="00A26CE6" w:rsidP="00EF28BC">
      <w:pPr>
        <w:spacing w:line="276" w:lineRule="auto"/>
        <w:jc w:val="both"/>
        <w:rPr>
          <w:rFonts w:cs="Arial"/>
          <w:szCs w:val="20"/>
        </w:rPr>
      </w:pPr>
      <w:r w:rsidRPr="00797D85">
        <w:rPr>
          <w:rFonts w:cs="Arial"/>
          <w:szCs w:val="20"/>
        </w:rPr>
        <w:t xml:space="preserve">Za gorivo, natočeno na internih servisih za točenje goriva, lahko uveljavlja vračilo trošarine za komercialni prevoz </w:t>
      </w:r>
      <w:r w:rsidRPr="00797D85">
        <w:rPr>
          <w:rFonts w:cs="Arial"/>
          <w:bCs/>
          <w:szCs w:val="20"/>
        </w:rPr>
        <w:t xml:space="preserve">le imetnik tega internega servisa za točenje goriv. Vračilo trošarine se lahko uveljavi </w:t>
      </w:r>
      <w:r w:rsidR="008378CA">
        <w:rPr>
          <w:rFonts w:cs="Arial"/>
          <w:bCs/>
          <w:szCs w:val="20"/>
        </w:rPr>
        <w:t xml:space="preserve">le za gorivo, ki ga je točil in </w:t>
      </w:r>
      <w:r w:rsidRPr="00797D85">
        <w:rPr>
          <w:rFonts w:cs="Arial"/>
          <w:bCs/>
          <w:szCs w:val="20"/>
        </w:rPr>
        <w:t xml:space="preserve">dokazljivo porabil v vozilih, ki jih </w:t>
      </w:r>
      <w:r w:rsidR="00F06D36" w:rsidRPr="00797D85">
        <w:rPr>
          <w:rFonts w:cs="Arial"/>
          <w:bCs/>
          <w:szCs w:val="20"/>
        </w:rPr>
        <w:t xml:space="preserve">je </w:t>
      </w:r>
      <w:r w:rsidRPr="00797D85">
        <w:rPr>
          <w:rFonts w:cs="Arial"/>
          <w:bCs/>
          <w:szCs w:val="20"/>
        </w:rPr>
        <w:t>sam uporabljal za komercialni prevoz</w:t>
      </w:r>
      <w:r w:rsidR="006F2751">
        <w:rPr>
          <w:rFonts w:cs="Arial"/>
          <w:szCs w:val="20"/>
        </w:rPr>
        <w:t>. Za go</w:t>
      </w:r>
      <w:r w:rsidRPr="00797D85">
        <w:rPr>
          <w:rFonts w:cs="Arial"/>
          <w:szCs w:val="20"/>
        </w:rPr>
        <w:t xml:space="preserve">rivo, ki je na zalogi ali je bilo polnjeno v druga vozila ali ni porabljeno za komercialni </w:t>
      </w:r>
      <w:r w:rsidR="00B669ED">
        <w:rPr>
          <w:rFonts w:cs="Arial"/>
          <w:szCs w:val="20"/>
        </w:rPr>
        <w:t>prevoz, nima pravice do vračila</w:t>
      </w:r>
      <w:r w:rsidR="00944A63">
        <w:rPr>
          <w:rFonts w:cs="Arial"/>
          <w:szCs w:val="20"/>
        </w:rPr>
        <w:t>.</w:t>
      </w:r>
      <w:r w:rsidRPr="00797D85">
        <w:rPr>
          <w:rFonts w:cs="Arial"/>
          <w:szCs w:val="20"/>
        </w:rPr>
        <w:t xml:space="preserve"> </w:t>
      </w:r>
    </w:p>
    <w:p w:rsidR="00F475FD" w:rsidRPr="005B09F6" w:rsidRDefault="00F475FD" w:rsidP="00EF28BC">
      <w:pPr>
        <w:spacing w:line="276" w:lineRule="auto"/>
        <w:jc w:val="both"/>
        <w:rPr>
          <w:rFonts w:cs="Arial"/>
          <w:szCs w:val="20"/>
        </w:rPr>
      </w:pPr>
    </w:p>
    <w:p w:rsidR="00A26CE6" w:rsidRDefault="00A26CE6" w:rsidP="00EF28BC">
      <w:pPr>
        <w:spacing w:line="276" w:lineRule="auto"/>
        <w:jc w:val="both"/>
        <w:rPr>
          <w:rFonts w:cs="Arial"/>
          <w:szCs w:val="20"/>
        </w:rPr>
      </w:pPr>
      <w:r w:rsidRPr="005B09F6">
        <w:rPr>
          <w:rFonts w:cs="Arial"/>
          <w:szCs w:val="20"/>
        </w:rPr>
        <w:lastRenderedPageBreak/>
        <w:t xml:space="preserve">Interni servis za točenje goriva mora </w:t>
      </w:r>
      <w:r w:rsidR="00640D03">
        <w:rPr>
          <w:rFonts w:cs="Arial"/>
          <w:szCs w:val="20"/>
        </w:rPr>
        <w:t>zagotoviti evidentiranje količin goriva, ki se točijo v vozila, z merilnimi napravami za točenje goriva. Količina iztočenega goriva</w:t>
      </w:r>
      <w:r w:rsidRPr="005B09F6">
        <w:rPr>
          <w:rFonts w:cs="Arial"/>
          <w:szCs w:val="20"/>
        </w:rPr>
        <w:t xml:space="preserve"> mora biti prikazana v merski enoti, ki je za gorivo določena z meroslovnimi predpisi.</w:t>
      </w:r>
    </w:p>
    <w:p w:rsidR="00F475FD" w:rsidRDefault="00F475FD" w:rsidP="00EF28BC">
      <w:pPr>
        <w:spacing w:line="276" w:lineRule="auto"/>
        <w:jc w:val="both"/>
        <w:rPr>
          <w:rFonts w:cs="Arial"/>
          <w:szCs w:val="20"/>
        </w:rPr>
      </w:pPr>
    </w:p>
    <w:p w:rsidR="00063F08" w:rsidRPr="005B09F6" w:rsidRDefault="00063F08" w:rsidP="00EF28BC">
      <w:pPr>
        <w:spacing w:line="276" w:lineRule="auto"/>
        <w:jc w:val="both"/>
        <w:rPr>
          <w:rFonts w:cs="Arial"/>
          <w:szCs w:val="20"/>
        </w:rPr>
      </w:pPr>
    </w:p>
    <w:p w:rsidR="00A26CE6" w:rsidRDefault="00F475FD" w:rsidP="00EF28BC">
      <w:pPr>
        <w:pStyle w:val="FURSnaslov1"/>
        <w:spacing w:line="276" w:lineRule="auto"/>
        <w:outlineLvl w:val="0"/>
        <w:rPr>
          <w:caps/>
        </w:rPr>
      </w:pPr>
      <w:bookmarkStart w:id="4" w:name="c32100"/>
      <w:bookmarkStart w:id="5" w:name="_Toc520290787"/>
      <w:bookmarkEnd w:id="4"/>
      <w:r w:rsidRPr="00F475FD">
        <w:rPr>
          <w:caps/>
        </w:rPr>
        <w:t xml:space="preserve">5.0 </w:t>
      </w:r>
      <w:r w:rsidR="00A26CE6" w:rsidRPr="00F475FD">
        <w:rPr>
          <w:caps/>
        </w:rPr>
        <w:t>Obrazec, dokazila in evidence</w:t>
      </w:r>
      <w:bookmarkEnd w:id="5"/>
    </w:p>
    <w:p w:rsidR="00F475FD" w:rsidRPr="0069015B" w:rsidRDefault="00F475FD" w:rsidP="00EF28BC">
      <w:pPr>
        <w:pStyle w:val="FURSnaslov1"/>
        <w:spacing w:line="276" w:lineRule="auto"/>
        <w:rPr>
          <w:caps/>
          <w:sz w:val="20"/>
          <w:szCs w:val="20"/>
        </w:rPr>
      </w:pPr>
    </w:p>
    <w:p w:rsidR="00783372" w:rsidRDefault="00783372" w:rsidP="00EF28BC">
      <w:pPr>
        <w:pStyle w:val="FURSnaslov2"/>
        <w:spacing w:line="276" w:lineRule="auto"/>
        <w:outlineLvl w:val="1"/>
      </w:pPr>
      <w:bookmarkStart w:id="6" w:name="_Toc520290788"/>
      <w:r>
        <w:t>5.1 Obrazec</w:t>
      </w:r>
      <w:bookmarkEnd w:id="6"/>
    </w:p>
    <w:p w:rsidR="00783372" w:rsidRPr="0069015B" w:rsidRDefault="00783372" w:rsidP="00EF28BC">
      <w:pPr>
        <w:pStyle w:val="FURSnaslov2"/>
        <w:spacing w:line="276" w:lineRule="auto"/>
        <w:outlineLvl w:val="1"/>
        <w:rPr>
          <w:sz w:val="20"/>
          <w:szCs w:val="20"/>
        </w:rPr>
      </w:pPr>
    </w:p>
    <w:p w:rsidR="00F475FD" w:rsidRDefault="00A26CE6" w:rsidP="00EF28BC">
      <w:pPr>
        <w:spacing w:line="276" w:lineRule="auto"/>
        <w:jc w:val="both"/>
        <w:rPr>
          <w:rFonts w:cs="Arial"/>
          <w:szCs w:val="20"/>
        </w:rPr>
      </w:pPr>
      <w:r w:rsidRPr="005B09F6">
        <w:rPr>
          <w:rFonts w:cs="Arial"/>
          <w:szCs w:val="20"/>
        </w:rPr>
        <w:t>Vračilo plačane trošarine s</w:t>
      </w:r>
      <w:r w:rsidR="0049314A">
        <w:rPr>
          <w:rFonts w:cs="Arial"/>
          <w:szCs w:val="20"/>
        </w:rPr>
        <w:t>e uveljavlja na podlagi</w:t>
      </w:r>
      <w:r w:rsidR="00B820DE">
        <w:rPr>
          <w:rFonts w:cs="Arial"/>
          <w:szCs w:val="20"/>
        </w:rPr>
        <w:t xml:space="preserve"> </w:t>
      </w:r>
      <w:r w:rsidR="001F47AD">
        <w:rPr>
          <w:rFonts w:cs="Arial"/>
          <w:szCs w:val="20"/>
        </w:rPr>
        <w:t>zahtevka</w:t>
      </w:r>
      <w:r w:rsidRPr="005B09F6">
        <w:rPr>
          <w:rFonts w:cs="Arial"/>
          <w:szCs w:val="20"/>
        </w:rPr>
        <w:t> </w:t>
      </w:r>
      <w:hyperlink r:id="rId11" w:history="1">
        <w:r w:rsidRPr="00063F08">
          <w:rPr>
            <w:rStyle w:val="Hiperpovezava"/>
          </w:rPr>
          <w:t>TRO-K</w:t>
        </w:r>
        <w:r w:rsidR="00F475FD" w:rsidRPr="00063F08">
          <w:rPr>
            <w:rStyle w:val="Hiperpovezava"/>
            <w:rFonts w:cs="Arial"/>
            <w:szCs w:val="20"/>
          </w:rPr>
          <w:t>.</w:t>
        </w:r>
      </w:hyperlink>
    </w:p>
    <w:p w:rsidR="00A26CE6" w:rsidRPr="005B09F6" w:rsidRDefault="00A26CE6" w:rsidP="00EF28BC">
      <w:pPr>
        <w:spacing w:line="276" w:lineRule="auto"/>
        <w:jc w:val="both"/>
        <w:rPr>
          <w:rFonts w:cs="Arial"/>
          <w:szCs w:val="20"/>
        </w:rPr>
      </w:pPr>
      <w:r w:rsidRPr="005B09F6">
        <w:rPr>
          <w:rFonts w:cs="Arial"/>
          <w:szCs w:val="20"/>
        </w:rPr>
        <w:t xml:space="preserve"> </w:t>
      </w:r>
    </w:p>
    <w:p w:rsidR="00783372" w:rsidRDefault="00783372" w:rsidP="00EF28BC">
      <w:pPr>
        <w:pStyle w:val="FURSnaslov2"/>
        <w:spacing w:line="276" w:lineRule="auto"/>
        <w:outlineLvl w:val="1"/>
      </w:pPr>
      <w:bookmarkStart w:id="7" w:name="_Toc520290789"/>
      <w:r>
        <w:t>5.2 Računi o nakupu plinskega olja</w:t>
      </w:r>
      <w:bookmarkEnd w:id="7"/>
    </w:p>
    <w:p w:rsidR="00783372" w:rsidRPr="0069015B" w:rsidRDefault="00783372" w:rsidP="00EF28BC">
      <w:pPr>
        <w:pStyle w:val="FURSnaslov2"/>
        <w:spacing w:line="276" w:lineRule="auto"/>
        <w:rPr>
          <w:sz w:val="20"/>
          <w:szCs w:val="20"/>
        </w:rPr>
      </w:pPr>
    </w:p>
    <w:p w:rsidR="00A26CE6" w:rsidRPr="005B09F6" w:rsidRDefault="001F47AD" w:rsidP="00EF28BC">
      <w:pPr>
        <w:spacing w:line="276" w:lineRule="auto"/>
        <w:jc w:val="both"/>
        <w:rPr>
          <w:rFonts w:cs="Arial"/>
          <w:szCs w:val="20"/>
        </w:rPr>
      </w:pPr>
      <w:r>
        <w:rPr>
          <w:rFonts w:cs="Arial"/>
          <w:szCs w:val="20"/>
        </w:rPr>
        <w:t xml:space="preserve">Zahtevku </w:t>
      </w:r>
      <w:r w:rsidR="00A26CE6" w:rsidRPr="005B09F6">
        <w:rPr>
          <w:rFonts w:cs="Arial"/>
          <w:szCs w:val="20"/>
        </w:rPr>
        <w:t xml:space="preserve">je </w:t>
      </w:r>
      <w:r>
        <w:rPr>
          <w:rFonts w:cs="Arial"/>
          <w:szCs w:val="20"/>
        </w:rPr>
        <w:t>potrebno</w:t>
      </w:r>
      <w:r w:rsidR="00A26CE6" w:rsidRPr="005B09F6">
        <w:rPr>
          <w:rFonts w:cs="Arial"/>
          <w:szCs w:val="20"/>
        </w:rPr>
        <w:t xml:space="preserve"> </w:t>
      </w:r>
      <w:r w:rsidR="00A26CE6" w:rsidRPr="00D76519">
        <w:rPr>
          <w:rFonts w:cs="Arial"/>
          <w:bCs/>
          <w:szCs w:val="20"/>
        </w:rPr>
        <w:t>priložiti račune o nakupu plinskega olja v Sloveniji</w:t>
      </w:r>
      <w:r w:rsidR="00A26CE6" w:rsidRPr="005B09F6">
        <w:rPr>
          <w:rFonts w:cs="Arial"/>
          <w:szCs w:val="20"/>
        </w:rPr>
        <w:t xml:space="preserve">, ki poleg podatkov, zahtevanih na podlagi drugih predpisov, vsebujejo: kraj ali drugo identifikacijo bencinskega servisa oziroma točilnega mesta, vrsto, količino in ceno goriva, datum točenja in  registrsko oznako vozila, v katero je bilo gorivo točeno ali datum polnjenja v rezervoar internega servisa za točenje goriv. </w:t>
      </w:r>
    </w:p>
    <w:p w:rsidR="00A26CE6" w:rsidRPr="0069015B" w:rsidRDefault="00A26CE6" w:rsidP="00EF28BC">
      <w:pPr>
        <w:spacing w:line="276" w:lineRule="auto"/>
        <w:jc w:val="both"/>
        <w:rPr>
          <w:rFonts w:cs="Arial"/>
          <w:szCs w:val="20"/>
        </w:rPr>
      </w:pPr>
      <w:r w:rsidRPr="005B09F6">
        <w:rPr>
          <w:rFonts w:ascii="Times New Roman" w:hAnsi="Times New Roman"/>
          <w:sz w:val="24"/>
        </w:rPr>
        <w:t> </w:t>
      </w:r>
    </w:p>
    <w:p w:rsidR="0069015B" w:rsidRDefault="00A26CE6" w:rsidP="00EF28BC">
      <w:pPr>
        <w:spacing w:line="276" w:lineRule="auto"/>
        <w:jc w:val="both"/>
        <w:rPr>
          <w:rFonts w:cs="Arial"/>
          <w:szCs w:val="20"/>
        </w:rPr>
      </w:pPr>
      <w:r w:rsidRPr="005B09F6">
        <w:rPr>
          <w:rFonts w:cs="Arial"/>
          <w:szCs w:val="20"/>
        </w:rPr>
        <w:t>Računi o nakupu plinskega olja se morajo glasiti na upravičenca in se predložijo v izvirniku ali kopiji</w:t>
      </w:r>
      <w:r w:rsidR="00D13BB7">
        <w:rPr>
          <w:rFonts w:cs="Arial"/>
          <w:szCs w:val="20"/>
        </w:rPr>
        <w:t>.</w:t>
      </w:r>
      <w:r w:rsidRPr="005B09F6">
        <w:rPr>
          <w:rFonts w:cs="Arial"/>
          <w:szCs w:val="20"/>
        </w:rPr>
        <w:t xml:space="preserve"> </w:t>
      </w:r>
    </w:p>
    <w:p w:rsidR="00A26CE6" w:rsidRPr="005B09F6" w:rsidRDefault="00A26CE6" w:rsidP="00EF28BC">
      <w:pPr>
        <w:spacing w:line="276" w:lineRule="auto"/>
        <w:jc w:val="both"/>
        <w:rPr>
          <w:rFonts w:cs="Arial"/>
          <w:szCs w:val="20"/>
        </w:rPr>
      </w:pPr>
      <w:r w:rsidRPr="005B09F6">
        <w:rPr>
          <w:rFonts w:cs="Arial"/>
          <w:szCs w:val="20"/>
        </w:rPr>
        <w:t> </w:t>
      </w:r>
    </w:p>
    <w:p w:rsidR="00783372" w:rsidRDefault="00783372" w:rsidP="00EF28BC">
      <w:pPr>
        <w:pStyle w:val="FURSnaslov2"/>
        <w:spacing w:line="276" w:lineRule="auto"/>
      </w:pPr>
      <w:bookmarkStart w:id="8" w:name="_Toc520290790"/>
      <w:r>
        <w:t>5.3 Evidence o nakupu in porabi plinskega olja</w:t>
      </w:r>
      <w:bookmarkEnd w:id="8"/>
    </w:p>
    <w:p w:rsidR="00783372" w:rsidRPr="0069015B" w:rsidRDefault="00783372" w:rsidP="00EF28BC">
      <w:pPr>
        <w:pStyle w:val="FURSnaslov2"/>
        <w:spacing w:line="276" w:lineRule="auto"/>
        <w:outlineLvl w:val="1"/>
        <w:rPr>
          <w:sz w:val="20"/>
          <w:szCs w:val="20"/>
        </w:rPr>
      </w:pPr>
    </w:p>
    <w:p w:rsidR="00D13BB7" w:rsidRPr="00D13BB7" w:rsidRDefault="00D13BB7" w:rsidP="00D13BB7">
      <w:pPr>
        <w:spacing w:line="276" w:lineRule="auto"/>
        <w:jc w:val="both"/>
        <w:rPr>
          <w:rFonts w:cs="Arial"/>
          <w:szCs w:val="20"/>
        </w:rPr>
      </w:pPr>
      <w:r w:rsidRPr="00D13BB7">
        <w:rPr>
          <w:rFonts w:cs="Arial"/>
          <w:szCs w:val="20"/>
        </w:rPr>
        <w:t>Upravičenci morajo v evidencah iz tretjega odstavka 95. člena zakona voditi podatke o vrsti in številu vozil, s katerimi razpolagajo, za posamezno vozilo za komercialni prevoz pa:</w:t>
      </w:r>
    </w:p>
    <w:p w:rsidR="00D13BB7" w:rsidRPr="00D13BB7" w:rsidRDefault="00D76519" w:rsidP="00797D85">
      <w:pPr>
        <w:pStyle w:val="Odstavekseznama"/>
        <w:numPr>
          <w:ilvl w:val="0"/>
          <w:numId w:val="13"/>
        </w:numPr>
        <w:spacing w:line="276" w:lineRule="auto"/>
        <w:jc w:val="both"/>
        <w:rPr>
          <w:rFonts w:cs="Arial"/>
          <w:szCs w:val="20"/>
        </w:rPr>
      </w:pPr>
      <w:r>
        <w:rPr>
          <w:rFonts w:cs="Arial"/>
          <w:szCs w:val="20"/>
        </w:rPr>
        <w:t>registrsko oznako vozila;</w:t>
      </w:r>
    </w:p>
    <w:p w:rsidR="00D13BB7" w:rsidRPr="001F6E59" w:rsidRDefault="00D13BB7" w:rsidP="00797D85">
      <w:pPr>
        <w:pStyle w:val="Odstavekseznama"/>
        <w:numPr>
          <w:ilvl w:val="0"/>
          <w:numId w:val="13"/>
        </w:numPr>
        <w:spacing w:line="276" w:lineRule="auto"/>
        <w:jc w:val="both"/>
        <w:rPr>
          <w:rFonts w:cs="Arial"/>
          <w:szCs w:val="20"/>
        </w:rPr>
      </w:pPr>
      <w:r w:rsidRPr="0044106B">
        <w:rPr>
          <w:rFonts w:cs="Arial"/>
          <w:szCs w:val="20"/>
        </w:rPr>
        <w:t xml:space="preserve">podatek o velikosti standardnega rezervoarja za pogonsko gorivo in povprečni porabi </w:t>
      </w:r>
      <w:r w:rsidRPr="00EE7ECC">
        <w:rPr>
          <w:rFonts w:cs="Arial"/>
          <w:szCs w:val="20"/>
        </w:rPr>
        <w:t>plinskega olja ter podatek o velikosti in namenu uporabe dodatno na</w:t>
      </w:r>
      <w:r w:rsidRPr="001F6E59">
        <w:rPr>
          <w:rFonts w:cs="Arial"/>
          <w:szCs w:val="20"/>
        </w:rPr>
        <w:t>me</w:t>
      </w:r>
      <w:r w:rsidR="00D76519">
        <w:rPr>
          <w:rFonts w:cs="Arial"/>
          <w:szCs w:val="20"/>
        </w:rPr>
        <w:t>ščenih rezervoarjev na vozilu;</w:t>
      </w:r>
      <w:r w:rsidRPr="001F6E59">
        <w:rPr>
          <w:rFonts w:cs="Arial"/>
          <w:szCs w:val="20"/>
        </w:rPr>
        <w:t xml:space="preserve"> </w:t>
      </w:r>
    </w:p>
    <w:p w:rsidR="00D13BB7" w:rsidRPr="001F6E59" w:rsidRDefault="00D13BB7" w:rsidP="00797D85">
      <w:pPr>
        <w:pStyle w:val="Odstavekseznama"/>
        <w:numPr>
          <w:ilvl w:val="0"/>
          <w:numId w:val="13"/>
        </w:numPr>
        <w:spacing w:line="276" w:lineRule="auto"/>
        <w:jc w:val="both"/>
        <w:rPr>
          <w:rFonts w:cs="Arial"/>
          <w:szCs w:val="20"/>
        </w:rPr>
      </w:pPr>
      <w:r w:rsidRPr="001F6E59">
        <w:rPr>
          <w:rFonts w:cs="Arial"/>
          <w:szCs w:val="20"/>
        </w:rPr>
        <w:t>količino in datum točenja goriva v rezervoar vozila in stanje števca pred točenjem.</w:t>
      </w:r>
    </w:p>
    <w:p w:rsidR="00D76519" w:rsidRDefault="00D76519" w:rsidP="00D76519">
      <w:pPr>
        <w:spacing w:line="276" w:lineRule="auto"/>
        <w:jc w:val="both"/>
        <w:rPr>
          <w:rFonts w:cs="Arial"/>
          <w:szCs w:val="20"/>
        </w:rPr>
      </w:pPr>
    </w:p>
    <w:p w:rsidR="00F475FD" w:rsidRDefault="00F475FD" w:rsidP="00D76519">
      <w:pPr>
        <w:spacing w:line="276" w:lineRule="auto"/>
        <w:jc w:val="both"/>
        <w:rPr>
          <w:rFonts w:cs="Arial"/>
          <w:szCs w:val="20"/>
        </w:rPr>
      </w:pPr>
      <w:r>
        <w:rPr>
          <w:rFonts w:cs="Arial"/>
          <w:szCs w:val="20"/>
        </w:rPr>
        <w:t>Evidence se ne priložijo zahtevku.</w:t>
      </w:r>
    </w:p>
    <w:p w:rsidR="00D53D3C" w:rsidRPr="005B09F6" w:rsidRDefault="00D53D3C" w:rsidP="00D53D3C">
      <w:pPr>
        <w:spacing w:line="276" w:lineRule="auto"/>
        <w:jc w:val="both"/>
        <w:rPr>
          <w:rFonts w:cs="Arial"/>
          <w:szCs w:val="20"/>
        </w:rPr>
      </w:pPr>
    </w:p>
    <w:p w:rsidR="00783372" w:rsidRDefault="00783372" w:rsidP="00EF28BC">
      <w:pPr>
        <w:pStyle w:val="FURSnaslov2"/>
        <w:spacing w:line="276" w:lineRule="auto"/>
        <w:outlineLvl w:val="1"/>
      </w:pPr>
      <w:bookmarkStart w:id="9" w:name="_Toc520290791"/>
      <w:r>
        <w:t>5.4 Dokazila o registraciji vozila</w:t>
      </w:r>
      <w:r w:rsidR="00D76519">
        <w:t xml:space="preserve"> in hramba listin</w:t>
      </w:r>
      <w:bookmarkEnd w:id="9"/>
    </w:p>
    <w:p w:rsidR="00783372" w:rsidRDefault="00783372" w:rsidP="00EF28BC">
      <w:pPr>
        <w:spacing w:line="276" w:lineRule="auto"/>
        <w:jc w:val="both"/>
        <w:rPr>
          <w:rFonts w:cs="Arial"/>
          <w:szCs w:val="20"/>
        </w:rPr>
      </w:pPr>
    </w:p>
    <w:p w:rsidR="00A26CE6" w:rsidRPr="005B09F6" w:rsidRDefault="00A26CE6" w:rsidP="00EF28BC">
      <w:pPr>
        <w:spacing w:line="276" w:lineRule="auto"/>
        <w:jc w:val="both"/>
        <w:rPr>
          <w:rFonts w:cs="Arial"/>
          <w:szCs w:val="20"/>
        </w:rPr>
      </w:pPr>
      <w:r w:rsidRPr="005B09F6">
        <w:rPr>
          <w:rFonts w:cs="Arial"/>
          <w:szCs w:val="20"/>
        </w:rPr>
        <w:t xml:space="preserve">Dokazila o registraciji vozila pridobi </w:t>
      </w:r>
      <w:r w:rsidR="00F475FD">
        <w:rPr>
          <w:rFonts w:cs="Arial"/>
          <w:szCs w:val="20"/>
        </w:rPr>
        <w:t xml:space="preserve">pristojni </w:t>
      </w:r>
      <w:r w:rsidRPr="005B09F6">
        <w:rPr>
          <w:rFonts w:cs="Arial"/>
          <w:szCs w:val="20"/>
        </w:rPr>
        <w:t xml:space="preserve">organ za upravičence s sedežem v Sloveniji iz evidenc organa, pristojnega za registracijo vozil, in jih ni treba priložiti zahtevku. </w:t>
      </w:r>
    </w:p>
    <w:p w:rsidR="00A26CE6" w:rsidRPr="005B09F6" w:rsidRDefault="00A26CE6" w:rsidP="00EF28BC">
      <w:pPr>
        <w:spacing w:line="276" w:lineRule="auto"/>
        <w:jc w:val="both"/>
        <w:rPr>
          <w:rFonts w:cs="Arial"/>
          <w:szCs w:val="20"/>
        </w:rPr>
      </w:pPr>
      <w:r w:rsidRPr="005B09F6">
        <w:rPr>
          <w:rFonts w:cs="Arial"/>
          <w:szCs w:val="20"/>
        </w:rPr>
        <w:t> </w:t>
      </w:r>
    </w:p>
    <w:p w:rsidR="00A26CE6" w:rsidRDefault="00A26CE6" w:rsidP="00EF28BC">
      <w:pPr>
        <w:spacing w:line="276" w:lineRule="auto"/>
        <w:jc w:val="both"/>
        <w:rPr>
          <w:rFonts w:cs="Arial"/>
          <w:szCs w:val="20"/>
        </w:rPr>
      </w:pPr>
      <w:r w:rsidRPr="005B09F6">
        <w:rPr>
          <w:rFonts w:cs="Arial"/>
          <w:szCs w:val="20"/>
        </w:rPr>
        <w:t>Upravičenec je dolžan hraniti listine, na podlagi katerih mu je bila vrnjena trošarina, deset let po poteku leta, na katero se listine nanašajo.</w:t>
      </w:r>
    </w:p>
    <w:p w:rsidR="0044106B" w:rsidRDefault="0044106B" w:rsidP="00EF28BC">
      <w:pPr>
        <w:spacing w:line="276" w:lineRule="auto"/>
        <w:jc w:val="both"/>
        <w:rPr>
          <w:rFonts w:cs="Arial"/>
          <w:szCs w:val="20"/>
        </w:rPr>
      </w:pPr>
    </w:p>
    <w:p w:rsidR="002913D8" w:rsidRDefault="002913D8" w:rsidP="00EF28BC">
      <w:pPr>
        <w:spacing w:line="276" w:lineRule="auto"/>
        <w:jc w:val="both"/>
        <w:rPr>
          <w:rFonts w:cs="Arial"/>
          <w:szCs w:val="20"/>
        </w:rPr>
      </w:pPr>
    </w:p>
    <w:p w:rsidR="0044106B" w:rsidRPr="008F2843" w:rsidRDefault="002913D8" w:rsidP="008F2843">
      <w:pPr>
        <w:pStyle w:val="FURSnaslov1"/>
        <w:spacing w:line="276" w:lineRule="auto"/>
        <w:outlineLvl w:val="0"/>
        <w:rPr>
          <w:caps/>
        </w:rPr>
      </w:pPr>
      <w:bookmarkStart w:id="10" w:name="_Toc520290792"/>
      <w:r w:rsidRPr="008F2843">
        <w:rPr>
          <w:caps/>
        </w:rPr>
        <w:t>6.0</w:t>
      </w:r>
      <w:r w:rsidR="00FD5B4D" w:rsidRPr="008F2843">
        <w:rPr>
          <w:caps/>
        </w:rPr>
        <w:t xml:space="preserve"> P</w:t>
      </w:r>
      <w:r w:rsidR="0044106B" w:rsidRPr="008F2843">
        <w:rPr>
          <w:caps/>
        </w:rPr>
        <w:t>oraba goriva za vozila z vgrajenimi napravami</w:t>
      </w:r>
      <w:bookmarkEnd w:id="10"/>
    </w:p>
    <w:p w:rsidR="00F475FD" w:rsidRDefault="00F475FD" w:rsidP="00EF28BC">
      <w:pPr>
        <w:spacing w:line="276" w:lineRule="auto"/>
        <w:jc w:val="both"/>
        <w:rPr>
          <w:rFonts w:cs="Arial"/>
          <w:szCs w:val="20"/>
        </w:rPr>
      </w:pPr>
    </w:p>
    <w:p w:rsidR="0044106B" w:rsidRDefault="0044106B" w:rsidP="00EF28BC">
      <w:pPr>
        <w:spacing w:line="276" w:lineRule="auto"/>
        <w:jc w:val="both"/>
        <w:rPr>
          <w:rFonts w:cs="Arial"/>
          <w:szCs w:val="20"/>
        </w:rPr>
      </w:pPr>
      <w:r w:rsidRPr="0044106B">
        <w:rPr>
          <w:rFonts w:cs="Arial"/>
          <w:szCs w:val="20"/>
        </w:rPr>
        <w:t>Za vozila z vgrajenimi napravami, ki izpolnjujejo pogoje za vračilo trošarine v skladu s 93. in 95. členom zakona, se za celotno količino porabljenega goriva uveljavlja vračilo v skladu s 95. členom.</w:t>
      </w:r>
    </w:p>
    <w:p w:rsidR="0044106B" w:rsidRDefault="0044106B" w:rsidP="00EF28BC">
      <w:pPr>
        <w:spacing w:line="276" w:lineRule="auto"/>
        <w:jc w:val="both"/>
        <w:rPr>
          <w:rFonts w:cs="Arial"/>
          <w:szCs w:val="20"/>
        </w:rPr>
      </w:pPr>
    </w:p>
    <w:p w:rsidR="000B284D" w:rsidRDefault="000B284D">
      <w:pPr>
        <w:spacing w:after="200" w:line="276" w:lineRule="auto"/>
        <w:rPr>
          <w:rFonts w:cs="Arial"/>
          <w:szCs w:val="20"/>
        </w:rPr>
      </w:pPr>
      <w:r>
        <w:rPr>
          <w:rFonts w:cs="Arial"/>
          <w:szCs w:val="20"/>
        </w:rPr>
        <w:br w:type="page"/>
      </w:r>
    </w:p>
    <w:p w:rsidR="00063F08" w:rsidRDefault="00063F08" w:rsidP="00EF28BC">
      <w:pPr>
        <w:spacing w:line="276" w:lineRule="auto"/>
        <w:jc w:val="both"/>
        <w:rPr>
          <w:rFonts w:cs="Arial"/>
          <w:szCs w:val="20"/>
        </w:rPr>
      </w:pPr>
    </w:p>
    <w:p w:rsidR="00A26CE6" w:rsidRPr="00F475FD" w:rsidRDefault="002913D8" w:rsidP="00EF28BC">
      <w:pPr>
        <w:pStyle w:val="FURSnaslov1"/>
        <w:spacing w:line="276" w:lineRule="auto"/>
        <w:outlineLvl w:val="0"/>
        <w:rPr>
          <w:caps/>
        </w:rPr>
      </w:pPr>
      <w:bookmarkStart w:id="11" w:name="c32095"/>
      <w:bookmarkStart w:id="12" w:name="_Toc520290793"/>
      <w:bookmarkEnd w:id="11"/>
      <w:r>
        <w:rPr>
          <w:caps/>
        </w:rPr>
        <w:t>7</w:t>
      </w:r>
      <w:r w:rsidR="00F475FD" w:rsidRPr="00F475FD">
        <w:rPr>
          <w:caps/>
        </w:rPr>
        <w:t xml:space="preserve">.0 </w:t>
      </w:r>
      <w:r w:rsidR="00CD67F3" w:rsidRPr="00CD67F3">
        <w:rPr>
          <w:caps/>
        </w:rPr>
        <w:t>Obdobje uveljavljanja vračila trošarine</w:t>
      </w:r>
      <w:bookmarkEnd w:id="12"/>
    </w:p>
    <w:p w:rsidR="00F475FD" w:rsidRDefault="00F475FD" w:rsidP="00EF28BC">
      <w:pPr>
        <w:spacing w:line="276" w:lineRule="auto"/>
        <w:rPr>
          <w:rFonts w:ascii="Times New Roman" w:hAnsi="Times New Roman"/>
          <w:sz w:val="24"/>
        </w:rPr>
      </w:pPr>
    </w:p>
    <w:p w:rsidR="00474157" w:rsidRPr="00474157" w:rsidRDefault="00474157" w:rsidP="00474157">
      <w:pPr>
        <w:spacing w:line="276" w:lineRule="auto"/>
        <w:jc w:val="both"/>
        <w:rPr>
          <w:rFonts w:cs="Arial"/>
        </w:rPr>
      </w:pPr>
      <w:r w:rsidRPr="00474157">
        <w:rPr>
          <w:rFonts w:cs="Arial"/>
        </w:rPr>
        <w:t>Zahtevek za vračilo trošarine se vloži kot:</w:t>
      </w:r>
    </w:p>
    <w:p w:rsidR="00474157" w:rsidRPr="00474157" w:rsidRDefault="00474157" w:rsidP="00474157">
      <w:pPr>
        <w:numPr>
          <w:ilvl w:val="0"/>
          <w:numId w:val="8"/>
        </w:numPr>
        <w:spacing w:line="276" w:lineRule="auto"/>
        <w:jc w:val="both"/>
        <w:rPr>
          <w:rFonts w:cs="Arial"/>
        </w:rPr>
      </w:pPr>
      <w:r w:rsidRPr="00474157">
        <w:rPr>
          <w:rFonts w:cs="Arial"/>
        </w:rPr>
        <w:t>mesečni zahtevek do zadnjega dne tekočega meseca za preteki mesec;</w:t>
      </w:r>
    </w:p>
    <w:p w:rsidR="00474157" w:rsidRPr="00474157" w:rsidRDefault="00474157" w:rsidP="00474157">
      <w:pPr>
        <w:numPr>
          <w:ilvl w:val="0"/>
          <w:numId w:val="8"/>
        </w:numPr>
        <w:spacing w:line="276" w:lineRule="auto"/>
        <w:jc w:val="both"/>
        <w:rPr>
          <w:rFonts w:cs="Arial"/>
        </w:rPr>
      </w:pPr>
      <w:r w:rsidRPr="00474157">
        <w:rPr>
          <w:rFonts w:cs="Arial"/>
        </w:rPr>
        <w:t>zahtevek za koledarsko trimesečje (januar, februar, marec; april, maj, junij; julij, avgust, september; oktober, november, december) v šestdesetih dneh po preteku koledarskega trimesečja;</w:t>
      </w:r>
    </w:p>
    <w:p w:rsidR="00474157" w:rsidRPr="00474157" w:rsidRDefault="00474157" w:rsidP="00474157">
      <w:pPr>
        <w:numPr>
          <w:ilvl w:val="0"/>
          <w:numId w:val="8"/>
        </w:numPr>
        <w:spacing w:line="276" w:lineRule="auto"/>
        <w:jc w:val="both"/>
        <w:rPr>
          <w:rFonts w:cs="Arial"/>
        </w:rPr>
      </w:pPr>
      <w:r w:rsidRPr="00474157">
        <w:rPr>
          <w:rFonts w:cs="Arial"/>
        </w:rPr>
        <w:t>letni zahtevek do 31. marca tekočega leta za preteklo leto.</w:t>
      </w:r>
    </w:p>
    <w:p w:rsidR="00474157" w:rsidRPr="00474157" w:rsidRDefault="00474157" w:rsidP="00474157">
      <w:pPr>
        <w:spacing w:line="276" w:lineRule="auto"/>
        <w:jc w:val="both"/>
        <w:rPr>
          <w:rFonts w:cs="Arial"/>
        </w:rPr>
      </w:pPr>
    </w:p>
    <w:p w:rsidR="001F6E59" w:rsidRPr="000D7658" w:rsidRDefault="00474157" w:rsidP="00474157">
      <w:pPr>
        <w:spacing w:line="276" w:lineRule="auto"/>
        <w:jc w:val="both"/>
        <w:rPr>
          <w:rFonts w:cs="Arial"/>
        </w:rPr>
      </w:pPr>
      <w:r w:rsidRPr="00474157">
        <w:rPr>
          <w:rFonts w:cs="Arial"/>
        </w:rPr>
        <w:t xml:space="preserve">Upravičenec izbere mesečni, trimesečni ali letni način uveljavljanja vračila v okviru posameznega leta. Mesečni, trimesečni in letni način uveljavljanja vračila trošarine v posameznem koledarskem letu se </w:t>
      </w:r>
      <w:r w:rsidRPr="00474157">
        <w:rPr>
          <w:rFonts w:cs="Arial"/>
          <w:bCs/>
        </w:rPr>
        <w:t>izključujejo</w:t>
      </w:r>
    </w:p>
    <w:p w:rsidR="00A26CE6" w:rsidRDefault="00A26CE6" w:rsidP="00EF28BC">
      <w:pPr>
        <w:spacing w:line="276" w:lineRule="auto"/>
        <w:rPr>
          <w:rFonts w:ascii="Times New Roman" w:hAnsi="Times New Roman"/>
          <w:szCs w:val="20"/>
        </w:rPr>
      </w:pPr>
      <w:bookmarkStart w:id="13" w:name="c32096"/>
      <w:bookmarkEnd w:id="13"/>
    </w:p>
    <w:p w:rsidR="005A48FB" w:rsidRPr="0069015B" w:rsidRDefault="005A48FB" w:rsidP="00EF28BC">
      <w:pPr>
        <w:spacing w:line="276" w:lineRule="auto"/>
        <w:rPr>
          <w:rFonts w:ascii="Times New Roman" w:hAnsi="Times New Roman"/>
          <w:szCs w:val="20"/>
        </w:rPr>
      </w:pPr>
    </w:p>
    <w:p w:rsidR="00A26CE6" w:rsidRPr="00925E27" w:rsidRDefault="000B284D" w:rsidP="00EF28BC">
      <w:pPr>
        <w:pStyle w:val="FURSnaslov1"/>
        <w:spacing w:line="276" w:lineRule="auto"/>
        <w:outlineLvl w:val="0"/>
      </w:pPr>
      <w:bookmarkStart w:id="14" w:name="_Toc520290794"/>
      <w:r>
        <w:t>8</w:t>
      </w:r>
      <w:r w:rsidR="00A26CE6" w:rsidRPr="00925E27">
        <w:t>.0 UPRAVIČENCI IZ DRUGE DRŽAVE ČLANICE EU ALI EFTE</w:t>
      </w:r>
      <w:bookmarkEnd w:id="14"/>
    </w:p>
    <w:p w:rsidR="00A26CE6" w:rsidRPr="00783372" w:rsidRDefault="00A26CE6" w:rsidP="00EF28BC">
      <w:pPr>
        <w:spacing w:line="276" w:lineRule="auto"/>
        <w:jc w:val="both"/>
        <w:rPr>
          <w:rFonts w:cs="Arial"/>
          <w:b/>
          <w:szCs w:val="20"/>
        </w:rPr>
      </w:pPr>
    </w:p>
    <w:p w:rsidR="009A1B07" w:rsidRPr="001E03E6" w:rsidRDefault="005E548B" w:rsidP="00EF28BC">
      <w:pPr>
        <w:spacing w:line="276" w:lineRule="auto"/>
        <w:jc w:val="both"/>
        <w:rPr>
          <w:rStyle w:val="Hiperpovezava"/>
          <w:color w:val="auto"/>
          <w:u w:val="none"/>
        </w:rPr>
      </w:pPr>
      <w:bookmarkStart w:id="15" w:name="_GoBack"/>
      <w:bookmarkEnd w:id="15"/>
      <w:r w:rsidRPr="00FA1570">
        <w:rPr>
          <w:rFonts w:cs="Arial"/>
          <w:szCs w:val="20"/>
        </w:rPr>
        <w:t>Upravičenci iz drugih držav članic EU ali EFTE</w:t>
      </w:r>
      <w:r w:rsidRPr="009948EB">
        <w:rPr>
          <w:rFonts w:cs="Arial"/>
          <w:szCs w:val="20"/>
        </w:rPr>
        <w:t xml:space="preserve"> </w:t>
      </w:r>
      <w:r w:rsidR="0069015B" w:rsidRPr="009948EB">
        <w:rPr>
          <w:rFonts w:cs="Arial"/>
          <w:szCs w:val="20"/>
        </w:rPr>
        <w:t>vložijo</w:t>
      </w:r>
      <w:r w:rsidRPr="009948EB">
        <w:rPr>
          <w:rFonts w:cs="Arial"/>
          <w:szCs w:val="20"/>
        </w:rPr>
        <w:t xml:space="preserve"> </w:t>
      </w:r>
      <w:r>
        <w:rPr>
          <w:rFonts w:cs="Arial"/>
          <w:szCs w:val="20"/>
        </w:rPr>
        <w:t>zahtevek pri</w:t>
      </w:r>
      <w:r w:rsidR="00A26CE6">
        <w:rPr>
          <w:rFonts w:cs="Arial"/>
          <w:szCs w:val="20"/>
        </w:rPr>
        <w:t xml:space="preserve"> </w:t>
      </w:r>
      <w:r w:rsidRPr="001E03E6">
        <w:rPr>
          <w:rStyle w:val="Hiperpovezava"/>
          <w:color w:val="auto"/>
          <w:u w:val="none"/>
        </w:rPr>
        <w:t>Finančnem</w:t>
      </w:r>
      <w:r w:rsidR="00A26CE6" w:rsidRPr="001E03E6">
        <w:rPr>
          <w:rStyle w:val="Hiperpovezava"/>
          <w:color w:val="auto"/>
          <w:u w:val="none"/>
        </w:rPr>
        <w:t xml:space="preserve"> urad</w:t>
      </w:r>
      <w:r w:rsidRPr="001E03E6">
        <w:rPr>
          <w:rStyle w:val="Hiperpovezava"/>
          <w:color w:val="auto"/>
          <w:u w:val="none"/>
        </w:rPr>
        <w:t>u</w:t>
      </w:r>
      <w:r w:rsidR="009A1B07" w:rsidRPr="001E03E6">
        <w:rPr>
          <w:rStyle w:val="Hiperpovezava"/>
          <w:color w:val="auto"/>
          <w:u w:val="none"/>
        </w:rPr>
        <w:t xml:space="preserve"> Maribor, Sektor</w:t>
      </w:r>
      <w:r w:rsidR="0069015B" w:rsidRPr="001E03E6">
        <w:rPr>
          <w:rStyle w:val="Hiperpovezava"/>
          <w:color w:val="auto"/>
          <w:u w:val="none"/>
        </w:rPr>
        <w:t>ju</w:t>
      </w:r>
      <w:r w:rsidR="009A1B07" w:rsidRPr="001E03E6">
        <w:rPr>
          <w:rStyle w:val="Hiperpovezava"/>
          <w:color w:val="auto"/>
          <w:u w:val="none"/>
        </w:rPr>
        <w:t xml:space="preserve"> za carine, Oddelk</w:t>
      </w:r>
      <w:r w:rsidR="0069015B" w:rsidRPr="001E03E6">
        <w:rPr>
          <w:rStyle w:val="Hiperpovezava"/>
          <w:color w:val="auto"/>
          <w:u w:val="none"/>
        </w:rPr>
        <w:t>u</w:t>
      </w:r>
      <w:r w:rsidR="009A1B07" w:rsidRPr="001E03E6">
        <w:rPr>
          <w:rStyle w:val="Hiperpovezava"/>
          <w:color w:val="auto"/>
          <w:u w:val="none"/>
        </w:rPr>
        <w:t xml:space="preserve"> za trošarine </w:t>
      </w:r>
      <w:r w:rsidR="000A6590">
        <w:rPr>
          <w:rStyle w:val="Hiperpovezava"/>
          <w:color w:val="auto"/>
          <w:u w:val="none"/>
        </w:rPr>
        <w:t>Maribor.</w:t>
      </w:r>
      <w:r w:rsidR="009A1B07" w:rsidRPr="001E03E6">
        <w:rPr>
          <w:rStyle w:val="Hiperpovezava"/>
          <w:color w:val="auto"/>
          <w:u w:val="none"/>
        </w:rPr>
        <w:t xml:space="preserve"> </w:t>
      </w:r>
    </w:p>
    <w:p w:rsidR="0069015B" w:rsidRDefault="0069015B" w:rsidP="00EF28BC">
      <w:pPr>
        <w:spacing w:line="276" w:lineRule="auto"/>
        <w:jc w:val="both"/>
        <w:rPr>
          <w:rStyle w:val="Hiperpovezava"/>
        </w:rPr>
      </w:pPr>
    </w:p>
    <w:p w:rsidR="00A26CE6" w:rsidRDefault="00A26CE6" w:rsidP="00EF28BC">
      <w:pPr>
        <w:spacing w:line="276" w:lineRule="auto"/>
        <w:jc w:val="both"/>
        <w:rPr>
          <w:rFonts w:cs="Arial"/>
          <w:szCs w:val="20"/>
        </w:rPr>
      </w:pPr>
      <w:r w:rsidRPr="005B09F6">
        <w:rPr>
          <w:rFonts w:cs="Arial"/>
          <w:szCs w:val="20"/>
        </w:rPr>
        <w:t>U</w:t>
      </w:r>
      <w:r>
        <w:rPr>
          <w:rFonts w:cs="Arial"/>
          <w:szCs w:val="20"/>
        </w:rPr>
        <w:t>pravičenci predložijo:</w:t>
      </w:r>
    </w:p>
    <w:p w:rsidR="00A26CE6" w:rsidRDefault="0069015B" w:rsidP="00D76519">
      <w:pPr>
        <w:numPr>
          <w:ilvl w:val="0"/>
          <w:numId w:val="8"/>
        </w:numPr>
        <w:spacing w:after="100" w:afterAutospacing="1" w:line="276" w:lineRule="auto"/>
        <w:jc w:val="both"/>
        <w:rPr>
          <w:rFonts w:cs="Arial"/>
          <w:szCs w:val="20"/>
        </w:rPr>
      </w:pPr>
      <w:r>
        <w:rPr>
          <w:rFonts w:cs="Arial"/>
          <w:szCs w:val="20"/>
        </w:rPr>
        <w:t xml:space="preserve">izpolnjen </w:t>
      </w:r>
      <w:r w:rsidR="001119D2">
        <w:rPr>
          <w:rFonts w:cs="Arial"/>
          <w:szCs w:val="20"/>
        </w:rPr>
        <w:t>zahtevek</w:t>
      </w:r>
      <w:r w:rsidR="00A26CE6" w:rsidRPr="00A26CE6">
        <w:rPr>
          <w:rFonts w:cs="Arial"/>
          <w:szCs w:val="20"/>
        </w:rPr>
        <w:t xml:space="preserve"> </w:t>
      </w:r>
      <w:hyperlink r:id="rId12" w:history="1">
        <w:r w:rsidR="00A26CE6" w:rsidRPr="0042463D">
          <w:rPr>
            <w:rStyle w:val="Hiperpovezava"/>
            <w:rFonts w:cs="Arial"/>
            <w:szCs w:val="20"/>
          </w:rPr>
          <w:t>TRO-K</w:t>
        </w:r>
        <w:r w:rsidR="00672CF2" w:rsidRPr="0042463D">
          <w:rPr>
            <w:rStyle w:val="Hiperpovezava"/>
            <w:rFonts w:cs="Arial"/>
            <w:szCs w:val="20"/>
          </w:rPr>
          <w:t xml:space="preserve"> </w:t>
        </w:r>
        <w:r w:rsidR="000B284D" w:rsidRPr="0042463D">
          <w:rPr>
            <w:rStyle w:val="Hiperpovezava"/>
            <w:rFonts w:cs="Arial"/>
            <w:szCs w:val="20"/>
          </w:rPr>
          <w:t>E</w:t>
        </w:r>
        <w:r w:rsidR="005311E2" w:rsidRPr="0042463D">
          <w:rPr>
            <w:rStyle w:val="Hiperpovezava"/>
            <w:rFonts w:cs="Arial"/>
            <w:szCs w:val="20"/>
          </w:rPr>
          <w:t>N</w:t>
        </w:r>
      </w:hyperlink>
      <w:r w:rsidR="00A26CE6" w:rsidRPr="006978D5">
        <w:rPr>
          <w:rFonts w:cs="Arial"/>
          <w:szCs w:val="20"/>
        </w:rPr>
        <w:t>;</w:t>
      </w:r>
      <w:r w:rsidR="00A26CE6" w:rsidRPr="00A26CE6">
        <w:rPr>
          <w:rFonts w:cs="Arial"/>
          <w:szCs w:val="20"/>
        </w:rPr>
        <w:t> </w:t>
      </w:r>
    </w:p>
    <w:p w:rsidR="00A26CE6" w:rsidRDefault="00A26CE6" w:rsidP="00D76519">
      <w:pPr>
        <w:numPr>
          <w:ilvl w:val="0"/>
          <w:numId w:val="8"/>
        </w:numPr>
        <w:spacing w:after="100" w:afterAutospacing="1" w:line="276" w:lineRule="auto"/>
        <w:jc w:val="both"/>
        <w:rPr>
          <w:rFonts w:cs="Arial"/>
          <w:szCs w:val="20"/>
        </w:rPr>
      </w:pPr>
      <w:r w:rsidRPr="00A26CE6">
        <w:rPr>
          <w:rFonts w:cs="Arial"/>
          <w:szCs w:val="20"/>
        </w:rPr>
        <w:t xml:space="preserve">račune o nakupu o plinskega olja v Sloveniji, ki poleg podatkov, zahtevanih na podlagi drugih predpisov, vsebujejo: kraj ali drugo identifikacijo bencinskega servisa oziroma točilnega mesta, vrsto, količino in ceno goriva, datum točenja in registrsko oznako vozila, v katero je bilo gorivo točeno. Računi o nakupu plinskega olja se mora glasiti na upravičenca in se predložijo </w:t>
      </w:r>
      <w:r w:rsidR="00D76519">
        <w:rPr>
          <w:rFonts w:cs="Arial"/>
          <w:szCs w:val="20"/>
        </w:rPr>
        <w:t>v izvirniku ali kopiji;</w:t>
      </w:r>
    </w:p>
    <w:p w:rsidR="00A26CE6" w:rsidRDefault="00A26CE6" w:rsidP="00D76519">
      <w:pPr>
        <w:numPr>
          <w:ilvl w:val="0"/>
          <w:numId w:val="8"/>
        </w:numPr>
        <w:spacing w:after="100" w:afterAutospacing="1" w:line="276" w:lineRule="auto"/>
        <w:jc w:val="both"/>
        <w:rPr>
          <w:rFonts w:cs="Arial"/>
          <w:szCs w:val="20"/>
        </w:rPr>
      </w:pPr>
      <w:r w:rsidRPr="00A26CE6">
        <w:rPr>
          <w:rFonts w:cs="Arial"/>
          <w:szCs w:val="20"/>
        </w:rPr>
        <w:t>dokazilo o opravljanju dejavnosti;</w:t>
      </w:r>
    </w:p>
    <w:p w:rsidR="00A26CE6" w:rsidRPr="00A26CE6" w:rsidRDefault="00A26CE6" w:rsidP="00D76519">
      <w:pPr>
        <w:numPr>
          <w:ilvl w:val="0"/>
          <w:numId w:val="8"/>
        </w:numPr>
        <w:spacing w:line="276" w:lineRule="auto"/>
        <w:jc w:val="both"/>
        <w:rPr>
          <w:rFonts w:cs="Arial"/>
          <w:szCs w:val="20"/>
        </w:rPr>
      </w:pPr>
      <w:r w:rsidRPr="00A26CE6">
        <w:rPr>
          <w:rFonts w:cs="Arial"/>
          <w:szCs w:val="20"/>
        </w:rPr>
        <w:t xml:space="preserve">dokazilo o registraciji vozila. </w:t>
      </w:r>
    </w:p>
    <w:p w:rsidR="00D76519" w:rsidRDefault="00D76519" w:rsidP="00D76519">
      <w:pPr>
        <w:spacing w:line="276" w:lineRule="auto"/>
        <w:jc w:val="both"/>
        <w:rPr>
          <w:rFonts w:cs="Arial"/>
          <w:szCs w:val="20"/>
        </w:rPr>
      </w:pPr>
    </w:p>
    <w:p w:rsidR="00D23FDE" w:rsidRDefault="00A26CE6" w:rsidP="00D76519">
      <w:pPr>
        <w:spacing w:line="276" w:lineRule="auto"/>
        <w:jc w:val="both"/>
        <w:rPr>
          <w:rFonts w:cs="Arial"/>
          <w:szCs w:val="20"/>
        </w:rPr>
      </w:pPr>
      <w:r>
        <w:rPr>
          <w:rFonts w:cs="Arial"/>
          <w:szCs w:val="20"/>
        </w:rPr>
        <w:t xml:space="preserve">Dokazili o opravljanju dejavnosti in registraciji vozila morata biti izdani s strani pristojnega organa v državi sedeža v enem izmed uradnih jezikov EU. </w:t>
      </w:r>
      <w:r w:rsidRPr="00797D85">
        <w:rPr>
          <w:rFonts w:cs="Arial"/>
          <w:szCs w:val="20"/>
        </w:rPr>
        <w:t>Uradni prevod v slovenščino se predloži le na zahtevo pristojnega organa.</w:t>
      </w:r>
    </w:p>
    <w:p w:rsidR="00A26CE6" w:rsidRDefault="00A26CE6" w:rsidP="00D76519">
      <w:pPr>
        <w:spacing w:line="276" w:lineRule="auto"/>
        <w:jc w:val="both"/>
        <w:rPr>
          <w:rFonts w:cs="Arial"/>
          <w:szCs w:val="20"/>
        </w:rPr>
      </w:pPr>
      <w:r w:rsidRPr="00797D85">
        <w:rPr>
          <w:rFonts w:cs="Arial"/>
          <w:szCs w:val="20"/>
        </w:rPr>
        <w:t xml:space="preserve"> </w:t>
      </w:r>
    </w:p>
    <w:p w:rsidR="00D23FDE" w:rsidRDefault="00D23FDE" w:rsidP="00D76519">
      <w:pPr>
        <w:spacing w:line="276" w:lineRule="auto"/>
        <w:jc w:val="both"/>
        <w:rPr>
          <w:rFonts w:cs="Arial"/>
          <w:szCs w:val="20"/>
        </w:rPr>
      </w:pPr>
      <w:r>
        <w:rPr>
          <w:rFonts w:cs="Arial"/>
          <w:szCs w:val="20"/>
        </w:rPr>
        <w:t>Zahtevek</w:t>
      </w:r>
      <w:r w:rsidRPr="00D23FDE">
        <w:rPr>
          <w:rFonts w:cs="Arial"/>
          <w:szCs w:val="20"/>
        </w:rPr>
        <w:t xml:space="preserve"> za vračilo lahko v imenu in za račun upravičenca vloži tudi njegov pooblaščenec, ki se mora izkazati s pisnim pooblastilom. Pooblastilo mora vsebovati podatke o pooblastitelju, pooblaščencu, obdobju, za katero velja </w:t>
      </w:r>
      <w:r>
        <w:rPr>
          <w:rFonts w:cs="Arial"/>
          <w:szCs w:val="20"/>
        </w:rPr>
        <w:t>pooblastilo</w:t>
      </w:r>
      <w:r w:rsidRPr="00D23FDE">
        <w:rPr>
          <w:rFonts w:cs="Arial"/>
          <w:szCs w:val="20"/>
        </w:rPr>
        <w:t xml:space="preserve"> in o obsegu pooblastila</w:t>
      </w:r>
      <w:r>
        <w:rPr>
          <w:rFonts w:cs="Arial"/>
          <w:szCs w:val="20"/>
        </w:rPr>
        <w:t>.</w:t>
      </w:r>
    </w:p>
    <w:p w:rsidR="00D23FDE" w:rsidRDefault="00D23FDE" w:rsidP="00D76519">
      <w:pPr>
        <w:spacing w:line="276" w:lineRule="auto"/>
        <w:jc w:val="both"/>
        <w:rPr>
          <w:rFonts w:cs="Arial"/>
          <w:szCs w:val="20"/>
        </w:rPr>
      </w:pPr>
    </w:p>
    <w:p w:rsidR="00A26CE6" w:rsidRDefault="00A26CE6" w:rsidP="00D76519">
      <w:pPr>
        <w:spacing w:line="276" w:lineRule="auto"/>
        <w:jc w:val="both"/>
        <w:rPr>
          <w:rFonts w:cs="Arial"/>
          <w:szCs w:val="20"/>
          <w:u w:val="single"/>
        </w:rPr>
      </w:pPr>
      <w:r w:rsidRPr="00A26CE6">
        <w:rPr>
          <w:rFonts w:cs="Arial"/>
          <w:szCs w:val="20"/>
        </w:rPr>
        <w:t>Če upravičenec zahteva vračilo trošarine na račun v tujini, ga bremenijo stroški nakazila vračila</w:t>
      </w:r>
      <w:r w:rsidR="005E548B">
        <w:rPr>
          <w:rFonts w:cs="Arial"/>
          <w:szCs w:val="20"/>
        </w:rPr>
        <w:t>.</w:t>
      </w:r>
    </w:p>
    <w:p w:rsidR="000B284D" w:rsidRDefault="000B284D" w:rsidP="00EF28BC">
      <w:pPr>
        <w:spacing w:line="276" w:lineRule="auto"/>
        <w:jc w:val="both"/>
        <w:rPr>
          <w:rFonts w:cs="Arial"/>
          <w:bCs/>
          <w:szCs w:val="20"/>
        </w:rPr>
      </w:pPr>
      <w:bookmarkStart w:id="16" w:name="c32097"/>
      <w:bookmarkEnd w:id="16"/>
    </w:p>
    <w:p w:rsidR="000B284D" w:rsidRDefault="000B284D" w:rsidP="00EF28BC">
      <w:pPr>
        <w:spacing w:line="276" w:lineRule="auto"/>
        <w:jc w:val="both"/>
        <w:rPr>
          <w:rFonts w:cs="Arial"/>
          <w:bCs/>
          <w:szCs w:val="20"/>
        </w:rPr>
      </w:pPr>
    </w:p>
    <w:p w:rsidR="000B284D" w:rsidRPr="000B284D" w:rsidRDefault="00672CF2" w:rsidP="000B284D">
      <w:pPr>
        <w:pStyle w:val="FURSnaslov1"/>
        <w:spacing w:line="276" w:lineRule="auto"/>
        <w:jc w:val="both"/>
        <w:outlineLvl w:val="0"/>
      </w:pPr>
      <w:bookmarkStart w:id="17" w:name="_Toc520290795"/>
      <w:r>
        <w:t>9</w:t>
      </w:r>
      <w:r w:rsidR="000B284D">
        <w:t xml:space="preserve">.0 </w:t>
      </w:r>
      <w:r w:rsidR="000B284D" w:rsidRPr="000B284D">
        <w:t>VRAČILO TROŠARINE</w:t>
      </w:r>
      <w:bookmarkEnd w:id="17"/>
    </w:p>
    <w:p w:rsidR="00914347" w:rsidRDefault="00914347" w:rsidP="00EF28BC">
      <w:pPr>
        <w:spacing w:line="276" w:lineRule="auto"/>
        <w:jc w:val="both"/>
        <w:rPr>
          <w:rFonts w:cs="Arial"/>
          <w:bCs/>
          <w:szCs w:val="20"/>
        </w:rPr>
      </w:pPr>
    </w:p>
    <w:p w:rsidR="00450B9B" w:rsidRDefault="00914347" w:rsidP="00537837">
      <w:pPr>
        <w:spacing w:line="276" w:lineRule="auto"/>
        <w:jc w:val="both"/>
        <w:rPr>
          <w:rFonts w:eastAsia="Calibri" w:cs="Arial"/>
          <w:szCs w:val="20"/>
          <w:lang w:eastAsia="sl-SI"/>
        </w:rPr>
      </w:pPr>
      <w:r w:rsidRPr="00914347">
        <w:rPr>
          <w:rFonts w:eastAsia="Calibri" w:cs="Arial"/>
          <w:szCs w:val="20"/>
          <w:lang w:eastAsia="sl-SI"/>
        </w:rPr>
        <w:t xml:space="preserve">Pristojni organ vrne trošarino v 30 dneh od dneva vročitve odločbe o vračilu. Glede na določbo 85. člena </w:t>
      </w:r>
      <w:hyperlink r:id="rId13" w:history="1">
        <w:r w:rsidRPr="00914347">
          <w:rPr>
            <w:rFonts w:eastAsia="Calibri" w:cs="Arial"/>
            <w:color w:val="0000FF"/>
            <w:szCs w:val="20"/>
            <w:u w:val="single"/>
            <w:lang w:eastAsia="sl-SI"/>
          </w:rPr>
          <w:t>Zakona o davčnem postopku</w:t>
        </w:r>
      </w:hyperlink>
      <w:r w:rsidRPr="00914347">
        <w:rPr>
          <w:rFonts w:eastAsia="Calibri" w:cs="Arial"/>
          <w:szCs w:val="20"/>
          <w:lang w:eastAsia="sl-SI"/>
        </w:rPr>
        <w:t xml:space="preserve"> je vročitev odločbe opravljena 15. dan od dneva njene odpreme. Datum odpreme odločbe je odtisnjen na kuverti. Če je odločba vročena osebno, se šteje za vročeno v skladu s 87. členom </w:t>
      </w:r>
      <w:hyperlink r:id="rId14" w:history="1">
        <w:r w:rsidRPr="00914347">
          <w:rPr>
            <w:rFonts w:eastAsia="Calibri" w:cs="Arial"/>
            <w:color w:val="0000FF"/>
            <w:szCs w:val="20"/>
            <w:u w:val="single"/>
            <w:lang w:eastAsia="sl-SI"/>
          </w:rPr>
          <w:t>Zakona o splošnem upravnem postopku</w:t>
        </w:r>
      </w:hyperlink>
      <w:r w:rsidRPr="00914347">
        <w:rPr>
          <w:rFonts w:eastAsia="Calibri" w:cs="Arial"/>
          <w:szCs w:val="20"/>
          <w:lang w:eastAsia="sl-SI"/>
        </w:rPr>
        <w:t xml:space="preserve">. Če se odločba elektronsko vroča prek informacijskega sistema Finančne uprave Republike Slovenije (v nadaljnjem besedilu: portal e-Davki) v skladu z določbo 85.a člena </w:t>
      </w:r>
      <w:hyperlink r:id="rId15" w:history="1">
        <w:r w:rsidRPr="00914347">
          <w:rPr>
            <w:rFonts w:eastAsia="Calibri" w:cs="Arial"/>
            <w:color w:val="0000FF"/>
            <w:szCs w:val="20"/>
            <w:u w:val="single"/>
            <w:lang w:eastAsia="sl-SI"/>
          </w:rPr>
          <w:t>Zakona o davčnem postopku</w:t>
        </w:r>
      </w:hyperlink>
      <w:r w:rsidRPr="00914347">
        <w:rPr>
          <w:rFonts w:eastAsia="Calibri" w:cs="Arial"/>
          <w:szCs w:val="20"/>
          <w:lang w:eastAsia="sl-SI"/>
        </w:rPr>
        <w:t xml:space="preserve"> se šteje, da je vročitev opravljena z dnem, ko zavezanec z elektronskim podpisom vročilnice prevzame dokument s portala e-Davki. Če dokumenta ne prevzame v 15 dneh od dneva, ko mu </w:t>
      </w:r>
      <w:r w:rsidRPr="00914347">
        <w:rPr>
          <w:rFonts w:eastAsia="Calibri" w:cs="Arial"/>
          <w:szCs w:val="20"/>
          <w:lang w:eastAsia="sl-SI"/>
        </w:rPr>
        <w:lastRenderedPageBreak/>
        <w:t>je bilo obvestilo puščeno prek portala e-Davki, velja vročitev za opravljeno z dnem preteka tega roka. Vračilo trošarine se upravičencu oziroma vlagatelju izplača na transakcijski račun.</w:t>
      </w:r>
      <w:bookmarkStart w:id="18" w:name="c32104"/>
      <w:bookmarkEnd w:id="18"/>
    </w:p>
    <w:p w:rsidR="001F0CF4" w:rsidRDefault="001F0CF4" w:rsidP="00537837">
      <w:pPr>
        <w:spacing w:line="276" w:lineRule="auto"/>
        <w:jc w:val="both"/>
        <w:rPr>
          <w:rFonts w:eastAsia="Calibri" w:cs="Arial"/>
          <w:szCs w:val="20"/>
          <w:lang w:eastAsia="sl-SI"/>
        </w:rPr>
      </w:pPr>
    </w:p>
    <w:p w:rsidR="001F0CF4" w:rsidRDefault="001F0CF4" w:rsidP="00537837">
      <w:pPr>
        <w:spacing w:line="276" w:lineRule="auto"/>
        <w:jc w:val="both"/>
        <w:rPr>
          <w:rFonts w:eastAsia="Calibri" w:cs="Arial"/>
          <w:szCs w:val="20"/>
          <w:lang w:eastAsia="sl-SI"/>
        </w:rPr>
      </w:pPr>
    </w:p>
    <w:p w:rsidR="001F0CF4" w:rsidRPr="001F0CF4" w:rsidRDefault="001F0CF4" w:rsidP="001F0CF4">
      <w:pPr>
        <w:pStyle w:val="FURSnaslov1"/>
        <w:spacing w:line="276" w:lineRule="auto"/>
        <w:jc w:val="both"/>
        <w:outlineLvl w:val="0"/>
      </w:pPr>
      <w:bookmarkStart w:id="19" w:name="_Toc520290796"/>
      <w:r w:rsidRPr="001F0CF4">
        <w:t>10.0 VPRAŠANJA IN ODGOVORI</w:t>
      </w:r>
      <w:bookmarkEnd w:id="19"/>
    </w:p>
    <w:p w:rsidR="001F0CF4" w:rsidRDefault="001F0CF4" w:rsidP="00537837">
      <w:pPr>
        <w:spacing w:line="276" w:lineRule="auto"/>
        <w:jc w:val="both"/>
        <w:rPr>
          <w:rFonts w:eastAsia="Calibri" w:cs="Arial"/>
          <w:szCs w:val="20"/>
          <w:lang w:eastAsia="sl-SI"/>
        </w:rPr>
      </w:pPr>
    </w:p>
    <w:p w:rsidR="001F0CF4" w:rsidRDefault="00A9489E" w:rsidP="001F0CF4">
      <w:pPr>
        <w:spacing w:line="276" w:lineRule="auto"/>
        <w:jc w:val="both"/>
        <w:rPr>
          <w:rFonts w:eastAsia="Calibri" w:cs="Arial"/>
          <w:b/>
          <w:szCs w:val="20"/>
          <w:lang w:eastAsia="sl-SI"/>
        </w:rPr>
      </w:pPr>
      <w:r>
        <w:rPr>
          <w:rFonts w:eastAsia="Calibri" w:cs="Arial"/>
          <w:b/>
          <w:szCs w:val="20"/>
          <w:lang w:eastAsia="sl-SI"/>
        </w:rPr>
        <w:t>Vprašanje 1</w:t>
      </w:r>
      <w:r w:rsidR="001F0CF4" w:rsidRPr="001F0CF4">
        <w:rPr>
          <w:rFonts w:eastAsia="Calibri" w:cs="Arial"/>
          <w:b/>
          <w:szCs w:val="20"/>
          <w:lang w:eastAsia="sl-SI"/>
        </w:rPr>
        <w:t xml:space="preserve">: </w:t>
      </w:r>
    </w:p>
    <w:p w:rsidR="001F0CF4" w:rsidRDefault="001F0CF4" w:rsidP="001F0CF4">
      <w:pPr>
        <w:spacing w:line="276" w:lineRule="auto"/>
        <w:jc w:val="both"/>
        <w:rPr>
          <w:rFonts w:eastAsia="Calibri" w:cs="Arial"/>
          <w:b/>
          <w:szCs w:val="20"/>
          <w:lang w:eastAsia="sl-SI"/>
        </w:rPr>
      </w:pPr>
      <w:r w:rsidRPr="001F0CF4">
        <w:rPr>
          <w:rFonts w:eastAsia="Calibri" w:cs="Arial"/>
          <w:b/>
          <w:szCs w:val="20"/>
          <w:lang w:eastAsia="sl-SI"/>
        </w:rPr>
        <w:t>Ali je vložnik zahtevka upravičen do vračila trošarine za gorivo porabljeno v tovornem vozilu, katerega največja tehnično dovoljena masa ne presega 7,5 tone, in ki je med vožnjo povezano s priklopnim vozilom? (1. 8. 2017)</w:t>
      </w:r>
    </w:p>
    <w:p w:rsidR="001F0CF4" w:rsidRDefault="001F0CF4" w:rsidP="001F0CF4">
      <w:pPr>
        <w:spacing w:line="276" w:lineRule="auto"/>
        <w:jc w:val="both"/>
        <w:rPr>
          <w:rFonts w:eastAsia="Calibri" w:cs="Arial"/>
          <w:b/>
          <w:szCs w:val="20"/>
          <w:lang w:eastAsia="sl-SI"/>
        </w:rPr>
      </w:pPr>
    </w:p>
    <w:p w:rsidR="001F0CF4" w:rsidRPr="001F0CF4" w:rsidRDefault="001F0CF4" w:rsidP="001F0CF4">
      <w:pPr>
        <w:spacing w:line="276" w:lineRule="auto"/>
        <w:jc w:val="both"/>
        <w:rPr>
          <w:rFonts w:eastAsia="Calibri" w:cs="Arial"/>
          <w:szCs w:val="20"/>
          <w:lang w:eastAsia="sl-SI"/>
        </w:rPr>
      </w:pPr>
      <w:r w:rsidRPr="001F0CF4">
        <w:rPr>
          <w:rFonts w:eastAsia="Calibri" w:cs="Arial"/>
          <w:szCs w:val="20"/>
          <w:lang w:eastAsia="sl-SI"/>
        </w:rPr>
        <w:t>Odgovor:</w:t>
      </w:r>
    </w:p>
    <w:p w:rsidR="001F0CF4" w:rsidRPr="001F0CF4" w:rsidRDefault="001F0CF4" w:rsidP="001F0CF4">
      <w:pPr>
        <w:spacing w:line="276" w:lineRule="auto"/>
        <w:jc w:val="both"/>
        <w:rPr>
          <w:rFonts w:eastAsia="Calibri" w:cs="Arial"/>
          <w:szCs w:val="20"/>
          <w:lang w:eastAsia="sl-SI"/>
        </w:rPr>
      </w:pPr>
      <w:r w:rsidRPr="001F0CF4">
        <w:rPr>
          <w:rFonts w:eastAsia="Calibri" w:cs="Arial"/>
          <w:szCs w:val="20"/>
          <w:lang w:eastAsia="sl-SI"/>
        </w:rPr>
        <w:t>V takšnem primeru je upravičenec za vračilo trošarine upravičen do vračila trošarine za komercialni prevoz, v kolikor dokaže porabo goriva za opravljanje prevoza s tovornjakom s pripeto prikolico.</w:t>
      </w:r>
    </w:p>
    <w:p w:rsidR="001F0CF4" w:rsidRPr="001F0CF4" w:rsidRDefault="001F0CF4" w:rsidP="001F0CF4">
      <w:pPr>
        <w:spacing w:line="276" w:lineRule="auto"/>
        <w:jc w:val="both"/>
        <w:rPr>
          <w:rFonts w:eastAsia="Calibri" w:cs="Arial"/>
          <w:szCs w:val="20"/>
          <w:lang w:eastAsia="sl-SI"/>
        </w:rPr>
      </w:pPr>
    </w:p>
    <w:p w:rsidR="001F0CF4" w:rsidRPr="001F0CF4" w:rsidRDefault="001F0CF4" w:rsidP="001F0CF4">
      <w:pPr>
        <w:spacing w:line="276" w:lineRule="auto"/>
        <w:jc w:val="both"/>
        <w:rPr>
          <w:rFonts w:eastAsia="Calibri" w:cs="Arial"/>
          <w:szCs w:val="20"/>
          <w:lang w:eastAsia="sl-SI"/>
        </w:rPr>
      </w:pPr>
      <w:r w:rsidRPr="001F0CF4">
        <w:rPr>
          <w:rFonts w:eastAsia="Calibri" w:cs="Arial"/>
          <w:szCs w:val="20"/>
          <w:lang w:eastAsia="sl-SI"/>
        </w:rPr>
        <w:t>Drugi odstave</w:t>
      </w:r>
      <w:r>
        <w:rPr>
          <w:rFonts w:eastAsia="Calibri" w:cs="Arial"/>
          <w:szCs w:val="20"/>
          <w:lang w:eastAsia="sl-SI"/>
        </w:rPr>
        <w:t xml:space="preserve">k 95. člena Zakona o trošarinah </w:t>
      </w:r>
      <w:r w:rsidRPr="001F0CF4">
        <w:rPr>
          <w:rFonts w:eastAsia="Calibri" w:cs="Arial"/>
          <w:szCs w:val="20"/>
          <w:lang w:eastAsia="sl-SI"/>
        </w:rPr>
        <w:t>določa, da se za potrebe vračila trošarine za komercialni  prevoz šteje, da je plinsko olje porabljeno kot pogonsko gorivo za komercialni prevoz, če je porabljeno za prevoz blaga za plačilo ali lasten račun z lastnimi ali najetimi registriranimi motornimi vozili ali tovornjaki s prikolico, ki so namenjeni izključno cestnemu prevozu blaga in z največjo dovoljeno maso, ki ni manjša od 7,5 tone ali je porabljeno za prevoz potnikov – linijski ali izredni, z motornimi vozili kategorije M2 ali M3, kot jih določajo predpisi, ki urejajo področje ugotavljanja skladnosti vozil.</w:t>
      </w:r>
    </w:p>
    <w:p w:rsidR="001F0CF4" w:rsidRPr="001F0CF4" w:rsidRDefault="001F0CF4" w:rsidP="001F0CF4">
      <w:pPr>
        <w:spacing w:line="276" w:lineRule="auto"/>
        <w:jc w:val="both"/>
        <w:rPr>
          <w:rFonts w:eastAsia="Calibri" w:cs="Arial"/>
          <w:szCs w:val="20"/>
          <w:lang w:eastAsia="sl-SI"/>
        </w:rPr>
      </w:pPr>
    </w:p>
    <w:p w:rsidR="001F0CF4" w:rsidRDefault="001F0CF4" w:rsidP="001F0CF4">
      <w:pPr>
        <w:spacing w:line="276" w:lineRule="auto"/>
        <w:jc w:val="both"/>
        <w:rPr>
          <w:rFonts w:eastAsia="Calibri" w:cs="Arial"/>
          <w:szCs w:val="20"/>
          <w:lang w:eastAsia="sl-SI"/>
        </w:rPr>
      </w:pPr>
      <w:r w:rsidRPr="001F0CF4">
        <w:rPr>
          <w:rFonts w:eastAsia="Calibri" w:cs="Arial"/>
          <w:szCs w:val="20"/>
          <w:lang w:eastAsia="sl-SI"/>
        </w:rPr>
        <w:t>Eden izmed pogojev za priznanje pravice do vračila trošarine je torej, da je največja dovoljena masa motornega vozila ali tovornjaka s prikolico višja od 7,5 tone. V primeru tovornjaka s prikolico se za izpolnjevanje tega pogoja upošteva seštevek največje dovoljene mase tovornjaka in največje dovoljene mase prikolice. Za upoštevanje slednjega je potrebno, da vložnik zahtevka dokaže porabo goriva za opravljanje komercialnega prevoza s tovornjakom s pripeto prikolico.</w:t>
      </w:r>
    </w:p>
    <w:p w:rsidR="001F0CF4" w:rsidRPr="00914347" w:rsidRDefault="001F0CF4" w:rsidP="00537837">
      <w:pPr>
        <w:spacing w:line="276" w:lineRule="auto"/>
        <w:jc w:val="both"/>
        <w:rPr>
          <w:rFonts w:eastAsia="Calibri" w:cs="Arial"/>
          <w:szCs w:val="20"/>
          <w:lang w:eastAsia="sl-SI"/>
        </w:rPr>
      </w:pPr>
    </w:p>
    <w:sectPr w:rsidR="001F0CF4" w:rsidRPr="00914347" w:rsidSect="00783310">
      <w:headerReference w:type="default"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CD3" w:rsidRDefault="00327CD3">
      <w:pPr>
        <w:spacing w:line="240" w:lineRule="auto"/>
      </w:pPr>
      <w:r>
        <w:separator/>
      </w:r>
    </w:p>
  </w:endnote>
  <w:endnote w:type="continuationSeparator" w:id="0">
    <w:p w:rsidR="00327CD3" w:rsidRDefault="00327C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FB" w:rsidRDefault="00153377" w:rsidP="009F30FB">
    <w:pPr>
      <w:pStyle w:val="Noga"/>
      <w:jc w:val="right"/>
    </w:pPr>
    <w:r>
      <w:fldChar w:fldCharType="begin"/>
    </w:r>
    <w:r>
      <w:instrText>PAGE   \* MERGEFORMAT</w:instrText>
    </w:r>
    <w:r>
      <w:fldChar w:fldCharType="separate"/>
    </w:r>
    <w:r w:rsidR="00FA1570">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9D" w:rsidRDefault="00FA1570"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CD3" w:rsidRDefault="00327CD3">
      <w:pPr>
        <w:spacing w:line="240" w:lineRule="auto"/>
      </w:pPr>
      <w:r>
        <w:separator/>
      </w:r>
    </w:p>
  </w:footnote>
  <w:footnote w:type="continuationSeparator" w:id="0">
    <w:p w:rsidR="00327CD3" w:rsidRDefault="00327C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9D" w:rsidRPr="00110CBD" w:rsidRDefault="00FA157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699D" w:rsidRPr="008F3500">
      <w:trPr>
        <w:cantSplit/>
        <w:trHeight w:hRule="exact" w:val="847"/>
      </w:trPr>
      <w:tc>
        <w:tcPr>
          <w:tcW w:w="567" w:type="dxa"/>
        </w:tcPr>
        <w:p w:rsidR="00CA699D" w:rsidRDefault="00153377"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p w:rsidR="00CA699D" w:rsidRPr="006D42D9" w:rsidRDefault="00FA1570" w:rsidP="006D42D9">
          <w:pPr>
            <w:rPr>
              <w:rFonts w:ascii="Republika" w:hAnsi="Republika"/>
              <w:sz w:val="60"/>
              <w:szCs w:val="60"/>
            </w:rPr>
          </w:pPr>
        </w:p>
      </w:tc>
    </w:tr>
  </w:tbl>
  <w:p w:rsidR="00CA699D" w:rsidRPr="008F3500" w:rsidRDefault="003A4F98"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9264" behindDoc="1" locked="0" layoutInCell="0" allowOverlap="1" wp14:anchorId="3F7C9481" wp14:editId="2959E30B">
              <wp:simplePos x="0" y="0"/>
              <wp:positionH relativeFrom="column">
                <wp:posOffset>-431800</wp:posOffset>
              </wp:positionH>
              <wp:positionV relativeFrom="page">
                <wp:posOffset>3600450</wp:posOffset>
              </wp:positionV>
              <wp:extent cx="252095" cy="0"/>
              <wp:effectExtent l="6350" t="9525" r="8255" b="9525"/>
              <wp:wrapNone/>
              <wp:docPr id="6"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5D35" id="Raven povezovalnik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OY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&#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5+ojm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00153377" w:rsidRPr="008F3500">
      <w:rPr>
        <w:rFonts w:ascii="Republika" w:hAnsi="Republika"/>
      </w:rPr>
      <w:t>REPUBLIKA SLOVENIJA</w:t>
    </w:r>
  </w:p>
  <w:p w:rsidR="00CA699D" w:rsidRPr="008F3500" w:rsidRDefault="00153377"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rsidR="00CA699D" w:rsidRDefault="00153377"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rsidR="00CA699D" w:rsidRPr="008F3500" w:rsidRDefault="00153377" w:rsidP="00ED7E82">
    <w:pPr>
      <w:pStyle w:val="Glava"/>
      <w:tabs>
        <w:tab w:val="clear" w:pos="4320"/>
        <w:tab w:val="clear" w:pos="8640"/>
        <w:tab w:val="left" w:pos="5112"/>
      </w:tabs>
      <w:spacing w:before="240" w:line="240" w:lineRule="exact"/>
      <w:rPr>
        <w:rFonts w:cs="Arial"/>
        <w:sz w:val="16"/>
      </w:rPr>
    </w:pPr>
    <w:r>
      <w:rPr>
        <w:rFonts w:cs="Arial"/>
        <w:sz w:val="16"/>
      </w:rPr>
      <w:t>Šmartinska cesta 55, p.</w:t>
    </w:r>
    <w:r w:rsidR="006978D5">
      <w:rPr>
        <w:rFonts w:cs="Arial"/>
        <w:sz w:val="16"/>
      </w:rPr>
      <w:t xml:space="preserve"> </w:t>
    </w:r>
    <w:r>
      <w:rPr>
        <w:rFonts w:cs="Arial"/>
        <w:sz w:val="16"/>
      </w:rPr>
      <w:t>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rsidR="00CA699D" w:rsidRPr="008F3500" w:rsidRDefault="00153377"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rsidR="00CA699D" w:rsidRPr="008F3500" w:rsidRDefault="00153377"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rsidR="00CA699D" w:rsidRPr="008F3500" w:rsidRDefault="00153377"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rsidR="00CA699D" w:rsidRPr="008F3500" w:rsidRDefault="00FA1570"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40EE"/>
    <w:multiLevelType w:val="hybridMultilevel"/>
    <w:tmpl w:val="666835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7A00D2"/>
    <w:multiLevelType w:val="multilevel"/>
    <w:tmpl w:val="1456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37032"/>
    <w:multiLevelType w:val="multilevel"/>
    <w:tmpl w:val="FFE0BD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08C4C7B"/>
    <w:multiLevelType w:val="hybridMultilevel"/>
    <w:tmpl w:val="872C19D2"/>
    <w:lvl w:ilvl="0" w:tplc="5BBE0F56">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6B93B86"/>
    <w:multiLevelType w:val="hybridMultilevel"/>
    <w:tmpl w:val="408A5C3A"/>
    <w:lvl w:ilvl="0" w:tplc="5BBE0F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ED2CC5"/>
    <w:multiLevelType w:val="hybridMultilevel"/>
    <w:tmpl w:val="23084B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F42405"/>
    <w:multiLevelType w:val="multilevel"/>
    <w:tmpl w:val="0452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E5936"/>
    <w:multiLevelType w:val="hybridMultilevel"/>
    <w:tmpl w:val="F7B45A60"/>
    <w:lvl w:ilvl="0" w:tplc="5BBE0F56">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00E430F"/>
    <w:multiLevelType w:val="multilevel"/>
    <w:tmpl w:val="CB5038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F8064CA"/>
    <w:multiLevelType w:val="multilevel"/>
    <w:tmpl w:val="550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037B4"/>
    <w:multiLevelType w:val="hybridMultilevel"/>
    <w:tmpl w:val="412203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4755A5"/>
    <w:multiLevelType w:val="multilevel"/>
    <w:tmpl w:val="C37A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A7AD4"/>
    <w:multiLevelType w:val="hybridMultilevel"/>
    <w:tmpl w:val="C106B892"/>
    <w:lvl w:ilvl="0" w:tplc="5BBE0F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6"/>
  </w:num>
  <w:num w:numId="6">
    <w:abstractNumId w:val="9"/>
  </w:num>
  <w:num w:numId="7">
    <w:abstractNumId w:val="12"/>
  </w:num>
  <w:num w:numId="8">
    <w:abstractNumId w:val="8"/>
  </w:num>
  <w:num w:numId="9">
    <w:abstractNumId w:val="1"/>
  </w:num>
  <w:num w:numId="10">
    <w:abstractNumId w:val="11"/>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98"/>
    <w:rsid w:val="00017FA9"/>
    <w:rsid w:val="00055B78"/>
    <w:rsid w:val="00063F08"/>
    <w:rsid w:val="00064427"/>
    <w:rsid w:val="000A5F1B"/>
    <w:rsid w:val="000A6590"/>
    <w:rsid w:val="000B284D"/>
    <w:rsid w:val="000D7658"/>
    <w:rsid w:val="000E60E4"/>
    <w:rsid w:val="001119D2"/>
    <w:rsid w:val="00153377"/>
    <w:rsid w:val="00160AD9"/>
    <w:rsid w:val="001E03E6"/>
    <w:rsid w:val="001F0CF4"/>
    <w:rsid w:val="001F47AD"/>
    <w:rsid w:val="001F548A"/>
    <w:rsid w:val="001F6E59"/>
    <w:rsid w:val="002074B5"/>
    <w:rsid w:val="002074F5"/>
    <w:rsid w:val="00224BEE"/>
    <w:rsid w:val="002913D8"/>
    <w:rsid w:val="00322F52"/>
    <w:rsid w:val="00327CD3"/>
    <w:rsid w:val="00334760"/>
    <w:rsid w:val="00335CC1"/>
    <w:rsid w:val="00361004"/>
    <w:rsid w:val="00363D22"/>
    <w:rsid w:val="00391096"/>
    <w:rsid w:val="00394A04"/>
    <w:rsid w:val="003A48DC"/>
    <w:rsid w:val="003A4F98"/>
    <w:rsid w:val="003A76FF"/>
    <w:rsid w:val="003C49E7"/>
    <w:rsid w:val="003D378D"/>
    <w:rsid w:val="003D4E6E"/>
    <w:rsid w:val="003F7A5D"/>
    <w:rsid w:val="0042463D"/>
    <w:rsid w:val="0044106B"/>
    <w:rsid w:val="00450B9B"/>
    <w:rsid w:val="00470773"/>
    <w:rsid w:val="00474157"/>
    <w:rsid w:val="004860D6"/>
    <w:rsid w:val="00487C4C"/>
    <w:rsid w:val="0049314A"/>
    <w:rsid w:val="004A3BCE"/>
    <w:rsid w:val="004A6C87"/>
    <w:rsid w:val="004B0406"/>
    <w:rsid w:val="004D0E19"/>
    <w:rsid w:val="004F51CA"/>
    <w:rsid w:val="005311E2"/>
    <w:rsid w:val="0053704B"/>
    <w:rsid w:val="00537837"/>
    <w:rsid w:val="0054597D"/>
    <w:rsid w:val="00561116"/>
    <w:rsid w:val="005A376D"/>
    <w:rsid w:val="005A48FB"/>
    <w:rsid w:val="005E165B"/>
    <w:rsid w:val="005E548B"/>
    <w:rsid w:val="00622461"/>
    <w:rsid w:val="00640D03"/>
    <w:rsid w:val="006423D6"/>
    <w:rsid w:val="00672CF2"/>
    <w:rsid w:val="0069015B"/>
    <w:rsid w:val="00691C4B"/>
    <w:rsid w:val="00692DC4"/>
    <w:rsid w:val="00693095"/>
    <w:rsid w:val="006978D5"/>
    <w:rsid w:val="006E6A01"/>
    <w:rsid w:val="006F2751"/>
    <w:rsid w:val="006F4999"/>
    <w:rsid w:val="007612DD"/>
    <w:rsid w:val="00783372"/>
    <w:rsid w:val="00797D85"/>
    <w:rsid w:val="007C7455"/>
    <w:rsid w:val="007F5DBA"/>
    <w:rsid w:val="008378CA"/>
    <w:rsid w:val="00885091"/>
    <w:rsid w:val="00890BB4"/>
    <w:rsid w:val="0089142F"/>
    <w:rsid w:val="008F2843"/>
    <w:rsid w:val="009045E2"/>
    <w:rsid w:val="00914347"/>
    <w:rsid w:val="009240CB"/>
    <w:rsid w:val="00925E27"/>
    <w:rsid w:val="00944A63"/>
    <w:rsid w:val="009948EB"/>
    <w:rsid w:val="009A0603"/>
    <w:rsid w:val="009A1B07"/>
    <w:rsid w:val="009A4573"/>
    <w:rsid w:val="009C0931"/>
    <w:rsid w:val="009C1989"/>
    <w:rsid w:val="00A26CE6"/>
    <w:rsid w:val="00A50400"/>
    <w:rsid w:val="00A65BE7"/>
    <w:rsid w:val="00A9489E"/>
    <w:rsid w:val="00A97E40"/>
    <w:rsid w:val="00B669ED"/>
    <w:rsid w:val="00B820DE"/>
    <w:rsid w:val="00BB10BA"/>
    <w:rsid w:val="00BC2A0A"/>
    <w:rsid w:val="00BC5F8F"/>
    <w:rsid w:val="00C45C7C"/>
    <w:rsid w:val="00CD67F3"/>
    <w:rsid w:val="00CE54D4"/>
    <w:rsid w:val="00D13BB7"/>
    <w:rsid w:val="00D1773C"/>
    <w:rsid w:val="00D23FDE"/>
    <w:rsid w:val="00D2448B"/>
    <w:rsid w:val="00D34FEF"/>
    <w:rsid w:val="00D51C20"/>
    <w:rsid w:val="00D53D3C"/>
    <w:rsid w:val="00D75170"/>
    <w:rsid w:val="00D76519"/>
    <w:rsid w:val="00E04E8C"/>
    <w:rsid w:val="00E3176C"/>
    <w:rsid w:val="00E87150"/>
    <w:rsid w:val="00EE7172"/>
    <w:rsid w:val="00EE7ECC"/>
    <w:rsid w:val="00EF28BC"/>
    <w:rsid w:val="00F06D36"/>
    <w:rsid w:val="00F161EF"/>
    <w:rsid w:val="00F475FD"/>
    <w:rsid w:val="00F85D11"/>
    <w:rsid w:val="00FA1570"/>
    <w:rsid w:val="00FB211E"/>
    <w:rsid w:val="00FB39E7"/>
    <w:rsid w:val="00FD5B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DD9EDAB-D24E-4630-83DC-5D69BD2A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A4F98"/>
    <w:pPr>
      <w:spacing w:after="0" w:line="260" w:lineRule="atLeast"/>
    </w:pPr>
    <w:rPr>
      <w:rFonts w:ascii="Arial" w:eastAsia="Times New Roman" w:hAnsi="Arial" w:cs="Times New Roman"/>
      <w:sz w:val="20"/>
      <w:szCs w:val="24"/>
      <w:lang w:eastAsia="en-US"/>
    </w:rPr>
  </w:style>
  <w:style w:type="paragraph" w:styleId="Naslov1">
    <w:name w:val="heading 1"/>
    <w:basedOn w:val="Navaden"/>
    <w:next w:val="Navaden"/>
    <w:link w:val="Naslov1Znak"/>
    <w:uiPriority w:val="9"/>
    <w:qFormat/>
    <w:rsid w:val="007833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A4F98"/>
    <w:pPr>
      <w:tabs>
        <w:tab w:val="center" w:pos="4320"/>
        <w:tab w:val="right" w:pos="8640"/>
      </w:tabs>
    </w:pPr>
  </w:style>
  <w:style w:type="character" w:customStyle="1" w:styleId="GlavaZnak">
    <w:name w:val="Glava Znak"/>
    <w:basedOn w:val="Privzetapisavaodstavka"/>
    <w:link w:val="Glava"/>
    <w:rsid w:val="003A4F98"/>
    <w:rPr>
      <w:rFonts w:ascii="Arial" w:eastAsia="Times New Roman" w:hAnsi="Arial" w:cs="Times New Roman"/>
      <w:sz w:val="20"/>
      <w:szCs w:val="24"/>
      <w:lang w:val="en-US" w:eastAsia="en-US"/>
    </w:rPr>
  </w:style>
  <w:style w:type="paragraph" w:styleId="Noga">
    <w:name w:val="footer"/>
    <w:basedOn w:val="Navaden"/>
    <w:link w:val="NogaZnak"/>
    <w:uiPriority w:val="99"/>
    <w:rsid w:val="003A4F98"/>
    <w:pPr>
      <w:tabs>
        <w:tab w:val="center" w:pos="4320"/>
        <w:tab w:val="right" w:pos="8640"/>
      </w:tabs>
    </w:pPr>
  </w:style>
  <w:style w:type="character" w:customStyle="1" w:styleId="NogaZnak">
    <w:name w:val="Noga Znak"/>
    <w:basedOn w:val="Privzetapisavaodstavka"/>
    <w:link w:val="Noga"/>
    <w:uiPriority w:val="99"/>
    <w:rsid w:val="003A4F98"/>
    <w:rPr>
      <w:rFonts w:ascii="Arial" w:eastAsia="Times New Roman" w:hAnsi="Arial" w:cs="Times New Roman"/>
      <w:sz w:val="20"/>
      <w:szCs w:val="24"/>
      <w:lang w:val="en-US" w:eastAsia="en-US"/>
    </w:rPr>
  </w:style>
  <w:style w:type="paragraph" w:customStyle="1" w:styleId="datumtevilka">
    <w:name w:val="datum številka"/>
    <w:basedOn w:val="Navaden"/>
    <w:qFormat/>
    <w:rsid w:val="003A4F98"/>
    <w:pPr>
      <w:tabs>
        <w:tab w:val="left" w:pos="1701"/>
      </w:tabs>
    </w:pPr>
    <w:rPr>
      <w:szCs w:val="20"/>
      <w:lang w:eastAsia="sl-SI"/>
    </w:rPr>
  </w:style>
  <w:style w:type="character" w:styleId="Hiperpovezava">
    <w:name w:val="Hyperlink"/>
    <w:uiPriority w:val="99"/>
    <w:rsid w:val="003A4F98"/>
    <w:rPr>
      <w:color w:val="0000FF"/>
      <w:u w:val="single"/>
    </w:rPr>
  </w:style>
  <w:style w:type="paragraph" w:customStyle="1" w:styleId="podpisi">
    <w:name w:val="podpisi"/>
    <w:basedOn w:val="Navaden"/>
    <w:link w:val="podpisiZnak"/>
    <w:qFormat/>
    <w:rsid w:val="003A4F98"/>
    <w:pPr>
      <w:tabs>
        <w:tab w:val="left" w:pos="3402"/>
      </w:tabs>
    </w:pPr>
    <w:rPr>
      <w:lang w:val="it-IT"/>
    </w:rPr>
  </w:style>
  <w:style w:type="paragraph" w:customStyle="1" w:styleId="FURSnaslov1">
    <w:name w:val="FURS_naslov_1"/>
    <w:basedOn w:val="podpisi"/>
    <w:link w:val="FURSnaslov1Znak"/>
    <w:qFormat/>
    <w:rsid w:val="003A4F98"/>
    <w:rPr>
      <w:b/>
      <w:sz w:val="24"/>
      <w:lang w:val="sl-SI"/>
    </w:rPr>
  </w:style>
  <w:style w:type="character" w:customStyle="1" w:styleId="podpisiZnak">
    <w:name w:val="podpisi Znak"/>
    <w:link w:val="podpisi"/>
    <w:rsid w:val="003A4F98"/>
    <w:rPr>
      <w:rFonts w:ascii="Arial" w:eastAsia="Times New Roman" w:hAnsi="Arial" w:cs="Times New Roman"/>
      <w:sz w:val="20"/>
      <w:szCs w:val="24"/>
      <w:lang w:val="it-IT" w:eastAsia="en-US"/>
    </w:rPr>
  </w:style>
  <w:style w:type="character" w:customStyle="1" w:styleId="FURSnaslov1Znak">
    <w:name w:val="FURS_naslov_1 Znak"/>
    <w:link w:val="FURSnaslov1"/>
    <w:rsid w:val="003A4F98"/>
    <w:rPr>
      <w:rFonts w:ascii="Arial" w:eastAsia="Times New Roman" w:hAnsi="Arial" w:cs="Times New Roman"/>
      <w:b/>
      <w:sz w:val="24"/>
      <w:szCs w:val="24"/>
      <w:lang w:eastAsia="en-US"/>
    </w:rPr>
  </w:style>
  <w:style w:type="paragraph" w:styleId="Kazalovsebine1">
    <w:name w:val="toc 1"/>
    <w:basedOn w:val="Navaden"/>
    <w:next w:val="Navaden"/>
    <w:autoRedefine/>
    <w:uiPriority w:val="39"/>
    <w:qFormat/>
    <w:rsid w:val="003A4F98"/>
    <w:pPr>
      <w:tabs>
        <w:tab w:val="right" w:leader="dot" w:pos="8488"/>
      </w:tabs>
      <w:ind w:left="284"/>
    </w:pPr>
  </w:style>
  <w:style w:type="paragraph" w:styleId="Kazalovsebine2">
    <w:name w:val="toc 2"/>
    <w:basedOn w:val="Navaden"/>
    <w:next w:val="Navaden"/>
    <w:autoRedefine/>
    <w:uiPriority w:val="39"/>
    <w:unhideWhenUsed/>
    <w:qFormat/>
    <w:rsid w:val="003A4F98"/>
    <w:pPr>
      <w:tabs>
        <w:tab w:val="right" w:leader="dot" w:pos="8488"/>
      </w:tabs>
      <w:spacing w:line="276" w:lineRule="auto"/>
      <w:ind w:left="567"/>
    </w:pPr>
    <w:rPr>
      <w:rFonts w:ascii="Calibri" w:hAnsi="Calibri"/>
      <w:sz w:val="22"/>
      <w:szCs w:val="22"/>
      <w:lang w:eastAsia="sl-SI"/>
    </w:rPr>
  </w:style>
  <w:style w:type="paragraph" w:customStyle="1" w:styleId="FURSnaslov2">
    <w:name w:val="FURS_naslov_2"/>
    <w:basedOn w:val="podpisi"/>
    <w:link w:val="FURSnaslov2Znak"/>
    <w:qFormat/>
    <w:rsid w:val="003A4F98"/>
    <w:rPr>
      <w:b/>
      <w:sz w:val="24"/>
      <w:lang w:val="sl-SI"/>
    </w:rPr>
  </w:style>
  <w:style w:type="paragraph" w:customStyle="1" w:styleId="alineazatevilnotoko1">
    <w:name w:val="alineazatevilnotoko1"/>
    <w:basedOn w:val="Navaden"/>
    <w:rsid w:val="003A4F98"/>
    <w:pPr>
      <w:spacing w:line="240" w:lineRule="auto"/>
      <w:ind w:left="567" w:hanging="142"/>
      <w:jc w:val="both"/>
    </w:pPr>
    <w:rPr>
      <w:rFonts w:cs="Arial"/>
      <w:sz w:val="22"/>
      <w:szCs w:val="22"/>
      <w:lang w:eastAsia="sl-SI"/>
    </w:rPr>
  </w:style>
  <w:style w:type="character" w:customStyle="1" w:styleId="FURSnaslov2Znak">
    <w:name w:val="FURS_naslov_2 Znak"/>
    <w:link w:val="FURSnaslov2"/>
    <w:rsid w:val="003A4F98"/>
    <w:rPr>
      <w:rFonts w:ascii="Arial" w:eastAsia="Times New Roman" w:hAnsi="Arial" w:cs="Times New Roman"/>
      <w:b/>
      <w:sz w:val="24"/>
      <w:szCs w:val="24"/>
      <w:lang w:eastAsia="en-US"/>
    </w:rPr>
  </w:style>
  <w:style w:type="paragraph" w:styleId="Besedilooblaka">
    <w:name w:val="Balloon Text"/>
    <w:basedOn w:val="Navaden"/>
    <w:link w:val="BesedilooblakaZnak"/>
    <w:uiPriority w:val="99"/>
    <w:semiHidden/>
    <w:unhideWhenUsed/>
    <w:rsid w:val="003A4F9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4F98"/>
    <w:rPr>
      <w:rFonts w:ascii="Tahoma" w:eastAsia="Times New Roman" w:hAnsi="Tahoma" w:cs="Tahoma"/>
      <w:sz w:val="16"/>
      <w:szCs w:val="16"/>
      <w:lang w:val="en-US" w:eastAsia="en-US"/>
    </w:rPr>
  </w:style>
  <w:style w:type="paragraph" w:styleId="Odstavekseznama">
    <w:name w:val="List Paragraph"/>
    <w:basedOn w:val="Navaden"/>
    <w:uiPriority w:val="34"/>
    <w:qFormat/>
    <w:rsid w:val="00A26CE6"/>
    <w:pPr>
      <w:ind w:left="720"/>
      <w:contextualSpacing/>
    </w:pPr>
  </w:style>
  <w:style w:type="character" w:customStyle="1" w:styleId="Naslov1Znak">
    <w:name w:val="Naslov 1 Znak"/>
    <w:basedOn w:val="Privzetapisavaodstavka"/>
    <w:link w:val="Naslov1"/>
    <w:uiPriority w:val="9"/>
    <w:rsid w:val="00783372"/>
    <w:rPr>
      <w:rFonts w:asciiTheme="majorHAnsi" w:eastAsiaTheme="majorEastAsia" w:hAnsiTheme="majorHAnsi" w:cstheme="majorBidi"/>
      <w:b/>
      <w:bCs/>
      <w:color w:val="365F91" w:themeColor="accent1" w:themeShade="BF"/>
      <w:sz w:val="28"/>
      <w:szCs w:val="28"/>
      <w:lang w:eastAsia="en-US"/>
    </w:rPr>
  </w:style>
  <w:style w:type="paragraph" w:styleId="NaslovTOC">
    <w:name w:val="TOC Heading"/>
    <w:basedOn w:val="Naslov1"/>
    <w:next w:val="Navaden"/>
    <w:uiPriority w:val="39"/>
    <w:semiHidden/>
    <w:unhideWhenUsed/>
    <w:qFormat/>
    <w:rsid w:val="00783372"/>
    <w:pPr>
      <w:spacing w:line="276" w:lineRule="auto"/>
      <w:outlineLvl w:val="9"/>
    </w:pPr>
    <w:rPr>
      <w:lang w:eastAsia="sl-SI"/>
    </w:rPr>
  </w:style>
  <w:style w:type="character" w:styleId="SledenaHiperpovezava">
    <w:name w:val="FollowedHyperlink"/>
    <w:basedOn w:val="Privzetapisavaodstavka"/>
    <w:uiPriority w:val="99"/>
    <w:semiHidden/>
    <w:unhideWhenUsed/>
    <w:rsid w:val="00D244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9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7128" TargetMode="External"/><Relationship Id="rId13" Type="http://schemas.openxmlformats.org/officeDocument/2006/relationships/hyperlink" Target="http://www.pisrs.si/Pis.web/pregledPredpisa?id=ZAKO470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avki.durs.si/EdavkiPortal/OpenPortal/CommonPages/Opdynp/PageD.aspx?category=obrazec_tro_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vki.durs.si/EdavkiPortal/OpenPortal/CommonPages/Opdynp/PageD.aspx?category=obrazec_tro_k" TargetMode="External"/><Relationship Id="rId5" Type="http://schemas.openxmlformats.org/officeDocument/2006/relationships/webSettings" Target="webSettings.xml"/><Relationship Id="rId15" Type="http://schemas.openxmlformats.org/officeDocument/2006/relationships/hyperlink" Target="http://www.pisrs.si/Pis.web/pregledPredpisa?id=ZAKO4703" TargetMode="External"/><Relationship Id="rId10" Type="http://schemas.openxmlformats.org/officeDocument/2006/relationships/hyperlink" Target="http://www.fu.gov.si/fileadmin/Internet/Davki_in_druge_dajatve/Podrocja/Trosarine/Opis/Visina_vracila_trosarine_za_energente.xls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isrs.si/Pis.web/pregledPredpisa?id=PRAV13013" TargetMode="External"/><Relationship Id="rId14" Type="http://schemas.openxmlformats.org/officeDocument/2006/relationships/hyperlink" Target="http://pisrs.si/Pis.web/pregledPredpisa?id=ZAKO160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B1762-9E83-417C-8AFF-B11376D5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1721</Words>
  <Characters>9813</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Vačovnik-Goršek , Nina</dc:creator>
  <cp:lastModifiedBy>Aleksander Štorman</cp:lastModifiedBy>
  <cp:revision>9</cp:revision>
  <cp:lastPrinted>2015-12-18T11:13:00Z</cp:lastPrinted>
  <dcterms:created xsi:type="dcterms:W3CDTF">2018-07-25T09:47:00Z</dcterms:created>
  <dcterms:modified xsi:type="dcterms:W3CDTF">2018-07-30T08:51:00Z</dcterms:modified>
</cp:coreProperties>
</file>