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9F87" w14:textId="77777777" w:rsidR="00B5798A" w:rsidRDefault="00B5798A" w:rsidP="00582D2B">
      <w:bookmarkStart w:id="0" w:name="_Hlk144814143"/>
    </w:p>
    <w:p w14:paraId="79BCF972" w14:textId="77777777" w:rsidR="00DB65D9" w:rsidRPr="00E116ED" w:rsidRDefault="00DB65D9" w:rsidP="00DB65D9">
      <w:pPr>
        <w:pStyle w:val="datumtevilka"/>
        <w:jc w:val="center"/>
      </w:pPr>
    </w:p>
    <w:p w14:paraId="61BA90D5" w14:textId="77777777" w:rsidR="00DB65D9" w:rsidRPr="00E116ED" w:rsidRDefault="00DB65D9" w:rsidP="00DB65D9">
      <w:pPr>
        <w:pStyle w:val="datumtevilka"/>
        <w:jc w:val="center"/>
      </w:pPr>
    </w:p>
    <w:p w14:paraId="4D53367C" w14:textId="77777777" w:rsidR="00DB65D9" w:rsidRPr="00E116ED" w:rsidRDefault="00DB65D9" w:rsidP="00DB65D9">
      <w:pPr>
        <w:pStyle w:val="datumtevilka"/>
        <w:jc w:val="center"/>
      </w:pPr>
    </w:p>
    <w:p w14:paraId="0C5E1D99" w14:textId="77777777" w:rsidR="00DB65D9" w:rsidRPr="00E116ED" w:rsidRDefault="00DB65D9" w:rsidP="00DB65D9">
      <w:pPr>
        <w:pStyle w:val="datumtevilka"/>
        <w:jc w:val="center"/>
      </w:pPr>
    </w:p>
    <w:p w14:paraId="11A2354D" w14:textId="77777777" w:rsidR="00DB65D9" w:rsidRPr="00E116ED" w:rsidRDefault="00DB65D9" w:rsidP="00DB65D9">
      <w:pPr>
        <w:pStyle w:val="datumtevilka"/>
        <w:jc w:val="center"/>
        <w:rPr>
          <w:b/>
          <w:sz w:val="32"/>
          <w:szCs w:val="32"/>
        </w:rPr>
      </w:pPr>
      <w:r>
        <w:rPr>
          <w:b/>
          <w:sz w:val="32"/>
          <w:szCs w:val="32"/>
        </w:rPr>
        <w:t>POVRHNJI DAVEK</w:t>
      </w:r>
    </w:p>
    <w:p w14:paraId="16E37FBA" w14:textId="77777777" w:rsidR="004C54DC" w:rsidRDefault="004C54DC" w:rsidP="00DB65D9">
      <w:pPr>
        <w:pStyle w:val="datumtevilka"/>
        <w:jc w:val="center"/>
      </w:pPr>
    </w:p>
    <w:p w14:paraId="30A7B140" w14:textId="77777777" w:rsidR="004C54DC" w:rsidRDefault="004C54DC" w:rsidP="00DB65D9">
      <w:pPr>
        <w:pStyle w:val="datumtevilka"/>
        <w:jc w:val="center"/>
      </w:pPr>
    </w:p>
    <w:p w14:paraId="2C47C44F" w14:textId="77777777" w:rsidR="00DB65D9" w:rsidRPr="004C54DC" w:rsidRDefault="004C54DC" w:rsidP="00DB65D9">
      <w:pPr>
        <w:pStyle w:val="datumtevilka"/>
        <w:jc w:val="center"/>
        <w:rPr>
          <w:b/>
          <w:bCs/>
          <w:sz w:val="32"/>
          <w:szCs w:val="32"/>
        </w:rPr>
      </w:pPr>
      <w:r w:rsidRPr="004C54DC">
        <w:rPr>
          <w:b/>
          <w:bCs/>
          <w:sz w:val="32"/>
          <w:szCs w:val="32"/>
        </w:rPr>
        <w:t xml:space="preserve">Splošne določbe </w:t>
      </w:r>
    </w:p>
    <w:p w14:paraId="5842DF4B" w14:textId="77777777" w:rsidR="004C54DC" w:rsidRPr="004C54DC" w:rsidRDefault="004C54DC" w:rsidP="00DB65D9">
      <w:pPr>
        <w:pStyle w:val="datumtevilka"/>
        <w:jc w:val="center"/>
        <w:rPr>
          <w:b/>
          <w:bCs/>
          <w:sz w:val="32"/>
          <w:szCs w:val="32"/>
        </w:rPr>
      </w:pPr>
      <w:r w:rsidRPr="004C54DC">
        <w:rPr>
          <w:b/>
          <w:bCs/>
          <w:sz w:val="32"/>
          <w:szCs w:val="32"/>
        </w:rPr>
        <w:t>Upravne določbe</w:t>
      </w:r>
    </w:p>
    <w:p w14:paraId="187D1CDC" w14:textId="77777777" w:rsidR="00DB65D9" w:rsidRPr="00E116ED" w:rsidRDefault="00DB65D9" w:rsidP="00DB65D9">
      <w:pPr>
        <w:pStyle w:val="datumtevilka"/>
        <w:jc w:val="center"/>
      </w:pPr>
    </w:p>
    <w:p w14:paraId="12C8EAE2" w14:textId="77777777" w:rsidR="00DB65D9" w:rsidRPr="00E116ED" w:rsidRDefault="00DB65D9" w:rsidP="00DB65D9">
      <w:pPr>
        <w:pStyle w:val="datumtevilka"/>
        <w:jc w:val="center"/>
      </w:pPr>
    </w:p>
    <w:p w14:paraId="40E7941A" w14:textId="77777777" w:rsidR="00DB65D9" w:rsidRPr="00E116ED" w:rsidRDefault="00DB65D9" w:rsidP="00DB65D9">
      <w:pPr>
        <w:pStyle w:val="datumtevilka"/>
        <w:jc w:val="center"/>
      </w:pPr>
    </w:p>
    <w:p w14:paraId="0F298589" w14:textId="77777777" w:rsidR="00DB65D9" w:rsidRPr="00E116ED" w:rsidRDefault="00DB65D9" w:rsidP="00DB65D9">
      <w:pPr>
        <w:pStyle w:val="datumtevilka"/>
        <w:jc w:val="center"/>
      </w:pPr>
    </w:p>
    <w:p w14:paraId="46F49550" w14:textId="77777777" w:rsidR="00DB65D9" w:rsidRPr="00E116ED" w:rsidRDefault="00DB65D9" w:rsidP="00DB65D9">
      <w:pPr>
        <w:pStyle w:val="datumtevilka"/>
        <w:jc w:val="center"/>
      </w:pPr>
    </w:p>
    <w:p w14:paraId="3010EEE9" w14:textId="77777777" w:rsidR="00DB65D9" w:rsidRPr="00E116ED" w:rsidRDefault="00DB65D9" w:rsidP="00DB65D9">
      <w:pPr>
        <w:pStyle w:val="datumtevilka"/>
        <w:jc w:val="center"/>
        <w:rPr>
          <w:b/>
          <w:sz w:val="28"/>
          <w:szCs w:val="28"/>
        </w:rPr>
      </w:pPr>
      <w:r w:rsidRPr="00E116ED">
        <w:rPr>
          <w:b/>
          <w:sz w:val="28"/>
          <w:szCs w:val="28"/>
        </w:rPr>
        <w:t>Podrobnejši opis</w:t>
      </w:r>
    </w:p>
    <w:p w14:paraId="14AA3A1D" w14:textId="77777777" w:rsidR="00DB65D9" w:rsidRPr="00E116ED" w:rsidRDefault="00DB65D9" w:rsidP="00DB65D9">
      <w:pPr>
        <w:pStyle w:val="datumtevilka"/>
        <w:jc w:val="center"/>
      </w:pPr>
    </w:p>
    <w:p w14:paraId="6184195D" w14:textId="77777777" w:rsidR="00DB65D9" w:rsidRPr="00E116ED" w:rsidRDefault="00DB65D9" w:rsidP="00DB65D9">
      <w:pPr>
        <w:pStyle w:val="datumtevilka"/>
        <w:jc w:val="center"/>
      </w:pPr>
    </w:p>
    <w:p w14:paraId="23CDF2C8" w14:textId="77777777" w:rsidR="00DB65D9" w:rsidRPr="00E116ED" w:rsidRDefault="00DB65D9" w:rsidP="00DB65D9">
      <w:pPr>
        <w:pStyle w:val="datumtevilka"/>
        <w:jc w:val="center"/>
      </w:pPr>
    </w:p>
    <w:p w14:paraId="2EE7AF02" w14:textId="77777777" w:rsidR="00DB65D9" w:rsidRPr="00E116ED" w:rsidRDefault="00DB65D9" w:rsidP="00DB65D9">
      <w:pPr>
        <w:pStyle w:val="datumtevilka"/>
        <w:jc w:val="center"/>
      </w:pPr>
    </w:p>
    <w:p w14:paraId="0931BD17" w14:textId="77777777" w:rsidR="00DB65D9" w:rsidRPr="00E116ED" w:rsidRDefault="00DB65D9" w:rsidP="00DB65D9">
      <w:pPr>
        <w:pStyle w:val="datumtevilka"/>
        <w:jc w:val="center"/>
      </w:pPr>
    </w:p>
    <w:p w14:paraId="542FDB45" w14:textId="77777777" w:rsidR="00DB65D9" w:rsidRPr="00E116ED" w:rsidRDefault="00DB65D9" w:rsidP="00DB65D9">
      <w:pPr>
        <w:pStyle w:val="podpisi"/>
        <w:jc w:val="center"/>
        <w:rPr>
          <w:lang w:val="sl-SI"/>
        </w:rPr>
      </w:pPr>
    </w:p>
    <w:p w14:paraId="4AFBBD95" w14:textId="77777777" w:rsidR="00DB65D9" w:rsidRPr="00E116ED" w:rsidRDefault="00DB65D9" w:rsidP="00DB65D9">
      <w:pPr>
        <w:pStyle w:val="podpisi"/>
        <w:jc w:val="center"/>
        <w:rPr>
          <w:lang w:val="sl-SI"/>
        </w:rPr>
      </w:pPr>
    </w:p>
    <w:p w14:paraId="36A4DCF7" w14:textId="77777777" w:rsidR="00DB65D9" w:rsidRPr="00E116ED" w:rsidRDefault="00DB65D9" w:rsidP="00DB65D9">
      <w:pPr>
        <w:pStyle w:val="podpisi"/>
        <w:jc w:val="center"/>
        <w:rPr>
          <w:lang w:val="sl-SI"/>
        </w:rPr>
      </w:pPr>
    </w:p>
    <w:p w14:paraId="6DBDAF6B" w14:textId="77777777" w:rsidR="00DB65D9" w:rsidRPr="00E116ED" w:rsidRDefault="00DB65D9" w:rsidP="00DB65D9">
      <w:pPr>
        <w:pStyle w:val="podpisi"/>
        <w:jc w:val="center"/>
        <w:rPr>
          <w:lang w:val="sl-SI"/>
        </w:rPr>
      </w:pPr>
    </w:p>
    <w:p w14:paraId="20FF84D9" w14:textId="77777777" w:rsidR="00DB65D9" w:rsidRPr="00E116ED" w:rsidRDefault="00DB65D9" w:rsidP="00DB65D9">
      <w:pPr>
        <w:pStyle w:val="podpisi"/>
        <w:jc w:val="center"/>
        <w:rPr>
          <w:lang w:val="sl-SI"/>
        </w:rPr>
      </w:pPr>
    </w:p>
    <w:p w14:paraId="05983EBE" w14:textId="77777777" w:rsidR="00DB65D9" w:rsidRPr="00E116ED" w:rsidRDefault="00DB65D9" w:rsidP="00DB65D9">
      <w:pPr>
        <w:pStyle w:val="podpisi"/>
        <w:jc w:val="center"/>
        <w:rPr>
          <w:lang w:val="sl-SI"/>
        </w:rPr>
      </w:pPr>
    </w:p>
    <w:p w14:paraId="3CABC48F" w14:textId="77777777" w:rsidR="00DB65D9" w:rsidRPr="00E116ED" w:rsidRDefault="00DB65D9" w:rsidP="00DB65D9">
      <w:pPr>
        <w:pStyle w:val="podpisi"/>
        <w:jc w:val="center"/>
        <w:rPr>
          <w:lang w:val="sl-SI"/>
        </w:rPr>
      </w:pPr>
    </w:p>
    <w:p w14:paraId="24A06B02" w14:textId="77777777" w:rsidR="00DB65D9" w:rsidRPr="00E116ED" w:rsidRDefault="00DB65D9" w:rsidP="00DB65D9">
      <w:pPr>
        <w:pStyle w:val="podpisi"/>
        <w:jc w:val="center"/>
        <w:rPr>
          <w:lang w:val="sl-SI"/>
        </w:rPr>
      </w:pPr>
    </w:p>
    <w:p w14:paraId="3935E306" w14:textId="77777777" w:rsidR="00DB65D9" w:rsidRPr="00E116ED" w:rsidRDefault="00DB65D9" w:rsidP="00DB65D9">
      <w:pPr>
        <w:pStyle w:val="podpisi"/>
        <w:jc w:val="center"/>
        <w:rPr>
          <w:lang w:val="sl-SI"/>
        </w:rPr>
      </w:pPr>
    </w:p>
    <w:p w14:paraId="635338F7" w14:textId="77777777" w:rsidR="00DB65D9" w:rsidRPr="00E116ED" w:rsidRDefault="00DB65D9" w:rsidP="00DB65D9">
      <w:pPr>
        <w:pStyle w:val="podpisi"/>
        <w:jc w:val="center"/>
        <w:rPr>
          <w:lang w:val="sl-SI"/>
        </w:rPr>
      </w:pPr>
    </w:p>
    <w:p w14:paraId="0ABD4921" w14:textId="77777777" w:rsidR="00DB65D9" w:rsidRPr="00E116ED" w:rsidRDefault="00DB65D9" w:rsidP="00DB65D9">
      <w:pPr>
        <w:pStyle w:val="podpisi"/>
        <w:jc w:val="center"/>
        <w:rPr>
          <w:lang w:val="sl-SI"/>
        </w:rPr>
      </w:pPr>
    </w:p>
    <w:p w14:paraId="1AAB31F6" w14:textId="77777777" w:rsidR="00DB65D9" w:rsidRPr="00E116ED" w:rsidRDefault="00DB65D9" w:rsidP="00DB65D9">
      <w:pPr>
        <w:pStyle w:val="podpisi"/>
        <w:jc w:val="center"/>
        <w:rPr>
          <w:lang w:val="sl-SI"/>
        </w:rPr>
      </w:pPr>
    </w:p>
    <w:p w14:paraId="34A85BF9" w14:textId="77777777" w:rsidR="00DB65D9" w:rsidRPr="00E116ED" w:rsidRDefault="00DB65D9" w:rsidP="00DB65D9">
      <w:pPr>
        <w:pStyle w:val="podpisi"/>
        <w:jc w:val="center"/>
        <w:rPr>
          <w:lang w:val="sl-SI"/>
        </w:rPr>
      </w:pPr>
    </w:p>
    <w:p w14:paraId="39DD1C60" w14:textId="77777777" w:rsidR="00DB65D9" w:rsidRPr="00E116ED" w:rsidRDefault="00DB65D9" w:rsidP="00DB65D9">
      <w:pPr>
        <w:pStyle w:val="podpisi"/>
        <w:jc w:val="center"/>
        <w:rPr>
          <w:lang w:val="sl-SI"/>
        </w:rPr>
      </w:pPr>
    </w:p>
    <w:p w14:paraId="72965C33" w14:textId="77777777" w:rsidR="00DB65D9" w:rsidRPr="00E116ED" w:rsidRDefault="00DB65D9" w:rsidP="00DB65D9">
      <w:pPr>
        <w:pStyle w:val="podpisi"/>
        <w:jc w:val="center"/>
        <w:rPr>
          <w:lang w:val="sl-SI"/>
        </w:rPr>
      </w:pPr>
    </w:p>
    <w:p w14:paraId="0D5BFBC1" w14:textId="77777777" w:rsidR="00DB65D9" w:rsidRPr="00E116ED" w:rsidRDefault="00DB65D9" w:rsidP="00DB65D9">
      <w:pPr>
        <w:pStyle w:val="podpisi"/>
        <w:jc w:val="center"/>
        <w:rPr>
          <w:lang w:val="sl-SI"/>
        </w:rPr>
      </w:pPr>
    </w:p>
    <w:p w14:paraId="1CD5CBE5" w14:textId="77777777" w:rsidR="00DB65D9" w:rsidRPr="00E116ED" w:rsidRDefault="00DB65D9" w:rsidP="00DB65D9">
      <w:pPr>
        <w:pStyle w:val="podpisi"/>
        <w:jc w:val="center"/>
        <w:rPr>
          <w:lang w:val="sl-SI"/>
        </w:rPr>
      </w:pPr>
    </w:p>
    <w:p w14:paraId="50FBCD2F" w14:textId="77777777" w:rsidR="00DB65D9" w:rsidRPr="00E116ED" w:rsidRDefault="00DB65D9" w:rsidP="00DB65D9">
      <w:pPr>
        <w:pStyle w:val="podpisi"/>
        <w:jc w:val="center"/>
        <w:rPr>
          <w:lang w:val="sl-SI"/>
        </w:rPr>
      </w:pPr>
    </w:p>
    <w:p w14:paraId="66FB585E" w14:textId="77777777" w:rsidR="00DB65D9" w:rsidRPr="00E116ED" w:rsidRDefault="00DB65D9" w:rsidP="00DB65D9">
      <w:pPr>
        <w:pStyle w:val="podpisi"/>
        <w:jc w:val="center"/>
        <w:rPr>
          <w:lang w:val="sl-SI"/>
        </w:rPr>
      </w:pPr>
    </w:p>
    <w:p w14:paraId="5379F540" w14:textId="77777777" w:rsidR="00DB65D9" w:rsidRPr="00E116ED" w:rsidRDefault="00DB65D9" w:rsidP="00DB65D9">
      <w:pPr>
        <w:pStyle w:val="podpisi"/>
        <w:jc w:val="center"/>
        <w:rPr>
          <w:lang w:val="sl-SI"/>
        </w:rPr>
      </w:pPr>
    </w:p>
    <w:p w14:paraId="08C26FB2" w14:textId="77777777" w:rsidR="00DB65D9" w:rsidRPr="00E116ED" w:rsidRDefault="00DB65D9" w:rsidP="00DB65D9">
      <w:pPr>
        <w:pStyle w:val="podpisi"/>
        <w:jc w:val="center"/>
        <w:rPr>
          <w:lang w:val="sl-SI"/>
        </w:rPr>
      </w:pPr>
    </w:p>
    <w:p w14:paraId="2643B22B" w14:textId="77777777" w:rsidR="00DB65D9" w:rsidRPr="00E116ED" w:rsidRDefault="00101D1E" w:rsidP="00DB65D9">
      <w:pPr>
        <w:pStyle w:val="Default"/>
        <w:jc w:val="center"/>
        <w:rPr>
          <w:b/>
          <w:strike/>
          <w:color w:val="auto"/>
          <w:sz w:val="28"/>
        </w:rPr>
      </w:pPr>
      <w:r>
        <w:rPr>
          <w:b/>
          <w:color w:val="auto"/>
          <w:sz w:val="28"/>
        </w:rPr>
        <w:t>Februar</w:t>
      </w:r>
      <w:r w:rsidR="006318CC">
        <w:rPr>
          <w:b/>
          <w:color w:val="auto"/>
          <w:sz w:val="28"/>
        </w:rPr>
        <w:t xml:space="preserve"> 2024</w:t>
      </w:r>
    </w:p>
    <w:p w14:paraId="0E16DF6F" w14:textId="77777777" w:rsidR="00DB65D9" w:rsidRPr="00E116ED" w:rsidRDefault="00DB65D9" w:rsidP="00DB65D9">
      <w:pPr>
        <w:rPr>
          <w:b/>
          <w:sz w:val="24"/>
        </w:rPr>
      </w:pPr>
      <w:r w:rsidRPr="00E116ED">
        <w:rPr>
          <w:sz w:val="28"/>
        </w:rPr>
        <w:br w:type="page"/>
      </w:r>
      <w:r w:rsidRPr="00E116ED">
        <w:rPr>
          <w:b/>
          <w:sz w:val="24"/>
        </w:rPr>
        <w:lastRenderedPageBreak/>
        <w:t>KAZALO</w:t>
      </w:r>
    </w:p>
    <w:p w14:paraId="1E866790" w14:textId="77777777" w:rsidR="00F5236D" w:rsidRDefault="00DB65D9">
      <w:pPr>
        <w:pStyle w:val="Kazalovsebine1"/>
        <w:rPr>
          <w:rFonts w:asciiTheme="minorHAnsi" w:eastAsiaTheme="minorEastAsia" w:hAnsiTheme="minorHAnsi" w:cstheme="minorBidi"/>
          <w:noProof/>
          <w:sz w:val="22"/>
          <w:szCs w:val="22"/>
          <w:lang w:val="sl-SI" w:eastAsia="sl-SI"/>
        </w:rPr>
      </w:pPr>
      <w:r w:rsidRPr="00E116ED">
        <w:rPr>
          <w:rFonts w:cs="Arial"/>
          <w:b/>
          <w:szCs w:val="20"/>
          <w:lang w:val="sl-SI"/>
        </w:rPr>
        <w:fldChar w:fldCharType="begin"/>
      </w:r>
      <w:r w:rsidRPr="00E116ED">
        <w:rPr>
          <w:rFonts w:cs="Arial"/>
          <w:b/>
          <w:szCs w:val="20"/>
          <w:lang w:val="sl-SI"/>
        </w:rPr>
        <w:instrText xml:space="preserve"> TOC \h \z \t "FURS_naslov_1;1;FURS_naslov_2;2" </w:instrText>
      </w:r>
      <w:r w:rsidRPr="00E116ED">
        <w:rPr>
          <w:rFonts w:cs="Arial"/>
          <w:b/>
          <w:szCs w:val="20"/>
          <w:lang w:val="sl-SI"/>
        </w:rPr>
        <w:fldChar w:fldCharType="separate"/>
      </w:r>
      <w:hyperlink w:anchor="_Toc157425299" w:history="1">
        <w:r w:rsidR="00F5236D" w:rsidRPr="00E05901">
          <w:rPr>
            <w:rStyle w:val="Hiperpovezava"/>
            <w:noProof/>
            <w:lang w:val="sl-SI"/>
          </w:rPr>
          <w:t>1.0 Uvod</w:t>
        </w:r>
        <w:r w:rsidR="00F5236D">
          <w:rPr>
            <w:noProof/>
            <w:webHidden/>
          </w:rPr>
          <w:tab/>
        </w:r>
        <w:r w:rsidR="00F5236D">
          <w:rPr>
            <w:noProof/>
            <w:webHidden/>
          </w:rPr>
          <w:fldChar w:fldCharType="begin"/>
        </w:r>
        <w:r w:rsidR="00F5236D">
          <w:rPr>
            <w:noProof/>
            <w:webHidden/>
          </w:rPr>
          <w:instrText xml:space="preserve"> PAGEREF _Toc157425299 \h </w:instrText>
        </w:r>
        <w:r w:rsidR="00F5236D">
          <w:rPr>
            <w:noProof/>
            <w:webHidden/>
          </w:rPr>
        </w:r>
        <w:r w:rsidR="00F5236D">
          <w:rPr>
            <w:noProof/>
            <w:webHidden/>
          </w:rPr>
          <w:fldChar w:fldCharType="separate"/>
        </w:r>
        <w:r w:rsidR="00F5236D">
          <w:rPr>
            <w:noProof/>
            <w:webHidden/>
          </w:rPr>
          <w:t>4</w:t>
        </w:r>
        <w:r w:rsidR="00F5236D">
          <w:rPr>
            <w:noProof/>
            <w:webHidden/>
          </w:rPr>
          <w:fldChar w:fldCharType="end"/>
        </w:r>
      </w:hyperlink>
    </w:p>
    <w:p w14:paraId="253FC8AB" w14:textId="77777777" w:rsidR="00F5236D" w:rsidRDefault="00000000">
      <w:pPr>
        <w:pStyle w:val="Kazalovsebine2"/>
        <w:rPr>
          <w:rFonts w:asciiTheme="minorHAnsi" w:eastAsiaTheme="minorEastAsia" w:hAnsiTheme="minorHAnsi" w:cstheme="minorBidi"/>
          <w:noProof/>
        </w:rPr>
      </w:pPr>
      <w:hyperlink w:anchor="_Toc157425300" w:history="1">
        <w:r w:rsidR="00F5236D" w:rsidRPr="00E05901">
          <w:rPr>
            <w:rStyle w:val="Hiperpovezava"/>
            <w:noProof/>
          </w:rPr>
          <w:t>1.1. Koraki izračunavanja povrhnjega davka</w:t>
        </w:r>
        <w:r w:rsidR="00F5236D">
          <w:rPr>
            <w:noProof/>
            <w:webHidden/>
          </w:rPr>
          <w:tab/>
        </w:r>
        <w:r w:rsidR="00F5236D">
          <w:rPr>
            <w:noProof/>
            <w:webHidden/>
          </w:rPr>
          <w:fldChar w:fldCharType="begin"/>
        </w:r>
        <w:r w:rsidR="00F5236D">
          <w:rPr>
            <w:noProof/>
            <w:webHidden/>
          </w:rPr>
          <w:instrText xml:space="preserve"> PAGEREF _Toc157425300 \h </w:instrText>
        </w:r>
        <w:r w:rsidR="00F5236D">
          <w:rPr>
            <w:noProof/>
            <w:webHidden/>
          </w:rPr>
        </w:r>
        <w:r w:rsidR="00F5236D">
          <w:rPr>
            <w:noProof/>
            <w:webHidden/>
          </w:rPr>
          <w:fldChar w:fldCharType="separate"/>
        </w:r>
        <w:r w:rsidR="00F5236D">
          <w:rPr>
            <w:noProof/>
            <w:webHidden/>
          </w:rPr>
          <w:t>5</w:t>
        </w:r>
        <w:r w:rsidR="00F5236D">
          <w:rPr>
            <w:noProof/>
            <w:webHidden/>
          </w:rPr>
          <w:fldChar w:fldCharType="end"/>
        </w:r>
      </w:hyperlink>
    </w:p>
    <w:p w14:paraId="1B021B4B" w14:textId="77777777" w:rsidR="00F5236D" w:rsidRDefault="00000000">
      <w:pPr>
        <w:pStyle w:val="Kazalovsebine1"/>
        <w:rPr>
          <w:rFonts w:asciiTheme="minorHAnsi" w:eastAsiaTheme="minorEastAsia" w:hAnsiTheme="minorHAnsi" w:cstheme="minorBidi"/>
          <w:noProof/>
          <w:sz w:val="22"/>
          <w:szCs w:val="22"/>
          <w:lang w:val="sl-SI" w:eastAsia="sl-SI"/>
        </w:rPr>
      </w:pPr>
      <w:hyperlink w:anchor="_Toc157425301" w:history="1">
        <w:r w:rsidR="00F5236D" w:rsidRPr="00E05901">
          <w:rPr>
            <w:rStyle w:val="Hiperpovezava"/>
            <w:noProof/>
            <w:lang w:val="sl-SI"/>
          </w:rPr>
          <w:t>2.0 Zavezanci, obseg davčne obveznosti (mednarodne skupine in domače skupine) in lokacija subjektov v sestavi (6. člen, 7. člen in 8. člen ZMD)</w:t>
        </w:r>
        <w:r w:rsidR="00F5236D">
          <w:rPr>
            <w:noProof/>
            <w:webHidden/>
          </w:rPr>
          <w:tab/>
        </w:r>
        <w:r w:rsidR="00F5236D">
          <w:rPr>
            <w:noProof/>
            <w:webHidden/>
          </w:rPr>
          <w:fldChar w:fldCharType="begin"/>
        </w:r>
        <w:r w:rsidR="00F5236D">
          <w:rPr>
            <w:noProof/>
            <w:webHidden/>
          </w:rPr>
          <w:instrText xml:space="preserve"> PAGEREF _Toc157425301 \h </w:instrText>
        </w:r>
        <w:r w:rsidR="00F5236D">
          <w:rPr>
            <w:noProof/>
            <w:webHidden/>
          </w:rPr>
        </w:r>
        <w:r w:rsidR="00F5236D">
          <w:rPr>
            <w:noProof/>
            <w:webHidden/>
          </w:rPr>
          <w:fldChar w:fldCharType="separate"/>
        </w:r>
        <w:r w:rsidR="00F5236D">
          <w:rPr>
            <w:noProof/>
            <w:webHidden/>
          </w:rPr>
          <w:t>8</w:t>
        </w:r>
        <w:r w:rsidR="00F5236D">
          <w:rPr>
            <w:noProof/>
            <w:webHidden/>
          </w:rPr>
          <w:fldChar w:fldCharType="end"/>
        </w:r>
      </w:hyperlink>
    </w:p>
    <w:p w14:paraId="3ADDD78D" w14:textId="77777777" w:rsidR="00F5236D" w:rsidRDefault="00000000">
      <w:pPr>
        <w:pStyle w:val="Kazalovsebine2"/>
        <w:rPr>
          <w:rFonts w:asciiTheme="minorHAnsi" w:eastAsiaTheme="minorEastAsia" w:hAnsiTheme="minorHAnsi" w:cstheme="minorBidi"/>
          <w:noProof/>
        </w:rPr>
      </w:pPr>
      <w:hyperlink w:anchor="_Toc157425302" w:history="1">
        <w:r w:rsidR="00F5236D" w:rsidRPr="00E05901">
          <w:rPr>
            <w:rStyle w:val="Hiperpovezava"/>
            <w:noProof/>
          </w:rPr>
          <w:t>2.1. Nominalni prag 750 000 000 EUR</w:t>
        </w:r>
        <w:r w:rsidR="00F5236D">
          <w:rPr>
            <w:noProof/>
            <w:webHidden/>
          </w:rPr>
          <w:tab/>
        </w:r>
        <w:r w:rsidR="00F5236D">
          <w:rPr>
            <w:noProof/>
            <w:webHidden/>
          </w:rPr>
          <w:fldChar w:fldCharType="begin"/>
        </w:r>
        <w:r w:rsidR="00F5236D">
          <w:rPr>
            <w:noProof/>
            <w:webHidden/>
          </w:rPr>
          <w:instrText xml:space="preserve"> PAGEREF _Toc157425302 \h </w:instrText>
        </w:r>
        <w:r w:rsidR="00F5236D">
          <w:rPr>
            <w:noProof/>
            <w:webHidden/>
          </w:rPr>
        </w:r>
        <w:r w:rsidR="00F5236D">
          <w:rPr>
            <w:noProof/>
            <w:webHidden/>
          </w:rPr>
          <w:fldChar w:fldCharType="separate"/>
        </w:r>
        <w:r w:rsidR="00F5236D">
          <w:rPr>
            <w:noProof/>
            <w:webHidden/>
          </w:rPr>
          <w:t>10</w:t>
        </w:r>
        <w:r w:rsidR="00F5236D">
          <w:rPr>
            <w:noProof/>
            <w:webHidden/>
          </w:rPr>
          <w:fldChar w:fldCharType="end"/>
        </w:r>
      </w:hyperlink>
    </w:p>
    <w:p w14:paraId="6BA304C0" w14:textId="77777777" w:rsidR="00F5236D" w:rsidRDefault="00000000">
      <w:pPr>
        <w:pStyle w:val="Kazalovsebine2"/>
        <w:rPr>
          <w:rFonts w:asciiTheme="minorHAnsi" w:eastAsiaTheme="minorEastAsia" w:hAnsiTheme="minorHAnsi" w:cstheme="minorBidi"/>
          <w:noProof/>
        </w:rPr>
      </w:pPr>
      <w:hyperlink w:anchor="_Toc157425303" w:history="1">
        <w:r w:rsidR="00F5236D" w:rsidRPr="00E05901">
          <w:rPr>
            <w:rStyle w:val="Hiperpovezava"/>
            <w:i/>
            <w:iCs/>
            <w:noProof/>
          </w:rPr>
          <w:t>Primer 1 – sorazmerni pripis prihodka</w:t>
        </w:r>
        <w:r w:rsidR="00F5236D">
          <w:rPr>
            <w:noProof/>
            <w:webHidden/>
          </w:rPr>
          <w:tab/>
        </w:r>
        <w:r w:rsidR="00F5236D">
          <w:rPr>
            <w:noProof/>
            <w:webHidden/>
          </w:rPr>
          <w:fldChar w:fldCharType="begin"/>
        </w:r>
        <w:r w:rsidR="00F5236D">
          <w:rPr>
            <w:noProof/>
            <w:webHidden/>
          </w:rPr>
          <w:instrText xml:space="preserve"> PAGEREF _Toc157425303 \h </w:instrText>
        </w:r>
        <w:r w:rsidR="00F5236D">
          <w:rPr>
            <w:noProof/>
            <w:webHidden/>
          </w:rPr>
        </w:r>
        <w:r w:rsidR="00F5236D">
          <w:rPr>
            <w:noProof/>
            <w:webHidden/>
          </w:rPr>
          <w:fldChar w:fldCharType="separate"/>
        </w:r>
        <w:r w:rsidR="00F5236D">
          <w:rPr>
            <w:noProof/>
            <w:webHidden/>
          </w:rPr>
          <w:t>11</w:t>
        </w:r>
        <w:r w:rsidR="00F5236D">
          <w:rPr>
            <w:noProof/>
            <w:webHidden/>
          </w:rPr>
          <w:fldChar w:fldCharType="end"/>
        </w:r>
      </w:hyperlink>
    </w:p>
    <w:p w14:paraId="67FA335B" w14:textId="77777777" w:rsidR="00F5236D" w:rsidRDefault="00000000">
      <w:pPr>
        <w:pStyle w:val="Kazalovsebine2"/>
        <w:rPr>
          <w:rFonts w:asciiTheme="minorHAnsi" w:eastAsiaTheme="minorEastAsia" w:hAnsiTheme="minorHAnsi" w:cstheme="minorBidi"/>
          <w:noProof/>
        </w:rPr>
      </w:pPr>
      <w:hyperlink w:anchor="_Toc157425304" w:history="1">
        <w:r w:rsidR="00F5236D" w:rsidRPr="00E05901">
          <w:rPr>
            <w:rStyle w:val="Hiperpovezava"/>
            <w:i/>
            <w:iCs/>
            <w:noProof/>
          </w:rPr>
          <w:t>Primer 2 – prag za nedavno ustvarjene skupine</w:t>
        </w:r>
        <w:r w:rsidR="00F5236D">
          <w:rPr>
            <w:noProof/>
            <w:webHidden/>
          </w:rPr>
          <w:tab/>
        </w:r>
        <w:r w:rsidR="00F5236D">
          <w:rPr>
            <w:noProof/>
            <w:webHidden/>
          </w:rPr>
          <w:fldChar w:fldCharType="begin"/>
        </w:r>
        <w:r w:rsidR="00F5236D">
          <w:rPr>
            <w:noProof/>
            <w:webHidden/>
          </w:rPr>
          <w:instrText xml:space="preserve"> PAGEREF _Toc157425304 \h </w:instrText>
        </w:r>
        <w:r w:rsidR="00F5236D">
          <w:rPr>
            <w:noProof/>
            <w:webHidden/>
          </w:rPr>
        </w:r>
        <w:r w:rsidR="00F5236D">
          <w:rPr>
            <w:noProof/>
            <w:webHidden/>
          </w:rPr>
          <w:fldChar w:fldCharType="separate"/>
        </w:r>
        <w:r w:rsidR="00F5236D">
          <w:rPr>
            <w:noProof/>
            <w:webHidden/>
          </w:rPr>
          <w:t>12</w:t>
        </w:r>
        <w:r w:rsidR="00F5236D">
          <w:rPr>
            <w:noProof/>
            <w:webHidden/>
          </w:rPr>
          <w:fldChar w:fldCharType="end"/>
        </w:r>
      </w:hyperlink>
    </w:p>
    <w:p w14:paraId="049122C6" w14:textId="77777777" w:rsidR="00F5236D" w:rsidRDefault="00000000">
      <w:pPr>
        <w:pStyle w:val="Kazalovsebine2"/>
        <w:rPr>
          <w:rFonts w:asciiTheme="minorHAnsi" w:eastAsiaTheme="minorEastAsia" w:hAnsiTheme="minorHAnsi" w:cstheme="minorBidi"/>
          <w:noProof/>
        </w:rPr>
      </w:pPr>
      <w:hyperlink w:anchor="_Toc157425305" w:history="1">
        <w:r w:rsidR="00F5236D" w:rsidRPr="00E05901">
          <w:rPr>
            <w:rStyle w:val="Hiperpovezava"/>
            <w:noProof/>
          </w:rPr>
          <w:t>2.2. Pogoj konsolidacije</w:t>
        </w:r>
        <w:r w:rsidR="00F5236D">
          <w:rPr>
            <w:noProof/>
            <w:webHidden/>
          </w:rPr>
          <w:tab/>
        </w:r>
        <w:r w:rsidR="00F5236D">
          <w:rPr>
            <w:noProof/>
            <w:webHidden/>
          </w:rPr>
          <w:fldChar w:fldCharType="begin"/>
        </w:r>
        <w:r w:rsidR="00F5236D">
          <w:rPr>
            <w:noProof/>
            <w:webHidden/>
          </w:rPr>
          <w:instrText xml:space="preserve"> PAGEREF _Toc157425305 \h </w:instrText>
        </w:r>
        <w:r w:rsidR="00F5236D">
          <w:rPr>
            <w:noProof/>
            <w:webHidden/>
          </w:rPr>
        </w:r>
        <w:r w:rsidR="00F5236D">
          <w:rPr>
            <w:noProof/>
            <w:webHidden/>
          </w:rPr>
          <w:fldChar w:fldCharType="separate"/>
        </w:r>
        <w:r w:rsidR="00F5236D">
          <w:rPr>
            <w:noProof/>
            <w:webHidden/>
          </w:rPr>
          <w:t>12</w:t>
        </w:r>
        <w:r w:rsidR="00F5236D">
          <w:rPr>
            <w:noProof/>
            <w:webHidden/>
          </w:rPr>
          <w:fldChar w:fldCharType="end"/>
        </w:r>
      </w:hyperlink>
    </w:p>
    <w:p w14:paraId="4EEFAAF2" w14:textId="77777777" w:rsidR="00F5236D" w:rsidRDefault="00000000">
      <w:pPr>
        <w:pStyle w:val="Kazalovsebine1"/>
        <w:rPr>
          <w:rFonts w:asciiTheme="minorHAnsi" w:eastAsiaTheme="minorEastAsia" w:hAnsiTheme="minorHAnsi" w:cstheme="minorBidi"/>
          <w:noProof/>
          <w:sz w:val="22"/>
          <w:szCs w:val="22"/>
          <w:lang w:val="sl-SI" w:eastAsia="sl-SI"/>
        </w:rPr>
      </w:pPr>
      <w:hyperlink w:anchor="_Toc157425306" w:history="1">
        <w:r w:rsidR="00F5236D" w:rsidRPr="00E05901">
          <w:rPr>
            <w:rStyle w:val="Hiperpovezava"/>
            <w:noProof/>
            <w:lang w:val="sl-SI"/>
          </w:rPr>
          <w:t>3.0 Vrste/kategorije subjektov v sestavi (7. člen ZMD)</w:t>
        </w:r>
        <w:r w:rsidR="00F5236D">
          <w:rPr>
            <w:noProof/>
            <w:webHidden/>
          </w:rPr>
          <w:tab/>
        </w:r>
        <w:r w:rsidR="00F5236D">
          <w:rPr>
            <w:noProof/>
            <w:webHidden/>
          </w:rPr>
          <w:fldChar w:fldCharType="begin"/>
        </w:r>
        <w:r w:rsidR="00F5236D">
          <w:rPr>
            <w:noProof/>
            <w:webHidden/>
          </w:rPr>
          <w:instrText xml:space="preserve"> PAGEREF _Toc157425306 \h </w:instrText>
        </w:r>
        <w:r w:rsidR="00F5236D">
          <w:rPr>
            <w:noProof/>
            <w:webHidden/>
          </w:rPr>
        </w:r>
        <w:r w:rsidR="00F5236D">
          <w:rPr>
            <w:noProof/>
            <w:webHidden/>
          </w:rPr>
          <w:fldChar w:fldCharType="separate"/>
        </w:r>
        <w:r w:rsidR="00F5236D">
          <w:rPr>
            <w:noProof/>
            <w:webHidden/>
          </w:rPr>
          <w:t>14</w:t>
        </w:r>
        <w:r w:rsidR="00F5236D">
          <w:rPr>
            <w:noProof/>
            <w:webHidden/>
          </w:rPr>
          <w:fldChar w:fldCharType="end"/>
        </w:r>
      </w:hyperlink>
    </w:p>
    <w:p w14:paraId="5B7DD569" w14:textId="77777777" w:rsidR="00F5236D" w:rsidRDefault="00000000">
      <w:pPr>
        <w:pStyle w:val="Kazalovsebine2"/>
        <w:rPr>
          <w:rFonts w:asciiTheme="minorHAnsi" w:eastAsiaTheme="minorEastAsia" w:hAnsiTheme="minorHAnsi" w:cstheme="minorBidi"/>
          <w:noProof/>
        </w:rPr>
      </w:pPr>
      <w:hyperlink w:anchor="_Toc157425307" w:history="1">
        <w:r w:rsidR="00F5236D" w:rsidRPr="00E05901">
          <w:rPr>
            <w:rStyle w:val="Hiperpovezava"/>
            <w:noProof/>
          </w:rPr>
          <w:t>3.1. Subjekti v sestavi (4. točka 7. člena ZMD v zvezi z opredelitvijo skupine 8. točka 7. člena ZMD)</w:t>
        </w:r>
        <w:r w:rsidR="00F5236D">
          <w:rPr>
            <w:noProof/>
            <w:webHidden/>
          </w:rPr>
          <w:tab/>
        </w:r>
        <w:r w:rsidR="00F5236D">
          <w:rPr>
            <w:noProof/>
            <w:webHidden/>
          </w:rPr>
          <w:fldChar w:fldCharType="begin"/>
        </w:r>
        <w:r w:rsidR="00F5236D">
          <w:rPr>
            <w:noProof/>
            <w:webHidden/>
          </w:rPr>
          <w:instrText xml:space="preserve"> PAGEREF _Toc157425307 \h </w:instrText>
        </w:r>
        <w:r w:rsidR="00F5236D">
          <w:rPr>
            <w:noProof/>
            <w:webHidden/>
          </w:rPr>
        </w:r>
        <w:r w:rsidR="00F5236D">
          <w:rPr>
            <w:noProof/>
            <w:webHidden/>
          </w:rPr>
          <w:fldChar w:fldCharType="separate"/>
        </w:r>
        <w:r w:rsidR="00F5236D">
          <w:rPr>
            <w:noProof/>
            <w:webHidden/>
          </w:rPr>
          <w:t>24</w:t>
        </w:r>
        <w:r w:rsidR="00F5236D">
          <w:rPr>
            <w:noProof/>
            <w:webHidden/>
          </w:rPr>
          <w:fldChar w:fldCharType="end"/>
        </w:r>
      </w:hyperlink>
    </w:p>
    <w:p w14:paraId="057112A3" w14:textId="77777777" w:rsidR="00F5236D" w:rsidRDefault="00000000">
      <w:pPr>
        <w:pStyle w:val="Kazalovsebine2"/>
        <w:rPr>
          <w:rFonts w:asciiTheme="minorHAnsi" w:eastAsiaTheme="minorEastAsia" w:hAnsiTheme="minorHAnsi" w:cstheme="minorBidi"/>
          <w:noProof/>
        </w:rPr>
      </w:pPr>
      <w:hyperlink w:anchor="_Toc157425308" w:history="1">
        <w:r w:rsidR="00F5236D" w:rsidRPr="00E05901">
          <w:rPr>
            <w:rStyle w:val="Hiperpovezava"/>
            <w:noProof/>
          </w:rPr>
          <w:t>3.2. Krovni matični subjekt (17. točka 7. člena ZMD)</w:t>
        </w:r>
        <w:r w:rsidR="00F5236D">
          <w:rPr>
            <w:noProof/>
            <w:webHidden/>
          </w:rPr>
          <w:tab/>
        </w:r>
        <w:r w:rsidR="00F5236D">
          <w:rPr>
            <w:noProof/>
            <w:webHidden/>
          </w:rPr>
          <w:fldChar w:fldCharType="begin"/>
        </w:r>
        <w:r w:rsidR="00F5236D">
          <w:rPr>
            <w:noProof/>
            <w:webHidden/>
          </w:rPr>
          <w:instrText xml:space="preserve"> PAGEREF _Toc157425308 \h </w:instrText>
        </w:r>
        <w:r w:rsidR="00F5236D">
          <w:rPr>
            <w:noProof/>
            <w:webHidden/>
          </w:rPr>
        </w:r>
        <w:r w:rsidR="00F5236D">
          <w:rPr>
            <w:noProof/>
            <w:webHidden/>
          </w:rPr>
          <w:fldChar w:fldCharType="separate"/>
        </w:r>
        <w:r w:rsidR="00F5236D">
          <w:rPr>
            <w:noProof/>
            <w:webHidden/>
          </w:rPr>
          <w:t>24</w:t>
        </w:r>
        <w:r w:rsidR="00F5236D">
          <w:rPr>
            <w:noProof/>
            <w:webHidden/>
          </w:rPr>
          <w:fldChar w:fldCharType="end"/>
        </w:r>
      </w:hyperlink>
    </w:p>
    <w:p w14:paraId="5DE4A37F" w14:textId="77777777" w:rsidR="00F5236D" w:rsidRDefault="00000000">
      <w:pPr>
        <w:pStyle w:val="Kazalovsebine2"/>
        <w:rPr>
          <w:rFonts w:asciiTheme="minorHAnsi" w:eastAsiaTheme="minorEastAsia" w:hAnsiTheme="minorHAnsi" w:cstheme="minorBidi"/>
          <w:noProof/>
        </w:rPr>
      </w:pPr>
      <w:hyperlink w:anchor="_Toc157425309" w:history="1">
        <w:r w:rsidR="00F5236D" w:rsidRPr="00E05901">
          <w:rPr>
            <w:rStyle w:val="Hiperpovezava"/>
            <w:noProof/>
          </w:rPr>
          <w:t>3.3. Izključeni subjekti (6. člen ZMD)</w:t>
        </w:r>
        <w:r w:rsidR="00F5236D">
          <w:rPr>
            <w:noProof/>
            <w:webHidden/>
          </w:rPr>
          <w:tab/>
        </w:r>
        <w:r w:rsidR="00F5236D">
          <w:rPr>
            <w:noProof/>
            <w:webHidden/>
          </w:rPr>
          <w:fldChar w:fldCharType="begin"/>
        </w:r>
        <w:r w:rsidR="00F5236D">
          <w:rPr>
            <w:noProof/>
            <w:webHidden/>
          </w:rPr>
          <w:instrText xml:space="preserve"> PAGEREF _Toc157425309 \h </w:instrText>
        </w:r>
        <w:r w:rsidR="00F5236D">
          <w:rPr>
            <w:noProof/>
            <w:webHidden/>
          </w:rPr>
        </w:r>
        <w:r w:rsidR="00F5236D">
          <w:rPr>
            <w:noProof/>
            <w:webHidden/>
          </w:rPr>
          <w:fldChar w:fldCharType="separate"/>
        </w:r>
        <w:r w:rsidR="00F5236D">
          <w:rPr>
            <w:noProof/>
            <w:webHidden/>
          </w:rPr>
          <w:t>25</w:t>
        </w:r>
        <w:r w:rsidR="00F5236D">
          <w:rPr>
            <w:noProof/>
            <w:webHidden/>
          </w:rPr>
          <w:fldChar w:fldCharType="end"/>
        </w:r>
      </w:hyperlink>
    </w:p>
    <w:p w14:paraId="27612664" w14:textId="77777777" w:rsidR="00F5236D" w:rsidRDefault="00000000">
      <w:pPr>
        <w:pStyle w:val="Kazalovsebine2"/>
        <w:rPr>
          <w:rFonts w:asciiTheme="minorHAnsi" w:eastAsiaTheme="minorEastAsia" w:hAnsiTheme="minorHAnsi" w:cstheme="minorBidi"/>
          <w:noProof/>
        </w:rPr>
      </w:pPr>
      <w:hyperlink w:anchor="_Toc157425310" w:history="1">
        <w:r w:rsidR="00F5236D" w:rsidRPr="00E05901">
          <w:rPr>
            <w:rStyle w:val="Hiperpovezava"/>
            <w:i/>
            <w:iCs/>
            <w:noProof/>
          </w:rPr>
          <w:t>Primer 3 – izključeni subjekti</w:t>
        </w:r>
        <w:r w:rsidR="00F5236D">
          <w:rPr>
            <w:noProof/>
            <w:webHidden/>
          </w:rPr>
          <w:tab/>
        </w:r>
        <w:r w:rsidR="00F5236D">
          <w:rPr>
            <w:noProof/>
            <w:webHidden/>
          </w:rPr>
          <w:fldChar w:fldCharType="begin"/>
        </w:r>
        <w:r w:rsidR="00F5236D">
          <w:rPr>
            <w:noProof/>
            <w:webHidden/>
          </w:rPr>
          <w:instrText xml:space="preserve"> PAGEREF _Toc157425310 \h </w:instrText>
        </w:r>
        <w:r w:rsidR="00F5236D">
          <w:rPr>
            <w:noProof/>
            <w:webHidden/>
          </w:rPr>
        </w:r>
        <w:r w:rsidR="00F5236D">
          <w:rPr>
            <w:noProof/>
            <w:webHidden/>
          </w:rPr>
          <w:fldChar w:fldCharType="separate"/>
        </w:r>
        <w:r w:rsidR="00F5236D">
          <w:rPr>
            <w:noProof/>
            <w:webHidden/>
          </w:rPr>
          <w:t>26</w:t>
        </w:r>
        <w:r w:rsidR="00F5236D">
          <w:rPr>
            <w:noProof/>
            <w:webHidden/>
          </w:rPr>
          <w:fldChar w:fldCharType="end"/>
        </w:r>
      </w:hyperlink>
    </w:p>
    <w:p w14:paraId="550A8958" w14:textId="77777777" w:rsidR="00F5236D" w:rsidRDefault="00000000">
      <w:pPr>
        <w:pStyle w:val="Kazalovsebine2"/>
        <w:rPr>
          <w:rFonts w:asciiTheme="minorHAnsi" w:eastAsiaTheme="minorEastAsia" w:hAnsiTheme="minorHAnsi" w:cstheme="minorBidi"/>
          <w:noProof/>
        </w:rPr>
      </w:pPr>
      <w:hyperlink w:anchor="_Toc157425311" w:history="1">
        <w:r w:rsidR="00F5236D" w:rsidRPr="00E05901">
          <w:rPr>
            <w:rStyle w:val="Hiperpovezava"/>
            <w:noProof/>
          </w:rPr>
          <w:t>3.4. Matični subjekt v delni lasti (23. točka 7. člena ZMD)</w:t>
        </w:r>
        <w:r w:rsidR="00F5236D">
          <w:rPr>
            <w:noProof/>
            <w:webHidden/>
          </w:rPr>
          <w:tab/>
        </w:r>
        <w:r w:rsidR="00F5236D">
          <w:rPr>
            <w:noProof/>
            <w:webHidden/>
          </w:rPr>
          <w:fldChar w:fldCharType="begin"/>
        </w:r>
        <w:r w:rsidR="00F5236D">
          <w:rPr>
            <w:noProof/>
            <w:webHidden/>
          </w:rPr>
          <w:instrText xml:space="preserve"> PAGEREF _Toc157425311 \h </w:instrText>
        </w:r>
        <w:r w:rsidR="00F5236D">
          <w:rPr>
            <w:noProof/>
            <w:webHidden/>
          </w:rPr>
        </w:r>
        <w:r w:rsidR="00F5236D">
          <w:rPr>
            <w:noProof/>
            <w:webHidden/>
          </w:rPr>
          <w:fldChar w:fldCharType="separate"/>
        </w:r>
        <w:r w:rsidR="00F5236D">
          <w:rPr>
            <w:noProof/>
            <w:webHidden/>
          </w:rPr>
          <w:t>26</w:t>
        </w:r>
        <w:r w:rsidR="00F5236D">
          <w:rPr>
            <w:noProof/>
            <w:webHidden/>
          </w:rPr>
          <w:fldChar w:fldCharType="end"/>
        </w:r>
      </w:hyperlink>
    </w:p>
    <w:p w14:paraId="1043C598" w14:textId="77777777" w:rsidR="00F5236D" w:rsidRDefault="00000000">
      <w:pPr>
        <w:pStyle w:val="Kazalovsebine2"/>
        <w:rPr>
          <w:rFonts w:asciiTheme="minorHAnsi" w:eastAsiaTheme="minorEastAsia" w:hAnsiTheme="minorHAnsi" w:cstheme="minorBidi"/>
          <w:noProof/>
        </w:rPr>
      </w:pPr>
      <w:hyperlink w:anchor="_Toc157425312" w:history="1">
        <w:r w:rsidR="00F5236D" w:rsidRPr="00E05901">
          <w:rPr>
            <w:rStyle w:val="Hiperpovezava"/>
            <w:noProof/>
          </w:rPr>
          <w:t>3.5. Vmesni matični subjekt (21. člen ZMD)</w:t>
        </w:r>
        <w:r w:rsidR="00F5236D">
          <w:rPr>
            <w:noProof/>
            <w:webHidden/>
          </w:rPr>
          <w:tab/>
        </w:r>
        <w:r w:rsidR="00F5236D">
          <w:rPr>
            <w:noProof/>
            <w:webHidden/>
          </w:rPr>
          <w:fldChar w:fldCharType="begin"/>
        </w:r>
        <w:r w:rsidR="00F5236D">
          <w:rPr>
            <w:noProof/>
            <w:webHidden/>
          </w:rPr>
          <w:instrText xml:space="preserve"> PAGEREF _Toc157425312 \h </w:instrText>
        </w:r>
        <w:r w:rsidR="00F5236D">
          <w:rPr>
            <w:noProof/>
            <w:webHidden/>
          </w:rPr>
        </w:r>
        <w:r w:rsidR="00F5236D">
          <w:rPr>
            <w:noProof/>
            <w:webHidden/>
          </w:rPr>
          <w:fldChar w:fldCharType="separate"/>
        </w:r>
        <w:r w:rsidR="00F5236D">
          <w:rPr>
            <w:noProof/>
            <w:webHidden/>
          </w:rPr>
          <w:t>27</w:t>
        </w:r>
        <w:r w:rsidR="00F5236D">
          <w:rPr>
            <w:noProof/>
            <w:webHidden/>
          </w:rPr>
          <w:fldChar w:fldCharType="end"/>
        </w:r>
      </w:hyperlink>
    </w:p>
    <w:p w14:paraId="13001CC8" w14:textId="77777777" w:rsidR="00F5236D" w:rsidRDefault="00000000">
      <w:pPr>
        <w:pStyle w:val="Kazalovsebine2"/>
        <w:rPr>
          <w:rFonts w:asciiTheme="minorHAnsi" w:eastAsiaTheme="minorEastAsia" w:hAnsiTheme="minorHAnsi" w:cstheme="minorBidi"/>
          <w:noProof/>
        </w:rPr>
      </w:pPr>
      <w:hyperlink w:anchor="_Toc157425313" w:history="1">
        <w:r w:rsidR="00F5236D" w:rsidRPr="00E05901">
          <w:rPr>
            <w:rStyle w:val="Hiperpovezava"/>
            <w:noProof/>
          </w:rPr>
          <w:t>3.6. Pretočni subjekti (transparentni subjekt, obratni hibrid) (15. točka 7. člena ZMD)</w:t>
        </w:r>
        <w:r w:rsidR="00F5236D">
          <w:rPr>
            <w:noProof/>
            <w:webHidden/>
          </w:rPr>
          <w:tab/>
        </w:r>
        <w:r w:rsidR="00F5236D">
          <w:rPr>
            <w:noProof/>
            <w:webHidden/>
          </w:rPr>
          <w:fldChar w:fldCharType="begin"/>
        </w:r>
        <w:r w:rsidR="00F5236D">
          <w:rPr>
            <w:noProof/>
            <w:webHidden/>
          </w:rPr>
          <w:instrText xml:space="preserve"> PAGEREF _Toc157425313 \h </w:instrText>
        </w:r>
        <w:r w:rsidR="00F5236D">
          <w:rPr>
            <w:noProof/>
            <w:webHidden/>
          </w:rPr>
        </w:r>
        <w:r w:rsidR="00F5236D">
          <w:rPr>
            <w:noProof/>
            <w:webHidden/>
          </w:rPr>
          <w:fldChar w:fldCharType="separate"/>
        </w:r>
        <w:r w:rsidR="00F5236D">
          <w:rPr>
            <w:noProof/>
            <w:webHidden/>
          </w:rPr>
          <w:t>28</w:t>
        </w:r>
        <w:r w:rsidR="00F5236D">
          <w:rPr>
            <w:noProof/>
            <w:webHidden/>
          </w:rPr>
          <w:fldChar w:fldCharType="end"/>
        </w:r>
      </w:hyperlink>
    </w:p>
    <w:p w14:paraId="065CDFDA" w14:textId="77777777" w:rsidR="00F5236D" w:rsidRDefault="00000000">
      <w:pPr>
        <w:pStyle w:val="Kazalovsebine2"/>
        <w:rPr>
          <w:rFonts w:asciiTheme="minorHAnsi" w:eastAsiaTheme="minorEastAsia" w:hAnsiTheme="minorHAnsi" w:cstheme="minorBidi"/>
          <w:noProof/>
        </w:rPr>
      </w:pPr>
      <w:hyperlink w:anchor="_Toc157425314" w:history="1">
        <w:r w:rsidR="00F5236D" w:rsidRPr="00E05901">
          <w:rPr>
            <w:rStyle w:val="Hiperpovezava"/>
            <w:noProof/>
          </w:rPr>
          <w:t>3.7. Subjekti v manjšinski lasti (42. člen ZMD)</w:t>
        </w:r>
        <w:r w:rsidR="00F5236D">
          <w:rPr>
            <w:noProof/>
            <w:webHidden/>
          </w:rPr>
          <w:tab/>
        </w:r>
        <w:r w:rsidR="00F5236D">
          <w:rPr>
            <w:noProof/>
            <w:webHidden/>
          </w:rPr>
          <w:fldChar w:fldCharType="begin"/>
        </w:r>
        <w:r w:rsidR="00F5236D">
          <w:rPr>
            <w:noProof/>
            <w:webHidden/>
          </w:rPr>
          <w:instrText xml:space="preserve"> PAGEREF _Toc157425314 \h </w:instrText>
        </w:r>
        <w:r w:rsidR="00F5236D">
          <w:rPr>
            <w:noProof/>
            <w:webHidden/>
          </w:rPr>
        </w:r>
        <w:r w:rsidR="00F5236D">
          <w:rPr>
            <w:noProof/>
            <w:webHidden/>
          </w:rPr>
          <w:fldChar w:fldCharType="separate"/>
        </w:r>
        <w:r w:rsidR="00F5236D">
          <w:rPr>
            <w:noProof/>
            <w:webHidden/>
          </w:rPr>
          <w:t>29</w:t>
        </w:r>
        <w:r w:rsidR="00F5236D">
          <w:rPr>
            <w:noProof/>
            <w:webHidden/>
          </w:rPr>
          <w:fldChar w:fldCharType="end"/>
        </w:r>
      </w:hyperlink>
    </w:p>
    <w:p w14:paraId="340474B4" w14:textId="77777777" w:rsidR="00F5236D" w:rsidRDefault="00000000">
      <w:pPr>
        <w:pStyle w:val="Kazalovsebine2"/>
        <w:rPr>
          <w:rFonts w:asciiTheme="minorHAnsi" w:eastAsiaTheme="minorEastAsia" w:hAnsiTheme="minorHAnsi" w:cstheme="minorBidi"/>
          <w:noProof/>
        </w:rPr>
      </w:pPr>
      <w:hyperlink w:anchor="_Toc157425315" w:history="1">
        <w:r w:rsidR="00F5236D" w:rsidRPr="00E05901">
          <w:rPr>
            <w:rStyle w:val="Hiperpovezava"/>
            <w:noProof/>
          </w:rPr>
          <w:t>3.8. Investicijski subjekt (52. člen, 53. člen in 54. člen ZMD)</w:t>
        </w:r>
        <w:r w:rsidR="00F5236D">
          <w:rPr>
            <w:noProof/>
            <w:webHidden/>
          </w:rPr>
          <w:tab/>
        </w:r>
        <w:r w:rsidR="00F5236D">
          <w:rPr>
            <w:noProof/>
            <w:webHidden/>
          </w:rPr>
          <w:fldChar w:fldCharType="begin"/>
        </w:r>
        <w:r w:rsidR="00F5236D">
          <w:rPr>
            <w:noProof/>
            <w:webHidden/>
          </w:rPr>
          <w:instrText xml:space="preserve"> PAGEREF _Toc157425315 \h </w:instrText>
        </w:r>
        <w:r w:rsidR="00F5236D">
          <w:rPr>
            <w:noProof/>
            <w:webHidden/>
          </w:rPr>
        </w:r>
        <w:r w:rsidR="00F5236D">
          <w:rPr>
            <w:noProof/>
            <w:webHidden/>
          </w:rPr>
          <w:fldChar w:fldCharType="separate"/>
        </w:r>
        <w:r w:rsidR="00F5236D">
          <w:rPr>
            <w:noProof/>
            <w:webHidden/>
          </w:rPr>
          <w:t>29</w:t>
        </w:r>
        <w:r w:rsidR="00F5236D">
          <w:rPr>
            <w:noProof/>
            <w:webHidden/>
          </w:rPr>
          <w:fldChar w:fldCharType="end"/>
        </w:r>
      </w:hyperlink>
    </w:p>
    <w:p w14:paraId="29FDF44F" w14:textId="77777777" w:rsidR="00F5236D" w:rsidRDefault="00000000">
      <w:pPr>
        <w:pStyle w:val="Kazalovsebine2"/>
        <w:rPr>
          <w:rFonts w:asciiTheme="minorHAnsi" w:eastAsiaTheme="minorEastAsia" w:hAnsiTheme="minorHAnsi" w:cstheme="minorBidi"/>
          <w:noProof/>
        </w:rPr>
      </w:pPr>
      <w:hyperlink w:anchor="_Toc157425316" w:history="1">
        <w:r w:rsidR="00F5236D" w:rsidRPr="00E05901">
          <w:rPr>
            <w:rStyle w:val="Hiperpovezava"/>
            <w:noProof/>
          </w:rPr>
          <w:t>3.9. Skupni podvig (47. člen ZMD)</w:t>
        </w:r>
        <w:r w:rsidR="00F5236D">
          <w:rPr>
            <w:noProof/>
            <w:webHidden/>
          </w:rPr>
          <w:tab/>
        </w:r>
        <w:r w:rsidR="00F5236D">
          <w:rPr>
            <w:noProof/>
            <w:webHidden/>
          </w:rPr>
          <w:fldChar w:fldCharType="begin"/>
        </w:r>
        <w:r w:rsidR="00F5236D">
          <w:rPr>
            <w:noProof/>
            <w:webHidden/>
          </w:rPr>
          <w:instrText xml:space="preserve"> PAGEREF _Toc157425316 \h </w:instrText>
        </w:r>
        <w:r w:rsidR="00F5236D">
          <w:rPr>
            <w:noProof/>
            <w:webHidden/>
          </w:rPr>
        </w:r>
        <w:r w:rsidR="00F5236D">
          <w:rPr>
            <w:noProof/>
            <w:webHidden/>
          </w:rPr>
          <w:fldChar w:fldCharType="separate"/>
        </w:r>
        <w:r w:rsidR="00F5236D">
          <w:rPr>
            <w:noProof/>
            <w:webHidden/>
          </w:rPr>
          <w:t>30</w:t>
        </w:r>
        <w:r w:rsidR="00F5236D">
          <w:rPr>
            <w:noProof/>
            <w:webHidden/>
          </w:rPr>
          <w:fldChar w:fldCharType="end"/>
        </w:r>
      </w:hyperlink>
    </w:p>
    <w:p w14:paraId="0E924927" w14:textId="77777777" w:rsidR="00F5236D" w:rsidRDefault="00000000">
      <w:pPr>
        <w:pStyle w:val="Kazalovsebine2"/>
        <w:rPr>
          <w:rFonts w:asciiTheme="minorHAnsi" w:eastAsiaTheme="minorEastAsia" w:hAnsiTheme="minorHAnsi" w:cstheme="minorBidi"/>
          <w:noProof/>
        </w:rPr>
      </w:pPr>
      <w:hyperlink w:anchor="_Toc157425317" w:history="1">
        <w:r w:rsidR="00F5236D" w:rsidRPr="00E05901">
          <w:rPr>
            <w:rStyle w:val="Hiperpovezava"/>
            <w:noProof/>
          </w:rPr>
          <w:t>3.10. Lokacija subjektov v sestavi (8. člen ZMD)</w:t>
        </w:r>
        <w:r w:rsidR="00F5236D">
          <w:rPr>
            <w:noProof/>
            <w:webHidden/>
          </w:rPr>
          <w:tab/>
        </w:r>
        <w:r w:rsidR="00F5236D">
          <w:rPr>
            <w:noProof/>
            <w:webHidden/>
          </w:rPr>
          <w:fldChar w:fldCharType="begin"/>
        </w:r>
        <w:r w:rsidR="00F5236D">
          <w:rPr>
            <w:noProof/>
            <w:webHidden/>
          </w:rPr>
          <w:instrText xml:space="preserve"> PAGEREF _Toc157425317 \h </w:instrText>
        </w:r>
        <w:r w:rsidR="00F5236D">
          <w:rPr>
            <w:noProof/>
            <w:webHidden/>
          </w:rPr>
        </w:r>
        <w:r w:rsidR="00F5236D">
          <w:rPr>
            <w:noProof/>
            <w:webHidden/>
          </w:rPr>
          <w:fldChar w:fldCharType="separate"/>
        </w:r>
        <w:r w:rsidR="00F5236D">
          <w:rPr>
            <w:noProof/>
            <w:webHidden/>
          </w:rPr>
          <w:t>31</w:t>
        </w:r>
        <w:r w:rsidR="00F5236D">
          <w:rPr>
            <w:noProof/>
            <w:webHidden/>
          </w:rPr>
          <w:fldChar w:fldCharType="end"/>
        </w:r>
      </w:hyperlink>
    </w:p>
    <w:p w14:paraId="1D0D1777" w14:textId="77777777" w:rsidR="00F5236D" w:rsidRDefault="00000000">
      <w:pPr>
        <w:pStyle w:val="Kazalovsebine2"/>
        <w:rPr>
          <w:rFonts w:asciiTheme="minorHAnsi" w:eastAsiaTheme="minorEastAsia" w:hAnsiTheme="minorHAnsi" w:cstheme="minorBidi"/>
          <w:noProof/>
        </w:rPr>
      </w:pPr>
      <w:hyperlink w:anchor="_Toc157425318" w:history="1">
        <w:r w:rsidR="00F5236D" w:rsidRPr="00E05901">
          <w:rPr>
            <w:rStyle w:val="Hiperpovezava"/>
            <w:noProof/>
          </w:rPr>
          <w:t>4.0 Varni pristani in ugodnosti (43. člen ZMD)</w:t>
        </w:r>
        <w:r w:rsidR="00F5236D">
          <w:rPr>
            <w:noProof/>
            <w:webHidden/>
          </w:rPr>
          <w:tab/>
        </w:r>
        <w:r w:rsidR="00F5236D">
          <w:rPr>
            <w:noProof/>
            <w:webHidden/>
          </w:rPr>
          <w:fldChar w:fldCharType="begin"/>
        </w:r>
        <w:r w:rsidR="00F5236D">
          <w:rPr>
            <w:noProof/>
            <w:webHidden/>
          </w:rPr>
          <w:instrText xml:space="preserve"> PAGEREF _Toc157425318 \h </w:instrText>
        </w:r>
        <w:r w:rsidR="00F5236D">
          <w:rPr>
            <w:noProof/>
            <w:webHidden/>
          </w:rPr>
        </w:r>
        <w:r w:rsidR="00F5236D">
          <w:rPr>
            <w:noProof/>
            <w:webHidden/>
          </w:rPr>
          <w:fldChar w:fldCharType="separate"/>
        </w:r>
        <w:r w:rsidR="00F5236D">
          <w:rPr>
            <w:noProof/>
            <w:webHidden/>
          </w:rPr>
          <w:t>33</w:t>
        </w:r>
        <w:r w:rsidR="00F5236D">
          <w:rPr>
            <w:noProof/>
            <w:webHidden/>
          </w:rPr>
          <w:fldChar w:fldCharType="end"/>
        </w:r>
      </w:hyperlink>
    </w:p>
    <w:p w14:paraId="1A49EFD9" w14:textId="77777777" w:rsidR="00F5236D" w:rsidRDefault="00000000">
      <w:pPr>
        <w:pStyle w:val="Kazalovsebine2"/>
        <w:rPr>
          <w:rFonts w:asciiTheme="minorHAnsi" w:eastAsiaTheme="minorEastAsia" w:hAnsiTheme="minorHAnsi" w:cstheme="minorBidi"/>
          <w:noProof/>
        </w:rPr>
      </w:pPr>
      <w:hyperlink w:anchor="_Toc157425319" w:history="1">
        <w:r w:rsidR="00F5236D" w:rsidRPr="00E05901">
          <w:rPr>
            <w:rStyle w:val="Hiperpovezava"/>
            <w:noProof/>
          </w:rPr>
          <w:t>4.1. Stalni varni pristani</w:t>
        </w:r>
        <w:r w:rsidR="00F5236D">
          <w:rPr>
            <w:noProof/>
            <w:webHidden/>
          </w:rPr>
          <w:tab/>
        </w:r>
        <w:r w:rsidR="00F5236D">
          <w:rPr>
            <w:noProof/>
            <w:webHidden/>
          </w:rPr>
          <w:fldChar w:fldCharType="begin"/>
        </w:r>
        <w:r w:rsidR="00F5236D">
          <w:rPr>
            <w:noProof/>
            <w:webHidden/>
          </w:rPr>
          <w:instrText xml:space="preserve"> PAGEREF _Toc157425319 \h </w:instrText>
        </w:r>
        <w:r w:rsidR="00F5236D">
          <w:rPr>
            <w:noProof/>
            <w:webHidden/>
          </w:rPr>
        </w:r>
        <w:r w:rsidR="00F5236D">
          <w:rPr>
            <w:noProof/>
            <w:webHidden/>
          </w:rPr>
          <w:fldChar w:fldCharType="separate"/>
        </w:r>
        <w:r w:rsidR="00F5236D">
          <w:rPr>
            <w:noProof/>
            <w:webHidden/>
          </w:rPr>
          <w:t>38</w:t>
        </w:r>
        <w:r w:rsidR="00F5236D">
          <w:rPr>
            <w:noProof/>
            <w:webHidden/>
          </w:rPr>
          <w:fldChar w:fldCharType="end"/>
        </w:r>
      </w:hyperlink>
    </w:p>
    <w:p w14:paraId="2183137A" w14:textId="77777777" w:rsidR="00F5236D" w:rsidRDefault="00000000">
      <w:pPr>
        <w:pStyle w:val="Kazalovsebine2"/>
        <w:rPr>
          <w:rFonts w:asciiTheme="minorHAnsi" w:eastAsiaTheme="minorEastAsia" w:hAnsiTheme="minorHAnsi" w:cstheme="minorBidi"/>
          <w:noProof/>
        </w:rPr>
      </w:pPr>
      <w:hyperlink w:anchor="_Toc157425320" w:history="1">
        <w:r w:rsidR="00F5236D" w:rsidRPr="00E05901">
          <w:rPr>
            <w:rStyle w:val="Hiperpovezava"/>
            <w:noProof/>
          </w:rPr>
          <w:t>4.1.1 Varni pristan domačega povrhnjega davka (QDMTT varni pristan)</w:t>
        </w:r>
        <w:r w:rsidR="00F5236D">
          <w:rPr>
            <w:noProof/>
            <w:webHidden/>
          </w:rPr>
          <w:tab/>
        </w:r>
        <w:r w:rsidR="00F5236D">
          <w:rPr>
            <w:noProof/>
            <w:webHidden/>
          </w:rPr>
          <w:fldChar w:fldCharType="begin"/>
        </w:r>
        <w:r w:rsidR="00F5236D">
          <w:rPr>
            <w:noProof/>
            <w:webHidden/>
          </w:rPr>
          <w:instrText xml:space="preserve"> PAGEREF _Toc157425320 \h </w:instrText>
        </w:r>
        <w:r w:rsidR="00F5236D">
          <w:rPr>
            <w:noProof/>
            <w:webHidden/>
          </w:rPr>
        </w:r>
        <w:r w:rsidR="00F5236D">
          <w:rPr>
            <w:noProof/>
            <w:webHidden/>
          </w:rPr>
          <w:fldChar w:fldCharType="separate"/>
        </w:r>
        <w:r w:rsidR="00F5236D">
          <w:rPr>
            <w:noProof/>
            <w:webHidden/>
          </w:rPr>
          <w:t>38</w:t>
        </w:r>
        <w:r w:rsidR="00F5236D">
          <w:rPr>
            <w:noProof/>
            <w:webHidden/>
          </w:rPr>
          <w:fldChar w:fldCharType="end"/>
        </w:r>
      </w:hyperlink>
    </w:p>
    <w:p w14:paraId="3C8EF946" w14:textId="77777777" w:rsidR="00F5236D" w:rsidRDefault="00000000">
      <w:pPr>
        <w:pStyle w:val="Kazalovsebine2"/>
        <w:rPr>
          <w:rFonts w:asciiTheme="minorHAnsi" w:eastAsiaTheme="minorEastAsia" w:hAnsiTheme="minorHAnsi" w:cstheme="minorBidi"/>
          <w:noProof/>
        </w:rPr>
      </w:pPr>
      <w:hyperlink w:anchor="_Toc157425321" w:history="1">
        <w:r w:rsidR="00F5236D" w:rsidRPr="00E05901">
          <w:rPr>
            <w:rStyle w:val="Hiperpovezava"/>
            <w:rFonts w:cs="Arial"/>
            <w:noProof/>
          </w:rPr>
          <w:t>4.1.2 Varni pristan v obliki poenostavljenih izračunov za nepomembne subjekte (NMCE)</w:t>
        </w:r>
        <w:r w:rsidR="00F5236D">
          <w:rPr>
            <w:noProof/>
            <w:webHidden/>
          </w:rPr>
          <w:tab/>
        </w:r>
        <w:r w:rsidR="00F5236D">
          <w:rPr>
            <w:noProof/>
            <w:webHidden/>
          </w:rPr>
          <w:fldChar w:fldCharType="begin"/>
        </w:r>
        <w:r w:rsidR="00F5236D">
          <w:rPr>
            <w:noProof/>
            <w:webHidden/>
          </w:rPr>
          <w:instrText xml:space="preserve"> PAGEREF _Toc157425321 \h </w:instrText>
        </w:r>
        <w:r w:rsidR="00F5236D">
          <w:rPr>
            <w:noProof/>
            <w:webHidden/>
          </w:rPr>
        </w:r>
        <w:r w:rsidR="00F5236D">
          <w:rPr>
            <w:noProof/>
            <w:webHidden/>
          </w:rPr>
          <w:fldChar w:fldCharType="separate"/>
        </w:r>
        <w:r w:rsidR="00F5236D">
          <w:rPr>
            <w:noProof/>
            <w:webHidden/>
          </w:rPr>
          <w:t>40</w:t>
        </w:r>
        <w:r w:rsidR="00F5236D">
          <w:rPr>
            <w:noProof/>
            <w:webHidden/>
          </w:rPr>
          <w:fldChar w:fldCharType="end"/>
        </w:r>
      </w:hyperlink>
    </w:p>
    <w:p w14:paraId="53FDD6FC" w14:textId="77777777" w:rsidR="00F5236D" w:rsidRDefault="00000000">
      <w:pPr>
        <w:pStyle w:val="Kazalovsebine2"/>
        <w:rPr>
          <w:rFonts w:asciiTheme="minorHAnsi" w:eastAsiaTheme="minorEastAsia" w:hAnsiTheme="minorHAnsi" w:cstheme="minorBidi"/>
          <w:noProof/>
        </w:rPr>
      </w:pPr>
      <w:hyperlink w:anchor="_Toc157425322" w:history="1">
        <w:r w:rsidR="00F5236D" w:rsidRPr="00E05901">
          <w:rPr>
            <w:rStyle w:val="Hiperpovezava"/>
            <w:noProof/>
          </w:rPr>
          <w:t>4.2. Začasni varni pristani</w:t>
        </w:r>
        <w:r w:rsidR="00F5236D">
          <w:rPr>
            <w:noProof/>
            <w:webHidden/>
          </w:rPr>
          <w:tab/>
        </w:r>
        <w:r w:rsidR="00F5236D">
          <w:rPr>
            <w:noProof/>
            <w:webHidden/>
          </w:rPr>
          <w:fldChar w:fldCharType="begin"/>
        </w:r>
        <w:r w:rsidR="00F5236D">
          <w:rPr>
            <w:noProof/>
            <w:webHidden/>
          </w:rPr>
          <w:instrText xml:space="preserve"> PAGEREF _Toc157425322 \h </w:instrText>
        </w:r>
        <w:r w:rsidR="00F5236D">
          <w:rPr>
            <w:noProof/>
            <w:webHidden/>
          </w:rPr>
        </w:r>
        <w:r w:rsidR="00F5236D">
          <w:rPr>
            <w:noProof/>
            <w:webHidden/>
          </w:rPr>
          <w:fldChar w:fldCharType="separate"/>
        </w:r>
        <w:r w:rsidR="00F5236D">
          <w:rPr>
            <w:noProof/>
            <w:webHidden/>
          </w:rPr>
          <w:t>42</w:t>
        </w:r>
        <w:r w:rsidR="00F5236D">
          <w:rPr>
            <w:noProof/>
            <w:webHidden/>
          </w:rPr>
          <w:fldChar w:fldCharType="end"/>
        </w:r>
      </w:hyperlink>
    </w:p>
    <w:p w14:paraId="4C2D523F" w14:textId="77777777" w:rsidR="00F5236D" w:rsidRDefault="00000000">
      <w:pPr>
        <w:pStyle w:val="Kazalovsebine2"/>
        <w:rPr>
          <w:rFonts w:asciiTheme="minorHAnsi" w:eastAsiaTheme="minorEastAsia" w:hAnsiTheme="minorHAnsi" w:cstheme="minorBidi"/>
          <w:noProof/>
        </w:rPr>
      </w:pPr>
      <w:hyperlink w:anchor="_Toc157425323" w:history="1">
        <w:r w:rsidR="00F5236D" w:rsidRPr="00E05901">
          <w:rPr>
            <w:rStyle w:val="Hiperpovezava"/>
            <w:noProof/>
          </w:rPr>
          <w:t>4.2.1 Začasni C</w:t>
        </w:r>
        <w:r w:rsidR="00560EF3">
          <w:rPr>
            <w:rStyle w:val="Hiperpovezava"/>
            <w:noProof/>
          </w:rPr>
          <w:t>b</w:t>
        </w:r>
        <w:r w:rsidR="00F5236D" w:rsidRPr="00E05901">
          <w:rPr>
            <w:rStyle w:val="Hiperpovezava"/>
            <w:noProof/>
          </w:rPr>
          <w:t>C</w:t>
        </w:r>
        <w:r w:rsidR="00560EF3">
          <w:rPr>
            <w:rStyle w:val="Hiperpovezava"/>
            <w:noProof/>
          </w:rPr>
          <w:t>R</w:t>
        </w:r>
        <w:r w:rsidR="00F5236D" w:rsidRPr="00E05901">
          <w:rPr>
            <w:rStyle w:val="Hiperpovezava"/>
            <w:noProof/>
          </w:rPr>
          <w:t xml:space="preserve"> varni pristan</w:t>
        </w:r>
        <w:r w:rsidR="00F5236D">
          <w:rPr>
            <w:noProof/>
            <w:webHidden/>
          </w:rPr>
          <w:tab/>
        </w:r>
        <w:r w:rsidR="00F5236D">
          <w:rPr>
            <w:noProof/>
            <w:webHidden/>
          </w:rPr>
          <w:fldChar w:fldCharType="begin"/>
        </w:r>
        <w:r w:rsidR="00F5236D">
          <w:rPr>
            <w:noProof/>
            <w:webHidden/>
          </w:rPr>
          <w:instrText xml:space="preserve"> PAGEREF _Toc157425323 \h </w:instrText>
        </w:r>
        <w:r w:rsidR="00F5236D">
          <w:rPr>
            <w:noProof/>
            <w:webHidden/>
          </w:rPr>
        </w:r>
        <w:r w:rsidR="00F5236D">
          <w:rPr>
            <w:noProof/>
            <w:webHidden/>
          </w:rPr>
          <w:fldChar w:fldCharType="separate"/>
        </w:r>
        <w:r w:rsidR="00F5236D">
          <w:rPr>
            <w:noProof/>
            <w:webHidden/>
          </w:rPr>
          <w:t>42</w:t>
        </w:r>
        <w:r w:rsidR="00F5236D">
          <w:rPr>
            <w:noProof/>
            <w:webHidden/>
          </w:rPr>
          <w:fldChar w:fldCharType="end"/>
        </w:r>
      </w:hyperlink>
    </w:p>
    <w:p w14:paraId="01B9066B" w14:textId="77777777" w:rsidR="00F5236D" w:rsidRDefault="00000000">
      <w:pPr>
        <w:pStyle w:val="Kazalovsebine2"/>
        <w:rPr>
          <w:rFonts w:asciiTheme="minorHAnsi" w:eastAsiaTheme="minorEastAsia" w:hAnsiTheme="minorHAnsi" w:cstheme="minorBidi"/>
          <w:noProof/>
        </w:rPr>
      </w:pPr>
      <w:hyperlink w:anchor="_Toc157425324" w:history="1">
        <w:r w:rsidR="00F5236D" w:rsidRPr="00E05901">
          <w:rPr>
            <w:rStyle w:val="Hiperpovezava"/>
            <w:noProof/>
          </w:rPr>
          <w:t>4.2.2 Začasni varni pristan za uporabo pravila o prenizko obdavčenih dobičkih (UTPR varni pristan)</w:t>
        </w:r>
        <w:r w:rsidR="00F5236D">
          <w:rPr>
            <w:noProof/>
            <w:webHidden/>
          </w:rPr>
          <w:tab/>
        </w:r>
        <w:r w:rsidR="00F5236D">
          <w:rPr>
            <w:noProof/>
            <w:webHidden/>
          </w:rPr>
          <w:fldChar w:fldCharType="begin"/>
        </w:r>
        <w:r w:rsidR="00F5236D">
          <w:rPr>
            <w:noProof/>
            <w:webHidden/>
          </w:rPr>
          <w:instrText xml:space="preserve"> PAGEREF _Toc157425324 \h </w:instrText>
        </w:r>
        <w:r w:rsidR="00F5236D">
          <w:rPr>
            <w:noProof/>
            <w:webHidden/>
          </w:rPr>
        </w:r>
        <w:r w:rsidR="00F5236D">
          <w:rPr>
            <w:noProof/>
            <w:webHidden/>
          </w:rPr>
          <w:fldChar w:fldCharType="separate"/>
        </w:r>
        <w:r w:rsidR="00F5236D">
          <w:rPr>
            <w:noProof/>
            <w:webHidden/>
          </w:rPr>
          <w:t>44</w:t>
        </w:r>
        <w:r w:rsidR="00F5236D">
          <w:rPr>
            <w:noProof/>
            <w:webHidden/>
          </w:rPr>
          <w:fldChar w:fldCharType="end"/>
        </w:r>
      </w:hyperlink>
    </w:p>
    <w:p w14:paraId="3237EDF2" w14:textId="77777777" w:rsidR="00F5236D" w:rsidRDefault="00000000">
      <w:pPr>
        <w:pStyle w:val="Kazalovsebine2"/>
        <w:rPr>
          <w:rFonts w:asciiTheme="minorHAnsi" w:eastAsiaTheme="minorEastAsia" w:hAnsiTheme="minorHAnsi" w:cstheme="minorBidi"/>
          <w:noProof/>
        </w:rPr>
      </w:pPr>
      <w:hyperlink w:anchor="_Toc157425325" w:history="1">
        <w:r w:rsidR="00F5236D" w:rsidRPr="00E05901">
          <w:rPr>
            <w:rStyle w:val="Hiperpovezava"/>
            <w:noProof/>
          </w:rPr>
          <w:t>4.2.3 Z</w:t>
        </w:r>
        <w:r w:rsidR="00F5236D" w:rsidRPr="00E05901">
          <w:rPr>
            <w:rStyle w:val="Hiperpovezava"/>
            <w:rFonts w:cs="Arial"/>
            <w:bCs/>
            <w:noProof/>
          </w:rPr>
          <w:t>manjšanje davka, vključno domačega povrhnjega davka v Sloveniji, po tem zakonu do vrednosti nič v prehodnem obdobju</w:t>
        </w:r>
        <w:r w:rsidR="00F5236D">
          <w:rPr>
            <w:noProof/>
            <w:webHidden/>
          </w:rPr>
          <w:tab/>
        </w:r>
        <w:r w:rsidR="00F5236D">
          <w:rPr>
            <w:noProof/>
            <w:webHidden/>
          </w:rPr>
          <w:fldChar w:fldCharType="begin"/>
        </w:r>
        <w:r w:rsidR="00F5236D">
          <w:rPr>
            <w:noProof/>
            <w:webHidden/>
          </w:rPr>
          <w:instrText xml:space="preserve"> PAGEREF _Toc157425325 \h </w:instrText>
        </w:r>
        <w:r w:rsidR="00F5236D">
          <w:rPr>
            <w:noProof/>
            <w:webHidden/>
          </w:rPr>
        </w:r>
        <w:r w:rsidR="00F5236D">
          <w:rPr>
            <w:noProof/>
            <w:webHidden/>
          </w:rPr>
          <w:fldChar w:fldCharType="separate"/>
        </w:r>
        <w:r w:rsidR="00F5236D">
          <w:rPr>
            <w:noProof/>
            <w:webHidden/>
          </w:rPr>
          <w:t>44</w:t>
        </w:r>
        <w:r w:rsidR="00F5236D">
          <w:rPr>
            <w:noProof/>
            <w:webHidden/>
          </w:rPr>
          <w:fldChar w:fldCharType="end"/>
        </w:r>
      </w:hyperlink>
    </w:p>
    <w:p w14:paraId="26B023CD" w14:textId="77777777" w:rsidR="00F5236D" w:rsidRDefault="00000000">
      <w:pPr>
        <w:pStyle w:val="Kazalovsebine2"/>
        <w:rPr>
          <w:rFonts w:asciiTheme="minorHAnsi" w:eastAsiaTheme="minorEastAsia" w:hAnsiTheme="minorHAnsi" w:cstheme="minorBidi"/>
          <w:noProof/>
        </w:rPr>
      </w:pPr>
      <w:hyperlink w:anchor="_Toc157425326" w:history="1">
        <w:r w:rsidR="00F5236D" w:rsidRPr="00E05901">
          <w:rPr>
            <w:rStyle w:val="Hiperpovezava"/>
            <w:noProof/>
          </w:rPr>
          <w:t>5.0 Upravno - administrativni vidiki in postopek pobiranja povrhnjega davka</w:t>
        </w:r>
        <w:r w:rsidR="00F5236D">
          <w:rPr>
            <w:noProof/>
            <w:webHidden/>
          </w:rPr>
          <w:tab/>
        </w:r>
        <w:r w:rsidR="00F5236D">
          <w:rPr>
            <w:noProof/>
            <w:webHidden/>
          </w:rPr>
          <w:fldChar w:fldCharType="begin"/>
        </w:r>
        <w:r w:rsidR="00F5236D">
          <w:rPr>
            <w:noProof/>
            <w:webHidden/>
          </w:rPr>
          <w:instrText xml:space="preserve"> PAGEREF _Toc157425326 \h </w:instrText>
        </w:r>
        <w:r w:rsidR="00F5236D">
          <w:rPr>
            <w:noProof/>
            <w:webHidden/>
          </w:rPr>
        </w:r>
        <w:r w:rsidR="00F5236D">
          <w:rPr>
            <w:noProof/>
            <w:webHidden/>
          </w:rPr>
          <w:fldChar w:fldCharType="separate"/>
        </w:r>
        <w:r w:rsidR="00F5236D">
          <w:rPr>
            <w:noProof/>
            <w:webHidden/>
          </w:rPr>
          <w:t>48</w:t>
        </w:r>
        <w:r w:rsidR="00F5236D">
          <w:rPr>
            <w:noProof/>
            <w:webHidden/>
          </w:rPr>
          <w:fldChar w:fldCharType="end"/>
        </w:r>
      </w:hyperlink>
    </w:p>
    <w:p w14:paraId="4E5A3382" w14:textId="77777777" w:rsidR="00F5236D" w:rsidRDefault="00000000">
      <w:pPr>
        <w:pStyle w:val="Kazalovsebine2"/>
        <w:rPr>
          <w:rFonts w:asciiTheme="minorHAnsi" w:eastAsiaTheme="minorEastAsia" w:hAnsiTheme="minorHAnsi" w:cstheme="minorBidi"/>
          <w:noProof/>
        </w:rPr>
      </w:pPr>
      <w:hyperlink w:anchor="_Toc157425327" w:history="1">
        <w:r w:rsidR="00F5236D" w:rsidRPr="00E05901">
          <w:rPr>
            <w:rStyle w:val="Hiperpovezava"/>
            <w:noProof/>
          </w:rPr>
          <w:t>5.1.1. Postopek poročanja podatkov o povrhnjem davku</w:t>
        </w:r>
        <w:r w:rsidR="00F5236D">
          <w:rPr>
            <w:noProof/>
            <w:webHidden/>
          </w:rPr>
          <w:tab/>
        </w:r>
        <w:r w:rsidR="00F5236D">
          <w:rPr>
            <w:noProof/>
            <w:webHidden/>
          </w:rPr>
          <w:fldChar w:fldCharType="begin"/>
        </w:r>
        <w:r w:rsidR="00F5236D">
          <w:rPr>
            <w:noProof/>
            <w:webHidden/>
          </w:rPr>
          <w:instrText xml:space="preserve"> PAGEREF _Toc157425327 \h </w:instrText>
        </w:r>
        <w:r w:rsidR="00F5236D">
          <w:rPr>
            <w:noProof/>
            <w:webHidden/>
          </w:rPr>
        </w:r>
        <w:r w:rsidR="00F5236D">
          <w:rPr>
            <w:noProof/>
            <w:webHidden/>
          </w:rPr>
          <w:fldChar w:fldCharType="separate"/>
        </w:r>
        <w:r w:rsidR="00F5236D">
          <w:rPr>
            <w:noProof/>
            <w:webHidden/>
          </w:rPr>
          <w:t>49</w:t>
        </w:r>
        <w:r w:rsidR="00F5236D">
          <w:rPr>
            <w:noProof/>
            <w:webHidden/>
          </w:rPr>
          <w:fldChar w:fldCharType="end"/>
        </w:r>
      </w:hyperlink>
    </w:p>
    <w:p w14:paraId="7576D95D" w14:textId="77777777" w:rsidR="00F5236D" w:rsidRDefault="00000000">
      <w:pPr>
        <w:pStyle w:val="Kazalovsebine2"/>
        <w:rPr>
          <w:rFonts w:asciiTheme="minorHAnsi" w:eastAsiaTheme="minorEastAsia" w:hAnsiTheme="minorHAnsi" w:cstheme="minorBidi"/>
          <w:noProof/>
        </w:rPr>
      </w:pPr>
      <w:hyperlink w:anchor="_Toc157425328" w:history="1">
        <w:r w:rsidR="00F5236D" w:rsidRPr="00E05901">
          <w:rPr>
            <w:rStyle w:val="Hiperpovezava"/>
            <w:i/>
            <w:iCs/>
            <w:noProof/>
          </w:rPr>
          <w:t>Primer 4 – Centralno mednarodno poročanje</w:t>
        </w:r>
        <w:r w:rsidR="00F5236D">
          <w:rPr>
            <w:noProof/>
            <w:webHidden/>
          </w:rPr>
          <w:tab/>
        </w:r>
        <w:r w:rsidR="00F5236D">
          <w:rPr>
            <w:noProof/>
            <w:webHidden/>
          </w:rPr>
          <w:fldChar w:fldCharType="begin"/>
        </w:r>
        <w:r w:rsidR="00F5236D">
          <w:rPr>
            <w:noProof/>
            <w:webHidden/>
          </w:rPr>
          <w:instrText xml:space="preserve"> PAGEREF _Toc157425328 \h </w:instrText>
        </w:r>
        <w:r w:rsidR="00F5236D">
          <w:rPr>
            <w:noProof/>
            <w:webHidden/>
          </w:rPr>
        </w:r>
        <w:r w:rsidR="00F5236D">
          <w:rPr>
            <w:noProof/>
            <w:webHidden/>
          </w:rPr>
          <w:fldChar w:fldCharType="separate"/>
        </w:r>
        <w:r w:rsidR="00F5236D">
          <w:rPr>
            <w:noProof/>
            <w:webHidden/>
          </w:rPr>
          <w:t>51</w:t>
        </w:r>
        <w:r w:rsidR="00F5236D">
          <w:rPr>
            <w:noProof/>
            <w:webHidden/>
          </w:rPr>
          <w:fldChar w:fldCharType="end"/>
        </w:r>
      </w:hyperlink>
    </w:p>
    <w:p w14:paraId="6B7DCE80" w14:textId="77777777" w:rsidR="00F5236D" w:rsidRDefault="00000000">
      <w:pPr>
        <w:pStyle w:val="Kazalovsebine2"/>
        <w:rPr>
          <w:rFonts w:asciiTheme="minorHAnsi" w:eastAsiaTheme="minorEastAsia" w:hAnsiTheme="minorHAnsi" w:cstheme="minorBidi"/>
          <w:noProof/>
        </w:rPr>
      </w:pPr>
      <w:hyperlink w:anchor="_Toc157425329" w:history="1">
        <w:r w:rsidR="00F5236D" w:rsidRPr="00E05901">
          <w:rPr>
            <w:rStyle w:val="Hiperpovezava"/>
            <w:noProof/>
          </w:rPr>
          <w:t>5.2. Obračun domačega povrhnjega davka</w:t>
        </w:r>
        <w:r w:rsidR="00F5236D">
          <w:rPr>
            <w:noProof/>
            <w:webHidden/>
          </w:rPr>
          <w:tab/>
        </w:r>
        <w:r w:rsidR="00F5236D">
          <w:rPr>
            <w:noProof/>
            <w:webHidden/>
          </w:rPr>
          <w:fldChar w:fldCharType="begin"/>
        </w:r>
        <w:r w:rsidR="00F5236D">
          <w:rPr>
            <w:noProof/>
            <w:webHidden/>
          </w:rPr>
          <w:instrText xml:space="preserve"> PAGEREF _Toc157425329 \h </w:instrText>
        </w:r>
        <w:r w:rsidR="00F5236D">
          <w:rPr>
            <w:noProof/>
            <w:webHidden/>
          </w:rPr>
        </w:r>
        <w:r w:rsidR="00F5236D">
          <w:rPr>
            <w:noProof/>
            <w:webHidden/>
          </w:rPr>
          <w:fldChar w:fldCharType="separate"/>
        </w:r>
        <w:r w:rsidR="00F5236D">
          <w:rPr>
            <w:noProof/>
            <w:webHidden/>
          </w:rPr>
          <w:t>52</w:t>
        </w:r>
        <w:r w:rsidR="00F5236D">
          <w:rPr>
            <w:noProof/>
            <w:webHidden/>
          </w:rPr>
          <w:fldChar w:fldCharType="end"/>
        </w:r>
      </w:hyperlink>
    </w:p>
    <w:p w14:paraId="5467FF4E" w14:textId="77777777" w:rsidR="00F5236D" w:rsidRDefault="00000000">
      <w:pPr>
        <w:pStyle w:val="Kazalovsebine2"/>
        <w:rPr>
          <w:rFonts w:asciiTheme="minorHAnsi" w:eastAsiaTheme="minorEastAsia" w:hAnsiTheme="minorHAnsi" w:cstheme="minorBidi"/>
          <w:noProof/>
        </w:rPr>
      </w:pPr>
      <w:hyperlink w:anchor="_Toc157425330" w:history="1">
        <w:r w:rsidR="00F5236D" w:rsidRPr="00E05901">
          <w:rPr>
            <w:rStyle w:val="Hiperpovezava"/>
            <w:noProof/>
          </w:rPr>
          <w:t>5.2.1. Obveznost predložitve obračuna domačega povrhnjega davka</w:t>
        </w:r>
        <w:r w:rsidR="00F5236D">
          <w:rPr>
            <w:noProof/>
            <w:webHidden/>
          </w:rPr>
          <w:tab/>
        </w:r>
        <w:r w:rsidR="00F5236D">
          <w:rPr>
            <w:noProof/>
            <w:webHidden/>
          </w:rPr>
          <w:fldChar w:fldCharType="begin"/>
        </w:r>
        <w:r w:rsidR="00F5236D">
          <w:rPr>
            <w:noProof/>
            <w:webHidden/>
          </w:rPr>
          <w:instrText xml:space="preserve"> PAGEREF _Toc157425330 \h </w:instrText>
        </w:r>
        <w:r w:rsidR="00F5236D">
          <w:rPr>
            <w:noProof/>
            <w:webHidden/>
          </w:rPr>
        </w:r>
        <w:r w:rsidR="00F5236D">
          <w:rPr>
            <w:noProof/>
            <w:webHidden/>
          </w:rPr>
          <w:fldChar w:fldCharType="separate"/>
        </w:r>
        <w:r w:rsidR="00F5236D">
          <w:rPr>
            <w:noProof/>
            <w:webHidden/>
          </w:rPr>
          <w:t>53</w:t>
        </w:r>
        <w:r w:rsidR="00F5236D">
          <w:rPr>
            <w:noProof/>
            <w:webHidden/>
          </w:rPr>
          <w:fldChar w:fldCharType="end"/>
        </w:r>
      </w:hyperlink>
    </w:p>
    <w:p w14:paraId="34BA4873" w14:textId="77777777" w:rsidR="00F5236D" w:rsidRDefault="00000000">
      <w:pPr>
        <w:pStyle w:val="Kazalovsebine2"/>
        <w:rPr>
          <w:rFonts w:asciiTheme="minorHAnsi" w:eastAsiaTheme="minorEastAsia" w:hAnsiTheme="minorHAnsi" w:cstheme="minorBidi"/>
          <w:noProof/>
        </w:rPr>
      </w:pPr>
      <w:hyperlink w:anchor="_Toc157425331" w:history="1">
        <w:r w:rsidR="00F5236D" w:rsidRPr="00E05901">
          <w:rPr>
            <w:rStyle w:val="Hiperpovezava"/>
            <w:i/>
            <w:iCs/>
            <w:noProof/>
          </w:rPr>
          <w:t>Primer 5  - Obračun domačega povrhnjega davka</w:t>
        </w:r>
        <w:r w:rsidR="00F5236D">
          <w:rPr>
            <w:noProof/>
            <w:webHidden/>
          </w:rPr>
          <w:tab/>
        </w:r>
        <w:r w:rsidR="00F5236D">
          <w:rPr>
            <w:noProof/>
            <w:webHidden/>
          </w:rPr>
          <w:fldChar w:fldCharType="begin"/>
        </w:r>
        <w:r w:rsidR="00F5236D">
          <w:rPr>
            <w:noProof/>
            <w:webHidden/>
          </w:rPr>
          <w:instrText xml:space="preserve"> PAGEREF _Toc157425331 \h </w:instrText>
        </w:r>
        <w:r w:rsidR="00F5236D">
          <w:rPr>
            <w:noProof/>
            <w:webHidden/>
          </w:rPr>
        </w:r>
        <w:r w:rsidR="00F5236D">
          <w:rPr>
            <w:noProof/>
            <w:webHidden/>
          </w:rPr>
          <w:fldChar w:fldCharType="separate"/>
        </w:r>
        <w:r w:rsidR="00F5236D">
          <w:rPr>
            <w:noProof/>
            <w:webHidden/>
          </w:rPr>
          <w:t>54</w:t>
        </w:r>
        <w:r w:rsidR="00F5236D">
          <w:rPr>
            <w:noProof/>
            <w:webHidden/>
          </w:rPr>
          <w:fldChar w:fldCharType="end"/>
        </w:r>
      </w:hyperlink>
    </w:p>
    <w:p w14:paraId="697A39F1" w14:textId="77777777" w:rsidR="00F5236D" w:rsidRDefault="00000000">
      <w:pPr>
        <w:pStyle w:val="Kazalovsebine2"/>
        <w:rPr>
          <w:rFonts w:asciiTheme="minorHAnsi" w:eastAsiaTheme="minorEastAsia" w:hAnsiTheme="minorHAnsi" w:cstheme="minorBidi"/>
          <w:noProof/>
        </w:rPr>
      </w:pPr>
      <w:hyperlink w:anchor="_Toc157425332" w:history="1">
        <w:r w:rsidR="00F5236D" w:rsidRPr="00E05901">
          <w:rPr>
            <w:rStyle w:val="Hiperpovezava"/>
            <w:i/>
            <w:iCs/>
            <w:noProof/>
          </w:rPr>
          <w:t>Primer 6 – domači povrhnji davek 2</w:t>
        </w:r>
        <w:r w:rsidR="00F5236D">
          <w:rPr>
            <w:noProof/>
            <w:webHidden/>
          </w:rPr>
          <w:tab/>
        </w:r>
        <w:r w:rsidR="00F5236D">
          <w:rPr>
            <w:noProof/>
            <w:webHidden/>
          </w:rPr>
          <w:fldChar w:fldCharType="begin"/>
        </w:r>
        <w:r w:rsidR="00F5236D">
          <w:rPr>
            <w:noProof/>
            <w:webHidden/>
          </w:rPr>
          <w:instrText xml:space="preserve"> PAGEREF _Toc157425332 \h </w:instrText>
        </w:r>
        <w:r w:rsidR="00F5236D">
          <w:rPr>
            <w:noProof/>
            <w:webHidden/>
          </w:rPr>
        </w:r>
        <w:r w:rsidR="00F5236D">
          <w:rPr>
            <w:noProof/>
            <w:webHidden/>
          </w:rPr>
          <w:fldChar w:fldCharType="separate"/>
        </w:r>
        <w:r w:rsidR="00F5236D">
          <w:rPr>
            <w:noProof/>
            <w:webHidden/>
          </w:rPr>
          <w:t>55</w:t>
        </w:r>
        <w:r w:rsidR="00F5236D">
          <w:rPr>
            <w:noProof/>
            <w:webHidden/>
          </w:rPr>
          <w:fldChar w:fldCharType="end"/>
        </w:r>
      </w:hyperlink>
    </w:p>
    <w:p w14:paraId="110DCE69" w14:textId="77777777" w:rsidR="00F5236D" w:rsidRDefault="00000000">
      <w:pPr>
        <w:pStyle w:val="Kazalovsebine2"/>
        <w:rPr>
          <w:rFonts w:asciiTheme="minorHAnsi" w:eastAsiaTheme="minorEastAsia" w:hAnsiTheme="minorHAnsi" w:cstheme="minorBidi"/>
          <w:noProof/>
        </w:rPr>
      </w:pPr>
      <w:hyperlink w:anchor="_Toc157425333" w:history="1">
        <w:r w:rsidR="00F5236D" w:rsidRPr="00E05901">
          <w:rPr>
            <w:rStyle w:val="Hiperpovezava"/>
            <w:noProof/>
          </w:rPr>
          <w:t>5.3. Obračun povrhnjega davka</w:t>
        </w:r>
        <w:r w:rsidR="00F5236D">
          <w:rPr>
            <w:noProof/>
            <w:webHidden/>
          </w:rPr>
          <w:tab/>
        </w:r>
        <w:r w:rsidR="00F5236D">
          <w:rPr>
            <w:noProof/>
            <w:webHidden/>
          </w:rPr>
          <w:fldChar w:fldCharType="begin"/>
        </w:r>
        <w:r w:rsidR="00F5236D">
          <w:rPr>
            <w:noProof/>
            <w:webHidden/>
          </w:rPr>
          <w:instrText xml:space="preserve"> PAGEREF _Toc157425333 \h </w:instrText>
        </w:r>
        <w:r w:rsidR="00F5236D">
          <w:rPr>
            <w:noProof/>
            <w:webHidden/>
          </w:rPr>
        </w:r>
        <w:r w:rsidR="00F5236D">
          <w:rPr>
            <w:noProof/>
            <w:webHidden/>
          </w:rPr>
          <w:fldChar w:fldCharType="separate"/>
        </w:r>
        <w:r w:rsidR="00F5236D">
          <w:rPr>
            <w:noProof/>
            <w:webHidden/>
          </w:rPr>
          <w:t>56</w:t>
        </w:r>
        <w:r w:rsidR="00F5236D">
          <w:rPr>
            <w:noProof/>
            <w:webHidden/>
          </w:rPr>
          <w:fldChar w:fldCharType="end"/>
        </w:r>
      </w:hyperlink>
    </w:p>
    <w:p w14:paraId="59B44F49" w14:textId="77777777" w:rsidR="009E3ADD" w:rsidRDefault="00DB65D9" w:rsidP="00DB65D9">
      <w:pPr>
        <w:pStyle w:val="FURSnaslov1"/>
        <w:rPr>
          <w:rFonts w:cs="Arial"/>
          <w:b w:val="0"/>
          <w:sz w:val="20"/>
          <w:szCs w:val="20"/>
          <w:lang w:val="sl-SI"/>
        </w:rPr>
        <w:sectPr w:rsidR="009E3ADD" w:rsidSect="00DB65D9">
          <w:footerReference w:type="default" r:id="rId8"/>
          <w:headerReference w:type="first" r:id="rId9"/>
          <w:pgSz w:w="11906" w:h="16838"/>
          <w:pgMar w:top="1417" w:right="1417" w:bottom="1417" w:left="1417" w:header="708" w:footer="708" w:gutter="0"/>
          <w:cols w:space="708"/>
          <w:titlePg/>
          <w:docGrid w:linePitch="360"/>
        </w:sectPr>
      </w:pPr>
      <w:r w:rsidRPr="00E116ED">
        <w:rPr>
          <w:rFonts w:cs="Arial"/>
          <w:b w:val="0"/>
          <w:sz w:val="20"/>
          <w:szCs w:val="20"/>
          <w:lang w:val="sl-SI"/>
        </w:rPr>
        <w:fldChar w:fldCharType="end"/>
      </w:r>
    </w:p>
    <w:p w14:paraId="755285BF" w14:textId="77777777" w:rsidR="009E3ADD" w:rsidRDefault="009E3ADD">
      <w:r>
        <w:lastRenderedPageBreak/>
        <w:t>Seznam kratic</w:t>
      </w:r>
      <w:r w:rsidR="00E56DF2">
        <w:t xml:space="preserve"> (v dokumentu se praviloma uporablja angleške kratice</w:t>
      </w:r>
      <w:r w:rsidR="003242B2">
        <w:t>)</w:t>
      </w:r>
      <w:r>
        <w:t>:</w:t>
      </w:r>
    </w:p>
    <w:tbl>
      <w:tblPr>
        <w:tblStyle w:val="Tabelamrea"/>
        <w:tblW w:w="0" w:type="auto"/>
        <w:tblLook w:val="04A0" w:firstRow="1" w:lastRow="0" w:firstColumn="1" w:lastColumn="0" w:noHBand="0" w:noVBand="1"/>
      </w:tblPr>
      <w:tblGrid>
        <w:gridCol w:w="2547"/>
        <w:gridCol w:w="4664"/>
        <w:gridCol w:w="5542"/>
      </w:tblGrid>
      <w:tr w:rsidR="009E3ADD" w14:paraId="558A97DC" w14:textId="77777777" w:rsidTr="00980EF6">
        <w:tc>
          <w:tcPr>
            <w:tcW w:w="2547" w:type="dxa"/>
            <w:shd w:val="clear" w:color="auto" w:fill="D9D9D9" w:themeFill="background1" w:themeFillShade="D9"/>
          </w:tcPr>
          <w:p w14:paraId="79E1F59B" w14:textId="77777777" w:rsidR="009E3ADD" w:rsidRDefault="009E3ADD">
            <w:r>
              <w:t>Kratica ANGL/SLO</w:t>
            </w:r>
          </w:p>
        </w:tc>
        <w:tc>
          <w:tcPr>
            <w:tcW w:w="4664" w:type="dxa"/>
            <w:shd w:val="clear" w:color="auto" w:fill="D9D9D9" w:themeFill="background1" w:themeFillShade="D9"/>
          </w:tcPr>
          <w:p w14:paraId="6C983A03" w14:textId="77777777" w:rsidR="009E3ADD" w:rsidRDefault="009E3ADD">
            <w:r>
              <w:t>Angleški pomen</w:t>
            </w:r>
          </w:p>
        </w:tc>
        <w:tc>
          <w:tcPr>
            <w:tcW w:w="5542" w:type="dxa"/>
            <w:shd w:val="clear" w:color="auto" w:fill="D9D9D9" w:themeFill="background1" w:themeFillShade="D9"/>
          </w:tcPr>
          <w:p w14:paraId="26F664ED" w14:textId="77777777" w:rsidR="009E3ADD" w:rsidRDefault="009E3ADD">
            <w:r>
              <w:t>Slovenski pomen</w:t>
            </w:r>
          </w:p>
        </w:tc>
      </w:tr>
      <w:tr w:rsidR="009E3ADD" w14:paraId="77825F39" w14:textId="77777777" w:rsidTr="00980EF6">
        <w:tc>
          <w:tcPr>
            <w:tcW w:w="2547" w:type="dxa"/>
            <w:vAlign w:val="bottom"/>
          </w:tcPr>
          <w:p w14:paraId="40F0C2DD" w14:textId="77777777" w:rsidR="009E3ADD" w:rsidRDefault="009E3ADD" w:rsidP="009E3ADD">
            <w:r>
              <w:rPr>
                <w:rFonts w:ascii="Calibri" w:hAnsi="Calibri" w:cs="Calibri"/>
                <w:color w:val="000000"/>
              </w:rPr>
              <w:t>MNE</w:t>
            </w:r>
          </w:p>
        </w:tc>
        <w:tc>
          <w:tcPr>
            <w:tcW w:w="4664" w:type="dxa"/>
            <w:vAlign w:val="bottom"/>
          </w:tcPr>
          <w:p w14:paraId="6F70805C" w14:textId="77777777" w:rsidR="009E3ADD" w:rsidRDefault="009E3ADD" w:rsidP="009E3ADD">
            <w:proofErr w:type="spellStart"/>
            <w:r>
              <w:rPr>
                <w:rFonts w:ascii="Calibri" w:hAnsi="Calibri" w:cs="Calibri"/>
                <w:color w:val="000000"/>
              </w:rPr>
              <w:t>Multinational</w:t>
            </w:r>
            <w:proofErr w:type="spellEnd"/>
            <w:r>
              <w:rPr>
                <w:rFonts w:ascii="Calibri" w:hAnsi="Calibri" w:cs="Calibri"/>
                <w:color w:val="000000"/>
              </w:rPr>
              <w:t xml:space="preserve"> </w:t>
            </w:r>
            <w:proofErr w:type="spellStart"/>
            <w:r>
              <w:rPr>
                <w:rFonts w:ascii="Calibri" w:hAnsi="Calibri" w:cs="Calibri"/>
                <w:color w:val="000000"/>
              </w:rPr>
              <w:t>Enterprise</w:t>
            </w:r>
            <w:proofErr w:type="spellEnd"/>
          </w:p>
        </w:tc>
        <w:tc>
          <w:tcPr>
            <w:tcW w:w="5542" w:type="dxa"/>
            <w:vAlign w:val="bottom"/>
          </w:tcPr>
          <w:p w14:paraId="49F92EBA" w14:textId="77777777" w:rsidR="009E3ADD" w:rsidRPr="006669B6" w:rsidRDefault="00F362F5" w:rsidP="009E3ADD">
            <w:pPr>
              <w:rPr>
                <w:rFonts w:cstheme="minorHAnsi"/>
              </w:rPr>
            </w:pPr>
            <w:r w:rsidRPr="006669B6">
              <w:rPr>
                <w:rFonts w:cstheme="minorHAnsi"/>
              </w:rPr>
              <w:t>Mednarodna skupina podjetij</w:t>
            </w:r>
          </w:p>
        </w:tc>
      </w:tr>
      <w:tr w:rsidR="009E3ADD" w14:paraId="6B1B9E7F" w14:textId="77777777" w:rsidTr="00980EF6">
        <w:tc>
          <w:tcPr>
            <w:tcW w:w="2547" w:type="dxa"/>
            <w:vAlign w:val="bottom"/>
          </w:tcPr>
          <w:p w14:paraId="5F8BFCC0" w14:textId="77777777" w:rsidR="009E3ADD" w:rsidRDefault="009E3ADD" w:rsidP="009E3ADD">
            <w:r>
              <w:rPr>
                <w:rFonts w:ascii="Calibri" w:hAnsi="Calibri" w:cs="Calibri"/>
                <w:color w:val="000000"/>
              </w:rPr>
              <w:t>UPE/KMS</w:t>
            </w:r>
          </w:p>
        </w:tc>
        <w:tc>
          <w:tcPr>
            <w:tcW w:w="4664" w:type="dxa"/>
            <w:vAlign w:val="bottom"/>
          </w:tcPr>
          <w:p w14:paraId="186C3316" w14:textId="77777777" w:rsidR="009E3ADD" w:rsidRDefault="009E3ADD" w:rsidP="009E3ADD">
            <w:r>
              <w:rPr>
                <w:rFonts w:ascii="Calibri" w:hAnsi="Calibri" w:cs="Calibri"/>
                <w:color w:val="000000"/>
              </w:rPr>
              <w:t xml:space="preserve">Ultimate </w:t>
            </w:r>
            <w:proofErr w:type="spellStart"/>
            <w:r>
              <w:rPr>
                <w:rFonts w:ascii="Calibri" w:hAnsi="Calibri" w:cs="Calibri"/>
                <w:color w:val="000000"/>
              </w:rPr>
              <w:t>parent</w:t>
            </w:r>
            <w:proofErr w:type="spellEnd"/>
            <w:r>
              <w:rPr>
                <w:rFonts w:ascii="Calibri" w:hAnsi="Calibri" w:cs="Calibri"/>
                <w:color w:val="000000"/>
              </w:rPr>
              <w:t xml:space="preserve"> </w:t>
            </w:r>
            <w:proofErr w:type="spellStart"/>
            <w:r>
              <w:rPr>
                <w:rFonts w:ascii="Calibri" w:hAnsi="Calibri" w:cs="Calibri"/>
                <w:color w:val="000000"/>
              </w:rPr>
              <w:t>Entity</w:t>
            </w:r>
            <w:proofErr w:type="spellEnd"/>
          </w:p>
        </w:tc>
        <w:tc>
          <w:tcPr>
            <w:tcW w:w="5542" w:type="dxa"/>
            <w:vAlign w:val="bottom"/>
          </w:tcPr>
          <w:p w14:paraId="09F08499" w14:textId="77777777" w:rsidR="009E3ADD" w:rsidRPr="006669B6" w:rsidRDefault="009E3ADD" w:rsidP="009E3ADD">
            <w:pPr>
              <w:rPr>
                <w:rFonts w:cstheme="minorHAnsi"/>
              </w:rPr>
            </w:pPr>
            <w:r w:rsidRPr="006669B6">
              <w:rPr>
                <w:rFonts w:cstheme="minorHAnsi"/>
                <w:color w:val="000000"/>
              </w:rPr>
              <w:t>Krovni matični Subjekt</w:t>
            </w:r>
          </w:p>
        </w:tc>
      </w:tr>
      <w:tr w:rsidR="009E3ADD" w14:paraId="7F5C096F" w14:textId="77777777" w:rsidTr="00980EF6">
        <w:tc>
          <w:tcPr>
            <w:tcW w:w="2547" w:type="dxa"/>
            <w:vAlign w:val="bottom"/>
          </w:tcPr>
          <w:p w14:paraId="1D9C61D4" w14:textId="77777777" w:rsidR="009E3ADD" w:rsidRDefault="009E3ADD" w:rsidP="009E3ADD">
            <w:r>
              <w:rPr>
                <w:rFonts w:ascii="Calibri" w:hAnsi="Calibri" w:cs="Calibri"/>
                <w:color w:val="000000"/>
              </w:rPr>
              <w:t>CE/SS</w:t>
            </w:r>
          </w:p>
        </w:tc>
        <w:tc>
          <w:tcPr>
            <w:tcW w:w="4664" w:type="dxa"/>
            <w:vAlign w:val="bottom"/>
          </w:tcPr>
          <w:p w14:paraId="1361C6E1" w14:textId="77777777" w:rsidR="009E3ADD" w:rsidRDefault="009E3ADD" w:rsidP="009E3ADD">
            <w:proofErr w:type="spellStart"/>
            <w:r>
              <w:rPr>
                <w:rFonts w:ascii="Calibri" w:hAnsi="Calibri" w:cs="Calibri"/>
                <w:color w:val="000000"/>
              </w:rPr>
              <w:t>Constituent</w:t>
            </w:r>
            <w:proofErr w:type="spellEnd"/>
            <w:r>
              <w:rPr>
                <w:rFonts w:ascii="Calibri" w:hAnsi="Calibri" w:cs="Calibri"/>
                <w:color w:val="000000"/>
              </w:rPr>
              <w:t xml:space="preserve"> </w:t>
            </w:r>
            <w:proofErr w:type="spellStart"/>
            <w:r>
              <w:rPr>
                <w:rFonts w:ascii="Calibri" w:hAnsi="Calibri" w:cs="Calibri"/>
                <w:color w:val="000000"/>
              </w:rPr>
              <w:t>Entity</w:t>
            </w:r>
            <w:proofErr w:type="spellEnd"/>
          </w:p>
        </w:tc>
        <w:tc>
          <w:tcPr>
            <w:tcW w:w="5542" w:type="dxa"/>
            <w:vAlign w:val="bottom"/>
          </w:tcPr>
          <w:p w14:paraId="29175672" w14:textId="77777777" w:rsidR="009E3ADD" w:rsidRPr="006669B6" w:rsidRDefault="009E3ADD" w:rsidP="009E3ADD">
            <w:pPr>
              <w:rPr>
                <w:rFonts w:cstheme="minorHAnsi"/>
              </w:rPr>
            </w:pPr>
            <w:r w:rsidRPr="006669B6">
              <w:rPr>
                <w:rFonts w:cstheme="minorHAnsi"/>
                <w:color w:val="000000"/>
              </w:rPr>
              <w:t>Subjekt v sestavi</w:t>
            </w:r>
          </w:p>
        </w:tc>
      </w:tr>
      <w:tr w:rsidR="00125E15" w14:paraId="31184563" w14:textId="77777777" w:rsidTr="00980EF6">
        <w:tc>
          <w:tcPr>
            <w:tcW w:w="2547" w:type="dxa"/>
            <w:vAlign w:val="bottom"/>
          </w:tcPr>
          <w:p w14:paraId="08E2E61B" w14:textId="77777777" w:rsidR="00125E15" w:rsidRDefault="00125E15" w:rsidP="009E3ADD">
            <w:pPr>
              <w:rPr>
                <w:rFonts w:ascii="Calibri" w:hAnsi="Calibri" w:cs="Calibri"/>
                <w:color w:val="000000"/>
              </w:rPr>
            </w:pPr>
            <w:r>
              <w:rPr>
                <w:rFonts w:ascii="Calibri" w:hAnsi="Calibri" w:cs="Calibri"/>
                <w:color w:val="000000"/>
              </w:rPr>
              <w:t>LTCE</w:t>
            </w:r>
          </w:p>
        </w:tc>
        <w:tc>
          <w:tcPr>
            <w:tcW w:w="4664" w:type="dxa"/>
            <w:vAlign w:val="bottom"/>
          </w:tcPr>
          <w:p w14:paraId="03A25A2D" w14:textId="77777777" w:rsidR="00125E15" w:rsidRDefault="00125E15" w:rsidP="009E3ADD">
            <w:pPr>
              <w:rPr>
                <w:rFonts w:ascii="Calibri" w:hAnsi="Calibri" w:cs="Calibri"/>
                <w:color w:val="000000"/>
              </w:rPr>
            </w:pPr>
            <w:proofErr w:type="spellStart"/>
            <w:r>
              <w:rPr>
                <w:rFonts w:ascii="Calibri" w:hAnsi="Calibri" w:cs="Calibri"/>
                <w:color w:val="000000"/>
              </w:rPr>
              <w:t>Low</w:t>
            </w:r>
            <w:proofErr w:type="spellEnd"/>
            <w:r>
              <w:rPr>
                <w:rFonts w:ascii="Calibri" w:hAnsi="Calibri" w:cs="Calibri"/>
                <w:color w:val="000000"/>
              </w:rPr>
              <w:t xml:space="preserve"> </w:t>
            </w:r>
            <w:proofErr w:type="spellStart"/>
            <w:r>
              <w:rPr>
                <w:rFonts w:ascii="Calibri" w:hAnsi="Calibri" w:cs="Calibri"/>
                <w:color w:val="000000"/>
              </w:rPr>
              <w:t>Taxed</w:t>
            </w:r>
            <w:proofErr w:type="spellEnd"/>
            <w:r>
              <w:rPr>
                <w:rFonts w:ascii="Calibri" w:hAnsi="Calibri" w:cs="Calibri"/>
                <w:color w:val="000000"/>
              </w:rPr>
              <w:t xml:space="preserve"> </w:t>
            </w:r>
            <w:proofErr w:type="spellStart"/>
            <w:r>
              <w:rPr>
                <w:rFonts w:ascii="Calibri" w:hAnsi="Calibri" w:cs="Calibri"/>
                <w:color w:val="000000"/>
              </w:rPr>
              <w:t>Constituent</w:t>
            </w:r>
            <w:proofErr w:type="spellEnd"/>
            <w:r>
              <w:rPr>
                <w:rFonts w:ascii="Calibri" w:hAnsi="Calibri" w:cs="Calibri"/>
                <w:color w:val="000000"/>
              </w:rPr>
              <w:t xml:space="preserve"> </w:t>
            </w:r>
            <w:proofErr w:type="spellStart"/>
            <w:r>
              <w:rPr>
                <w:rFonts w:ascii="Calibri" w:hAnsi="Calibri" w:cs="Calibri"/>
                <w:color w:val="000000"/>
              </w:rPr>
              <w:t>Entity</w:t>
            </w:r>
            <w:proofErr w:type="spellEnd"/>
          </w:p>
        </w:tc>
        <w:tc>
          <w:tcPr>
            <w:tcW w:w="5542" w:type="dxa"/>
            <w:vAlign w:val="bottom"/>
          </w:tcPr>
          <w:p w14:paraId="066A24F3" w14:textId="77777777" w:rsidR="00125E15" w:rsidRPr="006669B6" w:rsidRDefault="00125E15" w:rsidP="009E3ADD">
            <w:pPr>
              <w:rPr>
                <w:rFonts w:cstheme="minorHAnsi"/>
                <w:color w:val="000000"/>
              </w:rPr>
            </w:pPr>
            <w:r w:rsidRPr="006669B6">
              <w:rPr>
                <w:rFonts w:cstheme="minorHAnsi"/>
                <w:color w:val="000000"/>
              </w:rPr>
              <w:t>Nizko obdavčen subjekt v sestavi</w:t>
            </w:r>
          </w:p>
        </w:tc>
      </w:tr>
      <w:tr w:rsidR="0093447C" w14:paraId="6A55FF17" w14:textId="77777777" w:rsidTr="00980EF6">
        <w:tc>
          <w:tcPr>
            <w:tcW w:w="2547" w:type="dxa"/>
            <w:vAlign w:val="bottom"/>
          </w:tcPr>
          <w:p w14:paraId="0B2AA8E8" w14:textId="77777777" w:rsidR="0093447C" w:rsidRDefault="0093447C" w:rsidP="009E3ADD">
            <w:pPr>
              <w:rPr>
                <w:rFonts w:ascii="Calibri" w:hAnsi="Calibri" w:cs="Calibri"/>
                <w:color w:val="000000"/>
              </w:rPr>
            </w:pPr>
            <w:r>
              <w:rPr>
                <w:rFonts w:ascii="Calibri" w:hAnsi="Calibri" w:cs="Calibri"/>
                <w:color w:val="000000"/>
              </w:rPr>
              <w:t>IPE/VMS</w:t>
            </w:r>
          </w:p>
        </w:tc>
        <w:tc>
          <w:tcPr>
            <w:tcW w:w="4664" w:type="dxa"/>
            <w:vAlign w:val="bottom"/>
          </w:tcPr>
          <w:p w14:paraId="7E9E79C2" w14:textId="77777777" w:rsidR="0093447C" w:rsidRDefault="0093447C" w:rsidP="009E3ADD">
            <w:pPr>
              <w:rPr>
                <w:rFonts w:ascii="Calibri" w:hAnsi="Calibri" w:cs="Calibri"/>
                <w:color w:val="000000"/>
              </w:rPr>
            </w:pPr>
            <w:proofErr w:type="spellStart"/>
            <w:r>
              <w:rPr>
                <w:rFonts w:ascii="Calibri" w:hAnsi="Calibri" w:cs="Calibri"/>
                <w:color w:val="000000"/>
              </w:rPr>
              <w:t>Intermediate</w:t>
            </w:r>
            <w:proofErr w:type="spellEnd"/>
            <w:r>
              <w:rPr>
                <w:rFonts w:ascii="Calibri" w:hAnsi="Calibri" w:cs="Calibri"/>
                <w:color w:val="000000"/>
              </w:rPr>
              <w:t xml:space="preserve"> </w:t>
            </w:r>
            <w:proofErr w:type="spellStart"/>
            <w:r>
              <w:rPr>
                <w:rFonts w:ascii="Calibri" w:hAnsi="Calibri" w:cs="Calibri"/>
                <w:color w:val="000000"/>
              </w:rPr>
              <w:t>Parent</w:t>
            </w:r>
            <w:proofErr w:type="spellEnd"/>
            <w:r>
              <w:rPr>
                <w:rFonts w:ascii="Calibri" w:hAnsi="Calibri" w:cs="Calibri"/>
                <w:color w:val="000000"/>
              </w:rPr>
              <w:t xml:space="preserve"> </w:t>
            </w:r>
            <w:proofErr w:type="spellStart"/>
            <w:r>
              <w:rPr>
                <w:rFonts w:ascii="Calibri" w:hAnsi="Calibri" w:cs="Calibri"/>
                <w:color w:val="000000"/>
              </w:rPr>
              <w:t>Entity</w:t>
            </w:r>
            <w:proofErr w:type="spellEnd"/>
          </w:p>
        </w:tc>
        <w:tc>
          <w:tcPr>
            <w:tcW w:w="5542" w:type="dxa"/>
            <w:vAlign w:val="bottom"/>
          </w:tcPr>
          <w:p w14:paraId="20B2117F" w14:textId="77777777" w:rsidR="0093447C" w:rsidRPr="006669B6" w:rsidRDefault="0093447C" w:rsidP="009E3ADD">
            <w:pPr>
              <w:rPr>
                <w:rFonts w:cstheme="minorHAnsi"/>
                <w:color w:val="000000"/>
              </w:rPr>
            </w:pPr>
            <w:r w:rsidRPr="006669B6">
              <w:rPr>
                <w:rFonts w:cstheme="minorHAnsi"/>
                <w:color w:val="000000"/>
              </w:rPr>
              <w:t>Vmesni Matični Subjekt</w:t>
            </w:r>
          </w:p>
        </w:tc>
      </w:tr>
      <w:tr w:rsidR="009E3ADD" w14:paraId="5FAAD2F0" w14:textId="77777777" w:rsidTr="00980EF6">
        <w:tc>
          <w:tcPr>
            <w:tcW w:w="2547" w:type="dxa"/>
            <w:vAlign w:val="bottom"/>
          </w:tcPr>
          <w:p w14:paraId="0027F9EA" w14:textId="77777777" w:rsidR="009E3ADD" w:rsidRDefault="009E3ADD" w:rsidP="009E3ADD">
            <w:proofErr w:type="spellStart"/>
            <w:r>
              <w:rPr>
                <w:rFonts w:ascii="Calibri" w:hAnsi="Calibri" w:cs="Calibri"/>
                <w:color w:val="000000"/>
              </w:rPr>
              <w:t>Filing</w:t>
            </w:r>
            <w:proofErr w:type="spellEnd"/>
            <w:r>
              <w:rPr>
                <w:rFonts w:ascii="Calibri" w:hAnsi="Calibri" w:cs="Calibri"/>
                <w:color w:val="000000"/>
              </w:rPr>
              <w:t xml:space="preserve"> CE/ </w:t>
            </w:r>
            <w:proofErr w:type="spellStart"/>
            <w:r>
              <w:rPr>
                <w:rFonts w:ascii="Calibri" w:hAnsi="Calibri" w:cs="Calibri"/>
                <w:color w:val="000000"/>
              </w:rPr>
              <w:t>Vložniški</w:t>
            </w:r>
            <w:proofErr w:type="spellEnd"/>
            <w:r>
              <w:rPr>
                <w:rFonts w:ascii="Calibri" w:hAnsi="Calibri" w:cs="Calibri"/>
                <w:color w:val="000000"/>
              </w:rPr>
              <w:t xml:space="preserve"> SS</w:t>
            </w:r>
          </w:p>
        </w:tc>
        <w:tc>
          <w:tcPr>
            <w:tcW w:w="4664" w:type="dxa"/>
            <w:vAlign w:val="bottom"/>
          </w:tcPr>
          <w:p w14:paraId="18AB3058" w14:textId="77777777" w:rsidR="009E3ADD" w:rsidRDefault="009E3ADD" w:rsidP="009E3ADD">
            <w:proofErr w:type="spellStart"/>
            <w:r>
              <w:rPr>
                <w:rFonts w:ascii="Calibri" w:hAnsi="Calibri" w:cs="Calibri"/>
                <w:color w:val="000000"/>
              </w:rPr>
              <w:t>Filing</w:t>
            </w:r>
            <w:proofErr w:type="spellEnd"/>
            <w:r>
              <w:rPr>
                <w:rFonts w:ascii="Calibri" w:hAnsi="Calibri" w:cs="Calibri"/>
                <w:color w:val="000000"/>
              </w:rPr>
              <w:t xml:space="preserve"> </w:t>
            </w:r>
            <w:proofErr w:type="spellStart"/>
            <w:r>
              <w:rPr>
                <w:rFonts w:ascii="Calibri" w:hAnsi="Calibri" w:cs="Calibri"/>
                <w:color w:val="000000"/>
              </w:rPr>
              <w:t>Constituent</w:t>
            </w:r>
            <w:proofErr w:type="spellEnd"/>
            <w:r>
              <w:rPr>
                <w:rFonts w:ascii="Calibri" w:hAnsi="Calibri" w:cs="Calibri"/>
                <w:color w:val="000000"/>
              </w:rPr>
              <w:t xml:space="preserve"> </w:t>
            </w:r>
            <w:proofErr w:type="spellStart"/>
            <w:r>
              <w:rPr>
                <w:rFonts w:ascii="Calibri" w:hAnsi="Calibri" w:cs="Calibri"/>
                <w:color w:val="000000"/>
              </w:rPr>
              <w:t>Entity</w:t>
            </w:r>
            <w:proofErr w:type="spellEnd"/>
          </w:p>
        </w:tc>
        <w:tc>
          <w:tcPr>
            <w:tcW w:w="5542" w:type="dxa"/>
            <w:vAlign w:val="bottom"/>
          </w:tcPr>
          <w:p w14:paraId="7A6A6B7F" w14:textId="77777777" w:rsidR="009E3ADD" w:rsidRPr="006669B6" w:rsidRDefault="009E3ADD" w:rsidP="009E3ADD">
            <w:pPr>
              <w:rPr>
                <w:rFonts w:cstheme="minorHAnsi"/>
              </w:rPr>
            </w:pPr>
            <w:proofErr w:type="spellStart"/>
            <w:r w:rsidRPr="006669B6">
              <w:rPr>
                <w:rFonts w:cstheme="minorHAnsi"/>
                <w:color w:val="000000"/>
              </w:rPr>
              <w:t>Vložniški</w:t>
            </w:r>
            <w:proofErr w:type="spellEnd"/>
            <w:r w:rsidRPr="006669B6">
              <w:rPr>
                <w:rFonts w:cstheme="minorHAnsi"/>
                <w:color w:val="000000"/>
              </w:rPr>
              <w:t xml:space="preserve"> subjekt v sestavi</w:t>
            </w:r>
          </w:p>
        </w:tc>
      </w:tr>
      <w:tr w:rsidR="009E3ADD" w14:paraId="10953792" w14:textId="77777777" w:rsidTr="00980EF6">
        <w:tc>
          <w:tcPr>
            <w:tcW w:w="2547" w:type="dxa"/>
            <w:vAlign w:val="bottom"/>
          </w:tcPr>
          <w:p w14:paraId="376B3181" w14:textId="77777777" w:rsidR="009E3ADD" w:rsidRDefault="009E3ADD" w:rsidP="009E3ADD">
            <w:r>
              <w:rPr>
                <w:rFonts w:ascii="Calibri" w:hAnsi="Calibri" w:cs="Calibri"/>
                <w:color w:val="000000"/>
              </w:rPr>
              <w:t>JV/SP</w:t>
            </w:r>
          </w:p>
        </w:tc>
        <w:tc>
          <w:tcPr>
            <w:tcW w:w="4664" w:type="dxa"/>
            <w:vAlign w:val="bottom"/>
          </w:tcPr>
          <w:p w14:paraId="2657066B" w14:textId="77777777" w:rsidR="009E3ADD" w:rsidRDefault="009E3ADD" w:rsidP="009E3ADD">
            <w:proofErr w:type="spellStart"/>
            <w:r>
              <w:rPr>
                <w:rFonts w:ascii="Calibri" w:hAnsi="Calibri" w:cs="Calibri"/>
                <w:color w:val="000000"/>
              </w:rPr>
              <w:t>Joint</w:t>
            </w:r>
            <w:proofErr w:type="spellEnd"/>
            <w:r>
              <w:rPr>
                <w:rFonts w:ascii="Calibri" w:hAnsi="Calibri" w:cs="Calibri"/>
                <w:color w:val="000000"/>
              </w:rPr>
              <w:t xml:space="preserve"> </w:t>
            </w:r>
            <w:proofErr w:type="spellStart"/>
            <w:r>
              <w:rPr>
                <w:rFonts w:ascii="Calibri" w:hAnsi="Calibri" w:cs="Calibri"/>
                <w:color w:val="000000"/>
              </w:rPr>
              <w:t>venture</w:t>
            </w:r>
            <w:proofErr w:type="spellEnd"/>
          </w:p>
        </w:tc>
        <w:tc>
          <w:tcPr>
            <w:tcW w:w="5542" w:type="dxa"/>
            <w:vAlign w:val="bottom"/>
          </w:tcPr>
          <w:p w14:paraId="739E0791" w14:textId="77777777" w:rsidR="009E3ADD" w:rsidRPr="006669B6" w:rsidRDefault="009E3ADD" w:rsidP="009E3ADD">
            <w:pPr>
              <w:rPr>
                <w:rFonts w:cstheme="minorHAnsi"/>
              </w:rPr>
            </w:pPr>
            <w:r w:rsidRPr="006669B6">
              <w:rPr>
                <w:rFonts w:cstheme="minorHAnsi"/>
                <w:color w:val="000000"/>
              </w:rPr>
              <w:t>Skupni podvig</w:t>
            </w:r>
          </w:p>
        </w:tc>
      </w:tr>
      <w:tr w:rsidR="009E3ADD" w14:paraId="0BEF32EA" w14:textId="77777777" w:rsidTr="00980EF6">
        <w:tc>
          <w:tcPr>
            <w:tcW w:w="2547" w:type="dxa"/>
            <w:vAlign w:val="bottom"/>
          </w:tcPr>
          <w:p w14:paraId="4781931C" w14:textId="77777777" w:rsidR="009E3ADD" w:rsidRDefault="009E3ADD" w:rsidP="009E3ADD">
            <w:r>
              <w:rPr>
                <w:rFonts w:ascii="Calibri" w:hAnsi="Calibri" w:cs="Calibri"/>
                <w:color w:val="000000"/>
              </w:rPr>
              <w:t xml:space="preserve">JV </w:t>
            </w:r>
            <w:proofErr w:type="spellStart"/>
            <w:r>
              <w:rPr>
                <w:rFonts w:ascii="Calibri" w:hAnsi="Calibri" w:cs="Calibri"/>
                <w:color w:val="000000"/>
              </w:rPr>
              <w:t>Group</w:t>
            </w:r>
            <w:proofErr w:type="spellEnd"/>
            <w:r>
              <w:rPr>
                <w:rFonts w:ascii="Calibri" w:hAnsi="Calibri" w:cs="Calibri"/>
                <w:color w:val="000000"/>
              </w:rPr>
              <w:t>/SP Skupina</w:t>
            </w:r>
          </w:p>
        </w:tc>
        <w:tc>
          <w:tcPr>
            <w:tcW w:w="4664" w:type="dxa"/>
            <w:vAlign w:val="bottom"/>
          </w:tcPr>
          <w:p w14:paraId="50F5866B" w14:textId="77777777" w:rsidR="009E3ADD" w:rsidRDefault="00B5167D" w:rsidP="009E3ADD">
            <w:proofErr w:type="spellStart"/>
            <w:r>
              <w:t>Joint</w:t>
            </w:r>
            <w:proofErr w:type="spellEnd"/>
            <w:r>
              <w:t xml:space="preserve"> </w:t>
            </w:r>
            <w:proofErr w:type="spellStart"/>
            <w:r>
              <w:t>Venture</w:t>
            </w:r>
            <w:proofErr w:type="spellEnd"/>
            <w:r>
              <w:t xml:space="preserve"> </w:t>
            </w:r>
            <w:proofErr w:type="spellStart"/>
            <w:r>
              <w:t>Group</w:t>
            </w:r>
            <w:proofErr w:type="spellEnd"/>
          </w:p>
        </w:tc>
        <w:tc>
          <w:tcPr>
            <w:tcW w:w="5542" w:type="dxa"/>
            <w:vAlign w:val="bottom"/>
          </w:tcPr>
          <w:p w14:paraId="76328A43" w14:textId="77777777" w:rsidR="009E3ADD" w:rsidRPr="006669B6" w:rsidRDefault="00B5167D" w:rsidP="009E3ADD">
            <w:pPr>
              <w:rPr>
                <w:rFonts w:cstheme="minorHAnsi"/>
              </w:rPr>
            </w:pPr>
            <w:r w:rsidRPr="006669B6">
              <w:rPr>
                <w:rFonts w:cstheme="minorHAnsi"/>
              </w:rPr>
              <w:t>Skupina skupnega podviga</w:t>
            </w:r>
          </w:p>
        </w:tc>
      </w:tr>
      <w:tr w:rsidR="009E3ADD" w14:paraId="2BD0DB49" w14:textId="77777777" w:rsidTr="00980EF6">
        <w:tc>
          <w:tcPr>
            <w:tcW w:w="2547" w:type="dxa"/>
            <w:vAlign w:val="bottom"/>
          </w:tcPr>
          <w:p w14:paraId="7280F72C" w14:textId="77777777" w:rsidR="009E3ADD" w:rsidRDefault="009E3ADD" w:rsidP="009E3ADD">
            <w:pPr>
              <w:rPr>
                <w:rFonts w:ascii="Calibri" w:hAnsi="Calibri" w:cs="Calibri"/>
                <w:color w:val="000000"/>
              </w:rPr>
            </w:pPr>
            <w:r>
              <w:rPr>
                <w:rFonts w:ascii="Calibri" w:hAnsi="Calibri" w:cs="Calibri"/>
                <w:color w:val="000000"/>
              </w:rPr>
              <w:t>POPE</w:t>
            </w:r>
            <w:r w:rsidR="00560EF3">
              <w:rPr>
                <w:rFonts w:ascii="Calibri" w:hAnsi="Calibri" w:cs="Calibri"/>
                <w:color w:val="000000"/>
              </w:rPr>
              <w:t>/MSDL</w:t>
            </w:r>
          </w:p>
        </w:tc>
        <w:tc>
          <w:tcPr>
            <w:tcW w:w="4664" w:type="dxa"/>
            <w:vAlign w:val="bottom"/>
          </w:tcPr>
          <w:p w14:paraId="58974DB7" w14:textId="77777777" w:rsidR="009E3ADD" w:rsidRDefault="009E3ADD" w:rsidP="009E3ADD">
            <w:proofErr w:type="spellStart"/>
            <w:r>
              <w:rPr>
                <w:rFonts w:ascii="Calibri" w:hAnsi="Calibri" w:cs="Calibri"/>
                <w:color w:val="000000"/>
              </w:rPr>
              <w:t>Partially</w:t>
            </w:r>
            <w:proofErr w:type="spellEnd"/>
            <w:r>
              <w:rPr>
                <w:rFonts w:ascii="Calibri" w:hAnsi="Calibri" w:cs="Calibri"/>
                <w:color w:val="000000"/>
              </w:rPr>
              <w:t xml:space="preserve"> </w:t>
            </w:r>
            <w:proofErr w:type="spellStart"/>
            <w:r>
              <w:rPr>
                <w:rFonts w:ascii="Calibri" w:hAnsi="Calibri" w:cs="Calibri"/>
                <w:color w:val="000000"/>
              </w:rPr>
              <w:t>Owned</w:t>
            </w:r>
            <w:proofErr w:type="spellEnd"/>
            <w:r>
              <w:rPr>
                <w:rFonts w:ascii="Calibri" w:hAnsi="Calibri" w:cs="Calibri"/>
                <w:color w:val="000000"/>
              </w:rPr>
              <w:t xml:space="preserve"> </w:t>
            </w:r>
            <w:proofErr w:type="spellStart"/>
            <w:r>
              <w:rPr>
                <w:rFonts w:ascii="Calibri" w:hAnsi="Calibri" w:cs="Calibri"/>
                <w:color w:val="000000"/>
              </w:rPr>
              <w:t>Parent</w:t>
            </w:r>
            <w:proofErr w:type="spellEnd"/>
            <w:r>
              <w:rPr>
                <w:rFonts w:ascii="Calibri" w:hAnsi="Calibri" w:cs="Calibri"/>
                <w:color w:val="000000"/>
              </w:rPr>
              <w:t xml:space="preserve"> </w:t>
            </w:r>
            <w:proofErr w:type="spellStart"/>
            <w:r>
              <w:rPr>
                <w:rFonts w:ascii="Calibri" w:hAnsi="Calibri" w:cs="Calibri"/>
                <w:color w:val="000000"/>
              </w:rPr>
              <w:t>Entity</w:t>
            </w:r>
            <w:proofErr w:type="spellEnd"/>
          </w:p>
        </w:tc>
        <w:tc>
          <w:tcPr>
            <w:tcW w:w="5542" w:type="dxa"/>
            <w:vAlign w:val="bottom"/>
          </w:tcPr>
          <w:p w14:paraId="3F8D53B3" w14:textId="77777777" w:rsidR="009E3ADD" w:rsidRPr="006669B6" w:rsidRDefault="009E3ADD" w:rsidP="009E3ADD">
            <w:pPr>
              <w:rPr>
                <w:rFonts w:cstheme="minorHAnsi"/>
              </w:rPr>
            </w:pPr>
            <w:r w:rsidRPr="006669B6">
              <w:rPr>
                <w:rFonts w:cstheme="minorHAnsi"/>
                <w:color w:val="000000"/>
              </w:rPr>
              <w:t>Matični subjekt v delni lasti</w:t>
            </w:r>
          </w:p>
        </w:tc>
      </w:tr>
      <w:tr w:rsidR="003242B2" w14:paraId="3602E28C" w14:textId="77777777" w:rsidTr="00980EF6">
        <w:tc>
          <w:tcPr>
            <w:tcW w:w="2547" w:type="dxa"/>
            <w:vAlign w:val="bottom"/>
          </w:tcPr>
          <w:p w14:paraId="06795085" w14:textId="77777777" w:rsidR="003242B2" w:rsidRDefault="003242B2" w:rsidP="009E3ADD">
            <w:pPr>
              <w:rPr>
                <w:rFonts w:ascii="Calibri" w:hAnsi="Calibri" w:cs="Calibri"/>
                <w:color w:val="000000"/>
              </w:rPr>
            </w:pPr>
            <w:r>
              <w:rPr>
                <w:rFonts w:ascii="Calibri" w:hAnsi="Calibri" w:cs="Calibri"/>
                <w:color w:val="000000"/>
              </w:rPr>
              <w:t>NMCE</w:t>
            </w:r>
          </w:p>
        </w:tc>
        <w:tc>
          <w:tcPr>
            <w:tcW w:w="4664" w:type="dxa"/>
            <w:vAlign w:val="bottom"/>
          </w:tcPr>
          <w:p w14:paraId="7712BF5A" w14:textId="77777777" w:rsidR="003242B2" w:rsidRDefault="003242B2" w:rsidP="009E3ADD">
            <w:pPr>
              <w:rPr>
                <w:rFonts w:ascii="Calibri" w:hAnsi="Calibri" w:cs="Calibri"/>
                <w:color w:val="000000"/>
              </w:rPr>
            </w:pPr>
            <w:r>
              <w:rPr>
                <w:rFonts w:ascii="Calibri" w:hAnsi="Calibri" w:cs="Calibri"/>
                <w:color w:val="000000"/>
              </w:rPr>
              <w:t xml:space="preserve">Non-material </w:t>
            </w:r>
            <w:proofErr w:type="spellStart"/>
            <w:r>
              <w:rPr>
                <w:rFonts w:ascii="Calibri" w:hAnsi="Calibri" w:cs="Calibri"/>
                <w:color w:val="000000"/>
              </w:rPr>
              <w:t>constituent</w:t>
            </w:r>
            <w:proofErr w:type="spellEnd"/>
            <w:r>
              <w:rPr>
                <w:rFonts w:ascii="Calibri" w:hAnsi="Calibri" w:cs="Calibri"/>
                <w:color w:val="000000"/>
              </w:rPr>
              <w:t xml:space="preserve"> </w:t>
            </w:r>
            <w:proofErr w:type="spellStart"/>
            <w:r>
              <w:rPr>
                <w:rFonts w:ascii="Calibri" w:hAnsi="Calibri" w:cs="Calibri"/>
                <w:color w:val="000000"/>
              </w:rPr>
              <w:t>entities</w:t>
            </w:r>
            <w:proofErr w:type="spellEnd"/>
          </w:p>
        </w:tc>
        <w:tc>
          <w:tcPr>
            <w:tcW w:w="5542" w:type="dxa"/>
            <w:vAlign w:val="bottom"/>
          </w:tcPr>
          <w:p w14:paraId="2543D303" w14:textId="77777777" w:rsidR="003242B2" w:rsidRPr="006669B6" w:rsidRDefault="003242B2" w:rsidP="009E3ADD">
            <w:pPr>
              <w:rPr>
                <w:rFonts w:cstheme="minorHAnsi"/>
                <w:color w:val="000000"/>
              </w:rPr>
            </w:pPr>
            <w:r w:rsidRPr="006669B6">
              <w:rPr>
                <w:rFonts w:cstheme="minorHAnsi"/>
                <w:color w:val="000000"/>
              </w:rPr>
              <w:t>Nepomembni subjekti v sestavi</w:t>
            </w:r>
          </w:p>
        </w:tc>
      </w:tr>
      <w:tr w:rsidR="00560EF3" w14:paraId="2BDF0866" w14:textId="77777777" w:rsidTr="00980EF6">
        <w:tc>
          <w:tcPr>
            <w:tcW w:w="2547" w:type="dxa"/>
            <w:vAlign w:val="bottom"/>
          </w:tcPr>
          <w:p w14:paraId="27B9E123" w14:textId="77777777" w:rsidR="00560EF3" w:rsidRDefault="00560EF3" w:rsidP="00560EF3">
            <w:pPr>
              <w:rPr>
                <w:rFonts w:ascii="Calibri" w:hAnsi="Calibri" w:cs="Calibri"/>
                <w:color w:val="000000"/>
              </w:rPr>
            </w:pPr>
            <w:r>
              <w:rPr>
                <w:rFonts w:ascii="Calibri" w:hAnsi="Calibri" w:cs="Calibri"/>
                <w:color w:val="000000"/>
              </w:rPr>
              <w:t>SBIE</w:t>
            </w:r>
          </w:p>
        </w:tc>
        <w:tc>
          <w:tcPr>
            <w:tcW w:w="4664" w:type="dxa"/>
            <w:vAlign w:val="bottom"/>
          </w:tcPr>
          <w:p w14:paraId="20FED21C" w14:textId="77777777" w:rsidR="00560EF3" w:rsidRDefault="00560EF3" w:rsidP="00560EF3">
            <w:pPr>
              <w:rPr>
                <w:rFonts w:ascii="Calibri" w:hAnsi="Calibri" w:cs="Calibri"/>
                <w:color w:val="000000"/>
              </w:rPr>
            </w:pPr>
            <w:proofErr w:type="spellStart"/>
            <w:r>
              <w:rPr>
                <w:rFonts w:ascii="Arial" w:hAnsi="Arial" w:cs="Arial"/>
                <w:sz w:val="20"/>
                <w:szCs w:val="20"/>
              </w:rPr>
              <w:t>S</w:t>
            </w:r>
            <w:r w:rsidRPr="00511359">
              <w:rPr>
                <w:rFonts w:ascii="Arial" w:hAnsi="Arial" w:cs="Arial"/>
                <w:sz w:val="20"/>
                <w:szCs w:val="20"/>
              </w:rPr>
              <w:t>ubject-based</w:t>
            </w:r>
            <w:proofErr w:type="spellEnd"/>
            <w:r w:rsidRPr="00511359">
              <w:rPr>
                <w:rFonts w:ascii="Arial" w:hAnsi="Arial" w:cs="Arial"/>
                <w:sz w:val="20"/>
                <w:szCs w:val="20"/>
              </w:rPr>
              <w:t xml:space="preserve"> </w:t>
            </w:r>
            <w:proofErr w:type="spellStart"/>
            <w:r w:rsidRPr="00511359">
              <w:rPr>
                <w:rFonts w:ascii="Arial" w:hAnsi="Arial" w:cs="Arial"/>
                <w:sz w:val="20"/>
                <w:szCs w:val="20"/>
              </w:rPr>
              <w:t>income</w:t>
            </w:r>
            <w:proofErr w:type="spellEnd"/>
            <w:r w:rsidRPr="00511359">
              <w:rPr>
                <w:rFonts w:ascii="Arial" w:hAnsi="Arial" w:cs="Arial"/>
                <w:sz w:val="20"/>
                <w:szCs w:val="20"/>
              </w:rPr>
              <w:t xml:space="preserve"> </w:t>
            </w:r>
            <w:proofErr w:type="spellStart"/>
            <w:r w:rsidRPr="00511359">
              <w:rPr>
                <w:rFonts w:ascii="Arial" w:hAnsi="Arial" w:cs="Arial"/>
                <w:sz w:val="20"/>
                <w:szCs w:val="20"/>
              </w:rPr>
              <w:t>exclusion</w:t>
            </w:r>
            <w:proofErr w:type="spellEnd"/>
            <w:r w:rsidRPr="00511359">
              <w:rPr>
                <w:rFonts w:ascii="Arial" w:hAnsi="Arial" w:cs="Arial"/>
                <w:sz w:val="20"/>
                <w:szCs w:val="20"/>
              </w:rPr>
              <w:t xml:space="preserve"> </w:t>
            </w:r>
          </w:p>
        </w:tc>
        <w:tc>
          <w:tcPr>
            <w:tcW w:w="5542" w:type="dxa"/>
            <w:vAlign w:val="bottom"/>
          </w:tcPr>
          <w:p w14:paraId="6ACF4034" w14:textId="77777777" w:rsidR="00560EF3" w:rsidRPr="006669B6" w:rsidRDefault="00560EF3" w:rsidP="00560EF3">
            <w:pPr>
              <w:rPr>
                <w:rFonts w:cstheme="minorHAnsi"/>
                <w:color w:val="000000"/>
              </w:rPr>
            </w:pPr>
            <w:r w:rsidRPr="006669B6">
              <w:rPr>
                <w:rFonts w:cstheme="minorHAnsi"/>
              </w:rPr>
              <w:t>Pravila vsebinske izključitve dohodkov</w:t>
            </w:r>
          </w:p>
        </w:tc>
      </w:tr>
      <w:tr w:rsidR="00560EF3" w14:paraId="72910C35" w14:textId="77777777" w:rsidTr="00980EF6">
        <w:tc>
          <w:tcPr>
            <w:tcW w:w="2547" w:type="dxa"/>
            <w:vAlign w:val="bottom"/>
          </w:tcPr>
          <w:p w14:paraId="2651EE20" w14:textId="77777777" w:rsidR="00560EF3" w:rsidRDefault="00560EF3" w:rsidP="00560EF3">
            <w:pPr>
              <w:rPr>
                <w:rFonts w:ascii="Calibri" w:hAnsi="Calibri" w:cs="Calibri"/>
                <w:color w:val="000000"/>
              </w:rPr>
            </w:pPr>
            <w:r>
              <w:rPr>
                <w:rFonts w:ascii="Calibri" w:hAnsi="Calibri" w:cs="Calibri"/>
                <w:color w:val="000000"/>
              </w:rPr>
              <w:t>(Q)IIR/(K)PVD</w:t>
            </w:r>
          </w:p>
        </w:tc>
        <w:tc>
          <w:tcPr>
            <w:tcW w:w="4664" w:type="dxa"/>
            <w:vAlign w:val="bottom"/>
          </w:tcPr>
          <w:p w14:paraId="3028F687" w14:textId="77777777" w:rsidR="00560EF3" w:rsidRDefault="00560EF3" w:rsidP="00560EF3">
            <w:r>
              <w:t>(</w:t>
            </w:r>
            <w:proofErr w:type="spellStart"/>
            <w:r>
              <w:t>Qualified</w:t>
            </w:r>
            <w:proofErr w:type="spellEnd"/>
            <w:r>
              <w:t xml:space="preserve">) </w:t>
            </w:r>
            <w:proofErr w:type="spellStart"/>
            <w:r>
              <w:t>Income</w:t>
            </w:r>
            <w:proofErr w:type="spellEnd"/>
            <w:r>
              <w:t xml:space="preserve"> </w:t>
            </w:r>
            <w:proofErr w:type="spellStart"/>
            <w:r>
              <w:t>Inclusion</w:t>
            </w:r>
            <w:proofErr w:type="spellEnd"/>
            <w:r>
              <w:t xml:space="preserve"> Rule</w:t>
            </w:r>
          </w:p>
        </w:tc>
        <w:tc>
          <w:tcPr>
            <w:tcW w:w="5542" w:type="dxa"/>
            <w:vAlign w:val="bottom"/>
          </w:tcPr>
          <w:p w14:paraId="2E8655A9" w14:textId="77777777" w:rsidR="00560EF3" w:rsidRPr="006669B6" w:rsidRDefault="00560EF3" w:rsidP="00560EF3">
            <w:pPr>
              <w:rPr>
                <w:rFonts w:cstheme="minorHAnsi"/>
              </w:rPr>
            </w:pPr>
            <w:r w:rsidRPr="006669B6">
              <w:rPr>
                <w:rFonts w:cstheme="minorHAnsi"/>
                <w:color w:val="000000"/>
              </w:rPr>
              <w:t>(kvalificirano) pravilo o vključitvi dohodkov</w:t>
            </w:r>
          </w:p>
        </w:tc>
      </w:tr>
      <w:tr w:rsidR="00560EF3" w14:paraId="464AC49C" w14:textId="77777777" w:rsidTr="00980EF6">
        <w:tc>
          <w:tcPr>
            <w:tcW w:w="2547" w:type="dxa"/>
            <w:vAlign w:val="bottom"/>
          </w:tcPr>
          <w:p w14:paraId="418E48F6" w14:textId="77777777" w:rsidR="00560EF3" w:rsidRDefault="00560EF3" w:rsidP="00560EF3">
            <w:pPr>
              <w:rPr>
                <w:rFonts w:ascii="Calibri" w:hAnsi="Calibri" w:cs="Calibri"/>
                <w:color w:val="000000"/>
              </w:rPr>
            </w:pPr>
            <w:r>
              <w:rPr>
                <w:rFonts w:ascii="Calibri" w:hAnsi="Calibri" w:cs="Calibri"/>
                <w:color w:val="000000"/>
              </w:rPr>
              <w:t>(Q)UTPR/(K)PPOD</w:t>
            </w:r>
          </w:p>
        </w:tc>
        <w:tc>
          <w:tcPr>
            <w:tcW w:w="4664" w:type="dxa"/>
            <w:vAlign w:val="bottom"/>
          </w:tcPr>
          <w:p w14:paraId="0A91DB04" w14:textId="77777777" w:rsidR="00560EF3" w:rsidRDefault="00560EF3" w:rsidP="00560EF3">
            <w:r>
              <w:t>(</w:t>
            </w:r>
            <w:proofErr w:type="spellStart"/>
            <w:r>
              <w:t>Qualified</w:t>
            </w:r>
            <w:proofErr w:type="spellEnd"/>
            <w:r>
              <w:t xml:space="preserve">) </w:t>
            </w:r>
            <w:proofErr w:type="spellStart"/>
            <w:r>
              <w:rPr>
                <w:rFonts w:ascii="Calibri" w:hAnsi="Calibri" w:cs="Calibri"/>
                <w:color w:val="000000"/>
              </w:rPr>
              <w:t>Undertaxed</w:t>
            </w:r>
            <w:proofErr w:type="spellEnd"/>
            <w:r>
              <w:rPr>
                <w:rFonts w:ascii="Calibri" w:hAnsi="Calibri" w:cs="Calibri"/>
                <w:color w:val="000000"/>
              </w:rPr>
              <w:t xml:space="preserve"> </w:t>
            </w:r>
            <w:proofErr w:type="spellStart"/>
            <w:r>
              <w:rPr>
                <w:rFonts w:ascii="Calibri" w:hAnsi="Calibri" w:cs="Calibri"/>
                <w:color w:val="000000"/>
              </w:rPr>
              <w:t>Payment</w:t>
            </w:r>
            <w:proofErr w:type="spellEnd"/>
            <w:r>
              <w:rPr>
                <w:rFonts w:ascii="Calibri" w:hAnsi="Calibri" w:cs="Calibri"/>
                <w:color w:val="000000"/>
              </w:rPr>
              <w:t xml:space="preserve"> rule</w:t>
            </w:r>
          </w:p>
        </w:tc>
        <w:tc>
          <w:tcPr>
            <w:tcW w:w="5542" w:type="dxa"/>
            <w:vAlign w:val="bottom"/>
          </w:tcPr>
          <w:p w14:paraId="188BCD2C" w14:textId="77777777" w:rsidR="00560EF3" w:rsidRPr="006669B6" w:rsidRDefault="00560EF3" w:rsidP="00560EF3">
            <w:pPr>
              <w:rPr>
                <w:rFonts w:cstheme="minorHAnsi"/>
              </w:rPr>
            </w:pPr>
            <w:r w:rsidRPr="006669B6">
              <w:rPr>
                <w:rFonts w:cstheme="minorHAnsi"/>
                <w:color w:val="000000"/>
              </w:rPr>
              <w:t xml:space="preserve">(kvalificirano) pravilo o prenizko obdavčenih </w:t>
            </w:r>
            <w:r w:rsidRPr="006669B6">
              <w:rPr>
                <w:rFonts w:cstheme="minorHAnsi"/>
                <w:color w:val="000000" w:themeColor="text1"/>
              </w:rPr>
              <w:t>dobičkih</w:t>
            </w:r>
          </w:p>
        </w:tc>
      </w:tr>
      <w:tr w:rsidR="00560EF3" w14:paraId="7F6BDBEB" w14:textId="77777777" w:rsidTr="00980EF6">
        <w:tc>
          <w:tcPr>
            <w:tcW w:w="2547" w:type="dxa"/>
            <w:vAlign w:val="bottom"/>
          </w:tcPr>
          <w:p w14:paraId="3D657448" w14:textId="77777777" w:rsidR="00560EF3" w:rsidRDefault="00560EF3" w:rsidP="00560EF3">
            <w:pPr>
              <w:rPr>
                <w:rFonts w:ascii="Calibri" w:hAnsi="Calibri" w:cs="Calibri"/>
                <w:color w:val="000000"/>
              </w:rPr>
            </w:pPr>
            <w:r>
              <w:rPr>
                <w:rFonts w:ascii="Calibri" w:hAnsi="Calibri" w:cs="Calibri"/>
                <w:color w:val="000000"/>
              </w:rPr>
              <w:t>(Q)DMTT/(K)DPD</w:t>
            </w:r>
          </w:p>
        </w:tc>
        <w:tc>
          <w:tcPr>
            <w:tcW w:w="4664" w:type="dxa"/>
            <w:vAlign w:val="bottom"/>
          </w:tcPr>
          <w:p w14:paraId="782ABF4D" w14:textId="77777777" w:rsidR="00560EF3" w:rsidRDefault="00560EF3" w:rsidP="00560EF3">
            <w:r>
              <w:t>(</w:t>
            </w:r>
            <w:proofErr w:type="spellStart"/>
            <w:r>
              <w:t>Qualified</w:t>
            </w:r>
            <w:proofErr w:type="spellEnd"/>
            <w:r>
              <w:t xml:space="preserve">) </w:t>
            </w:r>
            <w:proofErr w:type="spellStart"/>
            <w:r>
              <w:t>Domestic</w:t>
            </w:r>
            <w:proofErr w:type="spellEnd"/>
            <w:r>
              <w:t xml:space="preserve"> Top-up </w:t>
            </w:r>
            <w:proofErr w:type="spellStart"/>
            <w:r>
              <w:t>Tax</w:t>
            </w:r>
            <w:proofErr w:type="spellEnd"/>
          </w:p>
        </w:tc>
        <w:tc>
          <w:tcPr>
            <w:tcW w:w="5542" w:type="dxa"/>
            <w:vAlign w:val="bottom"/>
          </w:tcPr>
          <w:p w14:paraId="1AF9E250" w14:textId="77777777" w:rsidR="00560EF3" w:rsidRPr="006669B6" w:rsidRDefault="00560EF3" w:rsidP="00560EF3">
            <w:pPr>
              <w:rPr>
                <w:rFonts w:cstheme="minorHAnsi"/>
              </w:rPr>
            </w:pPr>
            <w:r w:rsidRPr="006669B6">
              <w:rPr>
                <w:rFonts w:cstheme="minorHAnsi"/>
              </w:rPr>
              <w:t>(kvalificiran) domači povrhnji davek</w:t>
            </w:r>
          </w:p>
        </w:tc>
      </w:tr>
      <w:tr w:rsidR="00560EF3" w14:paraId="6A6230BF" w14:textId="77777777" w:rsidTr="00980EF6">
        <w:tc>
          <w:tcPr>
            <w:tcW w:w="2547" w:type="dxa"/>
            <w:vAlign w:val="bottom"/>
          </w:tcPr>
          <w:p w14:paraId="67E0C3CD" w14:textId="77777777" w:rsidR="00560EF3" w:rsidRDefault="00560EF3" w:rsidP="00560EF3">
            <w:pPr>
              <w:rPr>
                <w:rFonts w:ascii="Calibri" w:hAnsi="Calibri" w:cs="Calibri"/>
                <w:color w:val="000000"/>
              </w:rPr>
            </w:pPr>
            <w:r>
              <w:rPr>
                <w:rFonts w:ascii="Calibri" w:hAnsi="Calibri" w:cs="Calibri"/>
                <w:color w:val="000000"/>
              </w:rPr>
              <w:t>CFS</w:t>
            </w:r>
          </w:p>
        </w:tc>
        <w:tc>
          <w:tcPr>
            <w:tcW w:w="4664" w:type="dxa"/>
            <w:vAlign w:val="bottom"/>
          </w:tcPr>
          <w:p w14:paraId="34C46C03" w14:textId="77777777" w:rsidR="00560EF3" w:rsidRDefault="00560EF3" w:rsidP="00560EF3">
            <w:proofErr w:type="spellStart"/>
            <w:r>
              <w:rPr>
                <w:rFonts w:ascii="Calibri" w:hAnsi="Calibri" w:cs="Calibri"/>
                <w:color w:val="000000"/>
              </w:rPr>
              <w:t>Consolidated</w:t>
            </w:r>
            <w:proofErr w:type="spellEnd"/>
            <w:r>
              <w:rPr>
                <w:rFonts w:ascii="Calibri" w:hAnsi="Calibri" w:cs="Calibri"/>
                <w:color w:val="000000"/>
              </w:rPr>
              <w:t xml:space="preserve"> </w:t>
            </w:r>
            <w:proofErr w:type="spellStart"/>
            <w:r>
              <w:rPr>
                <w:rFonts w:ascii="Calibri" w:hAnsi="Calibri" w:cs="Calibri"/>
                <w:color w:val="000000"/>
              </w:rPr>
              <w:t>financial</w:t>
            </w:r>
            <w:proofErr w:type="spellEnd"/>
            <w:r>
              <w:rPr>
                <w:rFonts w:ascii="Calibri" w:hAnsi="Calibri" w:cs="Calibri"/>
                <w:color w:val="000000"/>
              </w:rPr>
              <w:t xml:space="preserve"> </w:t>
            </w:r>
            <w:proofErr w:type="spellStart"/>
            <w:r>
              <w:rPr>
                <w:rFonts w:ascii="Calibri" w:hAnsi="Calibri" w:cs="Calibri"/>
                <w:color w:val="000000"/>
              </w:rPr>
              <w:t>Statements</w:t>
            </w:r>
            <w:proofErr w:type="spellEnd"/>
          </w:p>
        </w:tc>
        <w:tc>
          <w:tcPr>
            <w:tcW w:w="5542" w:type="dxa"/>
            <w:vAlign w:val="bottom"/>
          </w:tcPr>
          <w:p w14:paraId="6E706F13" w14:textId="77777777" w:rsidR="00560EF3" w:rsidRPr="006669B6" w:rsidRDefault="00560EF3" w:rsidP="00560EF3">
            <w:pPr>
              <w:rPr>
                <w:rFonts w:cstheme="minorHAnsi"/>
              </w:rPr>
            </w:pPr>
            <w:r w:rsidRPr="006669B6">
              <w:rPr>
                <w:rFonts w:cstheme="minorHAnsi"/>
              </w:rPr>
              <w:t>Konsolidirani finančni izkazi</w:t>
            </w:r>
          </w:p>
        </w:tc>
      </w:tr>
      <w:tr w:rsidR="00560EF3" w14:paraId="3159A6E6" w14:textId="77777777" w:rsidTr="00980EF6">
        <w:tc>
          <w:tcPr>
            <w:tcW w:w="2547" w:type="dxa"/>
            <w:vAlign w:val="bottom"/>
          </w:tcPr>
          <w:p w14:paraId="53F51189" w14:textId="77777777" w:rsidR="00560EF3" w:rsidRDefault="00560EF3" w:rsidP="00560EF3">
            <w:pPr>
              <w:rPr>
                <w:rFonts w:ascii="Calibri" w:hAnsi="Calibri" w:cs="Calibri"/>
                <w:color w:val="000000"/>
              </w:rPr>
            </w:pPr>
            <w:r>
              <w:rPr>
                <w:rFonts w:ascii="Calibri" w:hAnsi="Calibri" w:cs="Calibri"/>
                <w:color w:val="000000"/>
              </w:rPr>
              <w:t>ETR/DDS</w:t>
            </w:r>
          </w:p>
        </w:tc>
        <w:tc>
          <w:tcPr>
            <w:tcW w:w="4664" w:type="dxa"/>
            <w:vAlign w:val="bottom"/>
          </w:tcPr>
          <w:p w14:paraId="7BAEA229" w14:textId="77777777" w:rsidR="00560EF3" w:rsidRDefault="00560EF3" w:rsidP="00560EF3">
            <w:proofErr w:type="spellStart"/>
            <w:r>
              <w:t>Effective</w:t>
            </w:r>
            <w:proofErr w:type="spellEnd"/>
            <w:r>
              <w:t xml:space="preserve"> </w:t>
            </w:r>
            <w:proofErr w:type="spellStart"/>
            <w:r>
              <w:t>Tax</w:t>
            </w:r>
            <w:proofErr w:type="spellEnd"/>
            <w:r>
              <w:t xml:space="preserve"> </w:t>
            </w:r>
            <w:proofErr w:type="spellStart"/>
            <w:r>
              <w:t>Rate</w:t>
            </w:r>
            <w:proofErr w:type="spellEnd"/>
          </w:p>
        </w:tc>
        <w:tc>
          <w:tcPr>
            <w:tcW w:w="5542" w:type="dxa"/>
            <w:vAlign w:val="bottom"/>
          </w:tcPr>
          <w:p w14:paraId="75900696" w14:textId="77777777" w:rsidR="00560EF3" w:rsidRPr="006669B6" w:rsidRDefault="00560EF3" w:rsidP="00560EF3">
            <w:pPr>
              <w:rPr>
                <w:rFonts w:cstheme="minorHAnsi"/>
              </w:rPr>
            </w:pPr>
            <w:r w:rsidRPr="006669B6">
              <w:rPr>
                <w:rFonts w:cstheme="minorHAnsi"/>
              </w:rPr>
              <w:t>Dejanska davčna stopnja</w:t>
            </w:r>
          </w:p>
        </w:tc>
      </w:tr>
      <w:tr w:rsidR="00560EF3" w14:paraId="00DEC55F" w14:textId="77777777" w:rsidTr="00980EF6">
        <w:tc>
          <w:tcPr>
            <w:tcW w:w="2547" w:type="dxa"/>
            <w:vAlign w:val="bottom"/>
          </w:tcPr>
          <w:p w14:paraId="57648983" w14:textId="77777777" w:rsidR="00560EF3" w:rsidRDefault="00560EF3" w:rsidP="00560EF3">
            <w:pPr>
              <w:rPr>
                <w:rFonts w:ascii="Calibri" w:hAnsi="Calibri" w:cs="Calibri"/>
                <w:color w:val="000000"/>
              </w:rPr>
            </w:pPr>
            <w:r>
              <w:rPr>
                <w:rFonts w:ascii="Calibri" w:hAnsi="Calibri" w:cs="Calibri"/>
                <w:color w:val="000000"/>
              </w:rPr>
              <w:t>FANIL</w:t>
            </w:r>
          </w:p>
        </w:tc>
        <w:tc>
          <w:tcPr>
            <w:tcW w:w="4664" w:type="dxa"/>
            <w:vAlign w:val="bottom"/>
          </w:tcPr>
          <w:p w14:paraId="46FC5D20" w14:textId="77777777" w:rsidR="00560EF3" w:rsidRDefault="00560EF3" w:rsidP="00560EF3">
            <w:proofErr w:type="spellStart"/>
            <w:r>
              <w:t>Financial</w:t>
            </w:r>
            <w:proofErr w:type="spellEnd"/>
            <w:r>
              <w:t xml:space="preserve"> </w:t>
            </w:r>
            <w:proofErr w:type="spellStart"/>
            <w:r>
              <w:t>Accounting</w:t>
            </w:r>
            <w:proofErr w:type="spellEnd"/>
            <w:r>
              <w:t xml:space="preserve"> Net </w:t>
            </w:r>
            <w:proofErr w:type="spellStart"/>
            <w:r>
              <w:t>Income</w:t>
            </w:r>
            <w:proofErr w:type="spellEnd"/>
            <w:r>
              <w:t xml:space="preserve"> </w:t>
            </w:r>
            <w:proofErr w:type="spellStart"/>
            <w:r>
              <w:t>or</w:t>
            </w:r>
            <w:proofErr w:type="spellEnd"/>
            <w:r>
              <w:t xml:space="preserve"> </w:t>
            </w:r>
            <w:proofErr w:type="spellStart"/>
            <w:r>
              <w:t>Loss</w:t>
            </w:r>
            <w:proofErr w:type="spellEnd"/>
          </w:p>
        </w:tc>
        <w:tc>
          <w:tcPr>
            <w:tcW w:w="5542" w:type="dxa"/>
            <w:vAlign w:val="bottom"/>
          </w:tcPr>
          <w:p w14:paraId="5A8D7C1A" w14:textId="77777777" w:rsidR="00560EF3" w:rsidRPr="006669B6" w:rsidRDefault="00560EF3" w:rsidP="00560EF3">
            <w:pPr>
              <w:rPr>
                <w:rFonts w:cstheme="minorHAnsi"/>
              </w:rPr>
            </w:pPr>
            <w:r w:rsidRPr="006669B6">
              <w:rPr>
                <w:rFonts w:cstheme="minorHAnsi"/>
              </w:rPr>
              <w:t>Finančni računovodski neto dohodek ali izguba</w:t>
            </w:r>
          </w:p>
        </w:tc>
      </w:tr>
      <w:tr w:rsidR="00560EF3" w14:paraId="55BADA3A" w14:textId="77777777" w:rsidTr="00980EF6">
        <w:tc>
          <w:tcPr>
            <w:tcW w:w="2547" w:type="dxa"/>
            <w:vAlign w:val="bottom"/>
          </w:tcPr>
          <w:p w14:paraId="7D466B68" w14:textId="77777777" w:rsidR="00560EF3" w:rsidRDefault="00560EF3" w:rsidP="00560EF3">
            <w:pPr>
              <w:rPr>
                <w:rFonts w:ascii="Calibri" w:hAnsi="Calibri" w:cs="Calibri"/>
                <w:color w:val="000000"/>
              </w:rPr>
            </w:pPr>
            <w:r>
              <w:rPr>
                <w:rFonts w:ascii="Calibri" w:hAnsi="Calibri" w:cs="Calibri"/>
                <w:color w:val="000000"/>
              </w:rPr>
              <w:t>ZMD</w:t>
            </w:r>
          </w:p>
        </w:tc>
        <w:tc>
          <w:tcPr>
            <w:tcW w:w="4664" w:type="dxa"/>
            <w:vAlign w:val="bottom"/>
          </w:tcPr>
          <w:p w14:paraId="119360D5" w14:textId="77777777" w:rsidR="00560EF3" w:rsidRDefault="00560EF3" w:rsidP="00560EF3">
            <w:r>
              <w:t xml:space="preserve">Minimum </w:t>
            </w:r>
            <w:proofErr w:type="spellStart"/>
            <w:r>
              <w:t>Tax</w:t>
            </w:r>
            <w:proofErr w:type="spellEnd"/>
            <w:r>
              <w:t xml:space="preserve"> </w:t>
            </w:r>
            <w:proofErr w:type="spellStart"/>
            <w:r>
              <w:t>Act</w:t>
            </w:r>
            <w:proofErr w:type="spellEnd"/>
          </w:p>
        </w:tc>
        <w:tc>
          <w:tcPr>
            <w:tcW w:w="5542" w:type="dxa"/>
            <w:vAlign w:val="bottom"/>
          </w:tcPr>
          <w:p w14:paraId="5DF6878B" w14:textId="77777777" w:rsidR="00560EF3" w:rsidRPr="006669B6" w:rsidRDefault="00560EF3" w:rsidP="00560EF3">
            <w:pPr>
              <w:rPr>
                <w:rFonts w:cstheme="minorHAnsi"/>
              </w:rPr>
            </w:pPr>
            <w:r w:rsidRPr="006669B6">
              <w:rPr>
                <w:rFonts w:cstheme="minorHAnsi"/>
              </w:rPr>
              <w:t>Zakon o minimalnem davku</w:t>
            </w:r>
          </w:p>
        </w:tc>
      </w:tr>
      <w:tr w:rsidR="00560EF3" w14:paraId="01E88AE7" w14:textId="77777777" w:rsidTr="00980EF6">
        <w:tc>
          <w:tcPr>
            <w:tcW w:w="2547" w:type="dxa"/>
            <w:vAlign w:val="bottom"/>
          </w:tcPr>
          <w:p w14:paraId="7C52D123" w14:textId="77777777" w:rsidR="00560EF3" w:rsidRDefault="00560EF3" w:rsidP="00560EF3">
            <w:pPr>
              <w:rPr>
                <w:rFonts w:ascii="Calibri" w:hAnsi="Calibri" w:cs="Calibri"/>
                <w:color w:val="000000"/>
              </w:rPr>
            </w:pPr>
            <w:r>
              <w:rPr>
                <w:rFonts w:ascii="Calibri" w:hAnsi="Calibri" w:cs="Calibri"/>
                <w:color w:val="000000"/>
              </w:rPr>
              <w:t>OECD</w:t>
            </w:r>
          </w:p>
        </w:tc>
        <w:tc>
          <w:tcPr>
            <w:tcW w:w="4664" w:type="dxa"/>
            <w:vAlign w:val="bottom"/>
          </w:tcPr>
          <w:p w14:paraId="102E2567" w14:textId="77777777" w:rsidR="00560EF3" w:rsidRDefault="00560EF3" w:rsidP="00560EF3">
            <w:proofErr w:type="spellStart"/>
            <w:r>
              <w:t>Organisation</w:t>
            </w:r>
            <w:proofErr w:type="spellEnd"/>
            <w:r>
              <w:t xml:space="preserve"> </w:t>
            </w:r>
            <w:proofErr w:type="spellStart"/>
            <w:r>
              <w:t>for</w:t>
            </w:r>
            <w:proofErr w:type="spellEnd"/>
            <w:r>
              <w:t xml:space="preserve"> </w:t>
            </w:r>
            <w:proofErr w:type="spellStart"/>
            <w:r>
              <w:t>Economic</w:t>
            </w:r>
            <w:proofErr w:type="spellEnd"/>
            <w:r>
              <w:t xml:space="preserve"> Co-</w:t>
            </w:r>
            <w:proofErr w:type="spellStart"/>
            <w:r>
              <w:t>operation</w:t>
            </w:r>
            <w:proofErr w:type="spellEnd"/>
            <w:r>
              <w:t xml:space="preserve"> </w:t>
            </w:r>
            <w:proofErr w:type="spellStart"/>
            <w:r>
              <w:t>and</w:t>
            </w:r>
            <w:proofErr w:type="spellEnd"/>
            <w:r>
              <w:t xml:space="preserve"> </w:t>
            </w:r>
            <w:proofErr w:type="spellStart"/>
            <w:r>
              <w:t>Development</w:t>
            </w:r>
            <w:proofErr w:type="spellEnd"/>
          </w:p>
        </w:tc>
        <w:tc>
          <w:tcPr>
            <w:tcW w:w="5542" w:type="dxa"/>
            <w:vAlign w:val="bottom"/>
          </w:tcPr>
          <w:p w14:paraId="555D934B" w14:textId="77777777" w:rsidR="00560EF3" w:rsidRPr="006669B6" w:rsidRDefault="00560EF3" w:rsidP="00560EF3">
            <w:pPr>
              <w:rPr>
                <w:rFonts w:cstheme="minorHAnsi"/>
              </w:rPr>
            </w:pPr>
            <w:r w:rsidRPr="006669B6">
              <w:rPr>
                <w:rFonts w:cstheme="minorHAnsi"/>
              </w:rPr>
              <w:t>Organizacija za gospodarsko sodelovanje in razvoj</w:t>
            </w:r>
          </w:p>
        </w:tc>
      </w:tr>
      <w:tr w:rsidR="00560EF3" w14:paraId="08806D0F" w14:textId="77777777" w:rsidTr="00980EF6">
        <w:tc>
          <w:tcPr>
            <w:tcW w:w="2547" w:type="dxa"/>
            <w:vAlign w:val="bottom"/>
          </w:tcPr>
          <w:p w14:paraId="51256D8C" w14:textId="77777777" w:rsidR="00560EF3" w:rsidRDefault="00560EF3" w:rsidP="00560EF3">
            <w:pPr>
              <w:rPr>
                <w:rFonts w:ascii="Calibri" w:hAnsi="Calibri" w:cs="Calibri"/>
                <w:color w:val="000000"/>
              </w:rPr>
            </w:pPr>
            <w:r>
              <w:rPr>
                <w:rFonts w:ascii="Calibri" w:hAnsi="Calibri" w:cs="Calibri"/>
                <w:color w:val="000000"/>
              </w:rPr>
              <w:t>EU</w:t>
            </w:r>
          </w:p>
        </w:tc>
        <w:tc>
          <w:tcPr>
            <w:tcW w:w="4664" w:type="dxa"/>
            <w:vAlign w:val="bottom"/>
          </w:tcPr>
          <w:p w14:paraId="23E88574" w14:textId="77777777" w:rsidR="00560EF3" w:rsidRDefault="00560EF3" w:rsidP="00560EF3">
            <w:proofErr w:type="spellStart"/>
            <w:r>
              <w:t>European</w:t>
            </w:r>
            <w:proofErr w:type="spellEnd"/>
            <w:r>
              <w:t xml:space="preserve"> Union</w:t>
            </w:r>
          </w:p>
        </w:tc>
        <w:tc>
          <w:tcPr>
            <w:tcW w:w="5542" w:type="dxa"/>
            <w:vAlign w:val="bottom"/>
          </w:tcPr>
          <w:p w14:paraId="2A548BB5" w14:textId="77777777" w:rsidR="00560EF3" w:rsidRPr="006669B6" w:rsidRDefault="00560EF3" w:rsidP="00560EF3">
            <w:pPr>
              <w:rPr>
                <w:rFonts w:cstheme="minorHAnsi"/>
              </w:rPr>
            </w:pPr>
            <w:r w:rsidRPr="006669B6">
              <w:rPr>
                <w:rFonts w:cstheme="minorHAnsi"/>
              </w:rPr>
              <w:t>Evropska Unija</w:t>
            </w:r>
          </w:p>
        </w:tc>
      </w:tr>
      <w:tr w:rsidR="00560EF3" w14:paraId="63FA5C1D" w14:textId="77777777" w:rsidTr="00980EF6">
        <w:tc>
          <w:tcPr>
            <w:tcW w:w="2547" w:type="dxa"/>
            <w:vAlign w:val="bottom"/>
          </w:tcPr>
          <w:p w14:paraId="41E484CF" w14:textId="77777777" w:rsidR="00560EF3" w:rsidRDefault="00560EF3" w:rsidP="00560EF3">
            <w:pPr>
              <w:rPr>
                <w:rFonts w:ascii="Calibri" w:hAnsi="Calibri" w:cs="Calibri"/>
                <w:color w:val="000000"/>
              </w:rPr>
            </w:pPr>
            <w:r>
              <w:rPr>
                <w:rFonts w:ascii="Calibri" w:hAnsi="Calibri" w:cs="Calibri"/>
                <w:color w:val="000000"/>
              </w:rPr>
              <w:t>FURS</w:t>
            </w:r>
          </w:p>
        </w:tc>
        <w:tc>
          <w:tcPr>
            <w:tcW w:w="4664" w:type="dxa"/>
            <w:vAlign w:val="bottom"/>
          </w:tcPr>
          <w:p w14:paraId="76C7C10D" w14:textId="77777777" w:rsidR="00560EF3" w:rsidRDefault="00560EF3" w:rsidP="00560EF3">
            <w:proofErr w:type="spellStart"/>
            <w:r>
              <w:t>Financial</w:t>
            </w:r>
            <w:proofErr w:type="spellEnd"/>
            <w:r>
              <w:t xml:space="preserve"> </w:t>
            </w:r>
            <w:proofErr w:type="spellStart"/>
            <w:r>
              <w:t>Administration</w:t>
            </w:r>
            <w:proofErr w:type="spellEnd"/>
            <w:r>
              <w:t xml:space="preserve"> </w:t>
            </w:r>
            <w:proofErr w:type="spellStart"/>
            <w:r>
              <w:t>of</w:t>
            </w:r>
            <w:proofErr w:type="spellEnd"/>
            <w:r>
              <w:t xml:space="preserve"> </w:t>
            </w:r>
            <w:proofErr w:type="spellStart"/>
            <w:r>
              <w:t>Slovenia</w:t>
            </w:r>
            <w:proofErr w:type="spellEnd"/>
          </w:p>
        </w:tc>
        <w:tc>
          <w:tcPr>
            <w:tcW w:w="5542" w:type="dxa"/>
            <w:vAlign w:val="bottom"/>
          </w:tcPr>
          <w:p w14:paraId="68461757" w14:textId="77777777" w:rsidR="00560EF3" w:rsidRPr="006669B6" w:rsidRDefault="00560EF3" w:rsidP="00560EF3">
            <w:pPr>
              <w:rPr>
                <w:rFonts w:cstheme="minorHAnsi"/>
              </w:rPr>
            </w:pPr>
            <w:r w:rsidRPr="006669B6">
              <w:rPr>
                <w:rFonts w:cstheme="minorHAnsi"/>
              </w:rPr>
              <w:t>Finančna uprava Republike Slovenije</w:t>
            </w:r>
          </w:p>
        </w:tc>
      </w:tr>
      <w:tr w:rsidR="00560EF3" w14:paraId="66CE4DE3" w14:textId="77777777" w:rsidTr="00980EF6">
        <w:tc>
          <w:tcPr>
            <w:tcW w:w="2547" w:type="dxa"/>
            <w:vAlign w:val="bottom"/>
          </w:tcPr>
          <w:p w14:paraId="16ACB9E0" w14:textId="77777777" w:rsidR="00560EF3" w:rsidRDefault="00560EF3" w:rsidP="00560EF3">
            <w:pPr>
              <w:rPr>
                <w:rFonts w:ascii="Calibri" w:hAnsi="Calibri" w:cs="Calibri"/>
                <w:color w:val="000000"/>
              </w:rPr>
            </w:pPr>
            <w:r>
              <w:rPr>
                <w:rFonts w:ascii="Calibri" w:hAnsi="Calibri" w:cs="Calibri"/>
                <w:color w:val="000000"/>
              </w:rPr>
              <w:t>GLOBE (pravila)</w:t>
            </w:r>
          </w:p>
        </w:tc>
        <w:tc>
          <w:tcPr>
            <w:tcW w:w="4664" w:type="dxa"/>
            <w:vAlign w:val="bottom"/>
          </w:tcPr>
          <w:p w14:paraId="7B638B15" w14:textId="77777777" w:rsidR="00560EF3" w:rsidRDefault="00560EF3" w:rsidP="00560EF3"/>
        </w:tc>
        <w:tc>
          <w:tcPr>
            <w:tcW w:w="5542" w:type="dxa"/>
            <w:vAlign w:val="bottom"/>
          </w:tcPr>
          <w:p w14:paraId="34DB9420" w14:textId="77777777" w:rsidR="00560EF3" w:rsidRPr="006669B6" w:rsidRDefault="00560EF3" w:rsidP="00560EF3">
            <w:pPr>
              <w:rPr>
                <w:rFonts w:cstheme="minorHAnsi"/>
              </w:rPr>
            </w:pPr>
            <w:r w:rsidRPr="006669B6">
              <w:rPr>
                <w:rFonts w:cstheme="minorHAnsi"/>
              </w:rPr>
              <w:t>Pravila povrhnjega davka</w:t>
            </w:r>
          </w:p>
        </w:tc>
      </w:tr>
      <w:tr w:rsidR="00560EF3" w14:paraId="2671B210" w14:textId="77777777" w:rsidTr="00980EF6">
        <w:tc>
          <w:tcPr>
            <w:tcW w:w="2547" w:type="dxa"/>
          </w:tcPr>
          <w:p w14:paraId="138EFB7F" w14:textId="77777777" w:rsidR="00560EF3" w:rsidRDefault="00560EF3" w:rsidP="00560EF3">
            <w:pPr>
              <w:rPr>
                <w:rFonts w:ascii="Calibri" w:hAnsi="Calibri" w:cs="Calibri"/>
                <w:color w:val="000000"/>
              </w:rPr>
            </w:pPr>
            <w:r>
              <w:rPr>
                <w:rFonts w:ascii="Calibri" w:hAnsi="Calibri" w:cs="Calibri"/>
                <w:color w:val="000000"/>
              </w:rPr>
              <w:t>GIR</w:t>
            </w:r>
          </w:p>
        </w:tc>
        <w:tc>
          <w:tcPr>
            <w:tcW w:w="4664" w:type="dxa"/>
          </w:tcPr>
          <w:p w14:paraId="6F52FE8A" w14:textId="77777777" w:rsidR="00560EF3" w:rsidRDefault="00560EF3" w:rsidP="00560EF3">
            <w:r>
              <w:t xml:space="preserve">Globe </w:t>
            </w:r>
            <w:proofErr w:type="spellStart"/>
            <w:r>
              <w:t>Information</w:t>
            </w:r>
            <w:proofErr w:type="spellEnd"/>
            <w:r>
              <w:t xml:space="preserve"> </w:t>
            </w:r>
            <w:proofErr w:type="spellStart"/>
            <w:r>
              <w:t>Return</w:t>
            </w:r>
            <w:proofErr w:type="spellEnd"/>
          </w:p>
        </w:tc>
        <w:tc>
          <w:tcPr>
            <w:tcW w:w="5542" w:type="dxa"/>
          </w:tcPr>
          <w:p w14:paraId="5DFBF84E" w14:textId="7E010E7B" w:rsidR="00560EF3" w:rsidRPr="006669B6" w:rsidRDefault="00560EF3" w:rsidP="00560EF3">
            <w:pPr>
              <w:rPr>
                <w:rFonts w:cstheme="minorHAnsi"/>
              </w:rPr>
            </w:pPr>
            <w:r w:rsidRPr="006669B6">
              <w:rPr>
                <w:rFonts w:cstheme="minorHAnsi"/>
              </w:rPr>
              <w:t>Standardna predloga za informativni obrazec za obračun</w:t>
            </w:r>
            <w:r w:rsidR="008F6A83" w:rsidRPr="006669B6">
              <w:rPr>
                <w:rFonts w:cstheme="minorHAnsi"/>
              </w:rPr>
              <w:t xml:space="preserve"> (</w:t>
            </w:r>
            <w:r w:rsidR="00FA18EE" w:rsidRPr="006669B6">
              <w:rPr>
                <w:rFonts w:cstheme="minorHAnsi"/>
              </w:rPr>
              <w:t xml:space="preserve">informativni </w:t>
            </w:r>
            <w:r w:rsidR="008F6A83" w:rsidRPr="006669B6">
              <w:rPr>
                <w:rFonts w:cstheme="minorHAnsi"/>
              </w:rPr>
              <w:t>obrazec</w:t>
            </w:r>
            <w:r w:rsidR="0038726B" w:rsidRPr="006669B6">
              <w:rPr>
                <w:rFonts w:cstheme="minorHAnsi"/>
              </w:rPr>
              <w:t xml:space="preserve"> za obračun</w:t>
            </w:r>
            <w:r w:rsidR="008F6A83" w:rsidRPr="006669B6">
              <w:rPr>
                <w:rFonts w:cstheme="minorHAnsi"/>
              </w:rPr>
              <w:t>)</w:t>
            </w:r>
          </w:p>
        </w:tc>
      </w:tr>
      <w:tr w:rsidR="00560EF3" w14:paraId="4CAF0A89" w14:textId="77777777" w:rsidTr="00980EF6">
        <w:tc>
          <w:tcPr>
            <w:tcW w:w="2547" w:type="dxa"/>
          </w:tcPr>
          <w:p w14:paraId="72C8CE9A" w14:textId="77777777" w:rsidR="00560EF3" w:rsidRDefault="00560EF3" w:rsidP="00560EF3">
            <w:pPr>
              <w:rPr>
                <w:rFonts w:ascii="Calibri" w:hAnsi="Calibri" w:cs="Calibri"/>
                <w:color w:val="000000"/>
              </w:rPr>
            </w:pPr>
            <w:r>
              <w:rPr>
                <w:rFonts w:ascii="Calibri" w:hAnsi="Calibri" w:cs="Calibri"/>
                <w:color w:val="000000"/>
              </w:rPr>
              <w:t>STTR</w:t>
            </w:r>
          </w:p>
        </w:tc>
        <w:tc>
          <w:tcPr>
            <w:tcW w:w="4664" w:type="dxa"/>
          </w:tcPr>
          <w:p w14:paraId="1CAACC07" w14:textId="77777777" w:rsidR="00560EF3" w:rsidRDefault="00560EF3" w:rsidP="00560EF3">
            <w:proofErr w:type="spellStart"/>
            <w:r w:rsidRPr="00560EF3">
              <w:t>Subject</w:t>
            </w:r>
            <w:proofErr w:type="spellEnd"/>
            <w:r w:rsidRPr="00560EF3">
              <w:t xml:space="preserve"> to </w:t>
            </w:r>
            <w:proofErr w:type="spellStart"/>
            <w:r w:rsidRPr="00560EF3">
              <w:t>Tax</w:t>
            </w:r>
            <w:proofErr w:type="spellEnd"/>
            <w:r w:rsidRPr="00560EF3">
              <w:t xml:space="preserve"> Rule</w:t>
            </w:r>
          </w:p>
        </w:tc>
        <w:tc>
          <w:tcPr>
            <w:tcW w:w="5542" w:type="dxa"/>
          </w:tcPr>
          <w:p w14:paraId="5F61F98A" w14:textId="77777777" w:rsidR="00560EF3" w:rsidRPr="006669B6" w:rsidRDefault="00560EF3" w:rsidP="00560EF3">
            <w:pPr>
              <w:rPr>
                <w:rFonts w:cstheme="minorHAnsi"/>
              </w:rPr>
            </w:pPr>
            <w:r w:rsidRPr="006669B6">
              <w:rPr>
                <w:rFonts w:cstheme="minorHAnsi"/>
              </w:rPr>
              <w:t>Pravilo o obdavčitvi</w:t>
            </w:r>
          </w:p>
        </w:tc>
      </w:tr>
    </w:tbl>
    <w:p w14:paraId="7233F6B8" w14:textId="77777777" w:rsidR="0043107D" w:rsidRDefault="0043107D">
      <w:pPr>
        <w:sectPr w:rsidR="0043107D" w:rsidSect="00237DFD">
          <w:pgSz w:w="16838" w:h="11906" w:orient="landscape"/>
          <w:pgMar w:top="1418" w:right="1418" w:bottom="1418" w:left="1418" w:header="709" w:footer="709" w:gutter="0"/>
          <w:cols w:space="708"/>
          <w:docGrid w:linePitch="360"/>
        </w:sectPr>
      </w:pPr>
    </w:p>
    <w:p w14:paraId="4E8CDF96" w14:textId="77777777" w:rsidR="00DB65D9" w:rsidRPr="00E116ED" w:rsidRDefault="00DB65D9" w:rsidP="00DB65D9">
      <w:pPr>
        <w:pStyle w:val="FURSnaslov1"/>
        <w:rPr>
          <w:lang w:val="sl-SI"/>
        </w:rPr>
      </w:pPr>
      <w:bookmarkStart w:id="3" w:name="_Toc157425299"/>
      <w:r w:rsidRPr="00E116ED">
        <w:rPr>
          <w:lang w:val="sl-SI"/>
        </w:rPr>
        <w:lastRenderedPageBreak/>
        <w:t>1.0 Uvod</w:t>
      </w:r>
      <w:bookmarkEnd w:id="3"/>
    </w:p>
    <w:p w14:paraId="0D6A6951" w14:textId="77777777" w:rsidR="00DB65D9" w:rsidRPr="00E116ED" w:rsidRDefault="00DB65D9" w:rsidP="00861F2F">
      <w:pPr>
        <w:spacing w:after="0"/>
        <w:jc w:val="both"/>
        <w:rPr>
          <w:rFonts w:cs="Arial"/>
          <w:lang w:eastAsia="sl-SI"/>
        </w:rPr>
      </w:pPr>
    </w:p>
    <w:p w14:paraId="46570A83" w14:textId="77777777" w:rsidR="002B0DD6" w:rsidRPr="001D32AE" w:rsidRDefault="00F30E31" w:rsidP="002B0DD6">
      <w:pPr>
        <w:jc w:val="both"/>
        <w:rPr>
          <w:rFonts w:ascii="Arial" w:hAnsi="Arial" w:cs="Arial"/>
          <w:sz w:val="20"/>
          <w:szCs w:val="20"/>
          <w:lang w:eastAsia="sl-SI"/>
        </w:rPr>
      </w:pPr>
      <w:r w:rsidRPr="001D32AE">
        <w:rPr>
          <w:rFonts w:ascii="Arial" w:hAnsi="Arial" w:cs="Arial"/>
          <w:sz w:val="20"/>
          <w:szCs w:val="20"/>
          <w:lang w:eastAsia="sl-SI"/>
        </w:rPr>
        <w:t>Oktobra 2021 se je več kot 135 jurisdikcij</w:t>
      </w:r>
      <w:r w:rsidR="00406A62" w:rsidRPr="001D32AE">
        <w:rPr>
          <w:rFonts w:ascii="Arial" w:hAnsi="Arial" w:cs="Arial"/>
          <w:sz w:val="20"/>
          <w:szCs w:val="20"/>
          <w:lang w:eastAsia="sl-SI"/>
        </w:rPr>
        <w:t xml:space="preserve">, ki so </w:t>
      </w:r>
      <w:r w:rsidR="00DD2494" w:rsidRPr="001D32AE">
        <w:rPr>
          <w:rFonts w:ascii="Arial" w:hAnsi="Arial" w:cs="Arial"/>
          <w:sz w:val="20"/>
          <w:szCs w:val="20"/>
          <w:lang w:eastAsia="sl-SI"/>
        </w:rPr>
        <w:t>del vključujočega okvira</w:t>
      </w:r>
      <w:r w:rsidR="00406A62" w:rsidRPr="001D32AE">
        <w:rPr>
          <w:rFonts w:ascii="Arial" w:hAnsi="Arial" w:cs="Arial"/>
          <w:sz w:val="20"/>
          <w:szCs w:val="20"/>
          <w:lang w:eastAsia="sl-SI"/>
        </w:rPr>
        <w:t xml:space="preserve"> OECD,</w:t>
      </w:r>
      <w:r w:rsidRPr="001D32AE">
        <w:rPr>
          <w:rFonts w:ascii="Arial" w:hAnsi="Arial" w:cs="Arial"/>
          <w:sz w:val="20"/>
          <w:szCs w:val="20"/>
          <w:lang w:eastAsia="sl-SI"/>
        </w:rPr>
        <w:t xml:space="preserve"> pridružilo </w:t>
      </w:r>
      <w:proofErr w:type="spellStart"/>
      <w:r w:rsidRPr="001D32AE">
        <w:rPr>
          <w:rFonts w:ascii="Arial" w:hAnsi="Arial" w:cs="Arial"/>
          <w:sz w:val="20"/>
          <w:szCs w:val="20"/>
          <w:lang w:eastAsia="sl-SI"/>
        </w:rPr>
        <w:t>dvostebrni</w:t>
      </w:r>
      <w:proofErr w:type="spellEnd"/>
      <w:r w:rsidRPr="001D32AE">
        <w:rPr>
          <w:rFonts w:ascii="Arial" w:hAnsi="Arial" w:cs="Arial"/>
          <w:sz w:val="20"/>
          <w:szCs w:val="20"/>
          <w:lang w:eastAsia="sl-SI"/>
        </w:rPr>
        <w:t xml:space="preserve"> rešitvi za reformo mednarodne obdavčitve in zagotavljajo, da </w:t>
      </w:r>
      <w:proofErr w:type="spellStart"/>
      <w:r w:rsidRPr="001D32AE">
        <w:rPr>
          <w:rFonts w:ascii="Arial" w:hAnsi="Arial" w:cs="Arial"/>
          <w:sz w:val="20"/>
          <w:szCs w:val="20"/>
          <w:lang w:eastAsia="sl-SI"/>
        </w:rPr>
        <w:t>multinacionalna</w:t>
      </w:r>
      <w:proofErr w:type="spellEnd"/>
      <w:r w:rsidR="004D2C01" w:rsidRPr="001D32AE">
        <w:rPr>
          <w:rFonts w:ascii="Arial" w:hAnsi="Arial" w:cs="Arial"/>
          <w:sz w:val="20"/>
          <w:szCs w:val="20"/>
          <w:lang w:eastAsia="sl-SI"/>
        </w:rPr>
        <w:t xml:space="preserve"> in velika domača</w:t>
      </w:r>
      <w:r w:rsidRPr="001D32AE">
        <w:rPr>
          <w:rFonts w:ascii="Arial" w:hAnsi="Arial" w:cs="Arial"/>
          <w:sz w:val="20"/>
          <w:szCs w:val="20"/>
          <w:lang w:eastAsia="sl-SI"/>
        </w:rPr>
        <w:t xml:space="preserve"> podjetja plačajo pravičen delež davka ne glede na to, kje poslujejo in ustvarjajo dobiček.</w:t>
      </w:r>
      <w:r w:rsidRPr="001D32AE">
        <w:rPr>
          <w:rFonts w:ascii="Arial" w:hAnsi="Arial" w:cs="Arial"/>
          <w:sz w:val="20"/>
          <w:szCs w:val="20"/>
          <w:vertAlign w:val="superscript"/>
          <w:lang w:eastAsia="sl-SI"/>
        </w:rPr>
        <w:footnoteReference w:id="2"/>
      </w:r>
      <w:r w:rsidRPr="001D32AE">
        <w:rPr>
          <w:rFonts w:ascii="Arial" w:hAnsi="Arial" w:cs="Arial"/>
          <w:sz w:val="20"/>
          <w:szCs w:val="20"/>
          <w:lang w:eastAsia="sl-SI"/>
        </w:rPr>
        <w:t xml:space="preserve"> Pravila za boj proti globalni eroziji davčne osnove (</w:t>
      </w:r>
      <w:proofErr w:type="spellStart"/>
      <w:r w:rsidRPr="001D32AE">
        <w:rPr>
          <w:rFonts w:ascii="Arial" w:hAnsi="Arial" w:cs="Arial"/>
          <w:sz w:val="20"/>
          <w:szCs w:val="20"/>
          <w:lang w:eastAsia="sl-SI"/>
        </w:rPr>
        <w:t>GloBE</w:t>
      </w:r>
      <w:proofErr w:type="spellEnd"/>
      <w:r w:rsidRPr="001D32AE">
        <w:rPr>
          <w:rFonts w:ascii="Arial" w:hAnsi="Arial" w:cs="Arial"/>
          <w:sz w:val="20"/>
          <w:szCs w:val="20"/>
          <w:lang w:eastAsia="sl-SI"/>
        </w:rPr>
        <w:t>) skupaj s pravilom o obdavčitvi (</w:t>
      </w:r>
      <w:proofErr w:type="spellStart"/>
      <w:r w:rsidRPr="001D32AE">
        <w:rPr>
          <w:rFonts w:ascii="Arial" w:hAnsi="Arial" w:cs="Arial"/>
          <w:sz w:val="20"/>
          <w:szCs w:val="20"/>
          <w:lang w:eastAsia="sl-SI"/>
        </w:rPr>
        <w:t>Subject</w:t>
      </w:r>
      <w:proofErr w:type="spellEnd"/>
      <w:r w:rsidRPr="001D32AE">
        <w:rPr>
          <w:rFonts w:ascii="Arial" w:hAnsi="Arial" w:cs="Arial"/>
          <w:sz w:val="20"/>
          <w:szCs w:val="20"/>
          <w:lang w:eastAsia="sl-SI"/>
        </w:rPr>
        <w:t xml:space="preserve"> to </w:t>
      </w:r>
      <w:proofErr w:type="spellStart"/>
      <w:r w:rsidRPr="001D32AE">
        <w:rPr>
          <w:rFonts w:ascii="Arial" w:hAnsi="Arial" w:cs="Arial"/>
          <w:sz w:val="20"/>
          <w:szCs w:val="20"/>
          <w:lang w:eastAsia="sl-SI"/>
        </w:rPr>
        <w:t>Tax</w:t>
      </w:r>
      <w:proofErr w:type="spellEnd"/>
      <w:r w:rsidRPr="001D32AE">
        <w:rPr>
          <w:rFonts w:ascii="Arial" w:hAnsi="Arial" w:cs="Arial"/>
          <w:sz w:val="20"/>
          <w:szCs w:val="20"/>
          <w:lang w:eastAsia="sl-SI"/>
        </w:rPr>
        <w:t xml:space="preserve"> Rule – STTR) predstavljajo drugi steber </w:t>
      </w:r>
      <w:proofErr w:type="spellStart"/>
      <w:r w:rsidRPr="001D32AE">
        <w:rPr>
          <w:rFonts w:ascii="Arial" w:hAnsi="Arial" w:cs="Arial"/>
          <w:sz w:val="20"/>
          <w:szCs w:val="20"/>
          <w:lang w:eastAsia="sl-SI"/>
        </w:rPr>
        <w:t>dvostebrne</w:t>
      </w:r>
      <w:proofErr w:type="spellEnd"/>
      <w:r w:rsidRPr="001D32AE">
        <w:rPr>
          <w:rFonts w:ascii="Arial" w:hAnsi="Arial" w:cs="Arial"/>
          <w:sz w:val="20"/>
          <w:szCs w:val="20"/>
          <w:lang w:eastAsia="sl-SI"/>
        </w:rPr>
        <w:t xml:space="preserve"> rešitve za reševanje davčnih izzivov, ki izhajajo iz globalizacije in digitalizacije gospodarstva.</w:t>
      </w:r>
      <w:r w:rsidRPr="001D32AE">
        <w:rPr>
          <w:rFonts w:ascii="Arial" w:hAnsi="Arial" w:cs="Arial"/>
          <w:sz w:val="20"/>
          <w:szCs w:val="20"/>
          <w:vertAlign w:val="superscript"/>
          <w:lang w:eastAsia="sl-SI"/>
        </w:rPr>
        <w:footnoteReference w:id="3"/>
      </w:r>
      <w:r w:rsidRPr="001D32AE">
        <w:rPr>
          <w:rFonts w:ascii="Arial" w:hAnsi="Arial" w:cs="Arial"/>
          <w:sz w:val="20"/>
          <w:szCs w:val="20"/>
          <w:lang w:eastAsia="sl-SI"/>
        </w:rPr>
        <w:t xml:space="preserve"> STTR je pravilo na podlagi pogodbe, ki jurisdikcijam vira omogoča, da uvedejo povrhnji davek pri viru v nekaterih opredeljenih kategorijah čezmejnih plačil znotraj skupine, za katere veljajo nominalne stopnje davka od dohodkov pravnih oseb, nižje od 9 %. Pravila </w:t>
      </w:r>
      <w:proofErr w:type="spellStart"/>
      <w:r w:rsidRPr="001D32AE">
        <w:rPr>
          <w:rFonts w:ascii="Arial" w:hAnsi="Arial" w:cs="Arial"/>
          <w:sz w:val="20"/>
          <w:szCs w:val="20"/>
          <w:lang w:eastAsia="sl-SI"/>
        </w:rPr>
        <w:t>GloBE</w:t>
      </w:r>
      <w:proofErr w:type="spellEnd"/>
      <w:r w:rsidRPr="001D32AE">
        <w:rPr>
          <w:rFonts w:ascii="Arial" w:hAnsi="Arial" w:cs="Arial"/>
          <w:sz w:val="20"/>
          <w:szCs w:val="20"/>
          <w:lang w:eastAsia="sl-SI"/>
        </w:rPr>
        <w:t xml:space="preserve"> oziroma povrhnjega davka, ki jih obravnava ta dokument, so pravila, ki so bila uvedena v slovensko nacionalno zakonodajo z Zakonom o minimalnem davku (</w:t>
      </w:r>
      <w:r w:rsidR="0043107D" w:rsidRPr="001D32AE">
        <w:rPr>
          <w:rFonts w:ascii="Arial" w:hAnsi="Arial" w:cs="Arial"/>
          <w:sz w:val="20"/>
          <w:szCs w:val="20"/>
          <w:lang w:eastAsia="sl-SI"/>
        </w:rPr>
        <w:t>U</w:t>
      </w:r>
      <w:r w:rsidRPr="001D32AE">
        <w:rPr>
          <w:rFonts w:ascii="Arial" w:hAnsi="Arial" w:cs="Arial"/>
          <w:sz w:val="20"/>
          <w:szCs w:val="20"/>
          <w:lang w:eastAsia="sl-SI"/>
        </w:rPr>
        <w:t xml:space="preserve">r. </w:t>
      </w:r>
      <w:r w:rsidR="0043107D" w:rsidRPr="001D32AE">
        <w:rPr>
          <w:rFonts w:ascii="Arial" w:hAnsi="Arial" w:cs="Arial"/>
          <w:sz w:val="20"/>
          <w:szCs w:val="20"/>
          <w:lang w:eastAsia="sl-SI"/>
        </w:rPr>
        <w:t>l</w:t>
      </w:r>
      <w:r w:rsidRPr="001D32AE">
        <w:rPr>
          <w:rFonts w:ascii="Arial" w:hAnsi="Arial" w:cs="Arial"/>
          <w:sz w:val="20"/>
          <w:szCs w:val="20"/>
          <w:lang w:eastAsia="sl-SI"/>
        </w:rPr>
        <w:t xml:space="preserve">. RS, št. </w:t>
      </w:r>
      <w:r w:rsidR="00F362F5" w:rsidRPr="001D32AE">
        <w:rPr>
          <w:rFonts w:ascii="Arial" w:hAnsi="Arial" w:cs="Arial"/>
          <w:sz w:val="20"/>
          <w:szCs w:val="20"/>
          <w:lang w:eastAsia="sl-SI"/>
        </w:rPr>
        <w:t>131/2023; v nadaljnjem besedilu ZMD)</w:t>
      </w:r>
      <w:r w:rsidRPr="001D32AE">
        <w:rPr>
          <w:rFonts w:ascii="Arial" w:hAnsi="Arial" w:cs="Arial"/>
          <w:sz w:val="20"/>
          <w:szCs w:val="20"/>
          <w:lang w:eastAsia="sl-SI"/>
        </w:rPr>
        <w:t xml:space="preserve">, ki je bil sprejet dne </w:t>
      </w:r>
      <w:r w:rsidR="00F362F5" w:rsidRPr="001D32AE">
        <w:rPr>
          <w:rFonts w:ascii="Arial" w:hAnsi="Arial" w:cs="Arial"/>
          <w:sz w:val="20"/>
          <w:szCs w:val="20"/>
          <w:lang w:eastAsia="sl-SI"/>
        </w:rPr>
        <w:t>22.12.2023</w:t>
      </w:r>
      <w:r w:rsidRPr="001D32AE">
        <w:rPr>
          <w:rFonts w:ascii="Arial" w:hAnsi="Arial" w:cs="Arial"/>
          <w:sz w:val="20"/>
          <w:szCs w:val="20"/>
          <w:lang w:eastAsia="sl-SI"/>
        </w:rPr>
        <w:t xml:space="preserve">. Z ZMD se z letom 2024 uvaja </w:t>
      </w:r>
      <w:r w:rsidR="004D1FF5" w:rsidRPr="001D32AE">
        <w:rPr>
          <w:rFonts w:ascii="Arial" w:hAnsi="Arial" w:cs="Arial"/>
          <w:sz w:val="20"/>
          <w:szCs w:val="20"/>
          <w:lang w:eastAsia="sl-SI"/>
        </w:rPr>
        <w:t>minimalni davek</w:t>
      </w:r>
      <w:r w:rsidRPr="001D32AE">
        <w:rPr>
          <w:rFonts w:ascii="Arial" w:hAnsi="Arial" w:cs="Arial"/>
          <w:sz w:val="20"/>
          <w:szCs w:val="20"/>
          <w:lang w:eastAsia="sl-SI"/>
        </w:rPr>
        <w:t xml:space="preserve"> </w:t>
      </w:r>
      <w:r w:rsidR="00DD2494" w:rsidRPr="001D32AE">
        <w:rPr>
          <w:rFonts w:ascii="Arial" w:hAnsi="Arial" w:cs="Arial"/>
          <w:sz w:val="20"/>
          <w:szCs w:val="20"/>
          <w:lang w:eastAsia="sl-SI"/>
        </w:rPr>
        <w:t xml:space="preserve">najmanj </w:t>
      </w:r>
      <w:r w:rsidRPr="001D32AE">
        <w:rPr>
          <w:rFonts w:ascii="Arial" w:hAnsi="Arial" w:cs="Arial"/>
          <w:sz w:val="20"/>
          <w:szCs w:val="20"/>
          <w:lang w:eastAsia="sl-SI"/>
        </w:rPr>
        <w:t xml:space="preserve">do 15 % </w:t>
      </w:r>
      <w:r w:rsidR="00DD2494" w:rsidRPr="001D32AE">
        <w:rPr>
          <w:rFonts w:ascii="Arial" w:hAnsi="Arial" w:cs="Arial"/>
          <w:sz w:val="20"/>
          <w:szCs w:val="20"/>
          <w:lang w:eastAsia="sl-SI"/>
        </w:rPr>
        <w:t>od</w:t>
      </w:r>
      <w:r w:rsidRPr="001D32AE">
        <w:rPr>
          <w:rFonts w:ascii="Arial" w:hAnsi="Arial" w:cs="Arial"/>
          <w:sz w:val="20"/>
          <w:szCs w:val="20"/>
          <w:lang w:eastAsia="sl-SI"/>
        </w:rPr>
        <w:t xml:space="preserve"> nizko obdavčen</w:t>
      </w:r>
      <w:r w:rsidR="00DD2494" w:rsidRPr="001D32AE">
        <w:rPr>
          <w:rFonts w:ascii="Arial" w:hAnsi="Arial" w:cs="Arial"/>
          <w:sz w:val="20"/>
          <w:szCs w:val="20"/>
          <w:lang w:eastAsia="sl-SI"/>
        </w:rPr>
        <w:t>ih</w:t>
      </w:r>
      <w:r w:rsidRPr="001D32AE">
        <w:rPr>
          <w:rFonts w:ascii="Arial" w:hAnsi="Arial" w:cs="Arial"/>
          <w:sz w:val="20"/>
          <w:szCs w:val="20"/>
          <w:lang w:eastAsia="sl-SI"/>
        </w:rPr>
        <w:t xml:space="preserve"> dohodk</w:t>
      </w:r>
      <w:r w:rsidR="00DD2494" w:rsidRPr="001D32AE">
        <w:rPr>
          <w:rFonts w:ascii="Arial" w:hAnsi="Arial" w:cs="Arial"/>
          <w:sz w:val="20"/>
          <w:szCs w:val="20"/>
          <w:lang w:eastAsia="sl-SI"/>
        </w:rPr>
        <w:t>ov</w:t>
      </w:r>
      <w:r w:rsidRPr="001D32AE">
        <w:rPr>
          <w:rFonts w:ascii="Arial" w:hAnsi="Arial" w:cs="Arial"/>
          <w:sz w:val="20"/>
          <w:szCs w:val="20"/>
          <w:lang w:eastAsia="sl-SI"/>
        </w:rPr>
        <w:t xml:space="preserve"> davčnih zavezancev, ki so vključeni v področje uporabe. </w:t>
      </w:r>
    </w:p>
    <w:p w14:paraId="143B2560" w14:textId="1F3A4764" w:rsidR="00F30E31" w:rsidRPr="001D32AE" w:rsidRDefault="00DD2494" w:rsidP="0043107D">
      <w:pPr>
        <w:jc w:val="both"/>
        <w:rPr>
          <w:rFonts w:ascii="Arial" w:hAnsi="Arial" w:cs="Arial"/>
          <w:sz w:val="20"/>
          <w:szCs w:val="20"/>
          <w:lang w:eastAsia="sl-SI"/>
        </w:rPr>
      </w:pPr>
      <w:r w:rsidRPr="001D32AE">
        <w:rPr>
          <w:rFonts w:ascii="Arial" w:hAnsi="Arial" w:cs="Arial"/>
          <w:sz w:val="20"/>
          <w:szCs w:val="20"/>
          <w:lang w:eastAsia="sl-SI"/>
        </w:rPr>
        <w:t>Sistem m</w:t>
      </w:r>
      <w:r w:rsidR="004D1FF5" w:rsidRPr="001D32AE">
        <w:rPr>
          <w:rFonts w:ascii="Arial" w:hAnsi="Arial" w:cs="Arial"/>
          <w:sz w:val="20"/>
          <w:szCs w:val="20"/>
          <w:lang w:eastAsia="sl-SI"/>
        </w:rPr>
        <w:t>inimaln</w:t>
      </w:r>
      <w:r w:rsidRPr="001D32AE">
        <w:rPr>
          <w:rFonts w:ascii="Arial" w:hAnsi="Arial" w:cs="Arial"/>
          <w:sz w:val="20"/>
          <w:szCs w:val="20"/>
          <w:lang w:eastAsia="sl-SI"/>
        </w:rPr>
        <w:t>ega</w:t>
      </w:r>
      <w:r w:rsidR="004D1FF5" w:rsidRPr="001D32AE">
        <w:rPr>
          <w:rFonts w:ascii="Arial" w:hAnsi="Arial" w:cs="Arial"/>
          <w:sz w:val="20"/>
          <w:szCs w:val="20"/>
          <w:lang w:eastAsia="sl-SI"/>
        </w:rPr>
        <w:t xml:space="preserve"> davk</w:t>
      </w:r>
      <w:r w:rsidRPr="001D32AE">
        <w:rPr>
          <w:rFonts w:ascii="Arial" w:hAnsi="Arial" w:cs="Arial"/>
          <w:sz w:val="20"/>
          <w:szCs w:val="20"/>
          <w:lang w:eastAsia="sl-SI"/>
        </w:rPr>
        <w:t>a</w:t>
      </w:r>
      <w:r w:rsidR="004D1FF5" w:rsidRPr="001D32AE">
        <w:rPr>
          <w:rFonts w:ascii="Arial" w:hAnsi="Arial" w:cs="Arial"/>
          <w:sz w:val="20"/>
          <w:szCs w:val="20"/>
          <w:lang w:eastAsia="sl-SI"/>
        </w:rPr>
        <w:t xml:space="preserve"> sestavljata povrhnji davek in domači povrhnji davek. Povrhnji davek se plačuje na podlagi pravila o vključitvi dohodkov (ki vstopi v veljavo z letom 2024) in pravilom o prenizko obdavčenih dobičkih (ki začne veljati šele leta 2025)</w:t>
      </w:r>
      <w:r w:rsidR="006F2E69" w:rsidRPr="001D32AE">
        <w:rPr>
          <w:rFonts w:ascii="Arial" w:hAnsi="Arial" w:cs="Arial"/>
          <w:sz w:val="20"/>
          <w:szCs w:val="20"/>
          <w:lang w:eastAsia="sl-SI"/>
        </w:rPr>
        <w:t xml:space="preserve">. </w:t>
      </w:r>
      <w:r w:rsidR="002B0DD6" w:rsidRPr="001D32AE">
        <w:rPr>
          <w:rFonts w:ascii="Arial" w:hAnsi="Arial" w:cs="Arial"/>
          <w:sz w:val="20"/>
          <w:szCs w:val="20"/>
          <w:lang w:eastAsia="sl-SI"/>
        </w:rPr>
        <w:t>Poleg tega je del minimalnega davka domači povrhnji davek, ki obveznost plačila izračunanega povrhnjega davka nalaga domačim subjektom in ima tako prednost pred aplikacijo pravila IIR za povrhnji davek, ki je bil izračunan za subjekte v sestavi v Sloveniji. Na ta način bo imela Slovenija prv</w:t>
      </w:r>
      <w:r w:rsidR="005F2705">
        <w:rPr>
          <w:rFonts w:ascii="Arial" w:hAnsi="Arial" w:cs="Arial"/>
          <w:sz w:val="20"/>
          <w:szCs w:val="20"/>
          <w:lang w:eastAsia="sl-SI"/>
        </w:rPr>
        <w:t>a</w:t>
      </w:r>
      <w:r w:rsidR="002B0DD6" w:rsidRPr="001D32AE">
        <w:rPr>
          <w:rFonts w:ascii="Arial" w:hAnsi="Arial" w:cs="Arial"/>
          <w:sz w:val="20"/>
          <w:szCs w:val="20"/>
          <w:lang w:eastAsia="sl-SI"/>
        </w:rPr>
        <w:t xml:space="preserve"> pravico do obdavčitve po pravilih minimalnega davka</w:t>
      </w:r>
      <w:r w:rsidRPr="001D32AE">
        <w:rPr>
          <w:rFonts w:ascii="Arial" w:hAnsi="Arial" w:cs="Arial"/>
          <w:sz w:val="20"/>
          <w:szCs w:val="20"/>
          <w:lang w:eastAsia="sl-SI"/>
        </w:rPr>
        <w:t xml:space="preserve"> za subjekte, ki se nahajajo v Sloveniji</w:t>
      </w:r>
      <w:r w:rsidR="002B0DD6" w:rsidRPr="001D32AE">
        <w:rPr>
          <w:rFonts w:ascii="Arial" w:hAnsi="Arial" w:cs="Arial"/>
          <w:sz w:val="20"/>
          <w:szCs w:val="20"/>
          <w:lang w:eastAsia="sl-SI"/>
        </w:rPr>
        <w:t xml:space="preserve">, pri tem pa se bo v Sloveniji pobrani domači povrhnji davek upošteval pri izračunu povrhnjega davka po pravilih povrhnjega davka. </w:t>
      </w:r>
    </w:p>
    <w:p w14:paraId="3C1588ED" w14:textId="06CF8A0C" w:rsidR="00F30E31" w:rsidRPr="001D32AE" w:rsidRDefault="00F30E31" w:rsidP="0043107D">
      <w:pPr>
        <w:jc w:val="both"/>
        <w:rPr>
          <w:rFonts w:ascii="Arial" w:hAnsi="Arial" w:cs="Arial"/>
          <w:sz w:val="20"/>
          <w:szCs w:val="20"/>
          <w:lang w:eastAsia="sl-SI"/>
        </w:rPr>
      </w:pPr>
      <w:r w:rsidRPr="001D32AE">
        <w:rPr>
          <w:rFonts w:ascii="Arial" w:hAnsi="Arial" w:cs="Arial"/>
          <w:sz w:val="20"/>
          <w:szCs w:val="20"/>
          <w:lang w:eastAsia="sl-SI"/>
        </w:rPr>
        <w:t xml:space="preserve">Pravila povrhnjega davka, uvedena z ZMD, so zasnovana tako, da sovpadajo s pravili </w:t>
      </w:r>
      <w:r w:rsidR="00DD2494" w:rsidRPr="001D32AE">
        <w:rPr>
          <w:rFonts w:ascii="Arial" w:hAnsi="Arial" w:cs="Arial"/>
          <w:sz w:val="20"/>
          <w:szCs w:val="20"/>
          <w:lang w:eastAsia="sl-SI"/>
        </w:rPr>
        <w:t>OECD in Direktive EU (EU) 2022/2523 o zagotavljanju globalne minimalne davčne stopnje za mednarodne skupine podjetij in velike domače skupine v Uniji</w:t>
      </w:r>
      <w:r w:rsidR="004D1FF5" w:rsidRPr="001D32AE">
        <w:rPr>
          <w:rFonts w:ascii="Arial" w:hAnsi="Arial" w:cs="Arial"/>
          <w:sz w:val="20"/>
          <w:szCs w:val="20"/>
          <w:lang w:eastAsia="sl-SI"/>
        </w:rPr>
        <w:t>.</w:t>
      </w:r>
      <w:r w:rsidR="00DD2494" w:rsidRPr="001D32AE">
        <w:rPr>
          <w:rFonts w:ascii="Arial" w:hAnsi="Arial" w:cs="Arial"/>
          <w:sz w:val="20"/>
          <w:szCs w:val="20"/>
          <w:lang w:eastAsia="sl-SI"/>
        </w:rPr>
        <w:t xml:space="preserve"> ZMD </w:t>
      </w:r>
      <w:r w:rsidR="0043107D" w:rsidRPr="001D32AE">
        <w:rPr>
          <w:rFonts w:ascii="Arial" w:hAnsi="Arial" w:cs="Arial"/>
          <w:sz w:val="20"/>
          <w:szCs w:val="20"/>
          <w:lang w:eastAsia="sl-SI"/>
        </w:rPr>
        <w:t>se</w:t>
      </w:r>
      <w:r w:rsidR="00DD2494" w:rsidRPr="001D32AE">
        <w:rPr>
          <w:rFonts w:ascii="Arial" w:hAnsi="Arial" w:cs="Arial"/>
          <w:sz w:val="20"/>
          <w:szCs w:val="20"/>
          <w:lang w:eastAsia="sl-SI"/>
        </w:rPr>
        <w:t xml:space="preserve"> </w:t>
      </w:r>
      <w:r w:rsidR="00F362F5" w:rsidRPr="001D32AE">
        <w:rPr>
          <w:rFonts w:ascii="Arial" w:hAnsi="Arial" w:cs="Arial"/>
          <w:sz w:val="20"/>
          <w:szCs w:val="20"/>
          <w:lang w:eastAsia="sl-SI"/>
        </w:rPr>
        <w:t>na podlagi</w:t>
      </w:r>
      <w:r w:rsidR="00DD2494" w:rsidRPr="001D32AE">
        <w:rPr>
          <w:rFonts w:ascii="Arial" w:hAnsi="Arial" w:cs="Arial"/>
          <w:sz w:val="20"/>
          <w:szCs w:val="20"/>
          <w:lang w:eastAsia="sl-SI"/>
        </w:rPr>
        <w:t xml:space="preserve"> 3. člen</w:t>
      </w:r>
      <w:r w:rsidR="00560EF3">
        <w:rPr>
          <w:rFonts w:ascii="Arial" w:hAnsi="Arial" w:cs="Arial"/>
          <w:sz w:val="20"/>
          <w:szCs w:val="20"/>
          <w:lang w:eastAsia="sl-SI"/>
        </w:rPr>
        <w:t>a</w:t>
      </w:r>
      <w:r w:rsidR="0043107D" w:rsidRPr="001D32AE">
        <w:rPr>
          <w:rFonts w:ascii="Arial" w:hAnsi="Arial" w:cs="Arial"/>
          <w:sz w:val="20"/>
          <w:szCs w:val="20"/>
          <w:lang w:eastAsia="sl-SI"/>
        </w:rPr>
        <w:t xml:space="preserve"> razlaga in uporablja skladno</w:t>
      </w:r>
      <w:r w:rsidRPr="001D32AE">
        <w:rPr>
          <w:rFonts w:ascii="Arial" w:hAnsi="Arial" w:cs="Arial"/>
          <w:sz w:val="20"/>
          <w:szCs w:val="20"/>
          <w:lang w:eastAsia="sl-SI"/>
        </w:rPr>
        <w:t xml:space="preserve"> s komentarji in upravnimi smernicami</w:t>
      </w:r>
      <w:r w:rsidR="00DD2494" w:rsidRPr="001D32AE">
        <w:rPr>
          <w:rFonts w:ascii="Arial" w:hAnsi="Arial" w:cs="Arial"/>
          <w:sz w:val="20"/>
          <w:szCs w:val="20"/>
          <w:lang w:eastAsia="sl-SI"/>
        </w:rPr>
        <w:t>, ki jih ta dokument na kratko povzema</w:t>
      </w:r>
      <w:r w:rsidR="006F284F" w:rsidRPr="001D32AE">
        <w:rPr>
          <w:rFonts w:ascii="Arial" w:hAnsi="Arial" w:cs="Arial"/>
          <w:sz w:val="20"/>
          <w:szCs w:val="20"/>
          <w:lang w:eastAsia="sl-SI"/>
        </w:rPr>
        <w:t xml:space="preserve"> v delu splošnih določb</w:t>
      </w:r>
      <w:r w:rsidR="00DD2494" w:rsidRPr="001D32AE">
        <w:rPr>
          <w:rFonts w:ascii="Arial" w:hAnsi="Arial" w:cs="Arial"/>
          <w:sz w:val="20"/>
          <w:szCs w:val="20"/>
          <w:lang w:eastAsia="sl-SI"/>
        </w:rPr>
        <w:t>.</w:t>
      </w:r>
      <w:r w:rsidR="006F284F" w:rsidRPr="001D32AE">
        <w:rPr>
          <w:rFonts w:ascii="Arial" w:hAnsi="Arial" w:cs="Arial"/>
          <w:sz w:val="20"/>
          <w:szCs w:val="20"/>
          <w:lang w:eastAsia="sl-SI"/>
        </w:rPr>
        <w:t xml:space="preserve"> </w:t>
      </w:r>
      <w:r w:rsidR="007E77F1" w:rsidRPr="001D32AE">
        <w:rPr>
          <w:rFonts w:ascii="Arial" w:hAnsi="Arial" w:cs="Arial"/>
          <w:sz w:val="20"/>
          <w:szCs w:val="20"/>
          <w:lang w:eastAsia="sl-SI"/>
        </w:rPr>
        <w:t>Koraki izračunavanja povrhnjega davka so prikazani v točki 1.</w:t>
      </w:r>
      <w:r w:rsidR="006F284F" w:rsidRPr="001D32AE">
        <w:rPr>
          <w:rFonts w:ascii="Arial" w:hAnsi="Arial" w:cs="Arial"/>
          <w:sz w:val="20"/>
          <w:szCs w:val="20"/>
          <w:lang w:eastAsia="sl-SI"/>
        </w:rPr>
        <w:t>1</w:t>
      </w:r>
      <w:r w:rsidR="007E77F1" w:rsidRPr="001D32AE">
        <w:rPr>
          <w:rFonts w:ascii="Arial" w:hAnsi="Arial" w:cs="Arial"/>
          <w:sz w:val="20"/>
          <w:szCs w:val="20"/>
          <w:lang w:eastAsia="sl-SI"/>
        </w:rPr>
        <w:t xml:space="preserve"> dokumenta. </w:t>
      </w:r>
    </w:p>
    <w:p w14:paraId="2132B6A7" w14:textId="44C4D56E" w:rsidR="004D2C01" w:rsidRPr="00AF1AA4" w:rsidRDefault="0043107D" w:rsidP="0043107D">
      <w:pPr>
        <w:jc w:val="both"/>
        <w:rPr>
          <w:rFonts w:ascii="Arial" w:hAnsi="Arial" w:cs="Arial"/>
          <w:b/>
          <w:bCs/>
          <w:lang w:eastAsia="sl-SI"/>
        </w:rPr>
        <w:sectPr w:rsidR="004D2C01" w:rsidRPr="00AF1AA4" w:rsidSect="0043107D">
          <w:pgSz w:w="11906" w:h="16838" w:code="9"/>
          <w:pgMar w:top="1418" w:right="1418" w:bottom="1418" w:left="1418" w:header="709" w:footer="709" w:gutter="0"/>
          <w:cols w:space="708"/>
          <w:docGrid w:linePitch="360"/>
        </w:sectPr>
      </w:pPr>
      <w:r w:rsidRPr="00AF1AA4">
        <w:rPr>
          <w:rFonts w:ascii="Arial" w:hAnsi="Arial" w:cs="Arial"/>
          <w:b/>
          <w:bCs/>
          <w:lang w:eastAsia="sl-SI"/>
        </w:rPr>
        <w:t>Delo v zvezi s smernicami in mednarodno izmenjavo v okviru OECD in EU se v letu 2024 nadaljuje, zato bo dokument dopolnjevan skladno s smernicami, ki so bile in bodo izda</w:t>
      </w:r>
      <w:r w:rsidR="00F362F5" w:rsidRPr="00AF1AA4">
        <w:rPr>
          <w:rFonts w:ascii="Arial" w:hAnsi="Arial" w:cs="Arial"/>
          <w:b/>
          <w:bCs/>
          <w:lang w:eastAsia="sl-SI"/>
        </w:rPr>
        <w:t>n</w:t>
      </w:r>
      <w:r w:rsidRPr="00AF1AA4">
        <w:rPr>
          <w:rFonts w:ascii="Arial" w:hAnsi="Arial" w:cs="Arial"/>
          <w:b/>
          <w:bCs/>
          <w:lang w:eastAsia="sl-SI"/>
        </w:rPr>
        <w:t xml:space="preserve">e v naslednjih letih. Dokumenti, ki jih izdajajo OECD in EU v zvezi z minimalnim davkom, so objavljeni v izvirnem jeziku na </w:t>
      </w:r>
      <w:hyperlink r:id="rId10" w:history="1">
        <w:r w:rsidRPr="009D1465">
          <w:rPr>
            <w:rStyle w:val="Hiperpovezava"/>
            <w:rFonts w:ascii="Arial" w:hAnsi="Arial" w:cs="Arial"/>
            <w:b/>
            <w:bCs/>
            <w:lang w:eastAsia="sl-SI"/>
          </w:rPr>
          <w:t>spletnih straneh FURS</w:t>
        </w:r>
      </w:hyperlink>
      <w:r w:rsidRPr="00AF1AA4">
        <w:rPr>
          <w:rFonts w:ascii="Arial" w:hAnsi="Arial" w:cs="Arial"/>
          <w:b/>
          <w:bCs/>
          <w:lang w:eastAsia="sl-SI"/>
        </w:rPr>
        <w:t xml:space="preserve">. </w:t>
      </w:r>
      <w:r w:rsidR="00FD1603" w:rsidRPr="00AF1AA4">
        <w:rPr>
          <w:rFonts w:ascii="Arial" w:hAnsi="Arial" w:cs="Arial"/>
          <w:b/>
          <w:bCs/>
          <w:lang w:eastAsia="sl-SI"/>
        </w:rPr>
        <w:br w:type="page"/>
      </w:r>
    </w:p>
    <w:p w14:paraId="3195F43E" w14:textId="77777777" w:rsidR="00FD1603" w:rsidRDefault="00FD1603" w:rsidP="0043107D">
      <w:pPr>
        <w:jc w:val="both"/>
        <w:rPr>
          <w:rFonts w:cs="Arial"/>
          <w:lang w:eastAsia="sl-SI"/>
        </w:rPr>
      </w:pPr>
    </w:p>
    <w:p w14:paraId="60C7C49D" w14:textId="77777777" w:rsidR="00B5798A" w:rsidRPr="00A87CC1" w:rsidRDefault="00FD1603" w:rsidP="00DC691B">
      <w:pPr>
        <w:pStyle w:val="FURSnaslov2"/>
        <w:rPr>
          <w:sz w:val="20"/>
          <w:szCs w:val="20"/>
          <w:lang w:val="sl-SI"/>
        </w:rPr>
      </w:pPr>
      <w:bookmarkStart w:id="4" w:name="_Toc157425300"/>
      <w:r w:rsidRPr="00DC691B">
        <w:rPr>
          <w:sz w:val="22"/>
          <w:szCs w:val="22"/>
          <w:lang w:val="sl-SI" w:eastAsia="sl-SI"/>
        </w:rPr>
        <w:t xml:space="preserve">1.1. </w:t>
      </w:r>
      <w:bookmarkStart w:id="5" w:name="_Hlk153789786"/>
      <w:r w:rsidR="00B276D1">
        <w:rPr>
          <w:noProof/>
          <w:lang w:val="sl-SI" w:eastAsia="sl-SI"/>
        </w:rPr>
        <mc:AlternateContent>
          <mc:Choice Requires="wps">
            <w:drawing>
              <wp:anchor distT="0" distB="0" distL="114300" distR="114300" simplePos="0" relativeHeight="251659264" behindDoc="0" locked="0" layoutInCell="1" allowOverlap="1" wp14:anchorId="59EB0B77" wp14:editId="2923C347">
                <wp:simplePos x="0" y="0"/>
                <wp:positionH relativeFrom="column">
                  <wp:posOffset>2052955</wp:posOffset>
                </wp:positionH>
                <wp:positionV relativeFrom="paragraph">
                  <wp:posOffset>197485</wp:posOffset>
                </wp:positionV>
                <wp:extent cx="4476115" cy="1856105"/>
                <wp:effectExtent l="0" t="0" r="635" b="0"/>
                <wp:wrapNone/>
                <wp:docPr id="45" name="Pravokotnik: zaokroženi vogali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115" cy="185610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8609938" w14:textId="77777777" w:rsidR="008F6A83" w:rsidRDefault="008F6A83" w:rsidP="00582D2B">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osnovnega koraka</w:t>
                            </w:r>
                            <w:r w:rsidRPr="00582D2B">
                              <w:rPr>
                                <w:rFonts w:ascii="Times New Roman" w:hAnsi="Times New Roman" w:cs="Times New Roman"/>
                                <w:sz w:val="18"/>
                                <w:szCs w:val="18"/>
                              </w:rPr>
                              <w:t xml:space="preserve">: </w:t>
                            </w:r>
                          </w:p>
                          <w:p w14:paraId="7CE29F8E" w14:textId="77777777" w:rsidR="008F6A83" w:rsidRPr="00582D2B" w:rsidRDefault="008F6A83" w:rsidP="00582D2B">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M</w:t>
                            </w:r>
                            <w:r w:rsidRPr="00582D2B">
                              <w:rPr>
                                <w:rFonts w:ascii="Times New Roman" w:hAnsi="Times New Roman" w:cs="Times New Roman"/>
                                <w:sz w:val="18"/>
                                <w:szCs w:val="18"/>
                              </w:rPr>
                              <w:t xml:space="preserve">ednarodna skupina </w:t>
                            </w:r>
                            <w:r>
                              <w:rPr>
                                <w:rFonts w:ascii="Times New Roman" w:hAnsi="Times New Roman" w:cs="Times New Roman"/>
                                <w:sz w:val="18"/>
                                <w:szCs w:val="18"/>
                              </w:rPr>
                              <w:t>+ domača skupina</w:t>
                            </w:r>
                            <w:r w:rsidRPr="00582D2B">
                              <w:rPr>
                                <w:rFonts w:ascii="Times New Roman" w:hAnsi="Times New Roman" w:cs="Times New Roman"/>
                                <w:sz w:val="18"/>
                                <w:szCs w:val="18"/>
                              </w:rPr>
                              <w:t xml:space="preserve"> s konsolidiranim prihodkom skupine 750 mio EUR ali več</w:t>
                            </w:r>
                            <w:r>
                              <w:rPr>
                                <w:rFonts w:ascii="Times New Roman" w:hAnsi="Times New Roman" w:cs="Times New Roman"/>
                                <w:sz w:val="18"/>
                                <w:szCs w:val="18"/>
                              </w:rPr>
                              <w:t xml:space="preserve"> – uporaba praga pri prestrukturiranju</w:t>
                            </w:r>
                            <w:r w:rsidRPr="00582D2B">
                              <w:rPr>
                                <w:rFonts w:ascii="Times New Roman" w:hAnsi="Times New Roman" w:cs="Times New Roman"/>
                                <w:sz w:val="18"/>
                                <w:szCs w:val="18"/>
                              </w:rPr>
                              <w:t>;</w:t>
                            </w:r>
                          </w:p>
                          <w:p w14:paraId="1D0FFCDB" w14:textId="77777777" w:rsidR="008F6A83" w:rsidRPr="00582D2B" w:rsidRDefault="008F6A83" w:rsidP="00582D2B">
                            <w:pPr>
                              <w:pStyle w:val="Odstavekseznama"/>
                              <w:numPr>
                                <w:ilvl w:val="0"/>
                                <w:numId w:val="1"/>
                              </w:numPr>
                              <w:spacing w:after="0"/>
                              <w:jc w:val="both"/>
                              <w:rPr>
                                <w:rFonts w:ascii="Times New Roman" w:hAnsi="Times New Roman" w:cs="Times New Roman"/>
                                <w:sz w:val="18"/>
                                <w:szCs w:val="18"/>
                              </w:rPr>
                            </w:pPr>
                            <w:r w:rsidRPr="00582D2B">
                              <w:rPr>
                                <w:rFonts w:ascii="Times New Roman" w:hAnsi="Times New Roman" w:cs="Times New Roman"/>
                                <w:sz w:val="18"/>
                                <w:szCs w:val="18"/>
                              </w:rPr>
                              <w:t>Podskupine subjektov v sestavi – izključeni subjekti, skupni podvigi, investicijski skladi, transparentni subjekti,</w:t>
                            </w:r>
                            <w:r>
                              <w:rPr>
                                <w:rFonts w:ascii="Times New Roman" w:hAnsi="Times New Roman" w:cs="Times New Roman"/>
                                <w:sz w:val="18"/>
                                <w:szCs w:val="18"/>
                              </w:rPr>
                              <w:t xml:space="preserve"> krovni matični subjekti,</w:t>
                            </w:r>
                            <w:r w:rsidRPr="00582D2B">
                              <w:rPr>
                                <w:rFonts w:ascii="Times New Roman" w:hAnsi="Times New Roman" w:cs="Times New Roman"/>
                                <w:sz w:val="18"/>
                                <w:szCs w:val="18"/>
                              </w:rPr>
                              <w:t xml:space="preserve"> vmesni matični subjekti, matični subjekti v delni lasti;</w:t>
                            </w:r>
                          </w:p>
                          <w:p w14:paraId="09641130" w14:textId="77777777" w:rsidR="008F6A83" w:rsidRPr="00582D2B" w:rsidRDefault="008F6A83" w:rsidP="00582D2B">
                            <w:pPr>
                              <w:pStyle w:val="Odstavekseznama"/>
                              <w:numPr>
                                <w:ilvl w:val="0"/>
                                <w:numId w:val="1"/>
                              </w:numPr>
                              <w:spacing w:after="0"/>
                              <w:jc w:val="both"/>
                              <w:rPr>
                                <w:rFonts w:ascii="Times New Roman" w:hAnsi="Times New Roman" w:cs="Times New Roman"/>
                                <w:sz w:val="18"/>
                                <w:szCs w:val="18"/>
                              </w:rPr>
                            </w:pPr>
                            <w:r w:rsidRPr="00582D2B">
                              <w:rPr>
                                <w:rFonts w:ascii="Times New Roman" w:hAnsi="Times New Roman" w:cs="Times New Roman"/>
                                <w:sz w:val="18"/>
                                <w:szCs w:val="18"/>
                              </w:rPr>
                              <w:t xml:space="preserve">aplikativni varni pristani za jurisdikcijo: prehodni varni pristani, stalni varni pristani - predvsem de </w:t>
                            </w:r>
                            <w:proofErr w:type="spellStart"/>
                            <w:r w:rsidRPr="00582D2B">
                              <w:rPr>
                                <w:rFonts w:ascii="Times New Roman" w:hAnsi="Times New Roman" w:cs="Times New Roman"/>
                                <w:sz w:val="18"/>
                                <w:szCs w:val="18"/>
                              </w:rPr>
                              <w:t>minimis</w:t>
                            </w:r>
                            <w:proofErr w:type="spellEnd"/>
                            <w:r w:rsidRPr="00582D2B">
                              <w:rPr>
                                <w:rFonts w:ascii="Times New Roman" w:hAnsi="Times New Roman" w:cs="Times New Roman"/>
                                <w:sz w:val="18"/>
                                <w:szCs w:val="18"/>
                              </w:rPr>
                              <w:t xml:space="preserve"> opcija, začetna faza delovanja ali varni pristan QDMTT – učinek je poenostavitev kalkulacij oziroma, da ni treba opraviti</w:t>
                            </w:r>
                            <w:r>
                              <w:rPr>
                                <w:rFonts w:ascii="Times New Roman" w:hAnsi="Times New Roman" w:cs="Times New Roman"/>
                                <w:sz w:val="18"/>
                                <w:szCs w:val="18"/>
                              </w:rPr>
                              <w:t xml:space="preserve"> nekaterih</w:t>
                            </w:r>
                            <w:r w:rsidRPr="00582D2B">
                              <w:rPr>
                                <w:rFonts w:ascii="Times New Roman" w:hAnsi="Times New Roman" w:cs="Times New Roman"/>
                                <w:sz w:val="18"/>
                                <w:szCs w:val="18"/>
                              </w:rPr>
                              <w:t xml:space="preserve"> kalkulacij.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E6A6C" id="Pravokotnik: zaokroženi vogali 45" o:spid="_x0000_s1026" style="position:absolute;margin-left:161.65pt;margin-top:15.55pt;width:352.45pt;height:1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" fillcolor="white [3201]" strokecolor="#2f5496 [2404]" strokeweight="1pt">
                <v:stroke joinstyle="miter"/>
                <v:path arrowok="t"/>
                <v:textbox>
                  <w:txbxContent>
                    <w:p w:rsidR="008F6A83" w:rsidRDefault="008F6A83" w:rsidP="00582D2B">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osnovnega koraka</w:t>
                      </w:r>
                      <w:r w:rsidRPr="00582D2B">
                        <w:rPr>
                          <w:rFonts w:ascii="Times New Roman" w:hAnsi="Times New Roman" w:cs="Times New Roman"/>
                          <w:sz w:val="18"/>
                          <w:szCs w:val="18"/>
                        </w:rPr>
                        <w:t xml:space="preserve">: </w:t>
                      </w:r>
                    </w:p>
                    <w:p w:rsidR="008F6A83" w:rsidRPr="00582D2B" w:rsidRDefault="008F6A83" w:rsidP="00582D2B">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M</w:t>
                      </w:r>
                      <w:r w:rsidRPr="00582D2B">
                        <w:rPr>
                          <w:rFonts w:ascii="Times New Roman" w:hAnsi="Times New Roman" w:cs="Times New Roman"/>
                          <w:sz w:val="18"/>
                          <w:szCs w:val="18"/>
                        </w:rPr>
                        <w:t xml:space="preserve">ednarodna skupina </w:t>
                      </w:r>
                      <w:r>
                        <w:rPr>
                          <w:rFonts w:ascii="Times New Roman" w:hAnsi="Times New Roman" w:cs="Times New Roman"/>
                          <w:sz w:val="18"/>
                          <w:szCs w:val="18"/>
                        </w:rPr>
                        <w:t>+ domača skupina</w:t>
                      </w:r>
                      <w:r w:rsidRPr="00582D2B">
                        <w:rPr>
                          <w:rFonts w:ascii="Times New Roman" w:hAnsi="Times New Roman" w:cs="Times New Roman"/>
                          <w:sz w:val="18"/>
                          <w:szCs w:val="18"/>
                        </w:rPr>
                        <w:t xml:space="preserve"> s konsolidiranim prihodkom skupine 750 mio EUR ali več</w:t>
                      </w:r>
                      <w:r>
                        <w:rPr>
                          <w:rFonts w:ascii="Times New Roman" w:hAnsi="Times New Roman" w:cs="Times New Roman"/>
                          <w:sz w:val="18"/>
                          <w:szCs w:val="18"/>
                        </w:rPr>
                        <w:t xml:space="preserve"> – uporaba praga pri prestrukturiranju</w:t>
                      </w:r>
                      <w:r w:rsidRPr="00582D2B">
                        <w:rPr>
                          <w:rFonts w:ascii="Times New Roman" w:hAnsi="Times New Roman" w:cs="Times New Roman"/>
                          <w:sz w:val="18"/>
                          <w:szCs w:val="18"/>
                        </w:rPr>
                        <w:t>;</w:t>
                      </w:r>
                    </w:p>
                    <w:p w:rsidR="008F6A83" w:rsidRPr="00582D2B" w:rsidRDefault="008F6A83" w:rsidP="00582D2B">
                      <w:pPr>
                        <w:pStyle w:val="Odstavekseznama"/>
                        <w:numPr>
                          <w:ilvl w:val="0"/>
                          <w:numId w:val="1"/>
                        </w:numPr>
                        <w:spacing w:after="0"/>
                        <w:jc w:val="both"/>
                        <w:rPr>
                          <w:rFonts w:ascii="Times New Roman" w:hAnsi="Times New Roman" w:cs="Times New Roman"/>
                          <w:sz w:val="18"/>
                          <w:szCs w:val="18"/>
                        </w:rPr>
                      </w:pPr>
                      <w:r w:rsidRPr="00582D2B">
                        <w:rPr>
                          <w:rFonts w:ascii="Times New Roman" w:hAnsi="Times New Roman" w:cs="Times New Roman"/>
                          <w:sz w:val="18"/>
                          <w:szCs w:val="18"/>
                        </w:rPr>
                        <w:t>Podskupine subjektov v sestavi – izključeni subjekti, skupni podvigi, investicijski skladi, transparentni subjekti,</w:t>
                      </w:r>
                      <w:r>
                        <w:rPr>
                          <w:rFonts w:ascii="Times New Roman" w:hAnsi="Times New Roman" w:cs="Times New Roman"/>
                          <w:sz w:val="18"/>
                          <w:szCs w:val="18"/>
                        </w:rPr>
                        <w:t xml:space="preserve"> krovni matični subjekti,</w:t>
                      </w:r>
                      <w:r w:rsidRPr="00582D2B">
                        <w:rPr>
                          <w:rFonts w:ascii="Times New Roman" w:hAnsi="Times New Roman" w:cs="Times New Roman"/>
                          <w:sz w:val="18"/>
                          <w:szCs w:val="18"/>
                        </w:rPr>
                        <w:t xml:space="preserve"> vmesni matični subjekti, matični subjekti v delni lasti;</w:t>
                      </w:r>
                    </w:p>
                    <w:p w:rsidR="008F6A83" w:rsidRPr="00582D2B" w:rsidRDefault="008F6A83" w:rsidP="00582D2B">
                      <w:pPr>
                        <w:pStyle w:val="Odstavekseznama"/>
                        <w:numPr>
                          <w:ilvl w:val="0"/>
                          <w:numId w:val="1"/>
                        </w:numPr>
                        <w:spacing w:after="0"/>
                        <w:jc w:val="both"/>
                        <w:rPr>
                          <w:rFonts w:ascii="Times New Roman" w:hAnsi="Times New Roman" w:cs="Times New Roman"/>
                          <w:sz w:val="18"/>
                          <w:szCs w:val="18"/>
                        </w:rPr>
                      </w:pPr>
                      <w:r w:rsidRPr="00582D2B">
                        <w:rPr>
                          <w:rFonts w:ascii="Times New Roman" w:hAnsi="Times New Roman" w:cs="Times New Roman"/>
                          <w:sz w:val="18"/>
                          <w:szCs w:val="18"/>
                        </w:rPr>
                        <w:t>aplikativni varni pristani za jurisdikcijo: prehodni varni pristani, stalni varni pristani - predvsem de minimis opcija, začetna faza delovanja ali varni pristan QDMTT – učinek je poenostavitev kalkulacij oziroma, da ni treba opraviti</w:t>
                      </w:r>
                      <w:r>
                        <w:rPr>
                          <w:rFonts w:ascii="Times New Roman" w:hAnsi="Times New Roman" w:cs="Times New Roman"/>
                          <w:sz w:val="18"/>
                          <w:szCs w:val="18"/>
                        </w:rPr>
                        <w:t xml:space="preserve"> nekaterih</w:t>
                      </w:r>
                      <w:r w:rsidRPr="00582D2B">
                        <w:rPr>
                          <w:rFonts w:ascii="Times New Roman" w:hAnsi="Times New Roman" w:cs="Times New Roman"/>
                          <w:sz w:val="18"/>
                          <w:szCs w:val="18"/>
                        </w:rPr>
                        <w:t xml:space="preserve"> kalkulacij. </w:t>
                      </w:r>
                    </w:p>
                  </w:txbxContent>
                </v:textbox>
              </v:roundrect>
            </w:pict>
          </mc:Fallback>
        </mc:AlternateContent>
      </w:r>
      <w:r w:rsidR="00DB65D9" w:rsidRPr="00A87CC1">
        <w:rPr>
          <w:sz w:val="20"/>
          <w:szCs w:val="20"/>
          <w:lang w:val="sl-SI" w:eastAsia="sl-SI"/>
        </w:rPr>
        <w:t>Koraki izračunavanja povrhnjega davka</w:t>
      </w:r>
      <w:bookmarkEnd w:id="4"/>
    </w:p>
    <w:p w14:paraId="6ACEAFEC" w14:textId="77777777" w:rsidR="00582D2B" w:rsidRDefault="00B276D1" w:rsidP="004D2C01">
      <w:pPr>
        <w:ind w:left="426"/>
      </w:pPr>
      <w:r>
        <w:rPr>
          <w:noProof/>
          <w:lang w:eastAsia="sl-SI"/>
        </w:rPr>
        <mc:AlternateContent>
          <mc:Choice Requires="wps">
            <w:drawing>
              <wp:anchor distT="45720" distB="45720" distL="114300" distR="114300" simplePos="0" relativeHeight="251661312" behindDoc="0" locked="0" layoutInCell="1" allowOverlap="1" wp14:anchorId="5C07359C" wp14:editId="1BA09211">
                <wp:simplePos x="0" y="0"/>
                <wp:positionH relativeFrom="column">
                  <wp:posOffset>-613410</wp:posOffset>
                </wp:positionH>
                <wp:positionV relativeFrom="paragraph">
                  <wp:posOffset>306705</wp:posOffset>
                </wp:positionV>
                <wp:extent cx="2034540" cy="1398905"/>
                <wp:effectExtent l="0" t="0" r="3810" b="0"/>
                <wp:wrapSquare wrapText="bothSides"/>
                <wp:docPr id="44" name="Polje z besedilom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398905"/>
                        </a:xfrm>
                        <a:prstGeom prst="rect">
                          <a:avLst/>
                        </a:prstGeom>
                        <a:solidFill>
                          <a:srgbClr val="FFFFFF"/>
                        </a:solidFill>
                        <a:ln w="9525">
                          <a:solidFill>
                            <a:schemeClr val="accent1">
                              <a:lumMod val="75000"/>
                            </a:schemeClr>
                          </a:solidFill>
                          <a:miter lim="800000"/>
                          <a:headEnd/>
                          <a:tailEnd/>
                        </a:ln>
                      </wps:spPr>
                      <wps:txbx>
                        <w:txbxContent>
                          <w:p w14:paraId="553D65B8" w14:textId="77777777" w:rsidR="008F6A83" w:rsidRPr="00824866" w:rsidRDefault="008F6A83" w:rsidP="00582D2B">
                            <w:pPr>
                              <w:spacing w:after="0"/>
                              <w:jc w:val="center"/>
                              <w:rPr>
                                <w:rFonts w:ascii="Times New Roman" w:hAnsi="Times New Roman" w:cs="Times New Roman"/>
                                <w:b/>
                                <w:bCs/>
                                <w:sz w:val="18"/>
                                <w:szCs w:val="18"/>
                                <w:u w:val="single"/>
                              </w:rPr>
                            </w:pPr>
                            <w:r w:rsidRPr="00824866">
                              <w:rPr>
                                <w:rFonts w:ascii="Times New Roman" w:hAnsi="Times New Roman" w:cs="Times New Roman"/>
                                <w:b/>
                                <w:bCs/>
                                <w:sz w:val="18"/>
                                <w:szCs w:val="18"/>
                                <w:u w:val="single"/>
                              </w:rPr>
                              <w:t>KORAK 0</w:t>
                            </w:r>
                          </w:p>
                          <w:p w14:paraId="2F74392F" w14:textId="77777777" w:rsidR="008F6A83" w:rsidRDefault="008F6A83" w:rsidP="00582D2B">
                            <w:pPr>
                              <w:spacing w:after="0"/>
                              <w:jc w:val="center"/>
                              <w:rPr>
                                <w:rFonts w:ascii="Times New Roman" w:hAnsi="Times New Roman" w:cs="Times New Roman"/>
                                <w:sz w:val="18"/>
                                <w:szCs w:val="18"/>
                              </w:rPr>
                            </w:pPr>
                            <w:r w:rsidRPr="00E76549">
                              <w:rPr>
                                <w:rFonts w:ascii="Times New Roman" w:hAnsi="Times New Roman" w:cs="Times New Roman"/>
                                <w:sz w:val="18"/>
                                <w:szCs w:val="18"/>
                              </w:rPr>
                              <w:t>Identifikacija zavezanca in značilnosti subjektov v sestavi skupine</w:t>
                            </w:r>
                            <w:r>
                              <w:rPr>
                                <w:rFonts w:ascii="Times New Roman" w:hAnsi="Times New Roman" w:cs="Times New Roman"/>
                                <w:sz w:val="18"/>
                                <w:szCs w:val="18"/>
                              </w:rPr>
                              <w:t>;</w:t>
                            </w:r>
                          </w:p>
                          <w:p w14:paraId="18C284C9" w14:textId="77777777" w:rsidR="008F6A83" w:rsidRDefault="008F6A83" w:rsidP="00582D2B">
                            <w:pPr>
                              <w:spacing w:after="0"/>
                              <w:jc w:val="center"/>
                              <w:rPr>
                                <w:rFonts w:ascii="Times New Roman" w:hAnsi="Times New Roman" w:cs="Times New Roman"/>
                                <w:sz w:val="18"/>
                                <w:szCs w:val="18"/>
                              </w:rPr>
                            </w:pPr>
                            <w:r w:rsidRPr="00A87CC1">
                              <w:rPr>
                                <w:rFonts w:ascii="Times New Roman" w:hAnsi="Times New Roman" w:cs="Times New Roman"/>
                                <w:b/>
                                <w:bCs/>
                                <w:sz w:val="18"/>
                                <w:szCs w:val="18"/>
                              </w:rPr>
                              <w:t>BISTVO:</w:t>
                            </w:r>
                            <w:r>
                              <w:rPr>
                                <w:rFonts w:ascii="Times New Roman" w:hAnsi="Times New Roman" w:cs="Times New Roman"/>
                                <w:sz w:val="18"/>
                                <w:szCs w:val="18"/>
                              </w:rPr>
                              <w:t xml:space="preserve"> določitev obsega in relevantnost naslednjih korakov;</w:t>
                            </w:r>
                          </w:p>
                          <w:p w14:paraId="796CDC25" w14:textId="77777777" w:rsidR="008F6A83" w:rsidRPr="00E76549" w:rsidRDefault="008F6A83" w:rsidP="00582D2B">
                            <w:pPr>
                              <w:spacing w:after="0"/>
                              <w:jc w:val="center"/>
                              <w:rPr>
                                <w:rFonts w:ascii="Times New Roman" w:hAnsi="Times New Roman" w:cs="Times New Roman"/>
                                <w:sz w:val="18"/>
                                <w:szCs w:val="18"/>
                              </w:rPr>
                            </w:pPr>
                            <w:r w:rsidRPr="00A87CC1">
                              <w:rPr>
                                <w:rFonts w:ascii="Times New Roman" w:hAnsi="Times New Roman" w:cs="Times New Roman"/>
                                <w:b/>
                                <w:bCs/>
                                <w:sz w:val="18"/>
                                <w:szCs w:val="18"/>
                              </w:rPr>
                              <w:t>Bistveni členi ZMD:</w:t>
                            </w:r>
                            <w:r>
                              <w:rPr>
                                <w:rFonts w:ascii="Times New Roman" w:hAnsi="Times New Roman" w:cs="Times New Roman"/>
                                <w:sz w:val="18"/>
                                <w:szCs w:val="18"/>
                              </w:rPr>
                              <w:t xml:space="preserve"> 6. člen (področje uporabe), 7. člen (definicije), 43. člen (varni pristani), 44. člen (prag pri prestrukturiranju)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87BC4" id="_x0000_t202" coordsize="21600,21600" o:spt="202" path="m,l,21600r21600,l21600,xe">
                <v:stroke joinstyle="miter"/>
                <v:path gradientshapeok="t" o:connecttype="rect"/>
              </v:shapetype>
              <v:shape id="Polje z besedilom 44" o:spid="_x0000_s1027" type="#_x0000_t202" style="position:absolute;left:0;text-align:left;margin-left:-48.3pt;margin-top:24.15pt;width:160.2pt;height:11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" strokecolor="#2f5496 [2404]">
                <v:textbox>
                  <w:txbxContent>
                    <w:p w:rsidR="008F6A83" w:rsidRPr="00824866" w:rsidRDefault="008F6A83" w:rsidP="00582D2B">
                      <w:pPr>
                        <w:spacing w:after="0"/>
                        <w:jc w:val="center"/>
                        <w:rPr>
                          <w:rFonts w:ascii="Times New Roman" w:hAnsi="Times New Roman" w:cs="Times New Roman"/>
                          <w:b/>
                          <w:bCs/>
                          <w:sz w:val="18"/>
                          <w:szCs w:val="18"/>
                          <w:u w:val="single"/>
                        </w:rPr>
                      </w:pPr>
                      <w:r w:rsidRPr="00824866">
                        <w:rPr>
                          <w:rFonts w:ascii="Times New Roman" w:hAnsi="Times New Roman" w:cs="Times New Roman"/>
                          <w:b/>
                          <w:bCs/>
                          <w:sz w:val="18"/>
                          <w:szCs w:val="18"/>
                          <w:u w:val="single"/>
                        </w:rPr>
                        <w:t>KORAK 0</w:t>
                      </w:r>
                    </w:p>
                    <w:p w:rsidR="008F6A83" w:rsidRDefault="008F6A83" w:rsidP="00582D2B">
                      <w:pPr>
                        <w:spacing w:after="0"/>
                        <w:jc w:val="center"/>
                        <w:rPr>
                          <w:rFonts w:ascii="Times New Roman" w:hAnsi="Times New Roman" w:cs="Times New Roman"/>
                          <w:sz w:val="18"/>
                          <w:szCs w:val="18"/>
                        </w:rPr>
                      </w:pPr>
                      <w:r w:rsidRPr="00E76549">
                        <w:rPr>
                          <w:rFonts w:ascii="Times New Roman" w:hAnsi="Times New Roman" w:cs="Times New Roman"/>
                          <w:sz w:val="18"/>
                          <w:szCs w:val="18"/>
                        </w:rPr>
                        <w:t>Identifikacija zavezanca in značilnosti subjektov v sestavi skupine</w:t>
                      </w:r>
                      <w:r>
                        <w:rPr>
                          <w:rFonts w:ascii="Times New Roman" w:hAnsi="Times New Roman" w:cs="Times New Roman"/>
                          <w:sz w:val="18"/>
                          <w:szCs w:val="18"/>
                        </w:rPr>
                        <w:t>;</w:t>
                      </w:r>
                    </w:p>
                    <w:p w:rsidR="008F6A83" w:rsidRDefault="008F6A83" w:rsidP="00582D2B">
                      <w:pPr>
                        <w:spacing w:after="0"/>
                        <w:jc w:val="center"/>
                        <w:rPr>
                          <w:rFonts w:ascii="Times New Roman" w:hAnsi="Times New Roman" w:cs="Times New Roman"/>
                          <w:sz w:val="18"/>
                          <w:szCs w:val="18"/>
                        </w:rPr>
                      </w:pPr>
                      <w:r w:rsidRPr="00A87CC1">
                        <w:rPr>
                          <w:rFonts w:ascii="Times New Roman" w:hAnsi="Times New Roman" w:cs="Times New Roman"/>
                          <w:b/>
                          <w:bCs/>
                          <w:sz w:val="18"/>
                          <w:szCs w:val="18"/>
                        </w:rPr>
                        <w:t>BISTVO:</w:t>
                      </w:r>
                      <w:r>
                        <w:rPr>
                          <w:rFonts w:ascii="Times New Roman" w:hAnsi="Times New Roman" w:cs="Times New Roman"/>
                          <w:sz w:val="18"/>
                          <w:szCs w:val="18"/>
                        </w:rPr>
                        <w:t xml:space="preserve"> določitev obsega in relevantnost naslednjih korakov;</w:t>
                      </w:r>
                    </w:p>
                    <w:p w:rsidR="008F6A83" w:rsidRPr="00E76549" w:rsidRDefault="008F6A83" w:rsidP="00582D2B">
                      <w:pPr>
                        <w:spacing w:after="0"/>
                        <w:jc w:val="center"/>
                        <w:rPr>
                          <w:rFonts w:ascii="Times New Roman" w:hAnsi="Times New Roman" w:cs="Times New Roman"/>
                          <w:sz w:val="18"/>
                          <w:szCs w:val="18"/>
                        </w:rPr>
                      </w:pPr>
                      <w:r w:rsidRPr="00A87CC1">
                        <w:rPr>
                          <w:rFonts w:ascii="Times New Roman" w:hAnsi="Times New Roman" w:cs="Times New Roman"/>
                          <w:b/>
                          <w:bCs/>
                          <w:sz w:val="18"/>
                          <w:szCs w:val="18"/>
                        </w:rPr>
                        <w:t>Bistveni členi ZMD:</w:t>
                      </w:r>
                      <w:r>
                        <w:rPr>
                          <w:rFonts w:ascii="Times New Roman" w:hAnsi="Times New Roman" w:cs="Times New Roman"/>
                          <w:sz w:val="18"/>
                          <w:szCs w:val="18"/>
                        </w:rPr>
                        <w:t xml:space="preserve"> 6. člen (področje uporabe), 7. člen (definicije), 43. člen (varni pristani), 44. člen (prag pri prestrukturiranju)</w:t>
                      </w:r>
                    </w:p>
                  </w:txbxContent>
                </v:textbox>
                <w10:wrap type="square"/>
              </v:shape>
            </w:pict>
          </mc:Fallback>
        </mc:AlternateContent>
      </w:r>
    </w:p>
    <w:p w14:paraId="163FD85D" w14:textId="77777777" w:rsidR="00E76549" w:rsidRDefault="004D2C01" w:rsidP="004D2C01">
      <w:pPr>
        <w:ind w:left="426"/>
      </w:pPr>
      <w:r>
        <w:rPr>
          <w:noProof/>
          <w:lang w:eastAsia="sl-SI"/>
        </w:rPr>
        <mc:AlternateContent>
          <mc:Choice Requires="wps">
            <w:drawing>
              <wp:anchor distT="0" distB="0" distL="114300" distR="114300" simplePos="0" relativeHeight="251692032" behindDoc="0" locked="0" layoutInCell="1" allowOverlap="1" wp14:anchorId="7A105B55" wp14:editId="608CBED1">
                <wp:simplePos x="0" y="0"/>
                <wp:positionH relativeFrom="column">
                  <wp:posOffset>1545590</wp:posOffset>
                </wp:positionH>
                <wp:positionV relativeFrom="paragraph">
                  <wp:posOffset>142240</wp:posOffset>
                </wp:positionV>
                <wp:extent cx="340995" cy="1146175"/>
                <wp:effectExtent l="0" t="0" r="20955" b="15875"/>
                <wp:wrapNone/>
                <wp:docPr id="57" name="Levi zaviti oklepaj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86E1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i zaviti oklepaj 57" o:spid="_x0000_s1026" type="#_x0000_t87" style="position:absolute;margin-left:121.7pt;margin-top:11.2pt;width:26.85pt;height:9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" adj="535" strokecolor="#2f5496 [2404]" strokeweight="1pt">
                <v:stroke joinstyle="miter"/>
              </v:shape>
            </w:pict>
          </mc:Fallback>
        </mc:AlternateContent>
      </w:r>
      <w:r w:rsidR="00B276D1">
        <w:rPr>
          <w:noProof/>
          <w:lang w:eastAsia="sl-SI"/>
        </w:rPr>
        <mc:AlternateContent>
          <mc:Choice Requires="wps">
            <w:drawing>
              <wp:anchor distT="0" distB="0" distL="114300" distR="114300" simplePos="0" relativeHeight="251660288" behindDoc="0" locked="0" layoutInCell="1" allowOverlap="1" wp14:anchorId="12814A58" wp14:editId="050DD376">
                <wp:simplePos x="0" y="0"/>
                <wp:positionH relativeFrom="column">
                  <wp:posOffset>92710</wp:posOffset>
                </wp:positionH>
                <wp:positionV relativeFrom="paragraph">
                  <wp:posOffset>108585</wp:posOffset>
                </wp:positionV>
                <wp:extent cx="340995" cy="1146175"/>
                <wp:effectExtent l="0" t="0" r="1905" b="0"/>
                <wp:wrapNone/>
                <wp:docPr id="43" name="Levi zaviti oklepaj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00738A" id="Levi zaviti oklepaj 43" o:spid="_x0000_s1026" type="#_x0000_t87" style="position:absolute;margin-left:7.3pt;margin-top:8.55pt;width:26.85pt;height: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" adj="535" strokecolor="#2f5496 [2404]" strokeweight="1pt">
                <v:stroke joinstyle="miter"/>
              </v:shape>
            </w:pict>
          </mc:Fallback>
        </mc:AlternateContent>
      </w:r>
    </w:p>
    <w:p w14:paraId="2A5C235B" w14:textId="77777777" w:rsidR="00582D2B" w:rsidRDefault="00582D2B" w:rsidP="004D2C01">
      <w:pPr>
        <w:ind w:left="426"/>
      </w:pPr>
    </w:p>
    <w:p w14:paraId="2BC51D0C" w14:textId="77777777" w:rsidR="00582D2B" w:rsidRDefault="00582D2B" w:rsidP="004D2C01">
      <w:pPr>
        <w:ind w:left="426"/>
      </w:pPr>
    </w:p>
    <w:p w14:paraId="43F817AC" w14:textId="77777777" w:rsidR="00582D2B" w:rsidRDefault="00582D2B" w:rsidP="004D2C01">
      <w:pPr>
        <w:ind w:left="426"/>
      </w:pPr>
    </w:p>
    <w:p w14:paraId="1FB0F1CF" w14:textId="77777777" w:rsidR="00582D2B" w:rsidRDefault="00582D2B" w:rsidP="004D2C01">
      <w:pPr>
        <w:ind w:left="426"/>
      </w:pPr>
    </w:p>
    <w:p w14:paraId="6239613F" w14:textId="77777777" w:rsidR="00582D2B" w:rsidRDefault="00DB338C" w:rsidP="004D2C01">
      <w:pPr>
        <w:ind w:left="426"/>
      </w:pPr>
      <w:r>
        <w:rPr>
          <w:noProof/>
          <w:lang w:eastAsia="sl-SI"/>
        </w:rPr>
        <mc:AlternateContent>
          <mc:Choice Requires="wps">
            <w:drawing>
              <wp:anchor distT="45720" distB="45720" distL="114300" distR="114300" simplePos="0" relativeHeight="251665408" behindDoc="0" locked="0" layoutInCell="1" allowOverlap="1" wp14:anchorId="7E75FFE6" wp14:editId="0FE716F0">
                <wp:simplePos x="0" y="0"/>
                <wp:positionH relativeFrom="column">
                  <wp:posOffset>-605155</wp:posOffset>
                </wp:positionH>
                <wp:positionV relativeFrom="paragraph">
                  <wp:posOffset>328930</wp:posOffset>
                </wp:positionV>
                <wp:extent cx="2034540" cy="1593215"/>
                <wp:effectExtent l="0" t="0" r="22860" b="26035"/>
                <wp:wrapSquare wrapText="bothSides"/>
                <wp:docPr id="42" name="Polje z besedilom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593215"/>
                        </a:xfrm>
                        <a:prstGeom prst="rect">
                          <a:avLst/>
                        </a:prstGeom>
                        <a:solidFill>
                          <a:srgbClr val="FFFFFF"/>
                        </a:solidFill>
                        <a:ln w="9525">
                          <a:solidFill>
                            <a:schemeClr val="accent1">
                              <a:lumMod val="75000"/>
                            </a:schemeClr>
                          </a:solidFill>
                          <a:miter lim="800000"/>
                          <a:headEnd/>
                          <a:tailEnd/>
                        </a:ln>
                      </wps:spPr>
                      <wps:txbx>
                        <w:txbxContent>
                          <w:p w14:paraId="0C06B412" w14:textId="77777777" w:rsidR="008F6A83" w:rsidRPr="00824866" w:rsidRDefault="008F6A83" w:rsidP="00582D2B">
                            <w:pPr>
                              <w:spacing w:after="0"/>
                              <w:jc w:val="center"/>
                              <w:rPr>
                                <w:rFonts w:ascii="Times New Roman" w:hAnsi="Times New Roman" w:cs="Times New Roman"/>
                                <w:b/>
                                <w:bCs/>
                                <w:sz w:val="18"/>
                                <w:szCs w:val="18"/>
                                <w:u w:val="single"/>
                              </w:rPr>
                            </w:pPr>
                            <w:r w:rsidRPr="00824866">
                              <w:rPr>
                                <w:rFonts w:ascii="Times New Roman" w:hAnsi="Times New Roman" w:cs="Times New Roman"/>
                                <w:b/>
                                <w:bCs/>
                                <w:sz w:val="18"/>
                                <w:szCs w:val="18"/>
                                <w:u w:val="single"/>
                              </w:rPr>
                              <w:t>KORAK 1</w:t>
                            </w:r>
                          </w:p>
                          <w:p w14:paraId="7836BE8C" w14:textId="77777777" w:rsidR="008F6A83" w:rsidRDefault="008F6A83" w:rsidP="00582D2B">
                            <w:pPr>
                              <w:spacing w:after="0"/>
                              <w:jc w:val="center"/>
                              <w:rPr>
                                <w:rFonts w:ascii="Times New Roman" w:hAnsi="Times New Roman" w:cs="Times New Roman"/>
                                <w:sz w:val="18"/>
                                <w:szCs w:val="18"/>
                              </w:rPr>
                            </w:pPr>
                            <w:r>
                              <w:rPr>
                                <w:rFonts w:ascii="Times New Roman" w:hAnsi="Times New Roman" w:cs="Times New Roman"/>
                                <w:sz w:val="18"/>
                                <w:szCs w:val="18"/>
                              </w:rPr>
                              <w:t>Izračun ter pripis dohodkov in davkov subjektov v sestavi;</w:t>
                            </w:r>
                          </w:p>
                          <w:p w14:paraId="673900E9" w14:textId="77777777" w:rsidR="008F6A83" w:rsidRDefault="008F6A83" w:rsidP="00582D2B">
                            <w:pPr>
                              <w:spacing w:after="0"/>
                              <w:jc w:val="center"/>
                              <w:rPr>
                                <w:rFonts w:ascii="Times New Roman" w:hAnsi="Times New Roman" w:cs="Times New Roman"/>
                                <w:sz w:val="18"/>
                                <w:szCs w:val="18"/>
                              </w:rPr>
                            </w:pPr>
                            <w:r w:rsidRPr="00824866">
                              <w:rPr>
                                <w:rFonts w:ascii="Times New Roman" w:hAnsi="Times New Roman" w:cs="Times New Roman"/>
                                <w:b/>
                                <w:bCs/>
                                <w:sz w:val="18"/>
                                <w:szCs w:val="18"/>
                              </w:rPr>
                              <w:t>BISTVO:</w:t>
                            </w:r>
                            <w:r>
                              <w:rPr>
                                <w:rFonts w:ascii="Times New Roman" w:hAnsi="Times New Roman" w:cs="Times New Roman"/>
                                <w:sz w:val="18"/>
                                <w:szCs w:val="18"/>
                              </w:rPr>
                              <w:t xml:space="preserve"> Pridobitev vseh podatkov za izračune;</w:t>
                            </w:r>
                          </w:p>
                          <w:p w14:paraId="10E4D4D2" w14:textId="77777777" w:rsidR="008F6A83" w:rsidRPr="00824866" w:rsidRDefault="008F6A83" w:rsidP="00582D2B">
                            <w:pPr>
                              <w:spacing w:after="0"/>
                              <w:jc w:val="center"/>
                              <w:rPr>
                                <w:rFonts w:ascii="Times New Roman" w:hAnsi="Times New Roman" w:cs="Times New Roman"/>
                                <w:b/>
                                <w:bCs/>
                                <w:sz w:val="18"/>
                                <w:szCs w:val="18"/>
                              </w:rPr>
                            </w:pPr>
                            <w:r w:rsidRPr="00824866">
                              <w:rPr>
                                <w:rFonts w:ascii="Times New Roman" w:hAnsi="Times New Roman" w:cs="Times New Roman"/>
                                <w:b/>
                                <w:bCs/>
                                <w:sz w:val="18"/>
                                <w:szCs w:val="18"/>
                              </w:rPr>
                              <w:t>Bistveni členi ZMD:</w:t>
                            </w:r>
                            <w:r>
                              <w:rPr>
                                <w:rFonts w:ascii="Times New Roman" w:hAnsi="Times New Roman" w:cs="Times New Roman"/>
                                <w:b/>
                                <w:bCs/>
                                <w:sz w:val="18"/>
                                <w:szCs w:val="18"/>
                              </w:rPr>
                              <w:t xml:space="preserve"> </w:t>
                            </w:r>
                            <w:r w:rsidRPr="00001EBE">
                              <w:rPr>
                                <w:rFonts w:ascii="Times New Roman" w:hAnsi="Times New Roman" w:cs="Times New Roman"/>
                                <w:sz w:val="18"/>
                                <w:szCs w:val="18"/>
                              </w:rPr>
                              <w:t>8. člen (lokacija subjekta v sestavi)</w:t>
                            </w:r>
                            <w:r>
                              <w:rPr>
                                <w:rFonts w:ascii="Times New Roman" w:hAnsi="Times New Roman" w:cs="Times New Roman"/>
                                <w:sz w:val="18"/>
                                <w:szCs w:val="18"/>
                              </w:rPr>
                              <w:t>,</w:t>
                            </w:r>
                            <w:r w:rsidRPr="00001EBE">
                              <w:rPr>
                                <w:rFonts w:ascii="Times New Roman" w:hAnsi="Times New Roman" w:cs="Times New Roman"/>
                                <w:sz w:val="18"/>
                                <w:szCs w:val="18"/>
                              </w:rPr>
                              <w:t xml:space="preserve"> III. poglavje (kvalificiran dohodek/izguba)</w:t>
                            </w:r>
                            <w:r>
                              <w:rPr>
                                <w:rFonts w:ascii="Times New Roman" w:hAnsi="Times New Roman" w:cs="Times New Roman"/>
                                <w:sz w:val="18"/>
                                <w:szCs w:val="18"/>
                              </w:rPr>
                              <w:t>, IV. poglavje (zajeti davki), VII. Poglavje (posebnosti)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914D2" id="Polje z besedilom 42" o:spid="_x0000_s1028" type="#_x0000_t202" style="position:absolute;left:0;text-align:left;margin-left:-47.65pt;margin-top:25.9pt;width:160.2pt;height:125.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" strokecolor="#2f5496 [2404]">
                <v:textbox>
                  <w:txbxContent>
                    <w:p w:rsidR="008F6A83" w:rsidRPr="00824866" w:rsidRDefault="008F6A83" w:rsidP="00582D2B">
                      <w:pPr>
                        <w:spacing w:after="0"/>
                        <w:jc w:val="center"/>
                        <w:rPr>
                          <w:rFonts w:ascii="Times New Roman" w:hAnsi="Times New Roman" w:cs="Times New Roman"/>
                          <w:b/>
                          <w:bCs/>
                          <w:sz w:val="18"/>
                          <w:szCs w:val="18"/>
                          <w:u w:val="single"/>
                        </w:rPr>
                      </w:pPr>
                      <w:r w:rsidRPr="00824866">
                        <w:rPr>
                          <w:rFonts w:ascii="Times New Roman" w:hAnsi="Times New Roman" w:cs="Times New Roman"/>
                          <w:b/>
                          <w:bCs/>
                          <w:sz w:val="18"/>
                          <w:szCs w:val="18"/>
                          <w:u w:val="single"/>
                        </w:rPr>
                        <w:t>KORAK 1</w:t>
                      </w:r>
                    </w:p>
                    <w:p w:rsidR="008F6A83" w:rsidRDefault="008F6A83" w:rsidP="00582D2B">
                      <w:pPr>
                        <w:spacing w:after="0"/>
                        <w:jc w:val="center"/>
                        <w:rPr>
                          <w:rFonts w:ascii="Times New Roman" w:hAnsi="Times New Roman" w:cs="Times New Roman"/>
                          <w:sz w:val="18"/>
                          <w:szCs w:val="18"/>
                        </w:rPr>
                      </w:pPr>
                      <w:r>
                        <w:rPr>
                          <w:rFonts w:ascii="Times New Roman" w:hAnsi="Times New Roman" w:cs="Times New Roman"/>
                          <w:sz w:val="18"/>
                          <w:szCs w:val="18"/>
                        </w:rPr>
                        <w:t>Izračun ter pripis dohodkov in davkov subjektov v sestavi;</w:t>
                      </w:r>
                    </w:p>
                    <w:p w:rsidR="008F6A83" w:rsidRDefault="008F6A83" w:rsidP="00582D2B">
                      <w:pPr>
                        <w:spacing w:after="0"/>
                        <w:jc w:val="center"/>
                        <w:rPr>
                          <w:rFonts w:ascii="Times New Roman" w:hAnsi="Times New Roman" w:cs="Times New Roman"/>
                          <w:sz w:val="18"/>
                          <w:szCs w:val="18"/>
                        </w:rPr>
                      </w:pPr>
                      <w:r w:rsidRPr="00824866">
                        <w:rPr>
                          <w:rFonts w:ascii="Times New Roman" w:hAnsi="Times New Roman" w:cs="Times New Roman"/>
                          <w:b/>
                          <w:bCs/>
                          <w:sz w:val="18"/>
                          <w:szCs w:val="18"/>
                        </w:rPr>
                        <w:t>BISTVO:</w:t>
                      </w:r>
                      <w:r>
                        <w:rPr>
                          <w:rFonts w:ascii="Times New Roman" w:hAnsi="Times New Roman" w:cs="Times New Roman"/>
                          <w:sz w:val="18"/>
                          <w:szCs w:val="18"/>
                        </w:rPr>
                        <w:t xml:space="preserve"> Pridobitev vseh podatkov za izračune;</w:t>
                      </w:r>
                    </w:p>
                    <w:p w:rsidR="008F6A83" w:rsidRPr="00824866" w:rsidRDefault="008F6A83" w:rsidP="00582D2B">
                      <w:pPr>
                        <w:spacing w:after="0"/>
                        <w:jc w:val="center"/>
                        <w:rPr>
                          <w:rFonts w:ascii="Times New Roman" w:hAnsi="Times New Roman" w:cs="Times New Roman"/>
                          <w:b/>
                          <w:bCs/>
                          <w:sz w:val="18"/>
                          <w:szCs w:val="18"/>
                        </w:rPr>
                      </w:pPr>
                      <w:r w:rsidRPr="00824866">
                        <w:rPr>
                          <w:rFonts w:ascii="Times New Roman" w:hAnsi="Times New Roman" w:cs="Times New Roman"/>
                          <w:b/>
                          <w:bCs/>
                          <w:sz w:val="18"/>
                          <w:szCs w:val="18"/>
                        </w:rPr>
                        <w:t>Bistveni členi ZMD:</w:t>
                      </w:r>
                      <w:r>
                        <w:rPr>
                          <w:rFonts w:ascii="Times New Roman" w:hAnsi="Times New Roman" w:cs="Times New Roman"/>
                          <w:b/>
                          <w:bCs/>
                          <w:sz w:val="18"/>
                          <w:szCs w:val="18"/>
                        </w:rPr>
                        <w:t xml:space="preserve"> </w:t>
                      </w:r>
                      <w:r w:rsidRPr="00001EBE">
                        <w:rPr>
                          <w:rFonts w:ascii="Times New Roman" w:hAnsi="Times New Roman" w:cs="Times New Roman"/>
                          <w:sz w:val="18"/>
                          <w:szCs w:val="18"/>
                        </w:rPr>
                        <w:t>8. člen (lokacija subjekta v sestavi)</w:t>
                      </w:r>
                      <w:r>
                        <w:rPr>
                          <w:rFonts w:ascii="Times New Roman" w:hAnsi="Times New Roman" w:cs="Times New Roman"/>
                          <w:sz w:val="18"/>
                          <w:szCs w:val="18"/>
                        </w:rPr>
                        <w:t>,</w:t>
                      </w:r>
                      <w:r w:rsidRPr="00001EBE">
                        <w:rPr>
                          <w:rFonts w:ascii="Times New Roman" w:hAnsi="Times New Roman" w:cs="Times New Roman"/>
                          <w:sz w:val="18"/>
                          <w:szCs w:val="18"/>
                        </w:rPr>
                        <w:t xml:space="preserve"> III. poglavje (kvalificiran dohodek/izguba)</w:t>
                      </w:r>
                      <w:r>
                        <w:rPr>
                          <w:rFonts w:ascii="Times New Roman" w:hAnsi="Times New Roman" w:cs="Times New Roman"/>
                          <w:sz w:val="18"/>
                          <w:szCs w:val="18"/>
                        </w:rPr>
                        <w:t>, IV. poglavje (zajeti davki), VII. Poglavje (posebnosti)</w:t>
                      </w:r>
                    </w:p>
                  </w:txbxContent>
                </v:textbox>
                <w10:wrap type="square"/>
              </v:shape>
            </w:pict>
          </mc:Fallback>
        </mc:AlternateContent>
      </w:r>
      <w:r>
        <w:rPr>
          <w:noProof/>
          <w:lang w:eastAsia="sl-SI"/>
        </w:rPr>
        <mc:AlternateContent>
          <mc:Choice Requires="wps">
            <w:drawing>
              <wp:anchor distT="0" distB="0" distL="114300" distR="114300" simplePos="0" relativeHeight="251663360" behindDoc="0" locked="0" layoutInCell="1" allowOverlap="1" wp14:anchorId="2F67BCBF" wp14:editId="39C0B0C5">
                <wp:simplePos x="0" y="0"/>
                <wp:positionH relativeFrom="column">
                  <wp:posOffset>2054860</wp:posOffset>
                </wp:positionH>
                <wp:positionV relativeFrom="paragraph">
                  <wp:posOffset>205740</wp:posOffset>
                </wp:positionV>
                <wp:extent cx="4476115" cy="1856105"/>
                <wp:effectExtent l="0" t="0" r="635" b="0"/>
                <wp:wrapNone/>
                <wp:docPr id="41" name="Pravokotnik: zaokroženi vogali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115" cy="185610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AFC8A65" w14:textId="77777777" w:rsidR="008F6A83" w:rsidRDefault="008F6A83" w:rsidP="00582D2B">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prvega koraka</w:t>
                            </w:r>
                            <w:r w:rsidRPr="00582D2B">
                              <w:rPr>
                                <w:rFonts w:ascii="Times New Roman" w:hAnsi="Times New Roman" w:cs="Times New Roman"/>
                                <w:sz w:val="18"/>
                                <w:szCs w:val="18"/>
                              </w:rPr>
                              <w:t xml:space="preserve">: </w:t>
                            </w:r>
                          </w:p>
                          <w:p w14:paraId="75563E39" w14:textId="77777777" w:rsidR="008F6A83"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Določitev lokacije subjektov v sestavi – določitev navezne okoliščine s posamezno jurisdikcijo;</w:t>
                            </w:r>
                          </w:p>
                          <w:p w14:paraId="089E0287" w14:textId="77777777" w:rsidR="008F6A83"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Izračun kvalificiranega dohodka jurisdikcije in posameznih subjektov v sestavi (upoštevajoč podskupine) z upoštevanjem različnih opcij + pravila o pripisih dohodka;</w:t>
                            </w:r>
                          </w:p>
                          <w:p w14:paraId="30D3A539" w14:textId="77777777" w:rsidR="008F6A83"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Izračun zajetih davkov + pripis zajetih davkov;</w:t>
                            </w:r>
                          </w:p>
                          <w:p w14:paraId="42764DAE" w14:textId="77777777" w:rsidR="008F6A83" w:rsidRPr="004F1259"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 xml:space="preserve">Uporaba varnega pristana </w:t>
                            </w:r>
                            <w:r w:rsidRPr="009730B4">
                              <w:rPr>
                                <w:rFonts w:ascii="Times New Roman" w:hAnsi="Times New Roman" w:cs="Times New Roman"/>
                                <w:i/>
                                <w:iCs/>
                                <w:sz w:val="18"/>
                                <w:szCs w:val="18"/>
                              </w:rPr>
                              <w:t xml:space="preserve">de </w:t>
                            </w:r>
                            <w:proofErr w:type="spellStart"/>
                            <w:r w:rsidRPr="009730B4">
                              <w:rPr>
                                <w:rFonts w:ascii="Times New Roman" w:hAnsi="Times New Roman" w:cs="Times New Roman"/>
                                <w:i/>
                                <w:iCs/>
                                <w:sz w:val="18"/>
                                <w:szCs w:val="18"/>
                              </w:rPr>
                              <w:t>minimis</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 xml:space="preserve">(po izračunih je prihodek in dohodek za uporabo </w:t>
                            </w:r>
                            <w:r w:rsidRPr="009730B4">
                              <w:rPr>
                                <w:rFonts w:ascii="Times New Roman" w:hAnsi="Times New Roman" w:cs="Times New Roman"/>
                                <w:i/>
                                <w:iCs/>
                                <w:sz w:val="18"/>
                                <w:szCs w:val="18"/>
                              </w:rPr>
                              <w:t>de minimis</w:t>
                            </w:r>
                            <w:r>
                              <w:rPr>
                                <w:rFonts w:ascii="Times New Roman" w:hAnsi="Times New Roman" w:cs="Times New Roman"/>
                                <w:sz w:val="18"/>
                                <w:szCs w:val="18"/>
                              </w:rPr>
                              <w:t xml:space="preserve"> znan)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D7D4A" id="Pravokotnik: zaokroženi vogali 41" o:spid="_x0000_s1029" style="position:absolute;left:0;text-align:left;margin-left:161.8pt;margin-top:16.2pt;width:352.45pt;height:1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" fillcolor="white [3201]" strokecolor="#2f5496 [2404]" strokeweight="1pt">
                <v:stroke joinstyle="miter"/>
                <v:path arrowok="t"/>
                <v:textbox>
                  <w:txbxContent>
                    <w:p w:rsidR="008F6A83" w:rsidRDefault="008F6A83" w:rsidP="00582D2B">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prvega koraka</w:t>
                      </w:r>
                      <w:r w:rsidRPr="00582D2B">
                        <w:rPr>
                          <w:rFonts w:ascii="Times New Roman" w:hAnsi="Times New Roman" w:cs="Times New Roman"/>
                          <w:sz w:val="18"/>
                          <w:szCs w:val="18"/>
                        </w:rPr>
                        <w:t xml:space="preserve">: </w:t>
                      </w:r>
                    </w:p>
                    <w:p w:rsidR="008F6A83"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Določitev lokacije subjektov v sestavi – določitev navezne okoliščine s posamezno jurisdikcijo;</w:t>
                      </w:r>
                    </w:p>
                    <w:p w:rsidR="008F6A83"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Izračun kvalificiranega dohodka jurisdikcije in posameznih subjektov v sestavi (upoštevajoč podskupine) z upoštevanjem različnih opcij + pravila o pripisih dohodka;</w:t>
                      </w:r>
                    </w:p>
                    <w:p w:rsidR="008F6A83"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Izračun zajetih davkov + pripis zajetih davkov;</w:t>
                      </w:r>
                    </w:p>
                    <w:p w:rsidR="008F6A83" w:rsidRPr="004F1259"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 xml:space="preserve">Uporaba varnega pristana </w:t>
                      </w:r>
                      <w:r w:rsidRPr="009730B4">
                        <w:rPr>
                          <w:rFonts w:ascii="Times New Roman" w:hAnsi="Times New Roman" w:cs="Times New Roman"/>
                          <w:i/>
                          <w:iCs/>
                          <w:sz w:val="18"/>
                          <w:szCs w:val="18"/>
                        </w:rPr>
                        <w:t>de minimis</w:t>
                      </w:r>
                      <w:r>
                        <w:rPr>
                          <w:rFonts w:ascii="Times New Roman" w:hAnsi="Times New Roman" w:cs="Times New Roman"/>
                          <w:i/>
                          <w:iCs/>
                          <w:sz w:val="18"/>
                          <w:szCs w:val="18"/>
                        </w:rPr>
                        <w:t xml:space="preserve"> </w:t>
                      </w:r>
                      <w:r>
                        <w:rPr>
                          <w:rFonts w:ascii="Times New Roman" w:hAnsi="Times New Roman" w:cs="Times New Roman"/>
                          <w:sz w:val="18"/>
                          <w:szCs w:val="18"/>
                        </w:rPr>
                        <w:t xml:space="preserve">(po izračunih je prihodek in dohodek za uporabo </w:t>
                      </w:r>
                      <w:r w:rsidRPr="009730B4">
                        <w:rPr>
                          <w:rFonts w:ascii="Times New Roman" w:hAnsi="Times New Roman" w:cs="Times New Roman"/>
                          <w:i/>
                          <w:iCs/>
                          <w:sz w:val="18"/>
                          <w:szCs w:val="18"/>
                        </w:rPr>
                        <w:t>de minimis</w:t>
                      </w:r>
                      <w:r>
                        <w:rPr>
                          <w:rFonts w:ascii="Times New Roman" w:hAnsi="Times New Roman" w:cs="Times New Roman"/>
                          <w:sz w:val="18"/>
                          <w:szCs w:val="18"/>
                        </w:rPr>
                        <w:t xml:space="preserve"> znan)</w:t>
                      </w:r>
                    </w:p>
                  </w:txbxContent>
                </v:textbox>
              </v:roundrect>
            </w:pict>
          </mc:Fallback>
        </mc:AlternateContent>
      </w:r>
    </w:p>
    <w:p w14:paraId="4E549FED" w14:textId="77777777" w:rsidR="00582D2B" w:rsidRDefault="00B276D1" w:rsidP="004D2C01">
      <w:pPr>
        <w:ind w:left="426"/>
      </w:pPr>
      <w:r>
        <w:rPr>
          <w:noProof/>
          <w:lang w:eastAsia="sl-SI"/>
        </w:rPr>
        <mc:AlternateContent>
          <mc:Choice Requires="wps">
            <w:drawing>
              <wp:anchor distT="0" distB="0" distL="114300" distR="114300" simplePos="0" relativeHeight="251664384" behindDoc="0" locked="0" layoutInCell="1" allowOverlap="1" wp14:anchorId="304A570D" wp14:editId="2EFA4D43">
                <wp:simplePos x="0" y="0"/>
                <wp:positionH relativeFrom="column">
                  <wp:posOffset>1565275</wp:posOffset>
                </wp:positionH>
                <wp:positionV relativeFrom="paragraph">
                  <wp:posOffset>272415</wp:posOffset>
                </wp:positionV>
                <wp:extent cx="340995" cy="1146175"/>
                <wp:effectExtent l="0" t="0" r="1905" b="0"/>
                <wp:wrapNone/>
                <wp:docPr id="40" name="Levi zaviti oklepaj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218CDC" id="Levi zaviti oklepaj 40" o:spid="_x0000_s1026" type="#_x0000_t87" style="position:absolute;margin-left:123.25pt;margin-top:21.45pt;width:26.85pt;height: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" adj="535" strokecolor="#2f5496 [2404]" strokeweight="1pt">
                <v:stroke joinstyle="miter"/>
              </v:shape>
            </w:pict>
          </mc:Fallback>
        </mc:AlternateContent>
      </w:r>
    </w:p>
    <w:p w14:paraId="1F883279" w14:textId="77777777" w:rsidR="00582D2B" w:rsidRDefault="00582D2B" w:rsidP="004D2C01">
      <w:pPr>
        <w:ind w:left="426"/>
      </w:pPr>
    </w:p>
    <w:p w14:paraId="47050A99" w14:textId="77777777" w:rsidR="004F1259" w:rsidRDefault="004F1259" w:rsidP="004D2C01">
      <w:pPr>
        <w:ind w:left="426"/>
      </w:pPr>
    </w:p>
    <w:p w14:paraId="277463BA" w14:textId="77777777" w:rsidR="004F1259" w:rsidRDefault="004F1259" w:rsidP="004D2C01">
      <w:pPr>
        <w:ind w:left="426"/>
      </w:pPr>
    </w:p>
    <w:p w14:paraId="3722AFBC" w14:textId="77777777" w:rsidR="004F1259" w:rsidRDefault="004F1259" w:rsidP="004D2C01">
      <w:pPr>
        <w:ind w:left="426"/>
      </w:pPr>
    </w:p>
    <w:p w14:paraId="48BC9EFB" w14:textId="77777777" w:rsidR="004F1259" w:rsidRDefault="004F1259" w:rsidP="004D2C01">
      <w:pPr>
        <w:ind w:left="426"/>
      </w:pPr>
    </w:p>
    <w:p w14:paraId="072BDB4E" w14:textId="77777777" w:rsidR="004F1259" w:rsidRDefault="00B276D1" w:rsidP="004D2C01">
      <w:pPr>
        <w:ind w:left="426"/>
      </w:pPr>
      <w:r>
        <w:rPr>
          <w:noProof/>
          <w:lang w:eastAsia="sl-SI"/>
        </w:rPr>
        <mc:AlternateContent>
          <mc:Choice Requires="wps">
            <w:drawing>
              <wp:anchor distT="0" distB="0" distL="114300" distR="114300" simplePos="0" relativeHeight="251667456" behindDoc="0" locked="0" layoutInCell="1" allowOverlap="1" wp14:anchorId="5372DE60" wp14:editId="78C9FD4F">
                <wp:simplePos x="0" y="0"/>
                <wp:positionH relativeFrom="column">
                  <wp:posOffset>2035810</wp:posOffset>
                </wp:positionH>
                <wp:positionV relativeFrom="paragraph">
                  <wp:posOffset>161925</wp:posOffset>
                </wp:positionV>
                <wp:extent cx="4476115" cy="1855470"/>
                <wp:effectExtent l="0" t="0" r="635" b="0"/>
                <wp:wrapNone/>
                <wp:docPr id="39" name="Pravokotnik: zaokroženi vogali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115" cy="1855470"/>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678A547" w14:textId="77777777" w:rsidR="008F6A83" w:rsidRDefault="008F6A83" w:rsidP="004F1259">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drugega koraka</w:t>
                            </w:r>
                            <w:r w:rsidRPr="00582D2B">
                              <w:rPr>
                                <w:rFonts w:ascii="Times New Roman" w:hAnsi="Times New Roman" w:cs="Times New Roman"/>
                                <w:sz w:val="18"/>
                                <w:szCs w:val="18"/>
                              </w:rPr>
                              <w:t xml:space="preserve">: </w:t>
                            </w:r>
                          </w:p>
                          <w:p w14:paraId="4D69620B" w14:textId="77777777" w:rsidR="008F6A83"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Upoštevajoč izračunan kvalificirani dohodek in zajete davke se izračuna ETR:</w:t>
                            </w:r>
                          </w:p>
                          <w:bookmarkStart w:id="6" w:name="_Hlk153962181"/>
                          <w:p w14:paraId="5EE32440" w14:textId="77777777" w:rsidR="008F6A83" w:rsidRDefault="00000000" w:rsidP="00310983">
                            <w:pPr>
                              <w:pStyle w:val="Odstavekseznama"/>
                              <w:spacing w:after="0" w:line="240" w:lineRule="atLeast"/>
                              <w:ind w:left="-142"/>
                              <w:jc w:val="center"/>
                              <w:rPr>
                                <w:rFonts w:ascii="Times New Roman" w:hAnsi="Times New Roman" w:cs="Times New Roman"/>
                                <w:sz w:val="18"/>
                                <w:szCs w:val="18"/>
                              </w:rPr>
                            </w:pPr>
                            <m:oMathPara>
                              <m:oMath>
                                <m:d>
                                  <m:dPr>
                                    <m:ctrlPr>
                                      <w:rPr>
                                        <w:rFonts w:ascii="Cambria Math" w:hAnsi="Cambria Math" w:cs="Times New Roman"/>
                                        <w:i/>
                                        <w:sz w:val="14"/>
                                        <w:szCs w:val="14"/>
                                      </w:rPr>
                                    </m:ctrlPr>
                                  </m:dPr>
                                  <m:e>
                                    <m:eqArr>
                                      <m:eqArrPr>
                                        <m:ctrlPr>
                                          <w:rPr>
                                            <w:rFonts w:ascii="Cambria Math" w:hAnsi="Cambria Math" w:cs="Times New Roman"/>
                                            <w:i/>
                                            <w:sz w:val="14"/>
                                            <w:szCs w:val="14"/>
                                          </w:rPr>
                                        </m:ctrlPr>
                                      </m:eqArrPr>
                                      <m:e>
                                        <m:r>
                                          <w:rPr>
                                            <w:rFonts w:ascii="Cambria Math" w:hAnsi="Cambria Math" w:cs="Times New Roman"/>
                                            <w:sz w:val="14"/>
                                            <w:szCs w:val="14"/>
                                          </w:rPr>
                                          <m:t xml:space="preserve">Dejanska </m:t>
                                        </m:r>
                                      </m:e>
                                      <m:e>
                                        <m:r>
                                          <w:rPr>
                                            <w:rFonts w:ascii="Cambria Math" w:hAnsi="Cambria Math" w:cs="Times New Roman"/>
                                            <w:sz w:val="14"/>
                                            <w:szCs w:val="14"/>
                                          </w:rPr>
                                          <m:t>davčna stopnja</m:t>
                                        </m:r>
                                      </m:e>
                                    </m:eqArr>
                                  </m:e>
                                </m:d>
                                <m:r>
                                  <w:rPr>
                                    <w:rFonts w:ascii="Cambria Math" w:hAnsi="Cambria Math" w:cs="Times New Roman"/>
                                    <w:sz w:val="14"/>
                                    <w:szCs w:val="14"/>
                                  </w:rPr>
                                  <m:t>=</m:t>
                                </m:r>
                                <m:f>
                                  <m:fPr>
                                    <m:type m:val="lin"/>
                                    <m:ctrlPr>
                                      <w:rPr>
                                        <w:rFonts w:ascii="Cambria Math" w:hAnsi="Cambria Math" w:cs="Times New Roman"/>
                                        <w:i/>
                                        <w:sz w:val="14"/>
                                        <w:szCs w:val="14"/>
                                      </w:rPr>
                                    </m:ctrlPr>
                                  </m:fPr>
                                  <m:num>
                                    <m:eqArr>
                                      <m:eqArrPr>
                                        <m:ctrlPr>
                                          <w:rPr>
                                            <w:rFonts w:ascii="Cambria Math" w:hAnsi="Cambria Math" w:cs="Times New Roman"/>
                                            <w:i/>
                                            <w:sz w:val="14"/>
                                            <w:szCs w:val="14"/>
                                          </w:rPr>
                                        </m:ctrlPr>
                                      </m:eqArrPr>
                                      <m:e>
                                        <m:d>
                                          <m:dPr>
                                            <m:ctrlPr>
                                              <w:rPr>
                                                <w:rFonts w:ascii="Cambria Math" w:hAnsi="Cambria Math" w:cs="Times New Roman"/>
                                                <w:i/>
                                                <w:sz w:val="14"/>
                                                <w:szCs w:val="14"/>
                                              </w:rPr>
                                            </m:ctrlPr>
                                          </m:dPr>
                                          <m:e>
                                            <m:eqArr>
                                              <m:eqArrPr>
                                                <m:ctrlPr>
                                                  <w:rPr>
                                                    <w:rFonts w:ascii="Cambria Math" w:hAnsi="Cambria Math" w:cs="Times New Roman"/>
                                                    <w:i/>
                                                    <w:sz w:val="14"/>
                                                    <w:szCs w:val="14"/>
                                                  </w:rPr>
                                                </m:ctrlPr>
                                              </m:eqArrPr>
                                              <m:e>
                                                <m:r>
                                                  <w:rPr>
                                                    <w:rFonts w:ascii="Cambria Math" w:hAnsi="Cambria Math" w:cs="Times New Roman"/>
                                                    <w:sz w:val="14"/>
                                                    <w:szCs w:val="14"/>
                                                  </w:rPr>
                                                  <m:t xml:space="preserve">prilagojeni zajeti </m:t>
                                                </m:r>
                                              </m:e>
                                              <m:e>
                                                <m:r>
                                                  <w:rPr>
                                                    <w:rFonts w:ascii="Cambria Math" w:hAnsi="Cambria Math" w:cs="Times New Roman"/>
                                                    <w:sz w:val="14"/>
                                                    <w:szCs w:val="14"/>
                                                  </w:rPr>
                                                  <m:t xml:space="preserve">davki subjektov v sestavi </m:t>
                                                </m:r>
                                                <m:ctrlPr>
                                                  <w:rPr>
                                                    <w:rFonts w:ascii="Cambria Math" w:eastAsia="Cambria Math" w:hAnsi="Cambria Math" w:cs="Cambria Math"/>
                                                    <w:i/>
                                                    <w:sz w:val="14"/>
                                                    <w:szCs w:val="14"/>
                                                  </w:rPr>
                                                </m:ctrlPr>
                                              </m:e>
                                              <m:e>
                                                <m:r>
                                                  <w:rPr>
                                                    <w:rFonts w:ascii="Cambria Math" w:hAnsi="Cambria Math" w:cs="Times New Roman"/>
                                                    <w:sz w:val="14"/>
                                                    <w:szCs w:val="14"/>
                                                  </w:rPr>
                                                  <m:t>v določeni jurisdikciji</m:t>
                                                </m:r>
                                              </m:e>
                                            </m:eqArr>
                                          </m:e>
                                        </m:d>
                                      </m:e>
                                    </m:eqArr>
                                  </m:num>
                                  <m:den>
                                    <m:eqArr>
                                      <m:eqArrPr>
                                        <m:ctrlPr>
                                          <w:rPr>
                                            <w:rFonts w:ascii="Cambria Math" w:hAnsi="Cambria Math" w:cs="Times New Roman"/>
                                            <w:i/>
                                            <w:sz w:val="14"/>
                                            <w:szCs w:val="14"/>
                                          </w:rPr>
                                        </m:ctrlPr>
                                      </m:eqArrPr>
                                      <m:e>
                                        <m:d>
                                          <m:dPr>
                                            <m:ctrlPr>
                                              <w:rPr>
                                                <w:rFonts w:ascii="Cambria Math" w:hAnsi="Cambria Math" w:cs="Times New Roman"/>
                                                <w:i/>
                                                <w:sz w:val="14"/>
                                                <w:szCs w:val="14"/>
                                              </w:rPr>
                                            </m:ctrlPr>
                                          </m:dPr>
                                          <m:e>
                                            <m:eqArr>
                                              <m:eqArrPr>
                                                <m:ctrlPr>
                                                  <w:rPr>
                                                    <w:rFonts w:ascii="Cambria Math" w:hAnsi="Cambria Math" w:cs="Times New Roman"/>
                                                    <w:i/>
                                                    <w:sz w:val="14"/>
                                                    <w:szCs w:val="14"/>
                                                  </w:rPr>
                                                </m:ctrlPr>
                                              </m:eqArrPr>
                                              <m:e>
                                                <m:r>
                                                  <w:rPr>
                                                    <w:rFonts w:ascii="Cambria Math" w:hAnsi="Cambria Math" w:cs="Times New Roman"/>
                                                    <w:sz w:val="14"/>
                                                    <w:szCs w:val="14"/>
                                                  </w:rPr>
                                                  <m:t xml:space="preserve">neto kvalificirani dohodek </m:t>
                                                </m:r>
                                              </m:e>
                                              <m:e>
                                                <m:r>
                                                  <w:rPr>
                                                    <w:rFonts w:ascii="Cambria Math" w:hAnsi="Cambria Math" w:cs="Times New Roman"/>
                                                    <w:sz w:val="14"/>
                                                    <w:szCs w:val="14"/>
                                                  </w:rPr>
                                                  <m:t>subjektov v sestavi</m:t>
                                                </m:r>
                                                <m:ctrlPr>
                                                  <w:rPr>
                                                    <w:rFonts w:ascii="Cambria Math" w:eastAsia="Cambria Math" w:hAnsi="Cambria Math" w:cs="Cambria Math"/>
                                                    <w:i/>
                                                    <w:sz w:val="14"/>
                                                    <w:szCs w:val="14"/>
                                                  </w:rPr>
                                                </m:ctrlPr>
                                              </m:e>
                                              <m:e>
                                                <m:r>
                                                  <w:rPr>
                                                    <w:rFonts w:ascii="Cambria Math" w:hAnsi="Cambria Math" w:cs="Times New Roman"/>
                                                    <w:sz w:val="14"/>
                                                    <w:szCs w:val="14"/>
                                                  </w:rPr>
                                                  <m:t>v določeni jurisdikciji</m:t>
                                                </m:r>
                                              </m:e>
                                            </m:eqArr>
                                          </m:e>
                                        </m:d>
                                      </m:e>
                                    </m:eqArr>
                                  </m:den>
                                </m:f>
                              </m:oMath>
                            </m:oMathPara>
                            <w:bookmarkEnd w:id="6"/>
                          </w:p>
                          <w:p w14:paraId="4AF28670" w14:textId="77777777" w:rsidR="008F6A83" w:rsidRDefault="008F6A83" w:rsidP="00C628A4">
                            <w:pPr>
                              <w:pStyle w:val="Odstavekseznama"/>
                              <w:spacing w:after="0" w:line="240" w:lineRule="atLeast"/>
                              <w:ind w:left="-142"/>
                              <w:jc w:val="both"/>
                              <w:rPr>
                                <w:rFonts w:ascii="Times New Roman" w:hAnsi="Times New Roman" w:cs="Times New Roman"/>
                                <w:sz w:val="18"/>
                                <w:szCs w:val="18"/>
                              </w:rPr>
                            </w:pPr>
                          </w:p>
                          <w:p w14:paraId="551C52B3" w14:textId="77777777" w:rsidR="008F6A83" w:rsidRDefault="008F6A83" w:rsidP="00870D37">
                            <w:pPr>
                              <w:pStyle w:val="Odstavekseznama"/>
                              <w:numPr>
                                <w:ilvl w:val="0"/>
                                <w:numId w:val="1"/>
                              </w:numPr>
                              <w:spacing w:after="0" w:line="240" w:lineRule="atLeast"/>
                              <w:jc w:val="both"/>
                              <w:rPr>
                                <w:rFonts w:ascii="Times New Roman" w:hAnsi="Times New Roman" w:cs="Times New Roman"/>
                                <w:sz w:val="18"/>
                                <w:szCs w:val="18"/>
                              </w:rPr>
                            </w:pPr>
                            <w:r>
                              <w:rPr>
                                <w:rFonts w:ascii="Times New Roman" w:hAnsi="Times New Roman" w:cs="Times New Roman"/>
                                <w:sz w:val="18"/>
                                <w:szCs w:val="18"/>
                              </w:rPr>
                              <w:t xml:space="preserve">V primeru neto kvalificirane izgube, se ETR ne izračunava. </w:t>
                            </w:r>
                          </w:p>
                          <w:p w14:paraId="3A9D78F7" w14:textId="77777777" w:rsidR="008F6A83" w:rsidRPr="00582D2B" w:rsidRDefault="008F6A83" w:rsidP="00870D37">
                            <w:pPr>
                              <w:pStyle w:val="Odstavekseznama"/>
                              <w:numPr>
                                <w:ilvl w:val="0"/>
                                <w:numId w:val="1"/>
                              </w:numPr>
                              <w:spacing w:after="0" w:line="240" w:lineRule="atLeast"/>
                              <w:jc w:val="both"/>
                              <w:rPr>
                                <w:rFonts w:ascii="Times New Roman" w:hAnsi="Times New Roman" w:cs="Times New Roman"/>
                                <w:sz w:val="18"/>
                                <w:szCs w:val="18"/>
                              </w:rPr>
                            </w:pPr>
                            <w:r>
                              <w:rPr>
                                <w:rFonts w:ascii="Times New Roman" w:hAnsi="Times New Roman" w:cs="Times New Roman"/>
                                <w:sz w:val="18"/>
                                <w:szCs w:val="18"/>
                              </w:rPr>
                              <w:t>Upoštevati pravila agregacije (pomembne so podskupine za namene GLOBE)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E85F8" id="Pravokotnik: zaokroženi vogali 39" o:spid="_x0000_s1030" style="position:absolute;left:0;text-align:left;margin-left:160.3pt;margin-top:12.75pt;width:352.45pt;height:1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" fillcolor="white [3201]" strokecolor="#2f5496 [2404]" strokeweight="1pt">
                <v:stroke joinstyle="miter"/>
                <v:path arrowok="t"/>
                <v:textbox>
                  <w:txbxContent>
                    <w:p w:rsidR="008F6A83" w:rsidRDefault="008F6A83" w:rsidP="004F1259">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drugega koraka</w:t>
                      </w:r>
                      <w:r w:rsidRPr="00582D2B">
                        <w:rPr>
                          <w:rFonts w:ascii="Times New Roman" w:hAnsi="Times New Roman" w:cs="Times New Roman"/>
                          <w:sz w:val="18"/>
                          <w:szCs w:val="18"/>
                        </w:rPr>
                        <w:t xml:space="preserve">: </w:t>
                      </w:r>
                    </w:p>
                    <w:p w:rsidR="008F6A83" w:rsidRDefault="008F6A83" w:rsidP="004F1259">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Upoštevajoč izračunan kvalificirani dohodek in zajete davke se izračuna ETR:</w:t>
                      </w:r>
                    </w:p>
                    <w:bookmarkStart w:id="10" w:name="_Hlk153962181"/>
                    <w:p w:rsidR="008F6A83" w:rsidRDefault="008F6A83" w:rsidP="00310983">
                      <w:pPr>
                        <w:pStyle w:val="Odstavekseznama"/>
                        <w:spacing w:after="0" w:line="240" w:lineRule="atLeast"/>
                        <w:ind w:left="-142"/>
                        <w:jc w:val="center"/>
                        <w:rPr>
                          <w:rFonts w:ascii="Times New Roman" w:hAnsi="Times New Roman" w:cs="Times New Roman"/>
                          <w:sz w:val="18"/>
                          <w:szCs w:val="18"/>
                        </w:rPr>
                      </w:pPr>
                      <m:oMathPara>
                        <m:oMath>
                          <m:d>
                            <m:dPr>
                              <m:ctrlPr>
                                <w:rPr>
                                  <w:rFonts w:ascii="Cambria Math" w:hAnsi="Cambria Math" w:cs="Times New Roman"/>
                                  <w:i/>
                                  <w:sz w:val="14"/>
                                  <w:szCs w:val="14"/>
                                </w:rPr>
                              </m:ctrlPr>
                            </m:dPr>
                            <m:e>
                              <m:eqArr>
                                <m:eqArrPr>
                                  <m:ctrlPr>
                                    <w:rPr>
                                      <w:rFonts w:ascii="Cambria Math" w:hAnsi="Cambria Math" w:cs="Times New Roman"/>
                                      <w:i/>
                                      <w:sz w:val="14"/>
                                      <w:szCs w:val="14"/>
                                    </w:rPr>
                                  </m:ctrlPr>
                                </m:eqArrPr>
                                <m:e>
                                  <m:r>
                                    <w:rPr>
                                      <w:rFonts w:ascii="Cambria Math" w:hAnsi="Cambria Math" w:cs="Times New Roman"/>
                                      <w:sz w:val="14"/>
                                      <w:szCs w:val="14"/>
                                    </w:rPr>
                                    <m:t xml:space="preserve">Dejanska </m:t>
                                  </m:r>
                                </m:e>
                                <m:e>
                                  <m:r>
                                    <w:rPr>
                                      <w:rFonts w:ascii="Cambria Math" w:hAnsi="Cambria Math" w:cs="Times New Roman"/>
                                      <w:sz w:val="14"/>
                                      <w:szCs w:val="14"/>
                                    </w:rPr>
                                    <m:t>davčna stopnja</m:t>
                                  </m:r>
                                </m:e>
                              </m:eqArr>
                            </m:e>
                          </m:d>
                          <m:r>
                            <w:rPr>
                              <w:rFonts w:ascii="Cambria Math" w:hAnsi="Cambria Math" w:cs="Times New Roman"/>
                              <w:sz w:val="14"/>
                              <w:szCs w:val="14"/>
                            </w:rPr>
                            <m:t>=</m:t>
                          </m:r>
                          <m:f>
                            <m:fPr>
                              <m:type m:val="lin"/>
                              <m:ctrlPr>
                                <w:rPr>
                                  <w:rFonts w:ascii="Cambria Math" w:hAnsi="Cambria Math" w:cs="Times New Roman"/>
                                  <w:i/>
                                  <w:sz w:val="14"/>
                                  <w:szCs w:val="14"/>
                                </w:rPr>
                              </m:ctrlPr>
                            </m:fPr>
                            <m:num>
                              <m:eqArr>
                                <m:eqArrPr>
                                  <m:ctrlPr>
                                    <w:rPr>
                                      <w:rFonts w:ascii="Cambria Math" w:hAnsi="Cambria Math" w:cs="Times New Roman"/>
                                      <w:i/>
                                      <w:sz w:val="14"/>
                                      <w:szCs w:val="14"/>
                                    </w:rPr>
                                  </m:ctrlPr>
                                </m:eqArrPr>
                                <m:e>
                                  <m:d>
                                    <m:dPr>
                                      <m:ctrlPr>
                                        <w:rPr>
                                          <w:rFonts w:ascii="Cambria Math" w:hAnsi="Cambria Math" w:cs="Times New Roman"/>
                                          <w:i/>
                                          <w:sz w:val="14"/>
                                          <w:szCs w:val="14"/>
                                        </w:rPr>
                                      </m:ctrlPr>
                                    </m:dPr>
                                    <m:e>
                                      <m:eqArr>
                                        <m:eqArrPr>
                                          <m:ctrlPr>
                                            <w:rPr>
                                              <w:rFonts w:ascii="Cambria Math" w:hAnsi="Cambria Math" w:cs="Times New Roman"/>
                                              <w:i/>
                                              <w:sz w:val="14"/>
                                              <w:szCs w:val="14"/>
                                            </w:rPr>
                                          </m:ctrlPr>
                                        </m:eqArrPr>
                                        <m:e>
                                          <m:r>
                                            <w:rPr>
                                              <w:rFonts w:ascii="Cambria Math" w:hAnsi="Cambria Math" w:cs="Times New Roman"/>
                                              <w:sz w:val="14"/>
                                              <w:szCs w:val="14"/>
                                            </w:rPr>
                                            <m:t xml:space="preserve">prilagojeni zajeti </m:t>
                                          </m:r>
                                        </m:e>
                                        <m:e>
                                          <m:r>
                                            <w:rPr>
                                              <w:rFonts w:ascii="Cambria Math" w:hAnsi="Cambria Math" w:cs="Times New Roman"/>
                                              <w:sz w:val="14"/>
                                              <w:szCs w:val="14"/>
                                            </w:rPr>
                                            <m:t xml:space="preserve">davki subjektov v sestavi </m:t>
                                          </m:r>
                                          <m:ctrlPr>
                                            <w:rPr>
                                              <w:rFonts w:ascii="Cambria Math" w:eastAsia="Cambria Math" w:hAnsi="Cambria Math" w:cs="Cambria Math"/>
                                              <w:i/>
                                              <w:sz w:val="14"/>
                                              <w:szCs w:val="14"/>
                                            </w:rPr>
                                          </m:ctrlPr>
                                        </m:e>
                                        <m:e>
                                          <m:r>
                                            <w:rPr>
                                              <w:rFonts w:ascii="Cambria Math" w:hAnsi="Cambria Math" w:cs="Times New Roman"/>
                                              <w:sz w:val="14"/>
                                              <w:szCs w:val="14"/>
                                            </w:rPr>
                                            <m:t>v določeni jurisdikciji</m:t>
                                          </m:r>
                                        </m:e>
                                      </m:eqArr>
                                    </m:e>
                                  </m:d>
                                </m:e>
                              </m:eqArr>
                            </m:num>
                            <m:den>
                              <m:eqArr>
                                <m:eqArrPr>
                                  <m:ctrlPr>
                                    <w:rPr>
                                      <w:rFonts w:ascii="Cambria Math" w:hAnsi="Cambria Math" w:cs="Times New Roman"/>
                                      <w:i/>
                                      <w:sz w:val="14"/>
                                      <w:szCs w:val="14"/>
                                    </w:rPr>
                                  </m:ctrlPr>
                                </m:eqArrPr>
                                <m:e>
                                  <m:d>
                                    <m:dPr>
                                      <m:ctrlPr>
                                        <w:rPr>
                                          <w:rFonts w:ascii="Cambria Math" w:hAnsi="Cambria Math" w:cs="Times New Roman"/>
                                          <w:i/>
                                          <w:sz w:val="14"/>
                                          <w:szCs w:val="14"/>
                                        </w:rPr>
                                      </m:ctrlPr>
                                    </m:dPr>
                                    <m:e>
                                      <m:eqArr>
                                        <m:eqArrPr>
                                          <m:ctrlPr>
                                            <w:rPr>
                                              <w:rFonts w:ascii="Cambria Math" w:hAnsi="Cambria Math" w:cs="Times New Roman"/>
                                              <w:i/>
                                              <w:sz w:val="14"/>
                                              <w:szCs w:val="14"/>
                                            </w:rPr>
                                          </m:ctrlPr>
                                        </m:eqArrPr>
                                        <m:e>
                                          <m:r>
                                            <w:rPr>
                                              <w:rFonts w:ascii="Cambria Math" w:hAnsi="Cambria Math" w:cs="Times New Roman"/>
                                              <w:sz w:val="14"/>
                                              <w:szCs w:val="14"/>
                                            </w:rPr>
                                            <m:t xml:space="preserve">neto kvalificirani dohodek </m:t>
                                          </m:r>
                                        </m:e>
                                        <m:e>
                                          <m:r>
                                            <w:rPr>
                                              <w:rFonts w:ascii="Cambria Math" w:hAnsi="Cambria Math" w:cs="Times New Roman"/>
                                              <w:sz w:val="14"/>
                                              <w:szCs w:val="14"/>
                                            </w:rPr>
                                            <m:t>subjektov v sestavi</m:t>
                                          </m:r>
                                          <m:ctrlPr>
                                            <w:rPr>
                                              <w:rFonts w:ascii="Cambria Math" w:eastAsia="Cambria Math" w:hAnsi="Cambria Math" w:cs="Cambria Math"/>
                                              <w:i/>
                                              <w:sz w:val="14"/>
                                              <w:szCs w:val="14"/>
                                            </w:rPr>
                                          </m:ctrlPr>
                                        </m:e>
                                        <m:e>
                                          <m:r>
                                            <w:rPr>
                                              <w:rFonts w:ascii="Cambria Math" w:hAnsi="Cambria Math" w:cs="Times New Roman"/>
                                              <w:sz w:val="14"/>
                                              <w:szCs w:val="14"/>
                                            </w:rPr>
                                            <m:t>v določeni jurisdikciji</m:t>
                                          </m:r>
                                        </m:e>
                                      </m:eqArr>
                                    </m:e>
                                  </m:d>
                                </m:e>
                              </m:eqArr>
                            </m:den>
                          </m:f>
                        </m:oMath>
                      </m:oMathPara>
                      <w:bookmarkEnd w:id="10"/>
                    </w:p>
                    <w:p w:rsidR="008F6A83" w:rsidRDefault="008F6A83" w:rsidP="00C628A4">
                      <w:pPr>
                        <w:pStyle w:val="Odstavekseznama"/>
                        <w:spacing w:after="0" w:line="240" w:lineRule="atLeast"/>
                        <w:ind w:left="-142"/>
                        <w:jc w:val="both"/>
                        <w:rPr>
                          <w:rFonts w:ascii="Times New Roman" w:hAnsi="Times New Roman" w:cs="Times New Roman"/>
                          <w:sz w:val="18"/>
                          <w:szCs w:val="18"/>
                        </w:rPr>
                      </w:pPr>
                    </w:p>
                    <w:p w:rsidR="008F6A83" w:rsidRDefault="008F6A83" w:rsidP="00870D37">
                      <w:pPr>
                        <w:pStyle w:val="Odstavekseznama"/>
                        <w:numPr>
                          <w:ilvl w:val="0"/>
                          <w:numId w:val="1"/>
                        </w:numPr>
                        <w:spacing w:after="0" w:line="240" w:lineRule="atLeast"/>
                        <w:jc w:val="both"/>
                        <w:rPr>
                          <w:rFonts w:ascii="Times New Roman" w:hAnsi="Times New Roman" w:cs="Times New Roman"/>
                          <w:sz w:val="18"/>
                          <w:szCs w:val="18"/>
                        </w:rPr>
                      </w:pPr>
                      <w:r>
                        <w:rPr>
                          <w:rFonts w:ascii="Times New Roman" w:hAnsi="Times New Roman" w:cs="Times New Roman"/>
                          <w:sz w:val="18"/>
                          <w:szCs w:val="18"/>
                        </w:rPr>
                        <w:t xml:space="preserve">V primeru neto kvalificirane izgube, se ETR ne izračunava. </w:t>
                      </w:r>
                    </w:p>
                    <w:p w:rsidR="008F6A83" w:rsidRPr="00582D2B" w:rsidRDefault="008F6A83" w:rsidP="00870D37">
                      <w:pPr>
                        <w:pStyle w:val="Odstavekseznama"/>
                        <w:numPr>
                          <w:ilvl w:val="0"/>
                          <w:numId w:val="1"/>
                        </w:numPr>
                        <w:spacing w:after="0" w:line="240" w:lineRule="atLeast"/>
                        <w:jc w:val="both"/>
                        <w:rPr>
                          <w:rFonts w:ascii="Times New Roman" w:hAnsi="Times New Roman" w:cs="Times New Roman"/>
                          <w:sz w:val="18"/>
                          <w:szCs w:val="18"/>
                        </w:rPr>
                      </w:pPr>
                      <w:r>
                        <w:rPr>
                          <w:rFonts w:ascii="Times New Roman" w:hAnsi="Times New Roman" w:cs="Times New Roman"/>
                          <w:sz w:val="18"/>
                          <w:szCs w:val="18"/>
                        </w:rPr>
                        <w:t>Upoštevati pravila agregacije (pomembne so podskupine za namene GLOBE)</w:t>
                      </w:r>
                    </w:p>
                  </w:txbxContent>
                </v:textbox>
              </v:roundrect>
            </w:pict>
          </mc:Fallback>
        </mc:AlternateContent>
      </w:r>
      <w:r w:rsidR="00DB338C">
        <w:rPr>
          <w:noProof/>
          <w:lang w:eastAsia="sl-SI"/>
        </w:rPr>
        <mc:AlternateContent>
          <mc:Choice Requires="wps">
            <w:drawing>
              <wp:anchor distT="45720" distB="45720" distL="114300" distR="114300" simplePos="0" relativeHeight="251669504" behindDoc="0" locked="0" layoutInCell="1" allowOverlap="1" wp14:anchorId="7807CA3D" wp14:editId="5DE680D1">
                <wp:simplePos x="0" y="0"/>
                <wp:positionH relativeFrom="column">
                  <wp:posOffset>-613410</wp:posOffset>
                </wp:positionH>
                <wp:positionV relativeFrom="paragraph">
                  <wp:posOffset>158750</wp:posOffset>
                </wp:positionV>
                <wp:extent cx="2034540" cy="1282700"/>
                <wp:effectExtent l="0" t="0" r="3810" b="0"/>
                <wp:wrapSquare wrapText="bothSides"/>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282700"/>
                        </a:xfrm>
                        <a:prstGeom prst="rect">
                          <a:avLst/>
                        </a:prstGeom>
                        <a:solidFill>
                          <a:srgbClr val="FFFFFF"/>
                        </a:solidFill>
                        <a:ln w="9525">
                          <a:solidFill>
                            <a:schemeClr val="accent1">
                              <a:lumMod val="75000"/>
                            </a:schemeClr>
                          </a:solidFill>
                          <a:miter lim="800000"/>
                          <a:headEnd/>
                          <a:tailEnd/>
                        </a:ln>
                      </wps:spPr>
                      <wps:txbx>
                        <w:txbxContent>
                          <w:p w14:paraId="318E5C1E" w14:textId="77777777" w:rsidR="008F6A83" w:rsidRPr="000004B5" w:rsidRDefault="008F6A83" w:rsidP="004F1259">
                            <w:pPr>
                              <w:spacing w:after="0"/>
                              <w:jc w:val="center"/>
                              <w:rPr>
                                <w:rFonts w:ascii="Times New Roman" w:hAnsi="Times New Roman" w:cs="Times New Roman"/>
                                <w:b/>
                                <w:bCs/>
                                <w:sz w:val="18"/>
                                <w:szCs w:val="18"/>
                                <w:u w:val="single"/>
                              </w:rPr>
                            </w:pPr>
                            <w:r w:rsidRPr="000004B5">
                              <w:rPr>
                                <w:rFonts w:ascii="Times New Roman" w:hAnsi="Times New Roman" w:cs="Times New Roman"/>
                                <w:b/>
                                <w:bCs/>
                                <w:sz w:val="18"/>
                                <w:szCs w:val="18"/>
                                <w:u w:val="single"/>
                              </w:rPr>
                              <w:t>KORAK 2</w:t>
                            </w:r>
                          </w:p>
                          <w:p w14:paraId="3D70C39D" w14:textId="77777777" w:rsidR="008F6A83" w:rsidRDefault="008F6A83" w:rsidP="004F1259">
                            <w:pPr>
                              <w:spacing w:after="0"/>
                              <w:jc w:val="center"/>
                              <w:rPr>
                                <w:rFonts w:ascii="Times New Roman" w:hAnsi="Times New Roman" w:cs="Times New Roman"/>
                                <w:sz w:val="18"/>
                                <w:szCs w:val="18"/>
                              </w:rPr>
                            </w:pPr>
                            <w:r>
                              <w:rPr>
                                <w:rFonts w:ascii="Times New Roman" w:hAnsi="Times New Roman" w:cs="Times New Roman"/>
                                <w:sz w:val="18"/>
                                <w:szCs w:val="18"/>
                              </w:rPr>
                              <w:t>Izračun dejanske davčne stopnje jurisdikcije – ETR</w:t>
                            </w:r>
                          </w:p>
                          <w:p w14:paraId="2A0D3A46" w14:textId="77777777" w:rsidR="008F6A83" w:rsidRDefault="008F6A83" w:rsidP="004F1259">
                            <w:pPr>
                              <w:spacing w:after="0"/>
                              <w:jc w:val="center"/>
                              <w:rPr>
                                <w:rFonts w:ascii="Times New Roman" w:hAnsi="Times New Roman" w:cs="Times New Roman"/>
                                <w:sz w:val="18"/>
                                <w:szCs w:val="18"/>
                              </w:rPr>
                            </w:pPr>
                            <w:r w:rsidRPr="000004B5">
                              <w:rPr>
                                <w:rFonts w:ascii="Times New Roman" w:hAnsi="Times New Roman" w:cs="Times New Roman"/>
                                <w:b/>
                                <w:bCs/>
                                <w:sz w:val="18"/>
                                <w:szCs w:val="18"/>
                              </w:rPr>
                              <w:t>BISTVO:</w:t>
                            </w:r>
                            <w:r>
                              <w:rPr>
                                <w:rFonts w:ascii="Times New Roman" w:hAnsi="Times New Roman" w:cs="Times New Roman"/>
                                <w:sz w:val="18"/>
                                <w:szCs w:val="18"/>
                              </w:rPr>
                              <w:t xml:space="preserve"> formula za izračun ETR</w:t>
                            </w:r>
                          </w:p>
                          <w:p w14:paraId="588159E8" w14:textId="77777777" w:rsidR="008F6A83" w:rsidRPr="0074449C" w:rsidRDefault="008F6A83" w:rsidP="004F1259">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 xml:space="preserve">Bistveni členi ZMD: </w:t>
                            </w:r>
                            <w:r>
                              <w:rPr>
                                <w:rFonts w:ascii="Times New Roman" w:hAnsi="Times New Roman" w:cs="Times New Roman"/>
                                <w:sz w:val="18"/>
                                <w:szCs w:val="18"/>
                              </w:rPr>
                              <w:t>33. člen (dejanska davčna stopnja), 45. člen – 48. člen (posebnosti), 52. člen (investicijski subjekt)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05998" id="Polje z besedilom 38" o:spid="_x0000_s1031" type="#_x0000_t202" style="position:absolute;left:0;text-align:left;margin-left:-48.3pt;margin-top:12.5pt;width:160.2pt;height:1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" strokecolor="#2f5496 [2404]">
                <v:textbox>
                  <w:txbxContent>
                    <w:p w:rsidR="008F6A83" w:rsidRPr="000004B5" w:rsidRDefault="008F6A83" w:rsidP="004F1259">
                      <w:pPr>
                        <w:spacing w:after="0"/>
                        <w:jc w:val="center"/>
                        <w:rPr>
                          <w:rFonts w:ascii="Times New Roman" w:hAnsi="Times New Roman" w:cs="Times New Roman"/>
                          <w:b/>
                          <w:bCs/>
                          <w:sz w:val="18"/>
                          <w:szCs w:val="18"/>
                          <w:u w:val="single"/>
                        </w:rPr>
                      </w:pPr>
                      <w:r w:rsidRPr="000004B5">
                        <w:rPr>
                          <w:rFonts w:ascii="Times New Roman" w:hAnsi="Times New Roman" w:cs="Times New Roman"/>
                          <w:b/>
                          <w:bCs/>
                          <w:sz w:val="18"/>
                          <w:szCs w:val="18"/>
                          <w:u w:val="single"/>
                        </w:rPr>
                        <w:t>KORAK 2</w:t>
                      </w:r>
                    </w:p>
                    <w:p w:rsidR="008F6A83" w:rsidRDefault="008F6A83" w:rsidP="004F1259">
                      <w:pPr>
                        <w:spacing w:after="0"/>
                        <w:jc w:val="center"/>
                        <w:rPr>
                          <w:rFonts w:ascii="Times New Roman" w:hAnsi="Times New Roman" w:cs="Times New Roman"/>
                          <w:sz w:val="18"/>
                          <w:szCs w:val="18"/>
                        </w:rPr>
                      </w:pPr>
                      <w:r>
                        <w:rPr>
                          <w:rFonts w:ascii="Times New Roman" w:hAnsi="Times New Roman" w:cs="Times New Roman"/>
                          <w:sz w:val="18"/>
                          <w:szCs w:val="18"/>
                        </w:rPr>
                        <w:t>Izračun dejanske davčne stopnje jurisdikcije – ETR</w:t>
                      </w:r>
                    </w:p>
                    <w:p w:rsidR="008F6A83" w:rsidRDefault="008F6A83" w:rsidP="004F1259">
                      <w:pPr>
                        <w:spacing w:after="0"/>
                        <w:jc w:val="center"/>
                        <w:rPr>
                          <w:rFonts w:ascii="Times New Roman" w:hAnsi="Times New Roman" w:cs="Times New Roman"/>
                          <w:sz w:val="18"/>
                          <w:szCs w:val="18"/>
                        </w:rPr>
                      </w:pPr>
                      <w:r w:rsidRPr="000004B5">
                        <w:rPr>
                          <w:rFonts w:ascii="Times New Roman" w:hAnsi="Times New Roman" w:cs="Times New Roman"/>
                          <w:b/>
                          <w:bCs/>
                          <w:sz w:val="18"/>
                          <w:szCs w:val="18"/>
                        </w:rPr>
                        <w:t>BISTVO:</w:t>
                      </w:r>
                      <w:r>
                        <w:rPr>
                          <w:rFonts w:ascii="Times New Roman" w:hAnsi="Times New Roman" w:cs="Times New Roman"/>
                          <w:sz w:val="18"/>
                          <w:szCs w:val="18"/>
                        </w:rPr>
                        <w:t xml:space="preserve"> formula za izračun ETR</w:t>
                      </w:r>
                    </w:p>
                    <w:p w:rsidR="008F6A83" w:rsidRPr="0074449C" w:rsidRDefault="008F6A83" w:rsidP="004F1259">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 xml:space="preserve">Bistveni členi ZMD: </w:t>
                      </w:r>
                      <w:r>
                        <w:rPr>
                          <w:rFonts w:ascii="Times New Roman" w:hAnsi="Times New Roman" w:cs="Times New Roman"/>
                          <w:sz w:val="18"/>
                          <w:szCs w:val="18"/>
                        </w:rPr>
                        <w:t>33. člen (dejanska davčna stopnja), 45. člen – 48. člen (posebnosti), 52. člen (investicijski subjekt)</w:t>
                      </w:r>
                    </w:p>
                  </w:txbxContent>
                </v:textbox>
                <w10:wrap type="square"/>
              </v:shape>
            </w:pict>
          </mc:Fallback>
        </mc:AlternateContent>
      </w:r>
      <w:r>
        <w:rPr>
          <w:noProof/>
          <w:lang w:eastAsia="sl-SI"/>
        </w:rPr>
        <mc:AlternateContent>
          <mc:Choice Requires="wps">
            <w:drawing>
              <wp:anchor distT="0" distB="0" distL="114300" distR="114300" simplePos="0" relativeHeight="251668480" behindDoc="0" locked="0" layoutInCell="1" allowOverlap="1" wp14:anchorId="6EE8B919" wp14:editId="7111F8DA">
                <wp:simplePos x="0" y="0"/>
                <wp:positionH relativeFrom="column">
                  <wp:posOffset>1517015</wp:posOffset>
                </wp:positionH>
                <wp:positionV relativeFrom="paragraph">
                  <wp:posOffset>231140</wp:posOffset>
                </wp:positionV>
                <wp:extent cx="340995" cy="1146175"/>
                <wp:effectExtent l="0" t="0" r="1905" b="0"/>
                <wp:wrapNone/>
                <wp:docPr id="37" name="Levi zaviti oklepaj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F82661" id="Levi zaviti oklepaj 37" o:spid="_x0000_s1026" type="#_x0000_t87" style="position:absolute;margin-left:119.45pt;margin-top:18.2pt;width:26.85pt;height: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" adj="535" strokecolor="#2f5496 [2404]" strokeweight="1pt">
                <v:stroke joinstyle="miter"/>
              </v:shape>
            </w:pict>
          </mc:Fallback>
        </mc:AlternateContent>
      </w:r>
    </w:p>
    <w:p w14:paraId="3888E3D4" w14:textId="77777777" w:rsidR="004F1259" w:rsidRDefault="004F1259" w:rsidP="004D2C01">
      <w:pPr>
        <w:ind w:left="426"/>
      </w:pPr>
    </w:p>
    <w:p w14:paraId="76990119" w14:textId="77777777" w:rsidR="00870D37" w:rsidRDefault="00870D37" w:rsidP="004D2C01">
      <w:pPr>
        <w:ind w:left="426"/>
      </w:pPr>
    </w:p>
    <w:p w14:paraId="66CC080D" w14:textId="77777777" w:rsidR="00870D37" w:rsidRDefault="00870D37" w:rsidP="004D2C01">
      <w:pPr>
        <w:ind w:left="426"/>
      </w:pPr>
    </w:p>
    <w:p w14:paraId="3C5DD12F" w14:textId="77777777" w:rsidR="00870D37" w:rsidRDefault="00870D37" w:rsidP="004D2C01">
      <w:pPr>
        <w:ind w:left="426"/>
      </w:pPr>
    </w:p>
    <w:p w14:paraId="762ED894" w14:textId="77777777" w:rsidR="00DB65D9" w:rsidRDefault="00DB65D9" w:rsidP="004D2C01">
      <w:pPr>
        <w:ind w:left="426"/>
      </w:pPr>
    </w:p>
    <w:p w14:paraId="7E37A42B" w14:textId="77777777" w:rsidR="00870D37" w:rsidRDefault="00DB338C" w:rsidP="004D2C01">
      <w:pPr>
        <w:ind w:left="426"/>
      </w:pPr>
      <w:r>
        <w:rPr>
          <w:noProof/>
          <w:lang w:eastAsia="sl-SI"/>
        </w:rPr>
        <mc:AlternateContent>
          <mc:Choice Requires="wps">
            <w:drawing>
              <wp:anchor distT="45720" distB="45720" distL="114300" distR="114300" simplePos="0" relativeHeight="251673600" behindDoc="0" locked="0" layoutInCell="1" allowOverlap="1" wp14:anchorId="5984BE4D" wp14:editId="54857A98">
                <wp:simplePos x="0" y="0"/>
                <wp:positionH relativeFrom="column">
                  <wp:posOffset>-618490</wp:posOffset>
                </wp:positionH>
                <wp:positionV relativeFrom="paragraph">
                  <wp:posOffset>267970</wp:posOffset>
                </wp:positionV>
                <wp:extent cx="2058670" cy="1413510"/>
                <wp:effectExtent l="0" t="0" r="0" b="0"/>
                <wp:wrapSquare wrapText="bothSides"/>
                <wp:docPr id="34" name="Polje z besedilom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413510"/>
                        </a:xfrm>
                        <a:prstGeom prst="rect">
                          <a:avLst/>
                        </a:prstGeom>
                        <a:solidFill>
                          <a:srgbClr val="FFFFFF"/>
                        </a:solidFill>
                        <a:ln w="9525">
                          <a:solidFill>
                            <a:schemeClr val="accent1">
                              <a:lumMod val="75000"/>
                            </a:schemeClr>
                          </a:solidFill>
                          <a:miter lim="800000"/>
                          <a:headEnd/>
                          <a:tailEnd/>
                        </a:ln>
                      </wps:spPr>
                      <wps:txbx>
                        <w:txbxContent>
                          <w:p w14:paraId="73405976" w14:textId="77777777" w:rsidR="008F6A83" w:rsidRPr="0074449C" w:rsidRDefault="008F6A83" w:rsidP="00870D37">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3</w:t>
                            </w:r>
                          </w:p>
                          <w:p w14:paraId="06B4F862" w14:textId="77777777" w:rsidR="008F6A83" w:rsidRDefault="008F6A83" w:rsidP="00870D37">
                            <w:pPr>
                              <w:spacing w:after="0"/>
                              <w:jc w:val="center"/>
                              <w:rPr>
                                <w:rFonts w:ascii="Times New Roman" w:hAnsi="Times New Roman" w:cs="Times New Roman"/>
                                <w:sz w:val="18"/>
                                <w:szCs w:val="18"/>
                              </w:rPr>
                            </w:pPr>
                            <w:r>
                              <w:rPr>
                                <w:rFonts w:ascii="Times New Roman" w:hAnsi="Times New Roman" w:cs="Times New Roman"/>
                                <w:sz w:val="18"/>
                                <w:szCs w:val="18"/>
                              </w:rPr>
                              <w:t>Izračun stopnje povrhnjega davka</w:t>
                            </w:r>
                          </w:p>
                          <w:p w14:paraId="67A98C75" w14:textId="77777777" w:rsidR="008F6A83" w:rsidRDefault="008F6A83" w:rsidP="00870D37">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formula za izračun odstotka povrhnjega davka;</w:t>
                            </w:r>
                          </w:p>
                          <w:p w14:paraId="6E7E61EE" w14:textId="77777777" w:rsidR="008F6A83" w:rsidRPr="0074449C" w:rsidRDefault="008F6A83" w:rsidP="00870D37">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Bistveni členi:</w:t>
                            </w:r>
                            <w:r w:rsidRPr="0074449C">
                              <w:rPr>
                                <w:rFonts w:ascii="Times New Roman" w:hAnsi="Times New Roman" w:cs="Times New Roman"/>
                                <w:sz w:val="18"/>
                                <w:szCs w:val="18"/>
                              </w:rPr>
                              <w:t xml:space="preserve"> </w:t>
                            </w:r>
                            <w:r>
                              <w:rPr>
                                <w:rFonts w:ascii="Times New Roman" w:hAnsi="Times New Roman" w:cs="Times New Roman"/>
                                <w:sz w:val="18"/>
                                <w:szCs w:val="18"/>
                              </w:rPr>
                              <w:t>34. člen (povrhnji davek)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27D51" id="Polje z besedilom 34" o:spid="_x0000_s1032" type="#_x0000_t202" style="position:absolute;left:0;text-align:left;margin-left:-48.7pt;margin-top:21.1pt;width:162.1pt;height:111.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" strokecolor="#2f5496 [2404]">
                <v:textbox>
                  <w:txbxContent>
                    <w:p w:rsidR="008F6A83" w:rsidRPr="0074449C" w:rsidRDefault="008F6A83" w:rsidP="00870D37">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3</w:t>
                      </w:r>
                    </w:p>
                    <w:p w:rsidR="008F6A83" w:rsidRDefault="008F6A83" w:rsidP="00870D37">
                      <w:pPr>
                        <w:spacing w:after="0"/>
                        <w:jc w:val="center"/>
                        <w:rPr>
                          <w:rFonts w:ascii="Times New Roman" w:hAnsi="Times New Roman" w:cs="Times New Roman"/>
                          <w:sz w:val="18"/>
                          <w:szCs w:val="18"/>
                        </w:rPr>
                      </w:pPr>
                      <w:r>
                        <w:rPr>
                          <w:rFonts w:ascii="Times New Roman" w:hAnsi="Times New Roman" w:cs="Times New Roman"/>
                          <w:sz w:val="18"/>
                          <w:szCs w:val="18"/>
                        </w:rPr>
                        <w:t>Izračun stopnje povrhnjega davka</w:t>
                      </w:r>
                    </w:p>
                    <w:p w:rsidR="008F6A83" w:rsidRDefault="008F6A83" w:rsidP="00870D37">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formula za izračun odstotka povrhnjega davka;</w:t>
                      </w:r>
                    </w:p>
                    <w:p w:rsidR="008F6A83" w:rsidRPr="0074449C" w:rsidRDefault="008F6A83" w:rsidP="00870D37">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Bistveni členi:</w:t>
                      </w:r>
                      <w:r w:rsidRPr="0074449C">
                        <w:rPr>
                          <w:rFonts w:ascii="Times New Roman" w:hAnsi="Times New Roman" w:cs="Times New Roman"/>
                          <w:sz w:val="18"/>
                          <w:szCs w:val="18"/>
                        </w:rPr>
                        <w:t xml:space="preserve"> </w:t>
                      </w:r>
                      <w:r>
                        <w:rPr>
                          <w:rFonts w:ascii="Times New Roman" w:hAnsi="Times New Roman" w:cs="Times New Roman"/>
                          <w:sz w:val="18"/>
                          <w:szCs w:val="18"/>
                        </w:rPr>
                        <w:t>34. člen (povrhnji davek)</w:t>
                      </w:r>
                    </w:p>
                  </w:txbxContent>
                </v:textbox>
                <w10:wrap type="square"/>
              </v:shape>
            </w:pict>
          </mc:Fallback>
        </mc:AlternateContent>
      </w:r>
      <w:r w:rsidR="00B276D1">
        <w:rPr>
          <w:noProof/>
          <w:lang w:eastAsia="sl-SI"/>
        </w:rPr>
        <mc:AlternateContent>
          <mc:Choice Requires="wps">
            <w:drawing>
              <wp:anchor distT="0" distB="0" distL="114300" distR="114300" simplePos="0" relativeHeight="251671552" behindDoc="0" locked="0" layoutInCell="1" allowOverlap="1" wp14:anchorId="1FBD0545" wp14:editId="317FD8B2">
                <wp:simplePos x="0" y="0"/>
                <wp:positionH relativeFrom="column">
                  <wp:posOffset>2029460</wp:posOffset>
                </wp:positionH>
                <wp:positionV relativeFrom="paragraph">
                  <wp:posOffset>56515</wp:posOffset>
                </wp:positionV>
                <wp:extent cx="4476115" cy="1855470"/>
                <wp:effectExtent l="0" t="0" r="635" b="0"/>
                <wp:wrapNone/>
                <wp:docPr id="35" name="Pravokotnik: zaokroženi vogali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115" cy="1855470"/>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348F21C" w14:textId="77777777" w:rsidR="008F6A83" w:rsidRPr="006C2868" w:rsidRDefault="008F6A83" w:rsidP="00870D37">
                            <w:pPr>
                              <w:spacing w:after="0"/>
                              <w:ind w:left="2127" w:hanging="2127"/>
                              <w:jc w:val="both"/>
                              <w:rPr>
                                <w:rFonts w:ascii="Times New Roman" w:hAnsi="Times New Roman" w:cs="Times New Roman"/>
                                <w:sz w:val="18"/>
                                <w:szCs w:val="18"/>
                              </w:rPr>
                            </w:pPr>
                            <w:r w:rsidRPr="006C2868">
                              <w:rPr>
                                <w:rFonts w:ascii="Times New Roman" w:hAnsi="Times New Roman" w:cs="Times New Roman"/>
                                <w:sz w:val="18"/>
                                <w:szCs w:val="18"/>
                              </w:rPr>
                              <w:t xml:space="preserve">Bistveni elementi tretjega koraka: </w:t>
                            </w:r>
                          </w:p>
                          <w:p w14:paraId="407CE381" w14:textId="77777777" w:rsidR="008F6A83" w:rsidRPr="006C2868" w:rsidRDefault="008F6A83" w:rsidP="00870D37">
                            <w:pPr>
                              <w:spacing w:after="0"/>
                              <w:ind w:left="2127" w:hanging="2127"/>
                              <w:jc w:val="both"/>
                              <w:rPr>
                                <w:rFonts w:ascii="Times New Roman" w:hAnsi="Times New Roman" w:cs="Times New Roman"/>
                                <w:sz w:val="18"/>
                                <w:szCs w:val="18"/>
                              </w:rPr>
                            </w:pPr>
                          </w:p>
                          <w:p w14:paraId="1230AE36" w14:textId="77777777" w:rsidR="008F6A83" w:rsidRPr="006C2868" w:rsidRDefault="008F6A83" w:rsidP="00870D37">
                            <w:pPr>
                              <w:pStyle w:val="Odstavekseznama"/>
                              <w:numPr>
                                <w:ilvl w:val="0"/>
                                <w:numId w:val="1"/>
                              </w:numPr>
                              <w:spacing w:after="0"/>
                              <w:jc w:val="both"/>
                              <w:rPr>
                                <w:rFonts w:ascii="Times New Roman" w:hAnsi="Times New Roman" w:cs="Times New Roman"/>
                                <w:sz w:val="18"/>
                                <w:szCs w:val="18"/>
                              </w:rPr>
                            </w:pPr>
                            <w:r w:rsidRPr="006C2868">
                              <w:rPr>
                                <w:rFonts w:ascii="Times New Roman" w:hAnsi="Times New Roman" w:cs="Times New Roman"/>
                                <w:sz w:val="18"/>
                                <w:szCs w:val="18"/>
                              </w:rPr>
                              <w:t xml:space="preserve">Upoštevajoč </w:t>
                            </w:r>
                            <w:r>
                              <w:rPr>
                                <w:rFonts w:ascii="Times New Roman" w:hAnsi="Times New Roman" w:cs="Times New Roman"/>
                                <w:sz w:val="18"/>
                                <w:szCs w:val="18"/>
                              </w:rPr>
                              <w:t>ETR</w:t>
                            </w:r>
                            <w:r w:rsidRPr="006C2868">
                              <w:rPr>
                                <w:rFonts w:ascii="Times New Roman" w:hAnsi="Times New Roman" w:cs="Times New Roman"/>
                                <w:sz w:val="18"/>
                                <w:szCs w:val="18"/>
                              </w:rPr>
                              <w:t xml:space="preserve"> iz prejšnjega koraka se izračuna stopnja povrhnjega davka:</w:t>
                            </w:r>
                          </w:p>
                          <w:p w14:paraId="7097FD6B" w14:textId="77777777" w:rsidR="008F6A83" w:rsidRDefault="008F6A83" w:rsidP="00E3120F">
                            <w:pPr>
                              <w:pStyle w:val="Odstavekseznama"/>
                              <w:spacing w:after="0"/>
                              <w:jc w:val="both"/>
                              <w:rPr>
                                <w:rFonts w:ascii="Times New Roman" w:hAnsi="Times New Roman" w:cs="Times New Roman"/>
                                <w:sz w:val="18"/>
                                <w:szCs w:val="18"/>
                              </w:rPr>
                            </w:pPr>
                          </w:p>
                          <w:p w14:paraId="11E1EDBB" w14:textId="77777777" w:rsidR="008F6A83" w:rsidRPr="00E3120F" w:rsidRDefault="008F6A83" w:rsidP="00E3120F">
                            <w:pPr>
                              <w:pStyle w:val="Odstavekseznama"/>
                              <w:spacing w:after="0" w:line="240" w:lineRule="auto"/>
                              <w:ind w:left="-284"/>
                              <w:jc w:val="both"/>
                              <w:rPr>
                                <w:rFonts w:ascii="Times New Roman" w:hAnsi="Times New Roman" w:cs="Times New Roman"/>
                                <w:sz w:val="16"/>
                                <w:szCs w:val="16"/>
                              </w:rPr>
                            </w:pPr>
                            <m:oMathPara>
                              <m:oMath>
                                <m:r>
                                  <w:rPr>
                                    <w:rFonts w:ascii="Cambria Math" w:hAnsi="Cambria Math" w:cs="Times New Roman"/>
                                    <w:sz w:val="16"/>
                                    <w:szCs w:val="16"/>
                                  </w:rPr>
                                  <m:t>Odstotek povrhnjega davka =minimalna davčna stopnja -dejanska davčna stopnja</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0530F" id="Pravokotnik: zaokroženi vogali 35" o:spid="_x0000_s1033" style="position:absolute;left:0;text-align:left;margin-left:159.8pt;margin-top:4.45pt;width:352.45pt;height:14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" fillcolor="white [3201]" strokecolor="#2f5496 [2404]" strokeweight="1pt">
                <v:stroke joinstyle="miter"/>
                <v:path arrowok="t"/>
                <v:textbox>
                  <w:txbxContent>
                    <w:p w:rsidR="008F6A83" w:rsidRPr="006C2868" w:rsidRDefault="008F6A83" w:rsidP="00870D37">
                      <w:pPr>
                        <w:spacing w:after="0"/>
                        <w:ind w:left="2127" w:hanging="2127"/>
                        <w:jc w:val="both"/>
                        <w:rPr>
                          <w:rFonts w:ascii="Times New Roman" w:hAnsi="Times New Roman" w:cs="Times New Roman"/>
                          <w:sz w:val="18"/>
                          <w:szCs w:val="18"/>
                        </w:rPr>
                      </w:pPr>
                      <w:r w:rsidRPr="006C2868">
                        <w:rPr>
                          <w:rFonts w:ascii="Times New Roman" w:hAnsi="Times New Roman" w:cs="Times New Roman"/>
                          <w:sz w:val="18"/>
                          <w:szCs w:val="18"/>
                        </w:rPr>
                        <w:t xml:space="preserve">Bistveni elementi tretjega koraka: </w:t>
                      </w:r>
                    </w:p>
                    <w:p w:rsidR="008F6A83" w:rsidRPr="006C2868" w:rsidRDefault="008F6A83" w:rsidP="00870D37">
                      <w:pPr>
                        <w:spacing w:after="0"/>
                        <w:ind w:left="2127" w:hanging="2127"/>
                        <w:jc w:val="both"/>
                        <w:rPr>
                          <w:rFonts w:ascii="Times New Roman" w:hAnsi="Times New Roman" w:cs="Times New Roman"/>
                          <w:sz w:val="18"/>
                          <w:szCs w:val="18"/>
                        </w:rPr>
                      </w:pPr>
                    </w:p>
                    <w:p w:rsidR="008F6A83" w:rsidRPr="006C2868" w:rsidRDefault="008F6A83" w:rsidP="00870D37">
                      <w:pPr>
                        <w:pStyle w:val="Odstavekseznama"/>
                        <w:numPr>
                          <w:ilvl w:val="0"/>
                          <w:numId w:val="1"/>
                        </w:numPr>
                        <w:spacing w:after="0"/>
                        <w:jc w:val="both"/>
                        <w:rPr>
                          <w:rFonts w:ascii="Times New Roman" w:hAnsi="Times New Roman" w:cs="Times New Roman"/>
                          <w:sz w:val="18"/>
                          <w:szCs w:val="18"/>
                        </w:rPr>
                      </w:pPr>
                      <w:r w:rsidRPr="006C2868">
                        <w:rPr>
                          <w:rFonts w:ascii="Times New Roman" w:hAnsi="Times New Roman" w:cs="Times New Roman"/>
                          <w:sz w:val="18"/>
                          <w:szCs w:val="18"/>
                        </w:rPr>
                        <w:t xml:space="preserve">Upoštevajoč </w:t>
                      </w:r>
                      <w:r>
                        <w:rPr>
                          <w:rFonts w:ascii="Times New Roman" w:hAnsi="Times New Roman" w:cs="Times New Roman"/>
                          <w:sz w:val="18"/>
                          <w:szCs w:val="18"/>
                        </w:rPr>
                        <w:t>ETR</w:t>
                      </w:r>
                      <w:r w:rsidRPr="006C2868">
                        <w:rPr>
                          <w:rFonts w:ascii="Times New Roman" w:hAnsi="Times New Roman" w:cs="Times New Roman"/>
                          <w:sz w:val="18"/>
                          <w:szCs w:val="18"/>
                        </w:rPr>
                        <w:t xml:space="preserve"> iz prejšnjega koraka se izračuna stopnja povrhnjega davka:</w:t>
                      </w:r>
                    </w:p>
                    <w:p w:rsidR="008F6A83" w:rsidRDefault="008F6A83" w:rsidP="00E3120F">
                      <w:pPr>
                        <w:pStyle w:val="Odstavekseznama"/>
                        <w:spacing w:after="0"/>
                        <w:jc w:val="both"/>
                        <w:rPr>
                          <w:rFonts w:ascii="Times New Roman" w:hAnsi="Times New Roman" w:cs="Times New Roman"/>
                          <w:sz w:val="18"/>
                          <w:szCs w:val="18"/>
                        </w:rPr>
                      </w:pPr>
                    </w:p>
                    <w:p w:rsidR="008F6A83" w:rsidRPr="00E3120F" w:rsidRDefault="008F6A83" w:rsidP="00E3120F">
                      <w:pPr>
                        <w:pStyle w:val="Odstavekseznama"/>
                        <w:spacing w:after="0" w:line="240" w:lineRule="auto"/>
                        <w:ind w:left="-284"/>
                        <w:jc w:val="both"/>
                        <w:rPr>
                          <w:rFonts w:ascii="Times New Roman" w:hAnsi="Times New Roman" w:cs="Times New Roman"/>
                          <w:sz w:val="16"/>
                          <w:szCs w:val="16"/>
                        </w:rPr>
                      </w:pPr>
                      <m:oMathPara>
                        <m:oMath>
                          <m:r>
                            <w:rPr>
                              <w:rFonts w:ascii="Cambria Math" w:hAnsi="Cambria Math" w:cs="Times New Roman"/>
                              <w:sz w:val="16"/>
                              <w:szCs w:val="16"/>
                            </w:rPr>
                            <m:t>Odstotek povrhnjega davka =minimalna davčna stopnja -dejanska davčna stopnja</m:t>
                          </m:r>
                        </m:oMath>
                      </m:oMathPara>
                    </w:p>
                  </w:txbxContent>
                </v:textbox>
              </v:roundrect>
            </w:pict>
          </mc:Fallback>
        </mc:AlternateContent>
      </w:r>
    </w:p>
    <w:p w14:paraId="37A1EFF2" w14:textId="77777777" w:rsidR="00870D37" w:rsidRDefault="00DB338C" w:rsidP="004D2C01">
      <w:pPr>
        <w:ind w:left="426"/>
      </w:pPr>
      <w:r>
        <w:rPr>
          <w:noProof/>
          <w:lang w:eastAsia="sl-SI"/>
        </w:rPr>
        <mc:AlternateContent>
          <mc:Choice Requires="wps">
            <w:drawing>
              <wp:anchor distT="0" distB="0" distL="114300" distR="114300" simplePos="0" relativeHeight="251672576" behindDoc="0" locked="0" layoutInCell="1" allowOverlap="1" wp14:anchorId="10A8FA16" wp14:editId="3D8ED42A">
                <wp:simplePos x="0" y="0"/>
                <wp:positionH relativeFrom="column">
                  <wp:posOffset>1517650</wp:posOffset>
                </wp:positionH>
                <wp:positionV relativeFrom="paragraph">
                  <wp:posOffset>88265</wp:posOffset>
                </wp:positionV>
                <wp:extent cx="340995" cy="1146175"/>
                <wp:effectExtent l="0" t="0" r="1905" b="0"/>
                <wp:wrapNone/>
                <wp:docPr id="33" name="Levi zaviti oklepaj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0AA13B" id="Levi zaviti oklepaj 33" o:spid="_x0000_s1026" type="#_x0000_t87" style="position:absolute;margin-left:119.5pt;margin-top:6.95pt;width:26.85pt;height:9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" adj="535" strokecolor="#2f5496 [2404]" strokeweight="1pt">
                <v:stroke joinstyle="miter"/>
              </v:shape>
            </w:pict>
          </mc:Fallback>
        </mc:AlternateContent>
      </w:r>
    </w:p>
    <w:p w14:paraId="5A7EE729" w14:textId="77777777" w:rsidR="00DB65D9" w:rsidRDefault="00DB65D9" w:rsidP="004D2C01">
      <w:pPr>
        <w:ind w:left="426"/>
      </w:pPr>
    </w:p>
    <w:p w14:paraId="5176FE57" w14:textId="77777777" w:rsidR="00DB65D9" w:rsidRDefault="00DB65D9" w:rsidP="004D2C01">
      <w:pPr>
        <w:ind w:left="426"/>
      </w:pPr>
    </w:p>
    <w:p w14:paraId="5D081F67" w14:textId="77777777" w:rsidR="00870D37" w:rsidRDefault="00870D37" w:rsidP="004D2C01">
      <w:pPr>
        <w:ind w:left="426"/>
      </w:pPr>
    </w:p>
    <w:p w14:paraId="1BA99D6B" w14:textId="77777777" w:rsidR="00E3120F" w:rsidRDefault="00E3120F" w:rsidP="004D2C01">
      <w:pPr>
        <w:ind w:left="426"/>
      </w:pPr>
    </w:p>
    <w:p w14:paraId="5508D408" w14:textId="3563DDCC" w:rsidR="005237CA" w:rsidRDefault="00894EE3" w:rsidP="004D2C01">
      <w:pPr>
        <w:ind w:left="426"/>
      </w:pPr>
      <w:r>
        <w:rPr>
          <w:noProof/>
          <w:lang w:eastAsia="sl-SI"/>
        </w:rPr>
        <mc:AlternateContent>
          <mc:Choice Requires="wps">
            <w:drawing>
              <wp:anchor distT="0" distB="0" distL="114300" distR="114300" simplePos="0" relativeHeight="251675648" behindDoc="0" locked="0" layoutInCell="1" allowOverlap="1" wp14:anchorId="2B6E359D" wp14:editId="6C2AC92B">
                <wp:simplePos x="0" y="0"/>
                <wp:positionH relativeFrom="column">
                  <wp:posOffset>2002155</wp:posOffset>
                </wp:positionH>
                <wp:positionV relativeFrom="paragraph">
                  <wp:posOffset>234950</wp:posOffset>
                </wp:positionV>
                <wp:extent cx="4476115" cy="1855470"/>
                <wp:effectExtent l="0" t="0" r="19685" b="11430"/>
                <wp:wrapNone/>
                <wp:docPr id="32" name="Pravokotnik: zaokroženi vogali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115" cy="1855470"/>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F2F8701" w14:textId="77777777" w:rsidR="008F6A83" w:rsidRDefault="008F6A83" w:rsidP="00E3120F">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četrtega koraka</w:t>
                            </w:r>
                            <w:r w:rsidRPr="00582D2B">
                              <w:rPr>
                                <w:rFonts w:ascii="Times New Roman" w:hAnsi="Times New Roman" w:cs="Times New Roman"/>
                                <w:sz w:val="18"/>
                                <w:szCs w:val="18"/>
                              </w:rPr>
                              <w:t xml:space="preserve">: </w:t>
                            </w:r>
                          </w:p>
                          <w:p w14:paraId="4D5B0C1A" w14:textId="77777777" w:rsidR="008F6A83" w:rsidRDefault="008F6A83" w:rsidP="00E3120F">
                            <w:pPr>
                              <w:spacing w:after="0"/>
                              <w:ind w:left="2127" w:hanging="2127"/>
                              <w:jc w:val="both"/>
                              <w:rPr>
                                <w:rFonts w:ascii="Times New Roman" w:hAnsi="Times New Roman" w:cs="Times New Roman"/>
                                <w:sz w:val="18"/>
                                <w:szCs w:val="18"/>
                              </w:rPr>
                            </w:pPr>
                          </w:p>
                          <w:p w14:paraId="38EC1A03" w14:textId="77777777" w:rsidR="008F6A83" w:rsidRDefault="008F6A83" w:rsidP="00E3120F">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Upoštevajoč izračune iz prejšnjega koraka se izračuna presežni dobiček:</w:t>
                            </w:r>
                          </w:p>
                          <w:p w14:paraId="54AEB364" w14:textId="77777777" w:rsidR="008F6A83" w:rsidRDefault="008F6A83" w:rsidP="00E3120F">
                            <w:pPr>
                              <w:pStyle w:val="Odstavekseznama"/>
                              <w:spacing w:after="0"/>
                              <w:jc w:val="both"/>
                              <w:rPr>
                                <w:rFonts w:ascii="Times New Roman" w:hAnsi="Times New Roman" w:cs="Times New Roman"/>
                                <w:sz w:val="18"/>
                                <w:szCs w:val="18"/>
                              </w:rPr>
                            </w:pPr>
                          </w:p>
                          <w:p w14:paraId="4D24D60C" w14:textId="77777777" w:rsidR="008F6A83" w:rsidRPr="004E7B22" w:rsidRDefault="008F6A83" w:rsidP="004E7B22">
                            <w:pPr>
                              <w:rPr>
                                <w:rFonts w:ascii="Times New Roman" w:eastAsiaTheme="minorEastAsia" w:hAnsi="Times New Roman" w:cs="Times New Roman"/>
                                <w:sz w:val="16"/>
                                <w:szCs w:val="16"/>
                              </w:rPr>
                            </w:pPr>
                            <m:oMathPara>
                              <m:oMath>
                                <m:r>
                                  <w:rPr>
                                    <w:rFonts w:ascii="Cambria Math" w:hAnsi="Cambria Math" w:cs="Times New Roman"/>
                                    <w:sz w:val="16"/>
                                    <w:szCs w:val="16"/>
                                  </w:rPr>
                                  <m:t>Presežni dobiček =neto kvalificirani dohodek -vsebinska izključitev dohodkov</m:t>
                                </m:r>
                              </m:oMath>
                            </m:oMathPara>
                          </w:p>
                          <w:p w14:paraId="19347895" w14:textId="77777777" w:rsidR="008F6A83" w:rsidRDefault="008F6A83" w:rsidP="004E7B22">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Vsebinska izključitev dohodkov:</w:t>
                            </w:r>
                          </w:p>
                          <w:p w14:paraId="0D02A707" w14:textId="77777777" w:rsidR="008F6A83" w:rsidRPr="004E7B22" w:rsidRDefault="008F6A83" w:rsidP="004E7B22">
                            <w:pPr>
                              <w:spacing w:after="0"/>
                              <w:ind w:left="360"/>
                              <w:jc w:val="both"/>
                              <w:rPr>
                                <w:rFonts w:ascii="Times New Roman" w:hAnsi="Times New Roman" w:cs="Times New Roman"/>
                                <w:sz w:val="18"/>
                                <w:szCs w:val="18"/>
                              </w:rPr>
                            </w:pPr>
                            <w:r w:rsidRPr="004E7B22">
                              <w:rPr>
                                <w:rFonts w:ascii="Times New Roman" w:hAnsi="Times New Roman" w:cs="Times New Roman"/>
                                <w:sz w:val="18"/>
                                <w:szCs w:val="18"/>
                              </w:rPr>
                              <w:t>5 % upravičenih stroškov za plače upravičenih zaposlenih + 5 %</w:t>
                            </w:r>
                            <w:r>
                              <w:rPr>
                                <w:rFonts w:ascii="Times New Roman" w:hAnsi="Times New Roman" w:cs="Times New Roman"/>
                                <w:sz w:val="18"/>
                                <w:szCs w:val="18"/>
                              </w:rPr>
                              <w:t xml:space="preserve"> vrednosti</w:t>
                            </w:r>
                            <w:r w:rsidRPr="004E7B22">
                              <w:rPr>
                                <w:rFonts w:ascii="Times New Roman" w:hAnsi="Times New Roman" w:cs="Times New Roman"/>
                                <w:sz w:val="18"/>
                                <w:szCs w:val="18"/>
                              </w:rPr>
                              <w:t xml:space="preserve"> upravičenih opredmetenih sredstev</w:t>
                            </w:r>
                            <w:r>
                              <w:rPr>
                                <w:rFonts w:ascii="Times New Roman" w:hAnsi="Times New Roman" w:cs="Times New Roman"/>
                                <w:sz w:val="18"/>
                                <w:szCs w:val="18"/>
                              </w:rPr>
                              <w:t xml:space="preserve"> – ugotovitev upravičenosti za zaposlene in za sredstva (predpisano je prehodno obdobje določanja odstotkov)</w:t>
                            </w:r>
                          </w:p>
                          <w:p w14:paraId="39CE622E" w14:textId="77777777" w:rsidR="008F6A83" w:rsidRPr="00E3120F" w:rsidRDefault="008F6A83" w:rsidP="00E3120F">
                            <w:pPr>
                              <w:pStyle w:val="Odstavekseznama"/>
                              <w:spacing w:after="0" w:line="240" w:lineRule="auto"/>
                              <w:ind w:left="-284"/>
                              <w:jc w:val="bot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E359D" id="Pravokotnik: zaokroženi vogali 32" o:spid="_x0000_s1034" style="position:absolute;left:0;text-align:left;margin-left:157.65pt;margin-top:18.5pt;width:352.45pt;height:14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" fillcolor="white [3201]" strokecolor="#2f5496 [2404]" strokeweight="1pt">
                <v:stroke joinstyle="miter"/>
                <v:path arrowok="t"/>
                <v:textbox>
                  <w:txbxContent>
                    <w:p w14:paraId="2F2F8701" w14:textId="77777777" w:rsidR="008F6A83" w:rsidRDefault="008F6A83" w:rsidP="00E3120F">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četrtega koraka</w:t>
                      </w:r>
                      <w:r w:rsidRPr="00582D2B">
                        <w:rPr>
                          <w:rFonts w:ascii="Times New Roman" w:hAnsi="Times New Roman" w:cs="Times New Roman"/>
                          <w:sz w:val="18"/>
                          <w:szCs w:val="18"/>
                        </w:rPr>
                        <w:t xml:space="preserve">: </w:t>
                      </w:r>
                    </w:p>
                    <w:p w14:paraId="4D5B0C1A" w14:textId="77777777" w:rsidR="008F6A83" w:rsidRDefault="008F6A83" w:rsidP="00E3120F">
                      <w:pPr>
                        <w:spacing w:after="0"/>
                        <w:ind w:left="2127" w:hanging="2127"/>
                        <w:jc w:val="both"/>
                        <w:rPr>
                          <w:rFonts w:ascii="Times New Roman" w:hAnsi="Times New Roman" w:cs="Times New Roman"/>
                          <w:sz w:val="18"/>
                          <w:szCs w:val="18"/>
                        </w:rPr>
                      </w:pPr>
                    </w:p>
                    <w:p w14:paraId="38EC1A03" w14:textId="77777777" w:rsidR="008F6A83" w:rsidRDefault="008F6A83" w:rsidP="00E3120F">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Upoštevajoč izračune iz prejšnjega koraka se izračuna presežni dobiček:</w:t>
                      </w:r>
                    </w:p>
                    <w:p w14:paraId="54AEB364" w14:textId="77777777" w:rsidR="008F6A83" w:rsidRDefault="008F6A83" w:rsidP="00E3120F">
                      <w:pPr>
                        <w:pStyle w:val="Odstavekseznama"/>
                        <w:spacing w:after="0"/>
                        <w:jc w:val="both"/>
                        <w:rPr>
                          <w:rFonts w:ascii="Times New Roman" w:hAnsi="Times New Roman" w:cs="Times New Roman"/>
                          <w:sz w:val="18"/>
                          <w:szCs w:val="18"/>
                        </w:rPr>
                      </w:pPr>
                    </w:p>
                    <w:p w14:paraId="4D24D60C" w14:textId="77777777" w:rsidR="008F6A83" w:rsidRPr="004E7B22" w:rsidRDefault="008F6A83" w:rsidP="004E7B22">
                      <w:pPr>
                        <w:rPr>
                          <w:rFonts w:ascii="Times New Roman" w:eastAsiaTheme="minorEastAsia" w:hAnsi="Times New Roman" w:cs="Times New Roman"/>
                          <w:sz w:val="16"/>
                          <w:szCs w:val="16"/>
                        </w:rPr>
                      </w:pPr>
                      <m:oMathPara>
                        <m:oMath>
                          <m:r>
                            <w:rPr>
                              <w:rFonts w:ascii="Cambria Math" w:hAnsi="Cambria Math" w:cs="Times New Roman"/>
                              <w:sz w:val="16"/>
                              <w:szCs w:val="16"/>
                            </w:rPr>
                            <m:t>Presežni dobiček =neto kvalificirani dohodek -vsebinska izključitev dohodkov</m:t>
                          </m:r>
                        </m:oMath>
                      </m:oMathPara>
                    </w:p>
                    <w:p w14:paraId="19347895" w14:textId="77777777" w:rsidR="008F6A83" w:rsidRDefault="008F6A83" w:rsidP="004E7B22">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Vsebinska izključitev dohodkov:</w:t>
                      </w:r>
                    </w:p>
                    <w:p w14:paraId="0D02A707" w14:textId="77777777" w:rsidR="008F6A83" w:rsidRPr="004E7B22" w:rsidRDefault="008F6A83" w:rsidP="004E7B22">
                      <w:pPr>
                        <w:spacing w:after="0"/>
                        <w:ind w:left="360"/>
                        <w:jc w:val="both"/>
                        <w:rPr>
                          <w:rFonts w:ascii="Times New Roman" w:hAnsi="Times New Roman" w:cs="Times New Roman"/>
                          <w:sz w:val="18"/>
                          <w:szCs w:val="18"/>
                        </w:rPr>
                      </w:pPr>
                      <w:r w:rsidRPr="004E7B22">
                        <w:rPr>
                          <w:rFonts w:ascii="Times New Roman" w:hAnsi="Times New Roman" w:cs="Times New Roman"/>
                          <w:sz w:val="18"/>
                          <w:szCs w:val="18"/>
                        </w:rPr>
                        <w:t>5 % upravičenih stroškov za plače upravičenih zaposlenih + 5 %</w:t>
                      </w:r>
                      <w:r>
                        <w:rPr>
                          <w:rFonts w:ascii="Times New Roman" w:hAnsi="Times New Roman" w:cs="Times New Roman"/>
                          <w:sz w:val="18"/>
                          <w:szCs w:val="18"/>
                        </w:rPr>
                        <w:t xml:space="preserve"> vrednosti</w:t>
                      </w:r>
                      <w:r w:rsidRPr="004E7B22">
                        <w:rPr>
                          <w:rFonts w:ascii="Times New Roman" w:hAnsi="Times New Roman" w:cs="Times New Roman"/>
                          <w:sz w:val="18"/>
                          <w:szCs w:val="18"/>
                        </w:rPr>
                        <w:t xml:space="preserve"> upravičenih opredmetenih sredstev</w:t>
                      </w:r>
                      <w:r>
                        <w:rPr>
                          <w:rFonts w:ascii="Times New Roman" w:hAnsi="Times New Roman" w:cs="Times New Roman"/>
                          <w:sz w:val="18"/>
                          <w:szCs w:val="18"/>
                        </w:rPr>
                        <w:t xml:space="preserve"> – ugotovitev upravičenosti za zaposlene in za sredstva (predpisano je prehodno obdobje določanja odstotkov)</w:t>
                      </w:r>
                    </w:p>
                    <w:p w14:paraId="39CE622E" w14:textId="77777777" w:rsidR="008F6A83" w:rsidRPr="00E3120F" w:rsidRDefault="008F6A83" w:rsidP="00E3120F">
                      <w:pPr>
                        <w:pStyle w:val="Odstavekseznama"/>
                        <w:spacing w:after="0" w:line="240" w:lineRule="auto"/>
                        <w:ind w:left="-284"/>
                        <w:jc w:val="both"/>
                        <w:rPr>
                          <w:rFonts w:ascii="Times New Roman" w:hAnsi="Times New Roman" w:cs="Times New Roman"/>
                          <w:sz w:val="16"/>
                          <w:szCs w:val="16"/>
                        </w:rPr>
                      </w:pPr>
                    </w:p>
                  </w:txbxContent>
                </v:textbox>
              </v:roundrect>
            </w:pict>
          </mc:Fallback>
        </mc:AlternateContent>
      </w:r>
    </w:p>
    <w:p w14:paraId="4EBB1FA8" w14:textId="77777777" w:rsidR="00E3120F" w:rsidRDefault="00E3120F" w:rsidP="004D2C01">
      <w:pPr>
        <w:ind w:left="426"/>
      </w:pPr>
    </w:p>
    <w:p w14:paraId="7BBA4752" w14:textId="6A21FFEC" w:rsidR="00E3120F" w:rsidRDefault="00DB338C" w:rsidP="004D2C01">
      <w:pPr>
        <w:ind w:left="426"/>
      </w:pPr>
      <w:r>
        <w:rPr>
          <w:noProof/>
          <w:lang w:eastAsia="sl-SI"/>
        </w:rPr>
        <mc:AlternateContent>
          <mc:Choice Requires="wps">
            <w:drawing>
              <wp:anchor distT="45720" distB="45720" distL="114300" distR="114300" simplePos="0" relativeHeight="251677696" behindDoc="0" locked="0" layoutInCell="1" allowOverlap="1" wp14:anchorId="5A405A3E" wp14:editId="71D2E2F3">
                <wp:simplePos x="0" y="0"/>
                <wp:positionH relativeFrom="column">
                  <wp:posOffset>-504825</wp:posOffset>
                </wp:positionH>
                <wp:positionV relativeFrom="paragraph">
                  <wp:posOffset>59055</wp:posOffset>
                </wp:positionV>
                <wp:extent cx="2034540" cy="1228090"/>
                <wp:effectExtent l="0" t="0" r="3810" b="0"/>
                <wp:wrapSquare wrapText="bothSides"/>
                <wp:docPr id="26" name="Polje z besedilom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228090"/>
                        </a:xfrm>
                        <a:prstGeom prst="rect">
                          <a:avLst/>
                        </a:prstGeom>
                        <a:solidFill>
                          <a:srgbClr val="FFFFFF"/>
                        </a:solidFill>
                        <a:ln w="9525">
                          <a:solidFill>
                            <a:schemeClr val="accent1">
                              <a:lumMod val="75000"/>
                            </a:schemeClr>
                          </a:solidFill>
                          <a:miter lim="800000"/>
                          <a:headEnd/>
                          <a:tailEnd/>
                        </a:ln>
                      </wps:spPr>
                      <wps:txbx>
                        <w:txbxContent>
                          <w:p w14:paraId="3B2F75B4" w14:textId="77777777" w:rsidR="008F6A83" w:rsidRPr="0074449C" w:rsidRDefault="008F6A83" w:rsidP="00E3120F">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4</w:t>
                            </w:r>
                          </w:p>
                          <w:p w14:paraId="26C342C6" w14:textId="77777777" w:rsidR="008F6A83" w:rsidRDefault="008F6A83" w:rsidP="00E3120F">
                            <w:pPr>
                              <w:spacing w:after="0"/>
                              <w:jc w:val="center"/>
                              <w:rPr>
                                <w:rFonts w:ascii="Times New Roman" w:hAnsi="Times New Roman" w:cs="Times New Roman"/>
                                <w:sz w:val="18"/>
                                <w:szCs w:val="18"/>
                              </w:rPr>
                            </w:pPr>
                            <w:r>
                              <w:rPr>
                                <w:rFonts w:ascii="Times New Roman" w:hAnsi="Times New Roman" w:cs="Times New Roman"/>
                                <w:sz w:val="18"/>
                                <w:szCs w:val="18"/>
                              </w:rPr>
                              <w:t>Izračun presežnega dobička;</w:t>
                            </w:r>
                          </w:p>
                          <w:p w14:paraId="2BE56B3D" w14:textId="77777777" w:rsidR="008F6A83"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formula za izračun presežnega dobička;</w:t>
                            </w:r>
                          </w:p>
                          <w:p w14:paraId="1B4FDDAD" w14:textId="77777777" w:rsidR="008F6A83" w:rsidRPr="0074449C"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Bistveni členi:</w:t>
                            </w:r>
                            <w:r w:rsidRPr="0074449C">
                              <w:rPr>
                                <w:rFonts w:ascii="Times New Roman" w:hAnsi="Times New Roman" w:cs="Times New Roman"/>
                                <w:sz w:val="18"/>
                                <w:szCs w:val="18"/>
                              </w:rPr>
                              <w:t xml:space="preserve"> </w:t>
                            </w:r>
                            <w:r>
                              <w:rPr>
                                <w:rFonts w:ascii="Times New Roman" w:hAnsi="Times New Roman" w:cs="Times New Roman"/>
                                <w:sz w:val="18"/>
                                <w:szCs w:val="18"/>
                              </w:rPr>
                              <w:t>34. člen (povrhnji davek)</w:t>
                            </w:r>
                          </w:p>
                          <w:p w14:paraId="61F7F982" w14:textId="77777777" w:rsidR="008F6A83" w:rsidRPr="00E76549" w:rsidRDefault="008F6A83" w:rsidP="0074449C">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D535" id="Polje z besedilom 26" o:spid="_x0000_s1035" type="#_x0000_t202" style="position:absolute;left:0;text-align:left;margin-left:-39.75pt;margin-top:4.65pt;width:160.2pt;height:96.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" strokecolor="#2f5496 [2404]">
                <v:textbox>
                  <w:txbxContent>
                    <w:p w:rsidR="008F6A83" w:rsidRPr="0074449C" w:rsidRDefault="008F6A83" w:rsidP="00E3120F">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4</w:t>
                      </w:r>
                    </w:p>
                    <w:p w:rsidR="008F6A83" w:rsidRDefault="008F6A83" w:rsidP="00E3120F">
                      <w:pPr>
                        <w:spacing w:after="0"/>
                        <w:jc w:val="center"/>
                        <w:rPr>
                          <w:rFonts w:ascii="Times New Roman" w:hAnsi="Times New Roman" w:cs="Times New Roman"/>
                          <w:sz w:val="18"/>
                          <w:szCs w:val="18"/>
                        </w:rPr>
                      </w:pPr>
                      <w:r>
                        <w:rPr>
                          <w:rFonts w:ascii="Times New Roman" w:hAnsi="Times New Roman" w:cs="Times New Roman"/>
                          <w:sz w:val="18"/>
                          <w:szCs w:val="18"/>
                        </w:rPr>
                        <w:t>Izračun presežnega dobička;</w:t>
                      </w:r>
                    </w:p>
                    <w:p w:rsidR="008F6A83"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formula za izračun presežnega dobička;</w:t>
                      </w:r>
                    </w:p>
                    <w:p w:rsidR="008F6A83" w:rsidRPr="0074449C"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Bistveni členi:</w:t>
                      </w:r>
                      <w:r w:rsidRPr="0074449C">
                        <w:rPr>
                          <w:rFonts w:ascii="Times New Roman" w:hAnsi="Times New Roman" w:cs="Times New Roman"/>
                          <w:sz w:val="18"/>
                          <w:szCs w:val="18"/>
                        </w:rPr>
                        <w:t xml:space="preserve"> </w:t>
                      </w:r>
                      <w:r>
                        <w:rPr>
                          <w:rFonts w:ascii="Times New Roman" w:hAnsi="Times New Roman" w:cs="Times New Roman"/>
                          <w:sz w:val="18"/>
                          <w:szCs w:val="18"/>
                        </w:rPr>
                        <w:t>34. člen (povrhnji davek)</w:t>
                      </w:r>
                    </w:p>
                    <w:p w:rsidR="008F6A83" w:rsidRPr="00E76549" w:rsidRDefault="008F6A83" w:rsidP="0074449C">
                      <w:pPr>
                        <w:spacing w:after="0"/>
                        <w:rPr>
                          <w:rFonts w:ascii="Times New Roman" w:hAnsi="Times New Roman" w:cs="Times New Roman"/>
                          <w:sz w:val="18"/>
                          <w:szCs w:val="18"/>
                        </w:rPr>
                      </w:pPr>
                    </w:p>
                  </w:txbxContent>
                </v:textbox>
                <w10:wrap type="square"/>
              </v:shape>
            </w:pict>
          </mc:Fallback>
        </mc:AlternateContent>
      </w:r>
      <w:r>
        <w:rPr>
          <w:noProof/>
          <w:lang w:eastAsia="sl-SI"/>
        </w:rPr>
        <mc:AlternateContent>
          <mc:Choice Requires="wps">
            <w:drawing>
              <wp:anchor distT="0" distB="0" distL="114300" distR="114300" simplePos="0" relativeHeight="251676672" behindDoc="0" locked="0" layoutInCell="1" allowOverlap="1" wp14:anchorId="425969BB" wp14:editId="7B3A02AC">
                <wp:simplePos x="0" y="0"/>
                <wp:positionH relativeFrom="column">
                  <wp:posOffset>1593215</wp:posOffset>
                </wp:positionH>
                <wp:positionV relativeFrom="paragraph">
                  <wp:posOffset>60960</wp:posOffset>
                </wp:positionV>
                <wp:extent cx="340995" cy="1146175"/>
                <wp:effectExtent l="0" t="0" r="1905" b="0"/>
                <wp:wrapNone/>
                <wp:docPr id="25" name="Levi zaviti oklepaj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79FE85" id="Levi zaviti oklepaj 25" o:spid="_x0000_s1026" type="#_x0000_t87" style="position:absolute;margin-left:125.45pt;margin-top:4.8pt;width:26.85pt;height:9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" adj="535" strokecolor="#2f5496 [2404]" strokeweight="1pt">
                <v:stroke joinstyle="miter"/>
              </v:shape>
            </w:pict>
          </mc:Fallback>
        </mc:AlternateContent>
      </w:r>
    </w:p>
    <w:p w14:paraId="344F0615" w14:textId="77777777" w:rsidR="00F01934" w:rsidRDefault="00F01934" w:rsidP="004D2C01">
      <w:pPr>
        <w:ind w:left="426"/>
      </w:pPr>
    </w:p>
    <w:p w14:paraId="56A91FAE" w14:textId="77777777" w:rsidR="00DB338C" w:rsidRDefault="00DB338C" w:rsidP="004D2C01">
      <w:pPr>
        <w:ind w:left="426"/>
      </w:pPr>
    </w:p>
    <w:p w14:paraId="31313E10" w14:textId="77777777" w:rsidR="00DB338C" w:rsidRDefault="00DB338C" w:rsidP="004D2C01">
      <w:pPr>
        <w:ind w:left="426"/>
      </w:pPr>
    </w:p>
    <w:p w14:paraId="4926BC36" w14:textId="77777777" w:rsidR="00DB338C" w:rsidRDefault="00DB338C" w:rsidP="004D2C01">
      <w:pPr>
        <w:ind w:left="426"/>
      </w:pPr>
    </w:p>
    <w:p w14:paraId="6E0F39A2" w14:textId="77777777" w:rsidR="00F01934" w:rsidRDefault="00DB338C" w:rsidP="004D2C01">
      <w:pPr>
        <w:ind w:left="426"/>
      </w:pPr>
      <w:r>
        <w:rPr>
          <w:noProof/>
          <w:lang w:eastAsia="sl-SI"/>
        </w:rPr>
        <mc:AlternateContent>
          <mc:Choice Requires="wps">
            <w:drawing>
              <wp:anchor distT="45720" distB="45720" distL="114300" distR="114300" simplePos="0" relativeHeight="251681792" behindDoc="0" locked="0" layoutInCell="1" allowOverlap="1" wp14:anchorId="7B857538" wp14:editId="49EEE58C">
                <wp:simplePos x="0" y="0"/>
                <wp:positionH relativeFrom="column">
                  <wp:posOffset>-613410</wp:posOffset>
                </wp:positionH>
                <wp:positionV relativeFrom="paragraph">
                  <wp:posOffset>363855</wp:posOffset>
                </wp:positionV>
                <wp:extent cx="2026920" cy="1444625"/>
                <wp:effectExtent l="0" t="0" r="0" b="3175"/>
                <wp:wrapSquare wrapText="bothSides"/>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444625"/>
                        </a:xfrm>
                        <a:prstGeom prst="rect">
                          <a:avLst/>
                        </a:prstGeom>
                        <a:solidFill>
                          <a:srgbClr val="FFFFFF"/>
                        </a:solidFill>
                        <a:ln w="9525">
                          <a:solidFill>
                            <a:schemeClr val="accent1">
                              <a:lumMod val="75000"/>
                            </a:schemeClr>
                          </a:solidFill>
                          <a:miter lim="800000"/>
                          <a:headEnd/>
                          <a:tailEnd/>
                        </a:ln>
                      </wps:spPr>
                      <wps:txbx>
                        <w:txbxContent>
                          <w:p w14:paraId="08135E6E" w14:textId="77777777" w:rsidR="008F6A83" w:rsidRPr="0074449C" w:rsidRDefault="008F6A83" w:rsidP="00F01934">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5</w:t>
                            </w:r>
                          </w:p>
                          <w:p w14:paraId="6A1A4E05" w14:textId="77777777" w:rsidR="008F6A83" w:rsidRDefault="008F6A83" w:rsidP="00F01934">
                            <w:pPr>
                              <w:spacing w:after="0"/>
                              <w:jc w:val="center"/>
                              <w:rPr>
                                <w:rFonts w:ascii="Times New Roman" w:hAnsi="Times New Roman" w:cs="Times New Roman"/>
                                <w:sz w:val="18"/>
                                <w:szCs w:val="18"/>
                              </w:rPr>
                            </w:pPr>
                            <w:r>
                              <w:rPr>
                                <w:rFonts w:ascii="Times New Roman" w:hAnsi="Times New Roman" w:cs="Times New Roman"/>
                                <w:sz w:val="18"/>
                                <w:szCs w:val="18"/>
                              </w:rPr>
                              <w:t>Izračun povrhnjega davka za jurisdikcijo;</w:t>
                            </w:r>
                          </w:p>
                          <w:p w14:paraId="0E2FF3AB" w14:textId="77777777" w:rsidR="008F6A83"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formula za izračun povrhnjega davka za jurisdikcijo;</w:t>
                            </w:r>
                          </w:p>
                          <w:p w14:paraId="60A39AD2" w14:textId="77777777" w:rsidR="008F6A83" w:rsidRPr="0074449C"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Bistveni členi:</w:t>
                            </w:r>
                            <w:r w:rsidRPr="0074449C">
                              <w:rPr>
                                <w:rFonts w:ascii="Times New Roman" w:hAnsi="Times New Roman" w:cs="Times New Roman"/>
                                <w:sz w:val="18"/>
                                <w:szCs w:val="18"/>
                              </w:rPr>
                              <w:t xml:space="preserve"> </w:t>
                            </w:r>
                            <w:r>
                              <w:rPr>
                                <w:rFonts w:ascii="Times New Roman" w:hAnsi="Times New Roman" w:cs="Times New Roman"/>
                                <w:sz w:val="18"/>
                                <w:szCs w:val="18"/>
                              </w:rPr>
                              <w:t>34. člen (povrhnji davek), 35. člen do 39. člen (vsebinska izključitev dohodka), 40. člen (dodatni povrhnji davek</w:t>
                            </w:r>
                          </w:p>
                          <w:p w14:paraId="7F7750DD" w14:textId="77777777" w:rsidR="008F6A83" w:rsidRPr="00E76549" w:rsidRDefault="008F6A83" w:rsidP="00F01934">
                            <w:pPr>
                              <w:spacing w:after="0"/>
                              <w:jc w:val="cente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3DEE" id="Polje z besedilom 24" o:spid="_x0000_s1036" type="#_x0000_t202" style="position:absolute;left:0;text-align:left;margin-left:-48.3pt;margin-top:28.65pt;width:159.6pt;height:11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" strokecolor="#2f5496 [2404]">
                <v:textbox>
                  <w:txbxContent>
                    <w:p w:rsidR="008F6A83" w:rsidRPr="0074449C" w:rsidRDefault="008F6A83" w:rsidP="00F01934">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5</w:t>
                      </w:r>
                    </w:p>
                    <w:p w:rsidR="008F6A83" w:rsidRDefault="008F6A83" w:rsidP="00F01934">
                      <w:pPr>
                        <w:spacing w:after="0"/>
                        <w:jc w:val="center"/>
                        <w:rPr>
                          <w:rFonts w:ascii="Times New Roman" w:hAnsi="Times New Roman" w:cs="Times New Roman"/>
                          <w:sz w:val="18"/>
                          <w:szCs w:val="18"/>
                        </w:rPr>
                      </w:pPr>
                      <w:r>
                        <w:rPr>
                          <w:rFonts w:ascii="Times New Roman" w:hAnsi="Times New Roman" w:cs="Times New Roman"/>
                          <w:sz w:val="18"/>
                          <w:szCs w:val="18"/>
                        </w:rPr>
                        <w:t>Izračun povrhnjega davka za jurisdikcijo;</w:t>
                      </w:r>
                    </w:p>
                    <w:p w:rsidR="008F6A83"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formula za izračun povrhnjega davka za jurisdikcijo;</w:t>
                      </w:r>
                    </w:p>
                    <w:p w:rsidR="008F6A83" w:rsidRPr="0074449C"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Bistveni členi:</w:t>
                      </w:r>
                      <w:r w:rsidRPr="0074449C">
                        <w:rPr>
                          <w:rFonts w:ascii="Times New Roman" w:hAnsi="Times New Roman" w:cs="Times New Roman"/>
                          <w:sz w:val="18"/>
                          <w:szCs w:val="18"/>
                        </w:rPr>
                        <w:t xml:space="preserve"> </w:t>
                      </w:r>
                      <w:r>
                        <w:rPr>
                          <w:rFonts w:ascii="Times New Roman" w:hAnsi="Times New Roman" w:cs="Times New Roman"/>
                          <w:sz w:val="18"/>
                          <w:szCs w:val="18"/>
                        </w:rPr>
                        <w:t>34. člen (povrhnji davek), 35. člen do 39. člen (vsebinska izključitev dohodka), 40. člen (dodatni povrhnji davek</w:t>
                      </w:r>
                    </w:p>
                    <w:p w:rsidR="008F6A83" w:rsidRPr="00E76549" w:rsidRDefault="008F6A83" w:rsidP="00F01934">
                      <w:pPr>
                        <w:spacing w:after="0"/>
                        <w:jc w:val="center"/>
                        <w:rPr>
                          <w:rFonts w:ascii="Times New Roman" w:hAnsi="Times New Roman" w:cs="Times New Roman"/>
                          <w:sz w:val="18"/>
                          <w:szCs w:val="18"/>
                        </w:rPr>
                      </w:pPr>
                    </w:p>
                  </w:txbxContent>
                </v:textbox>
                <w10:wrap type="square"/>
              </v:shape>
            </w:pict>
          </mc:Fallback>
        </mc:AlternateContent>
      </w:r>
      <w:r>
        <w:rPr>
          <w:noProof/>
          <w:lang w:eastAsia="sl-SI"/>
        </w:rPr>
        <mc:AlternateContent>
          <mc:Choice Requires="wps">
            <w:drawing>
              <wp:anchor distT="0" distB="0" distL="114300" distR="114300" simplePos="0" relativeHeight="251679744" behindDoc="0" locked="0" layoutInCell="1" allowOverlap="1" wp14:anchorId="6CE8FD9B" wp14:editId="415603AB">
                <wp:simplePos x="0" y="0"/>
                <wp:positionH relativeFrom="column">
                  <wp:posOffset>2001520</wp:posOffset>
                </wp:positionH>
                <wp:positionV relativeFrom="paragraph">
                  <wp:posOffset>126365</wp:posOffset>
                </wp:positionV>
                <wp:extent cx="4476115" cy="1855470"/>
                <wp:effectExtent l="0" t="0" r="635" b="0"/>
                <wp:wrapNone/>
                <wp:docPr id="23" name="Pravokotnik: zaokroženi vogali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115" cy="1855470"/>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C26B933" w14:textId="77777777" w:rsidR="008F6A83" w:rsidRDefault="008F6A83" w:rsidP="00F01934">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petega koraka</w:t>
                            </w:r>
                            <w:r w:rsidRPr="00582D2B">
                              <w:rPr>
                                <w:rFonts w:ascii="Times New Roman" w:hAnsi="Times New Roman" w:cs="Times New Roman"/>
                                <w:sz w:val="18"/>
                                <w:szCs w:val="18"/>
                              </w:rPr>
                              <w:t xml:space="preserve">: </w:t>
                            </w:r>
                          </w:p>
                          <w:p w14:paraId="649B9AB7" w14:textId="77777777" w:rsidR="008F6A83" w:rsidRDefault="008F6A83" w:rsidP="00F01934">
                            <w:pPr>
                              <w:spacing w:after="0"/>
                              <w:ind w:left="2127" w:hanging="2127"/>
                              <w:jc w:val="both"/>
                              <w:rPr>
                                <w:rFonts w:ascii="Times New Roman" w:hAnsi="Times New Roman" w:cs="Times New Roman"/>
                                <w:sz w:val="18"/>
                                <w:szCs w:val="18"/>
                              </w:rPr>
                            </w:pPr>
                          </w:p>
                          <w:p w14:paraId="408B395E" w14:textId="77777777" w:rsidR="008F6A83" w:rsidRDefault="008F6A83" w:rsidP="00F01934">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Upoštevajoč izračune iz prejšnjega koraka je treba izračunati povrhnji davek za jurisdikcijo:</w:t>
                            </w:r>
                          </w:p>
                          <w:p w14:paraId="3824B1A7" w14:textId="77777777" w:rsidR="008F6A83" w:rsidRPr="00FD1603" w:rsidRDefault="00000000" w:rsidP="001519E3">
                            <w:pPr>
                              <w:spacing w:after="0"/>
                              <w:ind w:left="-851"/>
                              <w:jc w:val="both"/>
                              <w:rPr>
                                <w:rFonts w:ascii="Times New Roman" w:hAnsi="Times New Roman" w:cs="Times New Roman"/>
                                <w:color w:val="000000" w:themeColor="text1"/>
                                <w:sz w:val="14"/>
                                <w:szCs w:val="14"/>
                              </w:rPr>
                            </w:pPr>
                            <m:oMathPara>
                              <m:oMath>
                                <m:d>
                                  <m:dPr>
                                    <m:ctrlPr>
                                      <w:rPr>
                                        <w:rFonts w:ascii="Cambria Math" w:hAnsi="Cambria Math" w:cs="Times New Roman"/>
                                        <w:i/>
                                        <w:color w:val="000000" w:themeColor="text1"/>
                                        <w:sz w:val="14"/>
                                        <w:szCs w:val="14"/>
                                      </w:rPr>
                                    </m:ctrlPr>
                                  </m:dPr>
                                  <m:e>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Povrhnji </m:t>
                                        </m:r>
                                      </m:e>
                                      <m:e>
                                        <m:r>
                                          <w:rPr>
                                            <w:rFonts w:ascii="Cambria Math" w:hAnsi="Cambria Math" w:cs="Times New Roman"/>
                                            <w:color w:val="000000" w:themeColor="text1"/>
                                            <w:sz w:val="14"/>
                                            <w:szCs w:val="14"/>
                                          </w:rPr>
                                          <m:t>davek jurisdikcije</m:t>
                                        </m:r>
                                      </m:e>
                                    </m:eqArr>
                                  </m:e>
                                </m:d>
                                <m:r>
                                  <w:rPr>
                                    <w:rFonts w:ascii="Cambria Math" w:hAnsi="Cambria Math" w:cs="Times New Roman"/>
                                    <w:color w:val="000000" w:themeColor="text1"/>
                                    <w:sz w:val="14"/>
                                    <w:szCs w:val="14"/>
                                  </w:rPr>
                                  <m:t>=</m:t>
                                </m:r>
                                <m:d>
                                  <m:dPr>
                                    <m:begChr m:val="{"/>
                                    <m:endChr m:val="}"/>
                                    <m:ctrlPr>
                                      <w:rPr>
                                        <w:rFonts w:ascii="Cambria Math" w:hAnsi="Cambria Math" w:cs="Times New Roman"/>
                                        <w:i/>
                                        <w:color w:val="000000" w:themeColor="text1"/>
                                        <w:sz w:val="14"/>
                                        <w:szCs w:val="14"/>
                                      </w:rPr>
                                    </m:ctrlPr>
                                  </m:dPr>
                                  <m:e>
                                    <m:d>
                                      <m:dPr>
                                        <m:ctrlPr>
                                          <w:rPr>
                                            <w:rFonts w:ascii="Cambria Math" w:hAnsi="Cambria Math" w:cs="Times New Roman"/>
                                            <w:i/>
                                            <w:color w:val="000000" w:themeColor="text1"/>
                                            <w:sz w:val="14"/>
                                            <w:szCs w:val="14"/>
                                          </w:rPr>
                                        </m:ctrlPr>
                                      </m:dPr>
                                      <m:e>
                                        <m:r>
                                          <w:rPr>
                                            <w:rFonts w:ascii="Cambria Math" w:hAnsi="Cambria Math" w:cs="Times New Roman"/>
                                            <w:color w:val="000000" w:themeColor="text1"/>
                                            <w:sz w:val="14"/>
                                            <w:szCs w:val="14"/>
                                          </w:rPr>
                                          <m:t>15%-DDS</m:t>
                                        </m:r>
                                      </m:e>
                                    </m:d>
                                    <m:r>
                                      <w:rPr>
                                        <w:rFonts w:ascii="Cambria Math" w:hAnsi="Cambria Math" w:cs="Times New Roman"/>
                                        <w:color w:val="000000" w:themeColor="text1"/>
                                        <w:sz w:val="14"/>
                                        <w:szCs w:val="14"/>
                                      </w:rPr>
                                      <m:t>*</m:t>
                                    </m:r>
                                    <m:d>
                                      <m:dPr>
                                        <m:ctrlPr>
                                          <w:rPr>
                                            <w:rFonts w:ascii="Cambria Math" w:hAnsi="Cambria Math" w:cs="Times New Roman"/>
                                            <w:i/>
                                            <w:color w:val="000000" w:themeColor="text1"/>
                                            <w:sz w:val="14"/>
                                            <w:szCs w:val="14"/>
                                          </w:rPr>
                                        </m:ctrlPr>
                                      </m:dPr>
                                      <m:e>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kvalificirani dohodek-vsebinska</m:t>
                                            </m:r>
                                          </m:e>
                                          <m:e>
                                            <m:r>
                                              <w:rPr>
                                                <w:rFonts w:ascii="Cambria Math" w:hAnsi="Cambria Math" w:cs="Times New Roman"/>
                                                <w:color w:val="000000" w:themeColor="text1"/>
                                                <w:sz w:val="14"/>
                                                <w:szCs w:val="14"/>
                                              </w:rPr>
                                              <m:t xml:space="preserve"> izključitev dohodkov</m:t>
                                            </m:r>
                                          </m:e>
                                        </m:eqArr>
                                      </m:e>
                                    </m:d>
                                  </m:e>
                                </m:d>
                                <m:r>
                                  <w:rPr>
                                    <w:rFonts w:ascii="Cambria Math" w:hAnsi="Cambria Math" w:cs="Times New Roman"/>
                                    <w:color w:val="000000" w:themeColor="text1"/>
                                    <w:sz w:val="14"/>
                                    <w:szCs w:val="14"/>
                                  </w:rPr>
                                  <m:t>+</m:t>
                                </m:r>
                                <m:d>
                                  <m:dPr>
                                    <m:ctrlPr>
                                      <w:rPr>
                                        <w:rFonts w:ascii="Cambria Math" w:hAnsi="Cambria Math" w:cs="Times New Roman"/>
                                        <w:i/>
                                        <w:color w:val="000000" w:themeColor="text1"/>
                                        <w:sz w:val="14"/>
                                        <w:szCs w:val="14"/>
                                      </w:rPr>
                                    </m:ctrlPr>
                                  </m:dPr>
                                  <m:e>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dodatni </m:t>
                                        </m:r>
                                      </m:e>
                                      <m:e>
                                        <m:r>
                                          <w:rPr>
                                            <w:rFonts w:ascii="Cambria Math" w:hAnsi="Cambria Math" w:cs="Times New Roman"/>
                                            <w:color w:val="000000" w:themeColor="text1"/>
                                            <w:sz w:val="14"/>
                                            <w:szCs w:val="14"/>
                                          </w:rPr>
                                          <m:t>povrhnji davek</m:t>
                                        </m:r>
                                      </m:e>
                                    </m:eqArr>
                                  </m:e>
                                </m:d>
                                <m:r>
                                  <w:rPr>
                                    <w:rFonts w:ascii="Cambria Math" w:hAnsi="Cambria Math" w:cs="Times New Roman"/>
                                    <w:color w:val="000000" w:themeColor="text1"/>
                                    <w:sz w:val="14"/>
                                    <w:szCs w:val="14"/>
                                  </w:rPr>
                                  <m:t xml:space="preserve">- </m:t>
                                </m:r>
                                <m:d>
                                  <m:dPr>
                                    <m:ctrlPr>
                                      <w:rPr>
                                        <w:rFonts w:ascii="Cambria Math" w:hAnsi="Cambria Math" w:cs="Times New Roman"/>
                                        <w:i/>
                                        <w:color w:val="000000" w:themeColor="text1"/>
                                        <w:sz w:val="14"/>
                                        <w:szCs w:val="14"/>
                                      </w:rPr>
                                    </m:ctrlPr>
                                  </m:dPr>
                                  <m:e>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domači </m:t>
                                        </m:r>
                                      </m:e>
                                      <m:e>
                                        <m:r>
                                          <w:rPr>
                                            <w:rFonts w:ascii="Cambria Math" w:hAnsi="Cambria Math" w:cs="Times New Roman"/>
                                            <w:color w:val="000000" w:themeColor="text1"/>
                                            <w:sz w:val="14"/>
                                            <w:szCs w:val="14"/>
                                          </w:rPr>
                                          <m:t>povrhnji davek</m:t>
                                        </m:r>
                                      </m:e>
                                    </m:eqArr>
                                  </m:e>
                                </m: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72CB1" id="Pravokotnik: zaokroženi vogali 23" o:spid="_x0000_s1037" style="position:absolute;left:0;text-align:left;margin-left:157.6pt;margin-top:9.95pt;width:352.45pt;height:14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" fillcolor="white [3201]" strokecolor="#2f5496 [2404]" strokeweight="1pt">
                <v:stroke joinstyle="miter"/>
                <v:path arrowok="t"/>
                <v:textbox>
                  <w:txbxContent>
                    <w:p w:rsidR="008F6A83" w:rsidRDefault="008F6A83" w:rsidP="00F01934">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petega koraka</w:t>
                      </w:r>
                      <w:r w:rsidRPr="00582D2B">
                        <w:rPr>
                          <w:rFonts w:ascii="Times New Roman" w:hAnsi="Times New Roman" w:cs="Times New Roman"/>
                          <w:sz w:val="18"/>
                          <w:szCs w:val="18"/>
                        </w:rPr>
                        <w:t xml:space="preserve">: </w:t>
                      </w:r>
                    </w:p>
                    <w:p w:rsidR="008F6A83" w:rsidRDefault="008F6A83" w:rsidP="00F01934">
                      <w:pPr>
                        <w:spacing w:after="0"/>
                        <w:ind w:left="2127" w:hanging="2127"/>
                        <w:jc w:val="both"/>
                        <w:rPr>
                          <w:rFonts w:ascii="Times New Roman" w:hAnsi="Times New Roman" w:cs="Times New Roman"/>
                          <w:sz w:val="18"/>
                          <w:szCs w:val="18"/>
                        </w:rPr>
                      </w:pPr>
                    </w:p>
                    <w:p w:rsidR="008F6A83" w:rsidRDefault="008F6A83" w:rsidP="00F01934">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Upoštevajoč izračune iz prejšnjega koraka je treba izračunati povrhnji davek za jurisdikcijo:</w:t>
                      </w:r>
                    </w:p>
                    <w:p w:rsidR="008F6A83" w:rsidRPr="00FD1603" w:rsidRDefault="008F6A83" w:rsidP="001519E3">
                      <w:pPr>
                        <w:spacing w:after="0"/>
                        <w:ind w:left="-851"/>
                        <w:jc w:val="both"/>
                        <w:rPr>
                          <w:rFonts w:ascii="Times New Roman" w:hAnsi="Times New Roman" w:cs="Times New Roman"/>
                          <w:color w:val="000000" w:themeColor="text1"/>
                          <w:sz w:val="14"/>
                          <w:szCs w:val="14"/>
                        </w:rPr>
                      </w:pPr>
                      <m:oMathPara>
                        <m:oMath>
                          <m:d>
                            <m:dPr>
                              <m:ctrlPr>
                                <w:rPr>
                                  <w:rFonts w:ascii="Cambria Math" w:hAnsi="Cambria Math" w:cs="Times New Roman"/>
                                  <w:i/>
                                  <w:color w:val="000000" w:themeColor="text1"/>
                                  <w:sz w:val="14"/>
                                  <w:szCs w:val="14"/>
                                </w:rPr>
                              </m:ctrlPr>
                            </m:dPr>
                            <m:e>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Povrhnji </m:t>
                                  </m:r>
                                </m:e>
                                <m:e>
                                  <m:r>
                                    <w:rPr>
                                      <w:rFonts w:ascii="Cambria Math" w:hAnsi="Cambria Math" w:cs="Times New Roman"/>
                                      <w:color w:val="000000" w:themeColor="text1"/>
                                      <w:sz w:val="14"/>
                                      <w:szCs w:val="14"/>
                                    </w:rPr>
                                    <m:t>davek jurisdikcije</m:t>
                                  </m:r>
                                </m:e>
                              </m:eqArr>
                            </m:e>
                          </m:d>
                          <m:r>
                            <w:rPr>
                              <w:rFonts w:ascii="Cambria Math" w:hAnsi="Cambria Math" w:cs="Times New Roman"/>
                              <w:color w:val="000000" w:themeColor="text1"/>
                              <w:sz w:val="14"/>
                              <w:szCs w:val="14"/>
                            </w:rPr>
                            <m:t>=</m:t>
                          </m:r>
                          <m:d>
                            <m:dPr>
                              <m:begChr m:val="{"/>
                              <m:endChr m:val="}"/>
                              <m:ctrlPr>
                                <w:rPr>
                                  <w:rFonts w:ascii="Cambria Math" w:hAnsi="Cambria Math" w:cs="Times New Roman"/>
                                  <w:i/>
                                  <w:color w:val="000000" w:themeColor="text1"/>
                                  <w:sz w:val="14"/>
                                  <w:szCs w:val="14"/>
                                </w:rPr>
                              </m:ctrlPr>
                            </m:dPr>
                            <m:e>
                              <m:d>
                                <m:dPr>
                                  <m:ctrlPr>
                                    <w:rPr>
                                      <w:rFonts w:ascii="Cambria Math" w:hAnsi="Cambria Math" w:cs="Times New Roman"/>
                                      <w:i/>
                                      <w:color w:val="000000" w:themeColor="text1"/>
                                      <w:sz w:val="14"/>
                                      <w:szCs w:val="14"/>
                                    </w:rPr>
                                  </m:ctrlPr>
                                </m:dPr>
                                <m:e>
                                  <m:r>
                                    <w:rPr>
                                      <w:rFonts w:ascii="Cambria Math" w:hAnsi="Cambria Math" w:cs="Times New Roman"/>
                                      <w:color w:val="000000" w:themeColor="text1"/>
                                      <w:sz w:val="14"/>
                                      <w:szCs w:val="14"/>
                                    </w:rPr>
                                    <m:t>15%-DDS</m:t>
                                  </m:r>
                                </m:e>
                              </m:d>
                              <m:r>
                                <w:rPr>
                                  <w:rFonts w:ascii="Cambria Math" w:hAnsi="Cambria Math" w:cs="Times New Roman"/>
                                  <w:color w:val="000000" w:themeColor="text1"/>
                                  <w:sz w:val="14"/>
                                  <w:szCs w:val="14"/>
                                </w:rPr>
                                <m:t>*</m:t>
                              </m:r>
                              <m:d>
                                <m:dPr>
                                  <m:ctrlPr>
                                    <w:rPr>
                                      <w:rFonts w:ascii="Cambria Math" w:hAnsi="Cambria Math" w:cs="Times New Roman"/>
                                      <w:i/>
                                      <w:color w:val="000000" w:themeColor="text1"/>
                                      <w:sz w:val="14"/>
                                      <w:szCs w:val="14"/>
                                    </w:rPr>
                                  </m:ctrlPr>
                                </m:dPr>
                                <m:e>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kvalificirani dohodek-vsebinska</m:t>
                                      </m:r>
                                    </m:e>
                                    <m:e>
                                      <m:r>
                                        <w:rPr>
                                          <w:rFonts w:ascii="Cambria Math" w:hAnsi="Cambria Math" w:cs="Times New Roman"/>
                                          <w:color w:val="000000" w:themeColor="text1"/>
                                          <w:sz w:val="14"/>
                                          <w:szCs w:val="14"/>
                                        </w:rPr>
                                        <m:t xml:space="preserve"> izključitev dohodkov</m:t>
                                      </m:r>
                                    </m:e>
                                  </m:eqArr>
                                </m:e>
                              </m:d>
                            </m:e>
                          </m:d>
                          <m:r>
                            <w:rPr>
                              <w:rFonts w:ascii="Cambria Math" w:hAnsi="Cambria Math" w:cs="Times New Roman"/>
                              <w:color w:val="000000" w:themeColor="text1"/>
                              <w:sz w:val="14"/>
                              <w:szCs w:val="14"/>
                            </w:rPr>
                            <m:t>+</m:t>
                          </m:r>
                          <m:d>
                            <m:dPr>
                              <m:ctrlPr>
                                <w:rPr>
                                  <w:rFonts w:ascii="Cambria Math" w:hAnsi="Cambria Math" w:cs="Times New Roman"/>
                                  <w:i/>
                                  <w:color w:val="000000" w:themeColor="text1"/>
                                  <w:sz w:val="14"/>
                                  <w:szCs w:val="14"/>
                                </w:rPr>
                              </m:ctrlPr>
                            </m:dPr>
                            <m:e>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dodatni </m:t>
                                  </m:r>
                                </m:e>
                                <m:e>
                                  <m:r>
                                    <w:rPr>
                                      <w:rFonts w:ascii="Cambria Math" w:hAnsi="Cambria Math" w:cs="Times New Roman"/>
                                      <w:color w:val="000000" w:themeColor="text1"/>
                                      <w:sz w:val="14"/>
                                      <w:szCs w:val="14"/>
                                    </w:rPr>
                                    <m:t>povrhnji davek</m:t>
                                  </m:r>
                                </m:e>
                              </m:eqArr>
                            </m:e>
                          </m:d>
                          <m:r>
                            <w:rPr>
                              <w:rFonts w:ascii="Cambria Math" w:hAnsi="Cambria Math" w:cs="Times New Roman"/>
                              <w:color w:val="000000" w:themeColor="text1"/>
                              <w:sz w:val="14"/>
                              <w:szCs w:val="14"/>
                            </w:rPr>
                            <m:t xml:space="preserve">- </m:t>
                          </m:r>
                          <m:d>
                            <m:dPr>
                              <m:ctrlPr>
                                <w:rPr>
                                  <w:rFonts w:ascii="Cambria Math" w:hAnsi="Cambria Math" w:cs="Times New Roman"/>
                                  <w:i/>
                                  <w:color w:val="000000" w:themeColor="text1"/>
                                  <w:sz w:val="14"/>
                                  <w:szCs w:val="14"/>
                                </w:rPr>
                              </m:ctrlPr>
                            </m:dPr>
                            <m:e>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domači </m:t>
                                  </m:r>
                                </m:e>
                                <m:e>
                                  <m:r>
                                    <w:rPr>
                                      <w:rFonts w:ascii="Cambria Math" w:hAnsi="Cambria Math" w:cs="Times New Roman"/>
                                      <w:color w:val="000000" w:themeColor="text1"/>
                                      <w:sz w:val="14"/>
                                      <w:szCs w:val="14"/>
                                    </w:rPr>
                                    <m:t>povrhnji davek</m:t>
                                  </m:r>
                                </m:e>
                              </m:eqArr>
                            </m:e>
                          </m:d>
                        </m:oMath>
                      </m:oMathPara>
                    </w:p>
                  </w:txbxContent>
                </v:textbox>
              </v:roundrect>
            </w:pict>
          </mc:Fallback>
        </mc:AlternateContent>
      </w:r>
    </w:p>
    <w:p w14:paraId="5922E9C5" w14:textId="77777777" w:rsidR="00F01934" w:rsidRDefault="00DB338C" w:rsidP="004D2C01">
      <w:pPr>
        <w:ind w:left="426"/>
      </w:pPr>
      <w:r>
        <w:rPr>
          <w:noProof/>
          <w:lang w:eastAsia="sl-SI"/>
        </w:rPr>
        <mc:AlternateContent>
          <mc:Choice Requires="wps">
            <w:drawing>
              <wp:anchor distT="0" distB="0" distL="114300" distR="114300" simplePos="0" relativeHeight="251680768" behindDoc="0" locked="0" layoutInCell="1" allowOverlap="1" wp14:anchorId="1BD78161" wp14:editId="358B19F1">
                <wp:simplePos x="0" y="0"/>
                <wp:positionH relativeFrom="column">
                  <wp:posOffset>1529080</wp:posOffset>
                </wp:positionH>
                <wp:positionV relativeFrom="paragraph">
                  <wp:posOffset>270510</wp:posOffset>
                </wp:positionV>
                <wp:extent cx="340995" cy="1146175"/>
                <wp:effectExtent l="0" t="0" r="1905" b="0"/>
                <wp:wrapNone/>
                <wp:docPr id="22" name="Levi zaviti oklepaj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4DB65E" id="Levi zaviti oklepaj 22" o:spid="_x0000_s1026" type="#_x0000_t87" style="position:absolute;margin-left:120.4pt;margin-top:21.3pt;width:26.85pt;height:9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" adj="535" strokecolor="#2f5496 [2404]" strokeweight="1pt">
                <v:stroke joinstyle="miter"/>
              </v:shape>
            </w:pict>
          </mc:Fallback>
        </mc:AlternateContent>
      </w:r>
    </w:p>
    <w:p w14:paraId="2B6F1664" w14:textId="77777777" w:rsidR="00F01934" w:rsidRDefault="00F01934" w:rsidP="004D2C01">
      <w:pPr>
        <w:ind w:left="426"/>
      </w:pPr>
    </w:p>
    <w:p w14:paraId="5FBABC6A" w14:textId="77777777" w:rsidR="00F01934" w:rsidRPr="00582D2B" w:rsidRDefault="00F01934" w:rsidP="004D2C01">
      <w:pPr>
        <w:ind w:left="426"/>
      </w:pPr>
    </w:p>
    <w:p w14:paraId="19DB104B" w14:textId="77777777" w:rsidR="00F01934" w:rsidRDefault="00F01934" w:rsidP="004D2C01">
      <w:pPr>
        <w:ind w:left="426"/>
      </w:pPr>
    </w:p>
    <w:p w14:paraId="040CC24D" w14:textId="77777777" w:rsidR="00F01934" w:rsidRDefault="00F01934" w:rsidP="004D2C01">
      <w:pPr>
        <w:ind w:left="426"/>
      </w:pPr>
    </w:p>
    <w:p w14:paraId="7886A829" w14:textId="77777777" w:rsidR="00F01934" w:rsidRDefault="00C71BD1" w:rsidP="004D2C01">
      <w:pPr>
        <w:ind w:left="426"/>
      </w:pPr>
      <w:r>
        <w:rPr>
          <w:noProof/>
          <w:lang w:eastAsia="sl-SI"/>
        </w:rPr>
        <w:lastRenderedPageBreak/>
        <mc:AlternateContent>
          <mc:Choice Requires="wps">
            <w:drawing>
              <wp:anchor distT="0" distB="0" distL="114300" distR="114300" simplePos="0" relativeHeight="251683840" behindDoc="0" locked="0" layoutInCell="1" allowOverlap="1" wp14:anchorId="346EF2C4" wp14:editId="1F64163B">
                <wp:simplePos x="0" y="0"/>
                <wp:positionH relativeFrom="column">
                  <wp:posOffset>2005965</wp:posOffset>
                </wp:positionH>
                <wp:positionV relativeFrom="paragraph">
                  <wp:posOffset>52705</wp:posOffset>
                </wp:positionV>
                <wp:extent cx="4476115" cy="1855470"/>
                <wp:effectExtent l="0" t="0" r="19685" b="11430"/>
                <wp:wrapNone/>
                <wp:docPr id="21" name="Pravokotnik: zaokroženi vogali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115" cy="1855470"/>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EA7C80A" w14:textId="77777777" w:rsidR="008F6A83" w:rsidRDefault="008F6A83" w:rsidP="00F01934">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šestega koraka</w:t>
                            </w:r>
                            <w:r w:rsidRPr="00582D2B">
                              <w:rPr>
                                <w:rFonts w:ascii="Times New Roman" w:hAnsi="Times New Roman" w:cs="Times New Roman"/>
                                <w:sz w:val="18"/>
                                <w:szCs w:val="18"/>
                              </w:rPr>
                              <w:t xml:space="preserve">: </w:t>
                            </w:r>
                          </w:p>
                          <w:p w14:paraId="15B20EF6" w14:textId="77777777" w:rsidR="008F6A83" w:rsidRDefault="008F6A83" w:rsidP="00F01934">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Upoštevajoč znesek povrhnjega davka za jurisdikcijo, se izračunani povrhnji davek alocira posameznim subjektom v sestavi v jurisdikciji (namen: ustrezna uporaba pravila o vključitvi dohodkov):</w:t>
                            </w:r>
                          </w:p>
                          <w:p w14:paraId="6AF4B959" w14:textId="77777777" w:rsidR="008F6A83" w:rsidRDefault="008F6A83" w:rsidP="00F01934">
                            <w:pPr>
                              <w:pStyle w:val="Odstavekseznama"/>
                              <w:spacing w:after="0"/>
                              <w:jc w:val="both"/>
                              <w:rPr>
                                <w:rFonts w:ascii="Times New Roman" w:hAnsi="Times New Roman" w:cs="Times New Roman"/>
                                <w:sz w:val="18"/>
                                <w:szCs w:val="18"/>
                              </w:rPr>
                            </w:pPr>
                          </w:p>
                          <w:p w14:paraId="49777E32" w14:textId="77777777" w:rsidR="008F6A83" w:rsidRPr="00CF451D" w:rsidRDefault="008F6A83" w:rsidP="00CF451D">
                            <w:pPr>
                              <w:rPr>
                                <w:rFonts w:ascii="Times New Roman" w:eastAsiaTheme="minorEastAsia" w:hAnsi="Times New Roman" w:cs="Times New Roman"/>
                                <w:sz w:val="16"/>
                                <w:szCs w:val="16"/>
                              </w:rPr>
                            </w:pPr>
                            <m:oMathPara>
                              <m:oMath>
                                <m:r>
                                  <w:rPr>
                                    <w:rFonts w:ascii="Cambria Math" w:eastAsiaTheme="minorEastAsia" w:hAnsi="Cambria Math" w:cs="Times New Roman"/>
                                    <w:sz w:val="16"/>
                                    <w:szCs w:val="16"/>
                                  </w:rPr>
                                  <m:t>Povrhnji davek subjekta v sestavi =povrhnji davek jurisdikcije ×</m:t>
                                </m:r>
                                <m:f>
                                  <m:fPr>
                                    <m:ctrlPr>
                                      <w:rPr>
                                        <w:rFonts w:ascii="Cambria Math" w:eastAsiaTheme="minorEastAsia" w:hAnsi="Cambria Math" w:cs="Times New Roman"/>
                                        <w:i/>
                                        <w:sz w:val="16"/>
                                        <w:szCs w:val="16"/>
                                      </w:rPr>
                                    </m:ctrlPr>
                                  </m:fPr>
                                  <m:num>
                                    <m:eqArr>
                                      <m:eqArrPr>
                                        <m:ctrlPr>
                                          <w:rPr>
                                            <w:rFonts w:ascii="Cambria Math" w:eastAsiaTheme="minorEastAsia" w:hAnsi="Cambria Math" w:cs="Times New Roman"/>
                                            <w:i/>
                                            <w:sz w:val="16"/>
                                            <w:szCs w:val="16"/>
                                          </w:rPr>
                                        </m:ctrlPr>
                                      </m:eqArrPr>
                                      <m:e>
                                        <m:r>
                                          <w:rPr>
                                            <w:rFonts w:ascii="Cambria Math" w:eastAsiaTheme="minorEastAsia" w:hAnsi="Cambria Math" w:cs="Times New Roman"/>
                                            <w:sz w:val="16"/>
                                            <w:szCs w:val="16"/>
                                          </w:rPr>
                                          <m:t xml:space="preserve">kvalificiran dohodek </m:t>
                                        </m:r>
                                      </m:e>
                                      <m:e>
                                        <m:r>
                                          <w:rPr>
                                            <w:rFonts w:ascii="Cambria Math" w:eastAsiaTheme="minorEastAsia" w:hAnsi="Cambria Math" w:cs="Times New Roman"/>
                                            <w:sz w:val="16"/>
                                            <w:szCs w:val="16"/>
                                          </w:rPr>
                                          <m:t>subjekta v sestavi</m:t>
                                        </m:r>
                                      </m:e>
                                    </m:eqArr>
                                  </m:num>
                                  <m:den>
                                    <m:eqArr>
                                      <m:eqArrPr>
                                        <m:ctrlPr>
                                          <w:rPr>
                                            <w:rFonts w:ascii="Cambria Math" w:eastAsiaTheme="minorEastAsia" w:hAnsi="Cambria Math" w:cs="Times New Roman"/>
                                            <w:i/>
                                            <w:sz w:val="16"/>
                                            <w:szCs w:val="16"/>
                                          </w:rPr>
                                        </m:ctrlPr>
                                      </m:eqArrPr>
                                      <m:e>
                                        <m:r>
                                          <w:rPr>
                                            <w:rFonts w:ascii="Cambria Math" w:eastAsiaTheme="minorEastAsia" w:hAnsi="Cambria Math" w:cs="Times New Roman"/>
                                            <w:sz w:val="16"/>
                                            <w:szCs w:val="16"/>
                                          </w:rPr>
                                          <m:t xml:space="preserve">skupni kvalificirani dohodek </m:t>
                                        </m:r>
                                      </m:e>
                                      <m:e>
                                        <m:r>
                                          <w:rPr>
                                            <w:rFonts w:ascii="Cambria Math" w:eastAsiaTheme="minorEastAsia" w:hAnsi="Cambria Math" w:cs="Times New Roman"/>
                                            <w:sz w:val="16"/>
                                            <w:szCs w:val="16"/>
                                          </w:rPr>
                                          <m:t>vseh subjektov v sestavi</m:t>
                                        </m:r>
                                      </m:e>
                                    </m:eqAr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24802" id="Pravokotnik: zaokroženi vogali 21" o:spid="_x0000_s1038" style="position:absolute;left:0;text-align:left;margin-left:157.95pt;margin-top:4.15pt;width:352.45pt;height:14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" fillcolor="white [3201]" strokecolor="#2f5496 [2404]" strokeweight="1pt">
                <v:stroke joinstyle="miter"/>
                <v:path arrowok="t"/>
                <v:textbox>
                  <w:txbxContent>
                    <w:p w:rsidR="008F6A83" w:rsidRDefault="008F6A83" w:rsidP="00F01934">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šestega koraka</w:t>
                      </w:r>
                      <w:r w:rsidRPr="00582D2B">
                        <w:rPr>
                          <w:rFonts w:ascii="Times New Roman" w:hAnsi="Times New Roman" w:cs="Times New Roman"/>
                          <w:sz w:val="18"/>
                          <w:szCs w:val="18"/>
                        </w:rPr>
                        <w:t xml:space="preserve">: </w:t>
                      </w:r>
                    </w:p>
                    <w:p w:rsidR="008F6A83" w:rsidRDefault="008F6A83" w:rsidP="00F01934">
                      <w:pPr>
                        <w:pStyle w:val="Odstavekseznama"/>
                        <w:numPr>
                          <w:ilvl w:val="0"/>
                          <w:numId w:val="1"/>
                        </w:numPr>
                        <w:spacing w:after="0"/>
                        <w:jc w:val="both"/>
                        <w:rPr>
                          <w:rFonts w:ascii="Times New Roman" w:hAnsi="Times New Roman" w:cs="Times New Roman"/>
                          <w:sz w:val="18"/>
                          <w:szCs w:val="18"/>
                        </w:rPr>
                      </w:pPr>
                      <w:r>
                        <w:rPr>
                          <w:rFonts w:ascii="Times New Roman" w:hAnsi="Times New Roman" w:cs="Times New Roman"/>
                          <w:sz w:val="18"/>
                          <w:szCs w:val="18"/>
                        </w:rPr>
                        <w:t>Upoštevajoč znesek povrhnjega davka za jurisdikcijo, se izračunani povrhnji davek alocira posameznim subjektom v sestavi v jurisdikciji (namen: ustrezna uporaba pravila o vključitvi dohodkov):</w:t>
                      </w:r>
                    </w:p>
                    <w:p w:rsidR="008F6A83" w:rsidRDefault="008F6A83" w:rsidP="00F01934">
                      <w:pPr>
                        <w:pStyle w:val="Odstavekseznama"/>
                        <w:spacing w:after="0"/>
                        <w:jc w:val="both"/>
                        <w:rPr>
                          <w:rFonts w:ascii="Times New Roman" w:hAnsi="Times New Roman" w:cs="Times New Roman"/>
                          <w:sz w:val="18"/>
                          <w:szCs w:val="18"/>
                        </w:rPr>
                      </w:pPr>
                    </w:p>
                    <w:p w:rsidR="008F6A83" w:rsidRPr="00CF451D" w:rsidRDefault="008F6A83" w:rsidP="00CF451D">
                      <w:pPr>
                        <w:rPr>
                          <w:rFonts w:ascii="Times New Roman" w:eastAsiaTheme="minorEastAsia" w:hAnsi="Times New Roman" w:cs="Times New Roman"/>
                          <w:sz w:val="16"/>
                          <w:szCs w:val="16"/>
                        </w:rPr>
                      </w:pPr>
                      <m:oMathPara>
                        <m:oMath>
                          <m:r>
                            <w:rPr>
                              <w:rFonts w:ascii="Cambria Math" w:eastAsiaTheme="minorEastAsia" w:hAnsi="Cambria Math" w:cs="Times New Roman"/>
                              <w:sz w:val="16"/>
                              <w:szCs w:val="16"/>
                            </w:rPr>
                            <m:t>Povrhnji davek subjekta v sestavi =povrhnji davek jurisdikcije ×</m:t>
                          </m:r>
                          <m:f>
                            <m:fPr>
                              <m:ctrlPr>
                                <w:rPr>
                                  <w:rFonts w:ascii="Cambria Math" w:eastAsiaTheme="minorEastAsia" w:hAnsi="Cambria Math" w:cs="Times New Roman"/>
                                  <w:i/>
                                  <w:sz w:val="16"/>
                                  <w:szCs w:val="16"/>
                                </w:rPr>
                              </m:ctrlPr>
                            </m:fPr>
                            <m:num>
                              <m:eqArr>
                                <m:eqArrPr>
                                  <m:ctrlPr>
                                    <w:rPr>
                                      <w:rFonts w:ascii="Cambria Math" w:eastAsiaTheme="minorEastAsia" w:hAnsi="Cambria Math" w:cs="Times New Roman"/>
                                      <w:i/>
                                      <w:sz w:val="16"/>
                                      <w:szCs w:val="16"/>
                                    </w:rPr>
                                  </m:ctrlPr>
                                </m:eqArrPr>
                                <m:e>
                                  <m:r>
                                    <w:rPr>
                                      <w:rFonts w:ascii="Cambria Math" w:eastAsiaTheme="minorEastAsia" w:hAnsi="Cambria Math" w:cs="Times New Roman"/>
                                      <w:sz w:val="16"/>
                                      <w:szCs w:val="16"/>
                                    </w:rPr>
                                    <m:t xml:space="preserve">kvalificiran dohodek </m:t>
                                  </m:r>
                                </m:e>
                                <m:e>
                                  <m:r>
                                    <w:rPr>
                                      <w:rFonts w:ascii="Cambria Math" w:eastAsiaTheme="minorEastAsia" w:hAnsi="Cambria Math" w:cs="Times New Roman"/>
                                      <w:sz w:val="16"/>
                                      <w:szCs w:val="16"/>
                                    </w:rPr>
                                    <m:t>subjekta v sestavi</m:t>
                                  </m:r>
                                </m:e>
                              </m:eqArr>
                            </m:num>
                            <m:den>
                              <m:eqArr>
                                <m:eqArrPr>
                                  <m:ctrlPr>
                                    <w:rPr>
                                      <w:rFonts w:ascii="Cambria Math" w:eastAsiaTheme="minorEastAsia" w:hAnsi="Cambria Math" w:cs="Times New Roman"/>
                                      <w:i/>
                                      <w:sz w:val="16"/>
                                      <w:szCs w:val="16"/>
                                    </w:rPr>
                                  </m:ctrlPr>
                                </m:eqArrPr>
                                <m:e>
                                  <m:r>
                                    <w:rPr>
                                      <w:rFonts w:ascii="Cambria Math" w:eastAsiaTheme="minorEastAsia" w:hAnsi="Cambria Math" w:cs="Times New Roman"/>
                                      <w:sz w:val="16"/>
                                      <w:szCs w:val="16"/>
                                    </w:rPr>
                                    <m:t xml:space="preserve">skupni kvalificirani dohodek </m:t>
                                  </m:r>
                                </m:e>
                                <m:e>
                                  <m:r>
                                    <w:rPr>
                                      <w:rFonts w:ascii="Cambria Math" w:eastAsiaTheme="minorEastAsia" w:hAnsi="Cambria Math" w:cs="Times New Roman"/>
                                      <w:sz w:val="16"/>
                                      <w:szCs w:val="16"/>
                                    </w:rPr>
                                    <m:t>vseh subjektov v sestavi</m:t>
                                  </m:r>
                                </m:e>
                              </m:eqArr>
                            </m:den>
                          </m:f>
                        </m:oMath>
                      </m:oMathPara>
                    </w:p>
                  </w:txbxContent>
                </v:textbox>
              </v:roundrect>
            </w:pict>
          </mc:Fallback>
        </mc:AlternateContent>
      </w:r>
      <w:r w:rsidR="004D2C01">
        <w:rPr>
          <w:noProof/>
          <w:lang w:eastAsia="sl-SI"/>
        </w:rPr>
        <mc:AlternateContent>
          <mc:Choice Requires="wps">
            <w:drawing>
              <wp:anchor distT="45720" distB="45720" distL="114300" distR="114300" simplePos="0" relativeHeight="251685888" behindDoc="0" locked="0" layoutInCell="1" allowOverlap="1" wp14:anchorId="5DB5A4C8" wp14:editId="1C7F7436">
                <wp:simplePos x="0" y="0"/>
                <wp:positionH relativeFrom="column">
                  <wp:posOffset>-601980</wp:posOffset>
                </wp:positionH>
                <wp:positionV relativeFrom="paragraph">
                  <wp:posOffset>292100</wp:posOffset>
                </wp:positionV>
                <wp:extent cx="2026920" cy="1228090"/>
                <wp:effectExtent l="0" t="0" r="0" b="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228090"/>
                        </a:xfrm>
                        <a:prstGeom prst="rect">
                          <a:avLst/>
                        </a:prstGeom>
                        <a:solidFill>
                          <a:srgbClr val="FFFFFF"/>
                        </a:solidFill>
                        <a:ln w="9525">
                          <a:solidFill>
                            <a:schemeClr val="accent1">
                              <a:lumMod val="75000"/>
                            </a:schemeClr>
                          </a:solidFill>
                          <a:miter lim="800000"/>
                          <a:headEnd/>
                          <a:tailEnd/>
                        </a:ln>
                      </wps:spPr>
                      <wps:txbx>
                        <w:txbxContent>
                          <w:p w14:paraId="61F97FC5" w14:textId="77777777" w:rsidR="008F6A83" w:rsidRPr="0074449C" w:rsidRDefault="008F6A83" w:rsidP="00F01934">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6</w:t>
                            </w:r>
                          </w:p>
                          <w:p w14:paraId="3BA7A313" w14:textId="77777777" w:rsidR="008F6A83" w:rsidRDefault="008F6A83" w:rsidP="00F01934">
                            <w:pPr>
                              <w:spacing w:after="0"/>
                              <w:jc w:val="center"/>
                              <w:rPr>
                                <w:rFonts w:ascii="Times New Roman" w:hAnsi="Times New Roman" w:cs="Times New Roman"/>
                                <w:sz w:val="18"/>
                                <w:szCs w:val="18"/>
                              </w:rPr>
                            </w:pPr>
                            <w:r>
                              <w:rPr>
                                <w:rFonts w:ascii="Times New Roman" w:hAnsi="Times New Roman" w:cs="Times New Roman"/>
                                <w:sz w:val="18"/>
                                <w:szCs w:val="18"/>
                              </w:rPr>
                              <w:t>Alokacija povrhnjega davka subjektom v sestavi;</w:t>
                            </w:r>
                          </w:p>
                          <w:p w14:paraId="2927E912" w14:textId="77777777" w:rsidR="008F6A83"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formula za izračun povrhnjega davka posameznega subjekta v sestavi;</w:t>
                            </w:r>
                          </w:p>
                          <w:p w14:paraId="7B2510DB" w14:textId="77777777" w:rsidR="008F6A83" w:rsidRPr="0074449C"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Bistveni členi:</w:t>
                            </w:r>
                            <w:r w:rsidRPr="0074449C">
                              <w:rPr>
                                <w:rFonts w:ascii="Times New Roman" w:hAnsi="Times New Roman" w:cs="Times New Roman"/>
                                <w:sz w:val="18"/>
                                <w:szCs w:val="18"/>
                              </w:rPr>
                              <w:t xml:space="preserve"> </w:t>
                            </w:r>
                            <w:r>
                              <w:rPr>
                                <w:rFonts w:ascii="Times New Roman" w:hAnsi="Times New Roman" w:cs="Times New Roman"/>
                                <w:sz w:val="18"/>
                                <w:szCs w:val="18"/>
                              </w:rPr>
                              <w:t>34. člen (povrhnji davek)</w:t>
                            </w:r>
                          </w:p>
                          <w:p w14:paraId="5804A009" w14:textId="77777777" w:rsidR="008F6A83" w:rsidRPr="00E76549" w:rsidRDefault="008F6A83" w:rsidP="00F01934">
                            <w:pPr>
                              <w:spacing w:after="0"/>
                              <w:jc w:val="cente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567DC" id="Polje z besedilom 15" o:spid="_x0000_s1039" type="#_x0000_t202" style="position:absolute;left:0;text-align:left;margin-left:-47.4pt;margin-top:23pt;width:159.6pt;height:96.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" strokecolor="#2f5496 [2404]">
                <v:textbox>
                  <w:txbxContent>
                    <w:p w:rsidR="008F6A83" w:rsidRPr="0074449C" w:rsidRDefault="008F6A83" w:rsidP="00F01934">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6</w:t>
                      </w:r>
                    </w:p>
                    <w:p w:rsidR="008F6A83" w:rsidRDefault="008F6A83" w:rsidP="00F01934">
                      <w:pPr>
                        <w:spacing w:after="0"/>
                        <w:jc w:val="center"/>
                        <w:rPr>
                          <w:rFonts w:ascii="Times New Roman" w:hAnsi="Times New Roman" w:cs="Times New Roman"/>
                          <w:sz w:val="18"/>
                          <w:szCs w:val="18"/>
                        </w:rPr>
                      </w:pPr>
                      <w:r>
                        <w:rPr>
                          <w:rFonts w:ascii="Times New Roman" w:hAnsi="Times New Roman" w:cs="Times New Roman"/>
                          <w:sz w:val="18"/>
                          <w:szCs w:val="18"/>
                        </w:rPr>
                        <w:t>Alokacija povrhnjega davka subjektom v sestavi;</w:t>
                      </w:r>
                    </w:p>
                    <w:p w:rsidR="008F6A83"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formula za izračun povrhnjega davka posameznega subjekta v sestavi;</w:t>
                      </w:r>
                    </w:p>
                    <w:p w:rsidR="008F6A83" w:rsidRPr="0074449C" w:rsidRDefault="008F6A83" w:rsidP="0074449C">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Bistveni členi:</w:t>
                      </w:r>
                      <w:r w:rsidRPr="0074449C">
                        <w:rPr>
                          <w:rFonts w:ascii="Times New Roman" w:hAnsi="Times New Roman" w:cs="Times New Roman"/>
                          <w:sz w:val="18"/>
                          <w:szCs w:val="18"/>
                        </w:rPr>
                        <w:t xml:space="preserve"> </w:t>
                      </w:r>
                      <w:r>
                        <w:rPr>
                          <w:rFonts w:ascii="Times New Roman" w:hAnsi="Times New Roman" w:cs="Times New Roman"/>
                          <w:sz w:val="18"/>
                          <w:szCs w:val="18"/>
                        </w:rPr>
                        <w:t>34. člen (povrhnji davek)</w:t>
                      </w:r>
                    </w:p>
                    <w:p w:rsidR="008F6A83" w:rsidRPr="00E76549" w:rsidRDefault="008F6A83" w:rsidP="00F01934">
                      <w:pPr>
                        <w:spacing w:after="0"/>
                        <w:jc w:val="center"/>
                        <w:rPr>
                          <w:rFonts w:ascii="Times New Roman" w:hAnsi="Times New Roman" w:cs="Times New Roman"/>
                          <w:sz w:val="18"/>
                          <w:szCs w:val="18"/>
                        </w:rPr>
                      </w:pPr>
                    </w:p>
                  </w:txbxContent>
                </v:textbox>
                <w10:wrap type="square"/>
              </v:shape>
            </w:pict>
          </mc:Fallback>
        </mc:AlternateContent>
      </w:r>
    </w:p>
    <w:p w14:paraId="60EE22D4" w14:textId="77777777" w:rsidR="00F01934" w:rsidRDefault="004D2C01" w:rsidP="004D2C01">
      <w:pPr>
        <w:ind w:left="426"/>
      </w:pPr>
      <w:r>
        <w:rPr>
          <w:noProof/>
          <w:lang w:eastAsia="sl-SI"/>
        </w:rPr>
        <mc:AlternateContent>
          <mc:Choice Requires="wps">
            <w:drawing>
              <wp:anchor distT="0" distB="0" distL="114300" distR="114300" simplePos="0" relativeHeight="251684864" behindDoc="0" locked="0" layoutInCell="1" allowOverlap="1" wp14:anchorId="6099F024" wp14:editId="0C9E7B95">
                <wp:simplePos x="0" y="0"/>
                <wp:positionH relativeFrom="column">
                  <wp:posOffset>1527810</wp:posOffset>
                </wp:positionH>
                <wp:positionV relativeFrom="paragraph">
                  <wp:posOffset>81915</wp:posOffset>
                </wp:positionV>
                <wp:extent cx="340995" cy="1146175"/>
                <wp:effectExtent l="0" t="0" r="1905" b="0"/>
                <wp:wrapNone/>
                <wp:docPr id="7" name="Levi zaviti oklepaj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742C07" id="Levi zaviti oklepaj 7" o:spid="_x0000_s1026" type="#_x0000_t87" style="position:absolute;margin-left:120.3pt;margin-top:6.45pt;width:26.85pt;height: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" adj="535" strokecolor="#2f5496 [2404]" strokeweight="1pt">
                <v:stroke joinstyle="miter"/>
              </v:shape>
            </w:pict>
          </mc:Fallback>
        </mc:AlternateContent>
      </w:r>
    </w:p>
    <w:p w14:paraId="2ABB1B9F" w14:textId="77777777" w:rsidR="00CF451D" w:rsidRDefault="00CF451D" w:rsidP="004D2C01">
      <w:pPr>
        <w:ind w:left="426"/>
      </w:pPr>
    </w:p>
    <w:p w14:paraId="671F7F39" w14:textId="77777777" w:rsidR="00CF451D" w:rsidRDefault="00CF451D" w:rsidP="004D2C01">
      <w:pPr>
        <w:ind w:left="426"/>
      </w:pPr>
    </w:p>
    <w:p w14:paraId="3E608D17" w14:textId="77777777" w:rsidR="00CF451D" w:rsidRDefault="00CF451D" w:rsidP="004D2C01">
      <w:pPr>
        <w:ind w:left="426"/>
      </w:pPr>
    </w:p>
    <w:p w14:paraId="19118DF7" w14:textId="77777777" w:rsidR="006D52E3" w:rsidRDefault="006D52E3" w:rsidP="004D2C01">
      <w:pPr>
        <w:ind w:left="426"/>
      </w:pPr>
    </w:p>
    <w:p w14:paraId="517FF1B4" w14:textId="77777777" w:rsidR="00DB338C" w:rsidRDefault="00DB338C" w:rsidP="004D2C01">
      <w:pPr>
        <w:ind w:left="426"/>
      </w:pPr>
    </w:p>
    <w:p w14:paraId="34687057" w14:textId="77777777" w:rsidR="00CF451D" w:rsidRDefault="004D2C01" w:rsidP="004D2C01">
      <w:pPr>
        <w:ind w:left="426"/>
      </w:pPr>
      <w:r>
        <w:rPr>
          <w:noProof/>
          <w:lang w:eastAsia="sl-SI"/>
        </w:rPr>
        <mc:AlternateContent>
          <mc:Choice Requires="wps">
            <w:drawing>
              <wp:anchor distT="0" distB="0" distL="114300" distR="114300" simplePos="0" relativeHeight="251687936" behindDoc="0" locked="0" layoutInCell="1" allowOverlap="1" wp14:anchorId="36F7C930" wp14:editId="5AEE09E8">
                <wp:simplePos x="0" y="0"/>
                <wp:positionH relativeFrom="column">
                  <wp:posOffset>2005330</wp:posOffset>
                </wp:positionH>
                <wp:positionV relativeFrom="paragraph">
                  <wp:posOffset>56514</wp:posOffset>
                </wp:positionV>
                <wp:extent cx="4476115" cy="3985895"/>
                <wp:effectExtent l="0" t="0" r="19685" b="14605"/>
                <wp:wrapNone/>
                <wp:docPr id="6" name="Pravokotnik: zaokroženi vogali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115" cy="398589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40E027E" w14:textId="77777777" w:rsidR="008F6A83" w:rsidRDefault="008F6A83" w:rsidP="00CF451D">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sedmega koraka</w:t>
                            </w:r>
                            <w:r w:rsidRPr="00582D2B">
                              <w:rPr>
                                <w:rFonts w:ascii="Times New Roman" w:hAnsi="Times New Roman" w:cs="Times New Roman"/>
                                <w:sz w:val="18"/>
                                <w:szCs w:val="18"/>
                              </w:rPr>
                              <w:t xml:space="preserve">: </w:t>
                            </w:r>
                          </w:p>
                          <w:p w14:paraId="588287BE" w14:textId="77777777" w:rsidR="008F6A83" w:rsidRDefault="008F6A83" w:rsidP="009E6080">
                            <w:pPr>
                              <w:spacing w:after="0"/>
                              <w:jc w:val="both"/>
                              <w:rPr>
                                <w:rFonts w:ascii="Times New Roman" w:hAnsi="Times New Roman" w:cs="Times New Roman"/>
                                <w:sz w:val="18"/>
                                <w:szCs w:val="18"/>
                              </w:rPr>
                            </w:pPr>
                            <w:r>
                              <w:rPr>
                                <w:rFonts w:ascii="Times New Roman" w:hAnsi="Times New Roman" w:cs="Times New Roman"/>
                                <w:sz w:val="18"/>
                                <w:szCs w:val="18"/>
                              </w:rPr>
                              <w:t xml:space="preserve">1) pravilo o vključitvi dohodka: identifikacija subjektov, ki so dolžni uporabiti IIR (UPE, IPE </w:t>
                            </w:r>
                            <w:r>
                              <w:rPr>
                                <w:rFonts w:ascii="Times New Roman" w:hAnsi="Times New Roman" w:cs="Times New Roman"/>
                                <w:sz w:val="18"/>
                                <w:szCs w:val="18"/>
                              </w:rPr>
                              <w:t>ali POPE); izračun dodeljivega deleža matičnega subjekta; upoštevanje plačanega povrhnjega davka na prejšnjih nivojih.</w:t>
                            </w:r>
                          </w:p>
                          <w:p w14:paraId="229E7A7D" w14:textId="77777777" w:rsidR="008F6A83" w:rsidRPr="006D52E3" w:rsidRDefault="008F6A83" w:rsidP="00C71BD1">
                            <w:pPr>
                              <w:spacing w:after="120"/>
                              <w:jc w:val="both"/>
                              <w:rPr>
                                <w:rFonts w:cs="Arial"/>
                                <w:sz w:val="16"/>
                                <w:szCs w:val="16"/>
                              </w:rPr>
                            </w:pPr>
                          </w:p>
                          <w:p w14:paraId="34CDC78E" w14:textId="77777777" w:rsidR="008F6A83" w:rsidRPr="006D52E3" w:rsidRDefault="00000000" w:rsidP="006D52E3">
                            <w:pPr>
                              <w:jc w:val="both"/>
                              <w:rPr>
                                <w:rFonts w:cs="Arial"/>
                                <w:sz w:val="16"/>
                                <w:szCs w:val="16"/>
                              </w:rPr>
                            </w:pPr>
                            <m:oMathPara>
                              <m:oMath>
                                <m:d>
                                  <m:dPr>
                                    <m:ctrlPr>
                                      <w:rPr>
                                        <w:rFonts w:ascii="Cambria Math" w:hAnsi="Cambria Math" w:cs="Arial"/>
                                        <w:i/>
                                        <w:sz w:val="16"/>
                                        <w:szCs w:val="16"/>
                                      </w:rPr>
                                    </m:ctrlPr>
                                  </m:dPr>
                                  <m:e>
                                    <m:eqArr>
                                      <m:eqArrPr>
                                        <m:ctrlPr>
                                          <w:rPr>
                                            <w:rFonts w:ascii="Cambria Math" w:hAnsi="Cambria Math" w:cs="Arial"/>
                                            <w:i/>
                                            <w:sz w:val="16"/>
                                            <w:szCs w:val="16"/>
                                          </w:rPr>
                                        </m:ctrlPr>
                                      </m:eqArrPr>
                                      <m:e>
                                        <m:r>
                                          <w:rPr>
                                            <w:rFonts w:ascii="Cambria Math" w:hAnsi="Cambria Math" w:cs="Arial"/>
                                            <w:sz w:val="16"/>
                                            <w:szCs w:val="16"/>
                                          </w:rPr>
                                          <m:t xml:space="preserve">Povrhnji davek </m:t>
                                        </m:r>
                                      </m:e>
                                      <m:e>
                                        <m:r>
                                          <w:rPr>
                                            <w:rFonts w:ascii="Cambria Math" w:hAnsi="Cambria Math" w:cs="Arial"/>
                                            <w:sz w:val="16"/>
                                            <w:szCs w:val="16"/>
                                          </w:rPr>
                                          <m:t>po pravilu IIR</m:t>
                                        </m:r>
                                      </m:e>
                                    </m:eqArr>
                                  </m:e>
                                </m:d>
                                <m:r>
                                  <w:rPr>
                                    <w:rFonts w:ascii="Cambria Math" w:hAnsi="Cambria Math" w:cs="Arial"/>
                                    <w:sz w:val="16"/>
                                    <w:szCs w:val="16"/>
                                  </w:rPr>
                                  <m:t>=</m:t>
                                </m:r>
                                <m:d>
                                  <m:dPr>
                                    <m:ctrlPr>
                                      <w:rPr>
                                        <w:rFonts w:ascii="Cambria Math" w:hAnsi="Cambria Math" w:cs="Arial"/>
                                        <w:i/>
                                        <w:sz w:val="16"/>
                                        <w:szCs w:val="16"/>
                                      </w:rPr>
                                    </m:ctrlPr>
                                  </m:dPr>
                                  <m:e>
                                    <m:eqArr>
                                      <m:eqArrPr>
                                        <m:ctrlPr>
                                          <w:rPr>
                                            <w:rFonts w:ascii="Cambria Math" w:hAnsi="Cambria Math" w:cs="Arial"/>
                                            <w:i/>
                                            <w:sz w:val="16"/>
                                            <w:szCs w:val="16"/>
                                          </w:rPr>
                                        </m:ctrlPr>
                                      </m:eqArrPr>
                                      <m:e>
                                        <m:r>
                                          <w:rPr>
                                            <w:rFonts w:ascii="Cambria Math" w:hAnsi="Cambria Math" w:cs="Arial"/>
                                            <w:sz w:val="16"/>
                                            <w:szCs w:val="16"/>
                                          </w:rPr>
                                          <m:t xml:space="preserve">Povrhnji davek </m:t>
                                        </m:r>
                                      </m:e>
                                      <m:e>
                                        <m:r>
                                          <w:rPr>
                                            <w:rFonts w:ascii="Cambria Math" w:hAnsi="Cambria Math" w:cs="Arial"/>
                                            <w:sz w:val="16"/>
                                            <w:szCs w:val="16"/>
                                          </w:rPr>
                                          <m:t>subjekta v sestavi</m:t>
                                        </m:r>
                                      </m:e>
                                    </m:eqArr>
                                  </m:e>
                                </m:d>
                                <m:r>
                                  <w:rPr>
                                    <w:rFonts w:ascii="Cambria Math" w:hAnsi="Cambria Math" w:cs="Arial"/>
                                    <w:sz w:val="16"/>
                                    <w:szCs w:val="16"/>
                                  </w:rPr>
                                  <m:t>×</m:t>
                                </m:r>
                                <m:d>
                                  <m:dPr>
                                    <m:ctrlPr>
                                      <w:rPr>
                                        <w:rFonts w:ascii="Cambria Math" w:hAnsi="Cambria Math" w:cs="Arial"/>
                                        <w:i/>
                                        <w:sz w:val="16"/>
                                        <w:szCs w:val="16"/>
                                      </w:rPr>
                                    </m:ctrlPr>
                                  </m:dPr>
                                  <m:e>
                                    <m:eqArr>
                                      <m:eqArrPr>
                                        <m:ctrlPr>
                                          <w:rPr>
                                            <w:rFonts w:ascii="Cambria Math" w:hAnsi="Cambria Math" w:cs="Arial"/>
                                            <w:i/>
                                            <w:sz w:val="16"/>
                                            <w:szCs w:val="16"/>
                                          </w:rPr>
                                        </m:ctrlPr>
                                      </m:eqArrPr>
                                      <m:e>
                                        <m:r>
                                          <w:rPr>
                                            <w:rFonts w:ascii="Cambria Math" w:hAnsi="Cambria Math" w:cs="Arial"/>
                                            <w:sz w:val="16"/>
                                            <w:szCs w:val="16"/>
                                          </w:rPr>
                                          <m:t xml:space="preserve">Dodeljivi delež </m:t>
                                        </m:r>
                                      </m:e>
                                      <m:e>
                                        <m:r>
                                          <w:rPr>
                                            <w:rFonts w:ascii="Cambria Math" w:hAnsi="Cambria Math" w:cs="Arial"/>
                                            <w:sz w:val="16"/>
                                            <w:szCs w:val="16"/>
                                          </w:rPr>
                                          <m:t>matičnega subjekta</m:t>
                                        </m:r>
                                      </m:e>
                                    </m:eqArr>
                                  </m:e>
                                </m:d>
                              </m:oMath>
                            </m:oMathPara>
                          </w:p>
                          <w:p w14:paraId="556D6AA0" w14:textId="77777777" w:rsidR="008F6A83" w:rsidRPr="006D52E3" w:rsidRDefault="00000000" w:rsidP="006D52E3">
                            <w:pPr>
                              <w:jc w:val="both"/>
                              <w:rPr>
                                <w:rFonts w:cs="Arial"/>
                                <w:sz w:val="16"/>
                                <w:szCs w:val="16"/>
                              </w:rPr>
                            </w:pPr>
                            <m:oMathPara>
                              <m:oMath>
                                <m:d>
                                  <m:dPr>
                                    <m:ctrlPr>
                                      <w:rPr>
                                        <w:rFonts w:ascii="Cambria Math" w:hAnsi="Cambria Math" w:cs="Arial"/>
                                        <w:i/>
                                        <w:sz w:val="16"/>
                                        <w:szCs w:val="16"/>
                                      </w:rPr>
                                    </m:ctrlPr>
                                  </m:dPr>
                                  <m:e>
                                    <m:eqArr>
                                      <m:eqArrPr>
                                        <m:ctrlPr>
                                          <w:rPr>
                                            <w:rFonts w:ascii="Cambria Math" w:hAnsi="Cambria Math" w:cs="Arial"/>
                                            <w:sz w:val="16"/>
                                            <w:szCs w:val="16"/>
                                          </w:rPr>
                                        </m:ctrlPr>
                                      </m:eqArrPr>
                                      <m:e>
                                        <m:r>
                                          <m:rPr>
                                            <m:sty m:val="p"/>
                                          </m:rPr>
                                          <w:rPr>
                                            <w:rFonts w:ascii="Cambria Math" w:hAnsi="Cambria Math" w:cs="Arial"/>
                                            <w:sz w:val="16"/>
                                            <w:szCs w:val="16"/>
                                          </w:rPr>
                                          <m:t xml:space="preserve">Dodeljivi delež </m:t>
                                        </m:r>
                                      </m:e>
                                      <m:e>
                                        <m:r>
                                          <m:rPr>
                                            <m:sty m:val="p"/>
                                          </m:rPr>
                                          <w:rPr>
                                            <w:rFonts w:ascii="Cambria Math" w:hAnsi="Cambria Math" w:cs="Arial"/>
                                            <w:sz w:val="16"/>
                                            <w:szCs w:val="16"/>
                                          </w:rPr>
                                          <m:t xml:space="preserve">matičnega subjekta </m:t>
                                        </m:r>
                                      </m:e>
                                    </m:eqArr>
                                  </m:e>
                                </m:d>
                                <m:r>
                                  <w:rPr>
                                    <w:rFonts w:ascii="Cambria Math" w:hAnsi="Cambria Math" w:cs="Arial"/>
                                    <w:sz w:val="16"/>
                                    <w:szCs w:val="16"/>
                                  </w:rPr>
                                  <m:t>=</m:t>
                                </m:r>
                                <m:d>
                                  <m:dPr>
                                    <m:ctrlPr>
                                      <w:rPr>
                                        <w:rFonts w:ascii="Cambria Math" w:hAnsi="Cambria Math" w:cs="Arial"/>
                                        <w:i/>
                                        <w:sz w:val="16"/>
                                        <w:szCs w:val="16"/>
                                      </w:rPr>
                                    </m:ctrlPr>
                                  </m:dPr>
                                  <m:e>
                                    <m:f>
                                      <m:fPr>
                                        <m:ctrlPr>
                                          <w:rPr>
                                            <w:rFonts w:ascii="Cambria Math" w:hAnsi="Cambria Math" w:cs="Arial"/>
                                            <w:i/>
                                            <w:sz w:val="16"/>
                                            <w:szCs w:val="16"/>
                                          </w:rPr>
                                        </m:ctrlPr>
                                      </m:fPr>
                                      <m:num>
                                        <m:eqArr>
                                          <m:eqArrPr>
                                            <m:ctrlPr>
                                              <w:rPr>
                                                <w:rFonts w:ascii="Cambria Math" w:hAnsi="Cambria Math" w:cs="Arial"/>
                                                <w:sz w:val="16"/>
                                                <w:szCs w:val="16"/>
                                              </w:rPr>
                                            </m:ctrlPr>
                                          </m:eqArrPr>
                                          <m:e>
                                            <m:r>
                                              <m:rPr>
                                                <m:sty m:val="p"/>
                                              </m:rPr>
                                              <w:rPr>
                                                <w:rFonts w:ascii="Cambria Math" w:hAnsi="Cambria Math" w:cs="Arial"/>
                                                <w:sz w:val="16"/>
                                                <w:szCs w:val="16"/>
                                              </w:rPr>
                                              <m:t xml:space="preserve">dohodek nizkoobdavčenega </m:t>
                                            </m:r>
                                          </m:e>
                                          <m:e>
                                            <m:r>
                                              <m:rPr>
                                                <m:sty m:val="p"/>
                                              </m:rPr>
                                              <w:rPr>
                                                <w:rFonts w:ascii="Cambria Math" w:hAnsi="Cambria Math" w:cs="Arial"/>
                                                <w:sz w:val="16"/>
                                                <w:szCs w:val="16"/>
                                              </w:rPr>
                                              <m:t xml:space="preserve">subjekta v sestavi, </m:t>
                                            </m:r>
                                            <m:ctrlPr>
                                              <w:rPr>
                                                <w:rFonts w:ascii="Cambria Math" w:eastAsia="Cambria Math" w:hAnsi="Cambria Math" w:cs="Cambria Math"/>
                                                <w:sz w:val="16"/>
                                                <w:szCs w:val="16"/>
                                              </w:rPr>
                                            </m:ctrlPr>
                                          </m:e>
                                          <m:e>
                                            <m:r>
                                              <m:rPr>
                                                <m:sty m:val="p"/>
                                              </m:rPr>
                                              <w:rPr>
                                                <w:rFonts w:ascii="Cambria Math" w:hAnsi="Cambria Math" w:cs="Arial"/>
                                                <w:sz w:val="16"/>
                                                <w:szCs w:val="16"/>
                                              </w:rPr>
                                              <m:t>pripisan matičnemu subjektu</m:t>
                                            </m:r>
                                          </m:e>
                                        </m:eqArr>
                                      </m:num>
                                      <m:den>
                                        <m:eqArr>
                                          <m:eqArrPr>
                                            <m:ctrlPr>
                                              <w:rPr>
                                                <w:rFonts w:ascii="Cambria Math" w:hAnsi="Cambria Math" w:cs="Arial"/>
                                                <w:sz w:val="16"/>
                                                <w:szCs w:val="16"/>
                                              </w:rPr>
                                            </m:ctrlPr>
                                          </m:eqArrPr>
                                          <m:e>
                                            <m:r>
                                              <m:rPr>
                                                <m:sty m:val="p"/>
                                              </m:rPr>
                                              <w:rPr>
                                                <w:rFonts w:ascii="Cambria Math" w:hAnsi="Cambria Math" w:cs="Arial"/>
                                                <w:sz w:val="16"/>
                                                <w:szCs w:val="16"/>
                                              </w:rPr>
                                              <m:t xml:space="preserve">celotni kvalificirani </m:t>
                                            </m:r>
                                          </m:e>
                                          <m:e>
                                            <m:r>
                                              <m:rPr>
                                                <m:sty m:val="p"/>
                                              </m:rPr>
                                              <w:rPr>
                                                <w:rFonts w:ascii="Cambria Math" w:hAnsi="Cambria Math" w:cs="Arial"/>
                                                <w:sz w:val="16"/>
                                                <w:szCs w:val="16"/>
                                              </w:rPr>
                                              <m:t>dohodek subjekta v sestavi</m:t>
                                            </m:r>
                                          </m:e>
                                        </m:eqArr>
                                      </m:den>
                                    </m:f>
                                  </m:e>
                                </m:d>
                              </m:oMath>
                            </m:oMathPara>
                          </w:p>
                          <w:p w14:paraId="61A0665F" w14:textId="77777777" w:rsidR="008F6A83" w:rsidRDefault="008F6A83" w:rsidP="00CF451D">
                            <w:pPr>
                              <w:spacing w:after="0"/>
                              <w:ind w:left="2127" w:hanging="2127"/>
                              <w:jc w:val="both"/>
                              <w:rPr>
                                <w:rFonts w:ascii="Times New Roman" w:hAnsi="Times New Roman" w:cs="Times New Roman"/>
                                <w:sz w:val="18"/>
                                <w:szCs w:val="18"/>
                              </w:rPr>
                            </w:pPr>
                          </w:p>
                          <w:p w14:paraId="61843A14" w14:textId="77777777" w:rsidR="008F6A83" w:rsidRDefault="008F6A83" w:rsidP="009E6080">
                            <w:pPr>
                              <w:spacing w:after="0"/>
                              <w:jc w:val="both"/>
                              <w:rPr>
                                <w:rFonts w:ascii="Times New Roman" w:hAnsi="Times New Roman" w:cs="Times New Roman"/>
                                <w:sz w:val="18"/>
                                <w:szCs w:val="18"/>
                              </w:rPr>
                            </w:pPr>
                            <w:r>
                              <w:rPr>
                                <w:rFonts w:ascii="Times New Roman" w:hAnsi="Times New Roman" w:cs="Times New Roman"/>
                                <w:sz w:val="18"/>
                                <w:szCs w:val="18"/>
                              </w:rPr>
                              <w:t xml:space="preserve">2) pravilo o prenizko obdavčenih dobičkih (UTPR): subsidiarno (rezervno) pravilo, obveznost mora biti plačana brez ugodnosti; upoštevanje neplačanega davka po aplikaciji IIR (večinoma za domače subjekte mednarodne skupine – varni pristan UTPR). Alokacija po UTPR jurisdikcijah: </w:t>
                            </w:r>
                          </w:p>
                          <w:p w14:paraId="28B4FCDD" w14:textId="77777777" w:rsidR="008F6A83" w:rsidRPr="00906DFA" w:rsidRDefault="008F6A83" w:rsidP="00906DFA">
                            <w:pPr>
                              <w:spacing w:after="0"/>
                              <w:ind w:right="-364" w:hanging="2552"/>
                              <w:jc w:val="both"/>
                              <w:rPr>
                                <w:rFonts w:ascii="Times New Roman" w:hAnsi="Times New Roman" w:cs="Times New Roman"/>
                                <w:sz w:val="18"/>
                                <w:szCs w:val="18"/>
                              </w:rPr>
                            </w:pPr>
                            <w:bookmarkStart w:id="7" w:name="_Hlk153961022"/>
                            <m:oMathPara>
                              <m:oMathParaPr>
                                <m:jc m:val="left"/>
                              </m:oMathParaPr>
                              <m:oMath>
                                <m:r>
                                  <w:rPr>
                                    <w:rFonts w:ascii="Cambria Math" w:hAnsi="Cambria Math" w:cs="Times New Roman"/>
                                    <w:sz w:val="14"/>
                                    <w:szCs w:val="14"/>
                                  </w:rPr>
                                  <m:t>50 % ×</m:t>
                                </m:r>
                                <m:f>
                                  <m:fPr>
                                    <m:ctrlPr>
                                      <w:rPr>
                                        <w:rFonts w:ascii="Cambria Math" w:hAnsi="Cambria Math" w:cs="Times New Roman"/>
                                        <w:i/>
                                        <w:color w:val="000000" w:themeColor="text1"/>
                                        <w:sz w:val="14"/>
                                        <w:szCs w:val="14"/>
                                      </w:rPr>
                                    </m:ctrlPr>
                                  </m:fPr>
                                  <m:num>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število zaposlenih </m:t>
                                        </m:r>
                                      </m:e>
                                      <m:e>
                                        <m:r>
                                          <w:rPr>
                                            <w:rFonts w:ascii="Cambria Math" w:hAnsi="Cambria Math" w:cs="Times New Roman"/>
                                            <w:color w:val="000000" w:themeColor="text1"/>
                                            <w:sz w:val="14"/>
                                            <w:szCs w:val="14"/>
                                          </w:rPr>
                                          <m:t>v Republiki Sloveniji</m:t>
                                        </m:r>
                                      </m:e>
                                    </m:eqArr>
                                  </m:num>
                                  <m:den>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število zaposlenih v vseh jurisdikcijah </m:t>
                                        </m:r>
                                      </m:e>
                                      <m:e>
                                        <m:r>
                                          <w:rPr>
                                            <w:rFonts w:ascii="Cambria Math" w:hAnsi="Cambria Math" w:cs="Times New Roman"/>
                                            <w:color w:val="000000" w:themeColor="text1"/>
                                            <w:sz w:val="14"/>
                                            <w:szCs w:val="14"/>
                                          </w:rPr>
                                          <m:t>s pravilom o nizko obdavčenih dobičkih</m:t>
                                        </m:r>
                                      </m:e>
                                    </m:eqArr>
                                  </m:den>
                                </m:f>
                                <m:r>
                                  <w:rPr>
                                    <w:rFonts w:ascii="Cambria Math" w:hAnsi="Cambria Math" w:cs="Times New Roman"/>
                                    <w:color w:val="000000" w:themeColor="text1"/>
                                    <w:sz w:val="14"/>
                                    <w:szCs w:val="14"/>
                                  </w:rPr>
                                  <m:t xml:space="preserve">+50 % × </m:t>
                                </m:r>
                                <m:f>
                                  <m:fPr>
                                    <m:ctrlPr>
                                      <w:rPr>
                                        <w:rFonts w:ascii="Cambria Math" w:hAnsi="Cambria Math" w:cs="Times New Roman"/>
                                        <w:i/>
                                        <w:color w:val="000000" w:themeColor="text1"/>
                                        <w:sz w:val="14"/>
                                        <w:szCs w:val="14"/>
                                      </w:rPr>
                                    </m:ctrlPr>
                                  </m:fPr>
                                  <m:num>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skupna vrednost opredmetenih sredstev</m:t>
                                        </m:r>
                                      </m:e>
                                      <m:e>
                                        <m:r>
                                          <w:rPr>
                                            <w:rFonts w:ascii="Cambria Math" w:hAnsi="Cambria Math" w:cs="Times New Roman"/>
                                            <w:color w:val="000000" w:themeColor="text1"/>
                                            <w:sz w:val="14"/>
                                            <w:szCs w:val="14"/>
                                          </w:rPr>
                                          <m:t xml:space="preserve"> v Republiki Sloveniji</m:t>
                                        </m:r>
                                      </m:e>
                                    </m:eqArr>
                                  </m:num>
                                  <m:den>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 skupna vrednost opredmetenih sredstev</m:t>
                                        </m:r>
                                      </m:e>
                                      <m:e>
                                        <m:r>
                                          <w:rPr>
                                            <w:rFonts w:ascii="Cambria Math" w:hAnsi="Cambria Math" w:cs="Times New Roman"/>
                                            <w:color w:val="000000" w:themeColor="text1"/>
                                            <w:sz w:val="14"/>
                                            <w:szCs w:val="14"/>
                                          </w:rPr>
                                          <m:t xml:space="preserve">v vseh jurisdikcijah s pravilom </m:t>
                                        </m:r>
                                      </m:e>
                                      <m:e>
                                        <m:r>
                                          <w:rPr>
                                            <w:rFonts w:ascii="Cambria Math" w:hAnsi="Cambria Math" w:cs="Times New Roman"/>
                                            <w:color w:val="000000" w:themeColor="text1"/>
                                            <w:sz w:val="14"/>
                                            <w:szCs w:val="14"/>
                                          </w:rPr>
                                          <m:t>o nizko obdavčenih dobičkih</m:t>
                                        </m:r>
                                      </m:e>
                                    </m:eqArr>
                                  </m:den>
                                </m:f>
                              </m:oMath>
                            </m:oMathPara>
                            <w:bookmarkEnd w:id="7"/>
                          </w:p>
                          <w:p w14:paraId="42557DD5" w14:textId="77777777" w:rsidR="008F6A83" w:rsidRDefault="008F6A83" w:rsidP="00CF451D">
                            <w:pPr>
                              <w:spacing w:after="0"/>
                              <w:ind w:left="2127" w:hanging="2127"/>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44025" id="Pravokotnik: zaokroženi vogali 6" o:spid="_x0000_s1040" style="position:absolute;left:0;text-align:left;margin-left:157.9pt;margin-top:4.45pt;width:352.45pt;height:31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" fillcolor="white [3201]" strokecolor="#2f5496 [2404]" strokeweight="1pt">
                <v:stroke joinstyle="miter"/>
                <v:path arrowok="t"/>
                <v:textbox>
                  <w:txbxContent>
                    <w:p w:rsidR="008F6A83" w:rsidRDefault="008F6A83" w:rsidP="00CF451D">
                      <w:pPr>
                        <w:spacing w:after="0"/>
                        <w:ind w:left="2127" w:hanging="2127"/>
                        <w:jc w:val="both"/>
                        <w:rPr>
                          <w:rFonts w:ascii="Times New Roman" w:hAnsi="Times New Roman" w:cs="Times New Roman"/>
                          <w:sz w:val="18"/>
                          <w:szCs w:val="18"/>
                        </w:rPr>
                      </w:pPr>
                      <w:r w:rsidRPr="00582D2B">
                        <w:rPr>
                          <w:rFonts w:ascii="Times New Roman" w:hAnsi="Times New Roman" w:cs="Times New Roman"/>
                          <w:sz w:val="18"/>
                          <w:szCs w:val="18"/>
                        </w:rPr>
                        <w:t>Bistven</w:t>
                      </w:r>
                      <w:r>
                        <w:rPr>
                          <w:rFonts w:ascii="Times New Roman" w:hAnsi="Times New Roman" w:cs="Times New Roman"/>
                          <w:sz w:val="18"/>
                          <w:szCs w:val="18"/>
                        </w:rPr>
                        <w:t>i elementi sedmega koraka</w:t>
                      </w:r>
                      <w:r w:rsidRPr="00582D2B">
                        <w:rPr>
                          <w:rFonts w:ascii="Times New Roman" w:hAnsi="Times New Roman" w:cs="Times New Roman"/>
                          <w:sz w:val="18"/>
                          <w:szCs w:val="18"/>
                        </w:rPr>
                        <w:t xml:space="preserve">: </w:t>
                      </w:r>
                    </w:p>
                    <w:p w:rsidR="008F6A83" w:rsidRDefault="008F6A83" w:rsidP="009E6080">
                      <w:pPr>
                        <w:spacing w:after="0"/>
                        <w:jc w:val="both"/>
                        <w:rPr>
                          <w:rFonts w:ascii="Times New Roman" w:hAnsi="Times New Roman" w:cs="Times New Roman"/>
                          <w:sz w:val="18"/>
                          <w:szCs w:val="18"/>
                        </w:rPr>
                      </w:pPr>
                      <w:r>
                        <w:rPr>
                          <w:rFonts w:ascii="Times New Roman" w:hAnsi="Times New Roman" w:cs="Times New Roman"/>
                          <w:sz w:val="18"/>
                          <w:szCs w:val="18"/>
                        </w:rPr>
                        <w:t>1) pravilo o vključitvi dohodka: identifikacija subjektov, ki so dolžni uporabiti IIR (UPE, IPE ali POPE); izračun dodeljivega deleža matičnega subjekta; upoštevanje plačanega povrhnjega davka na prejšnjih nivojih.</w:t>
                      </w:r>
                    </w:p>
                    <w:p w:rsidR="008F6A83" w:rsidRPr="006D52E3" w:rsidRDefault="008F6A83" w:rsidP="00C71BD1">
                      <w:pPr>
                        <w:spacing w:after="120"/>
                        <w:jc w:val="both"/>
                        <w:rPr>
                          <w:rFonts w:cs="Arial"/>
                          <w:sz w:val="16"/>
                          <w:szCs w:val="16"/>
                        </w:rPr>
                      </w:pPr>
                    </w:p>
                    <w:p w:rsidR="008F6A83" w:rsidRPr="006D52E3" w:rsidRDefault="008F6A83" w:rsidP="006D52E3">
                      <w:pPr>
                        <w:jc w:val="both"/>
                        <w:rPr>
                          <w:rFonts w:cs="Arial"/>
                          <w:sz w:val="16"/>
                          <w:szCs w:val="16"/>
                        </w:rPr>
                      </w:pPr>
                      <m:oMathPara>
                        <m:oMath>
                          <m:d>
                            <m:dPr>
                              <m:ctrlPr>
                                <w:rPr>
                                  <w:rFonts w:ascii="Cambria Math" w:hAnsi="Cambria Math" w:cs="Arial"/>
                                  <w:i/>
                                  <w:sz w:val="16"/>
                                  <w:szCs w:val="16"/>
                                </w:rPr>
                              </m:ctrlPr>
                            </m:dPr>
                            <m:e>
                              <m:eqArr>
                                <m:eqArrPr>
                                  <m:ctrlPr>
                                    <w:rPr>
                                      <w:rFonts w:ascii="Cambria Math" w:hAnsi="Cambria Math" w:cs="Arial"/>
                                      <w:i/>
                                      <w:sz w:val="16"/>
                                      <w:szCs w:val="16"/>
                                    </w:rPr>
                                  </m:ctrlPr>
                                </m:eqArrPr>
                                <m:e>
                                  <m:r>
                                    <w:rPr>
                                      <w:rFonts w:ascii="Cambria Math" w:hAnsi="Cambria Math" w:cs="Arial"/>
                                      <w:sz w:val="16"/>
                                      <w:szCs w:val="16"/>
                                    </w:rPr>
                                    <m:t xml:space="preserve">Povrhnji davek </m:t>
                                  </m:r>
                                </m:e>
                                <m:e>
                                  <m:r>
                                    <w:rPr>
                                      <w:rFonts w:ascii="Cambria Math" w:hAnsi="Cambria Math" w:cs="Arial"/>
                                      <w:sz w:val="16"/>
                                      <w:szCs w:val="16"/>
                                    </w:rPr>
                                    <m:t>po pravilu IIR</m:t>
                                  </m:r>
                                </m:e>
                              </m:eqArr>
                            </m:e>
                          </m:d>
                          <m:r>
                            <w:rPr>
                              <w:rFonts w:ascii="Cambria Math" w:hAnsi="Cambria Math" w:cs="Arial"/>
                              <w:sz w:val="16"/>
                              <w:szCs w:val="16"/>
                            </w:rPr>
                            <m:t>=</m:t>
                          </m:r>
                          <m:d>
                            <m:dPr>
                              <m:ctrlPr>
                                <w:rPr>
                                  <w:rFonts w:ascii="Cambria Math" w:hAnsi="Cambria Math" w:cs="Arial"/>
                                  <w:i/>
                                  <w:sz w:val="16"/>
                                  <w:szCs w:val="16"/>
                                </w:rPr>
                              </m:ctrlPr>
                            </m:dPr>
                            <m:e>
                              <m:eqArr>
                                <m:eqArrPr>
                                  <m:ctrlPr>
                                    <w:rPr>
                                      <w:rFonts w:ascii="Cambria Math" w:hAnsi="Cambria Math" w:cs="Arial"/>
                                      <w:i/>
                                      <w:sz w:val="16"/>
                                      <w:szCs w:val="16"/>
                                    </w:rPr>
                                  </m:ctrlPr>
                                </m:eqArrPr>
                                <m:e>
                                  <m:r>
                                    <w:rPr>
                                      <w:rFonts w:ascii="Cambria Math" w:hAnsi="Cambria Math" w:cs="Arial"/>
                                      <w:sz w:val="16"/>
                                      <w:szCs w:val="16"/>
                                    </w:rPr>
                                    <m:t xml:space="preserve">Povrhnji davek </m:t>
                                  </m:r>
                                </m:e>
                                <m:e>
                                  <m:r>
                                    <w:rPr>
                                      <w:rFonts w:ascii="Cambria Math" w:hAnsi="Cambria Math" w:cs="Arial"/>
                                      <w:sz w:val="16"/>
                                      <w:szCs w:val="16"/>
                                    </w:rPr>
                                    <m:t>subjekta v sestavi</m:t>
                                  </m:r>
                                </m:e>
                              </m:eqArr>
                            </m:e>
                          </m:d>
                          <m:r>
                            <w:rPr>
                              <w:rFonts w:ascii="Cambria Math" w:hAnsi="Cambria Math" w:cs="Arial"/>
                              <w:sz w:val="16"/>
                              <w:szCs w:val="16"/>
                            </w:rPr>
                            <m:t>×</m:t>
                          </m:r>
                          <m:d>
                            <m:dPr>
                              <m:ctrlPr>
                                <w:rPr>
                                  <w:rFonts w:ascii="Cambria Math" w:hAnsi="Cambria Math" w:cs="Arial"/>
                                  <w:i/>
                                  <w:sz w:val="16"/>
                                  <w:szCs w:val="16"/>
                                </w:rPr>
                              </m:ctrlPr>
                            </m:dPr>
                            <m:e>
                              <m:eqArr>
                                <m:eqArrPr>
                                  <m:ctrlPr>
                                    <w:rPr>
                                      <w:rFonts w:ascii="Cambria Math" w:hAnsi="Cambria Math" w:cs="Arial"/>
                                      <w:i/>
                                      <w:sz w:val="16"/>
                                      <w:szCs w:val="16"/>
                                    </w:rPr>
                                  </m:ctrlPr>
                                </m:eqArrPr>
                                <m:e>
                                  <m:r>
                                    <w:rPr>
                                      <w:rFonts w:ascii="Cambria Math" w:hAnsi="Cambria Math" w:cs="Arial"/>
                                      <w:sz w:val="16"/>
                                      <w:szCs w:val="16"/>
                                    </w:rPr>
                                    <m:t xml:space="preserve">Dodeljivi delež </m:t>
                                  </m:r>
                                </m:e>
                                <m:e>
                                  <m:r>
                                    <w:rPr>
                                      <w:rFonts w:ascii="Cambria Math" w:hAnsi="Cambria Math" w:cs="Arial"/>
                                      <w:sz w:val="16"/>
                                      <w:szCs w:val="16"/>
                                    </w:rPr>
                                    <m:t>matičnega subjekta</m:t>
                                  </m:r>
                                </m:e>
                              </m:eqArr>
                            </m:e>
                          </m:d>
                        </m:oMath>
                      </m:oMathPara>
                    </w:p>
                    <w:p w:rsidR="008F6A83" w:rsidRPr="006D52E3" w:rsidRDefault="008F6A83" w:rsidP="006D52E3">
                      <w:pPr>
                        <w:jc w:val="both"/>
                        <w:rPr>
                          <w:rFonts w:cs="Arial"/>
                          <w:sz w:val="16"/>
                          <w:szCs w:val="16"/>
                        </w:rPr>
                      </w:pPr>
                      <m:oMathPara>
                        <m:oMath>
                          <m:d>
                            <m:dPr>
                              <m:ctrlPr>
                                <w:rPr>
                                  <w:rFonts w:ascii="Cambria Math" w:hAnsi="Cambria Math" w:cs="Arial"/>
                                  <w:i/>
                                  <w:sz w:val="16"/>
                                  <w:szCs w:val="16"/>
                                </w:rPr>
                              </m:ctrlPr>
                            </m:dPr>
                            <m:e>
                              <m:eqArr>
                                <m:eqArrPr>
                                  <m:ctrlPr>
                                    <w:rPr>
                                      <w:rFonts w:ascii="Cambria Math" w:hAnsi="Cambria Math" w:cs="Arial"/>
                                      <w:sz w:val="16"/>
                                      <w:szCs w:val="16"/>
                                    </w:rPr>
                                  </m:ctrlPr>
                                </m:eqArrPr>
                                <m:e>
                                  <m:r>
                                    <m:rPr>
                                      <m:sty m:val="p"/>
                                    </m:rPr>
                                    <w:rPr>
                                      <w:rFonts w:ascii="Cambria Math" w:hAnsi="Cambria Math" w:cs="Arial"/>
                                      <w:sz w:val="16"/>
                                      <w:szCs w:val="16"/>
                                    </w:rPr>
                                    <m:t xml:space="preserve">Dodeljivi delež </m:t>
                                  </m:r>
                                </m:e>
                                <m:e>
                                  <m:r>
                                    <m:rPr>
                                      <m:sty m:val="p"/>
                                    </m:rPr>
                                    <w:rPr>
                                      <w:rFonts w:ascii="Cambria Math" w:hAnsi="Cambria Math" w:cs="Arial"/>
                                      <w:sz w:val="16"/>
                                      <w:szCs w:val="16"/>
                                    </w:rPr>
                                    <m:t xml:space="preserve">matičnega subjekta </m:t>
                                  </m:r>
                                </m:e>
                              </m:eqArr>
                            </m:e>
                          </m:d>
                          <m:r>
                            <w:rPr>
                              <w:rFonts w:ascii="Cambria Math" w:hAnsi="Cambria Math" w:cs="Arial"/>
                              <w:sz w:val="16"/>
                              <w:szCs w:val="16"/>
                            </w:rPr>
                            <m:t>=</m:t>
                          </m:r>
                          <m:d>
                            <m:dPr>
                              <m:ctrlPr>
                                <w:rPr>
                                  <w:rFonts w:ascii="Cambria Math" w:hAnsi="Cambria Math" w:cs="Arial"/>
                                  <w:i/>
                                  <w:sz w:val="16"/>
                                  <w:szCs w:val="16"/>
                                </w:rPr>
                              </m:ctrlPr>
                            </m:dPr>
                            <m:e>
                              <m:f>
                                <m:fPr>
                                  <m:ctrlPr>
                                    <w:rPr>
                                      <w:rFonts w:ascii="Cambria Math" w:hAnsi="Cambria Math" w:cs="Arial"/>
                                      <w:i/>
                                      <w:sz w:val="16"/>
                                      <w:szCs w:val="16"/>
                                    </w:rPr>
                                  </m:ctrlPr>
                                </m:fPr>
                                <m:num>
                                  <m:eqArr>
                                    <m:eqArrPr>
                                      <m:ctrlPr>
                                        <w:rPr>
                                          <w:rFonts w:ascii="Cambria Math" w:hAnsi="Cambria Math" w:cs="Arial"/>
                                          <w:sz w:val="16"/>
                                          <w:szCs w:val="16"/>
                                        </w:rPr>
                                      </m:ctrlPr>
                                    </m:eqArrPr>
                                    <m:e>
                                      <m:r>
                                        <m:rPr>
                                          <m:sty m:val="p"/>
                                        </m:rPr>
                                        <w:rPr>
                                          <w:rFonts w:ascii="Cambria Math" w:hAnsi="Cambria Math" w:cs="Arial"/>
                                          <w:sz w:val="16"/>
                                          <w:szCs w:val="16"/>
                                        </w:rPr>
                                        <m:t xml:space="preserve">dohodek nizkoobdavčenega </m:t>
                                      </m:r>
                                    </m:e>
                                    <m:e>
                                      <m:r>
                                        <m:rPr>
                                          <m:sty m:val="p"/>
                                        </m:rPr>
                                        <w:rPr>
                                          <w:rFonts w:ascii="Cambria Math" w:hAnsi="Cambria Math" w:cs="Arial"/>
                                          <w:sz w:val="16"/>
                                          <w:szCs w:val="16"/>
                                        </w:rPr>
                                        <m:t xml:space="preserve">subjekta v sestavi, </m:t>
                                      </m:r>
                                      <m:ctrlPr>
                                        <w:rPr>
                                          <w:rFonts w:ascii="Cambria Math" w:eastAsia="Cambria Math" w:hAnsi="Cambria Math" w:cs="Cambria Math"/>
                                          <w:sz w:val="16"/>
                                          <w:szCs w:val="16"/>
                                        </w:rPr>
                                      </m:ctrlPr>
                                    </m:e>
                                    <m:e>
                                      <m:r>
                                        <m:rPr>
                                          <m:sty m:val="p"/>
                                        </m:rPr>
                                        <w:rPr>
                                          <w:rFonts w:ascii="Cambria Math" w:hAnsi="Cambria Math" w:cs="Arial"/>
                                          <w:sz w:val="16"/>
                                          <w:szCs w:val="16"/>
                                        </w:rPr>
                                        <m:t>pripisan matičnemu subjektu</m:t>
                                      </m:r>
                                    </m:e>
                                  </m:eqArr>
                                </m:num>
                                <m:den>
                                  <m:eqArr>
                                    <m:eqArrPr>
                                      <m:ctrlPr>
                                        <w:rPr>
                                          <w:rFonts w:ascii="Cambria Math" w:hAnsi="Cambria Math" w:cs="Arial"/>
                                          <w:sz w:val="16"/>
                                          <w:szCs w:val="16"/>
                                        </w:rPr>
                                      </m:ctrlPr>
                                    </m:eqArrPr>
                                    <m:e>
                                      <m:r>
                                        <m:rPr>
                                          <m:sty m:val="p"/>
                                        </m:rPr>
                                        <w:rPr>
                                          <w:rFonts w:ascii="Cambria Math" w:hAnsi="Cambria Math" w:cs="Arial"/>
                                          <w:sz w:val="16"/>
                                          <w:szCs w:val="16"/>
                                        </w:rPr>
                                        <m:t xml:space="preserve">celotni kvalificirani </m:t>
                                      </m:r>
                                    </m:e>
                                    <m:e>
                                      <m:r>
                                        <m:rPr>
                                          <m:sty m:val="p"/>
                                        </m:rPr>
                                        <w:rPr>
                                          <w:rFonts w:ascii="Cambria Math" w:hAnsi="Cambria Math" w:cs="Arial"/>
                                          <w:sz w:val="16"/>
                                          <w:szCs w:val="16"/>
                                        </w:rPr>
                                        <m:t>dohodek subjekta v sestavi</m:t>
                                      </m:r>
                                    </m:e>
                                  </m:eqArr>
                                </m:den>
                              </m:f>
                            </m:e>
                          </m:d>
                        </m:oMath>
                      </m:oMathPara>
                    </w:p>
                    <w:p w:rsidR="008F6A83" w:rsidRDefault="008F6A83" w:rsidP="00CF451D">
                      <w:pPr>
                        <w:spacing w:after="0"/>
                        <w:ind w:left="2127" w:hanging="2127"/>
                        <w:jc w:val="both"/>
                        <w:rPr>
                          <w:rFonts w:ascii="Times New Roman" w:hAnsi="Times New Roman" w:cs="Times New Roman"/>
                          <w:sz w:val="18"/>
                          <w:szCs w:val="18"/>
                        </w:rPr>
                      </w:pPr>
                    </w:p>
                    <w:p w:rsidR="008F6A83" w:rsidRDefault="008F6A83" w:rsidP="009E6080">
                      <w:pPr>
                        <w:spacing w:after="0"/>
                        <w:jc w:val="both"/>
                        <w:rPr>
                          <w:rFonts w:ascii="Times New Roman" w:hAnsi="Times New Roman" w:cs="Times New Roman"/>
                          <w:sz w:val="18"/>
                          <w:szCs w:val="18"/>
                        </w:rPr>
                      </w:pPr>
                      <w:r>
                        <w:rPr>
                          <w:rFonts w:ascii="Times New Roman" w:hAnsi="Times New Roman" w:cs="Times New Roman"/>
                          <w:sz w:val="18"/>
                          <w:szCs w:val="18"/>
                        </w:rPr>
                        <w:t xml:space="preserve">2) pravilo o prenizko obdavčenih dobičkih (UTPR): subsidiarno (rezervno) pravilo, obveznost mora biti plačana brez ugodnosti; upoštevanje neplačanega davka po aplikaciji IIR (večinoma za domače subjekte mednarodne skupine – varni pristan UTPR). Alokacija po UTPR jurisdikcijah: </w:t>
                      </w:r>
                    </w:p>
                    <w:p w:rsidR="008F6A83" w:rsidRPr="00906DFA" w:rsidRDefault="008F6A83" w:rsidP="00906DFA">
                      <w:pPr>
                        <w:spacing w:after="0"/>
                        <w:ind w:right="-364" w:hanging="2552"/>
                        <w:jc w:val="both"/>
                        <w:rPr>
                          <w:rFonts w:ascii="Times New Roman" w:hAnsi="Times New Roman" w:cs="Times New Roman"/>
                          <w:sz w:val="18"/>
                          <w:szCs w:val="18"/>
                        </w:rPr>
                      </w:pPr>
                      <w:bookmarkStart w:id="12" w:name="_Hlk153961022"/>
                      <m:oMathPara>
                        <m:oMathParaPr>
                          <m:jc m:val="left"/>
                        </m:oMathParaPr>
                        <m:oMath>
                          <m:r>
                            <w:rPr>
                              <w:rFonts w:ascii="Cambria Math" w:hAnsi="Cambria Math" w:cs="Times New Roman"/>
                              <w:sz w:val="14"/>
                              <w:szCs w:val="14"/>
                            </w:rPr>
                            <m:t>50 % ×</m:t>
                          </m:r>
                          <m:f>
                            <m:fPr>
                              <m:ctrlPr>
                                <w:rPr>
                                  <w:rFonts w:ascii="Cambria Math" w:hAnsi="Cambria Math" w:cs="Times New Roman"/>
                                  <w:i/>
                                  <w:color w:val="000000" w:themeColor="text1"/>
                                  <w:sz w:val="14"/>
                                  <w:szCs w:val="14"/>
                                </w:rPr>
                              </m:ctrlPr>
                            </m:fPr>
                            <m:num>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število zaposlenih </m:t>
                                  </m:r>
                                </m:e>
                                <m:e>
                                  <m:r>
                                    <w:rPr>
                                      <w:rFonts w:ascii="Cambria Math" w:hAnsi="Cambria Math" w:cs="Times New Roman"/>
                                      <w:color w:val="000000" w:themeColor="text1"/>
                                      <w:sz w:val="14"/>
                                      <w:szCs w:val="14"/>
                                    </w:rPr>
                                    <m:t>v Republiki Sloveniji</m:t>
                                  </m:r>
                                </m:e>
                              </m:eqArr>
                            </m:num>
                            <m:den>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število zaposlenih v vseh jurisdikcijah </m:t>
                                  </m:r>
                                </m:e>
                                <m:e>
                                  <m:r>
                                    <w:rPr>
                                      <w:rFonts w:ascii="Cambria Math" w:hAnsi="Cambria Math" w:cs="Times New Roman"/>
                                      <w:color w:val="000000" w:themeColor="text1"/>
                                      <w:sz w:val="14"/>
                                      <w:szCs w:val="14"/>
                                    </w:rPr>
                                    <m:t>s pravilom o nizko obdavčenih dobičkih</m:t>
                                  </m:r>
                                </m:e>
                              </m:eqArr>
                            </m:den>
                          </m:f>
                          <m:r>
                            <w:rPr>
                              <w:rFonts w:ascii="Cambria Math" w:hAnsi="Cambria Math" w:cs="Times New Roman"/>
                              <w:color w:val="000000" w:themeColor="text1"/>
                              <w:sz w:val="14"/>
                              <w:szCs w:val="14"/>
                            </w:rPr>
                            <m:t xml:space="preserve">+50 % × </m:t>
                          </m:r>
                          <m:f>
                            <m:fPr>
                              <m:ctrlPr>
                                <w:rPr>
                                  <w:rFonts w:ascii="Cambria Math" w:hAnsi="Cambria Math" w:cs="Times New Roman"/>
                                  <w:i/>
                                  <w:color w:val="000000" w:themeColor="text1"/>
                                  <w:sz w:val="14"/>
                                  <w:szCs w:val="14"/>
                                </w:rPr>
                              </m:ctrlPr>
                            </m:fPr>
                            <m:num>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skupna vrednost opredmetenih sredstev</m:t>
                                  </m:r>
                                </m:e>
                                <m:e>
                                  <m:r>
                                    <w:rPr>
                                      <w:rFonts w:ascii="Cambria Math" w:hAnsi="Cambria Math" w:cs="Times New Roman"/>
                                      <w:color w:val="000000" w:themeColor="text1"/>
                                      <w:sz w:val="14"/>
                                      <w:szCs w:val="14"/>
                                    </w:rPr>
                                    <m:t xml:space="preserve"> v Republiki Sloveniji</m:t>
                                  </m:r>
                                </m:e>
                              </m:eqArr>
                            </m:num>
                            <m:den>
                              <m:eqArr>
                                <m:eqArrPr>
                                  <m:ctrlPr>
                                    <w:rPr>
                                      <w:rFonts w:ascii="Cambria Math" w:hAnsi="Cambria Math" w:cs="Times New Roman"/>
                                      <w:i/>
                                      <w:color w:val="000000" w:themeColor="text1"/>
                                      <w:sz w:val="14"/>
                                      <w:szCs w:val="14"/>
                                    </w:rPr>
                                  </m:ctrlPr>
                                </m:eqArrPr>
                                <m:e>
                                  <m:r>
                                    <w:rPr>
                                      <w:rFonts w:ascii="Cambria Math" w:hAnsi="Cambria Math" w:cs="Times New Roman"/>
                                      <w:color w:val="000000" w:themeColor="text1"/>
                                      <w:sz w:val="14"/>
                                      <w:szCs w:val="14"/>
                                    </w:rPr>
                                    <m:t xml:space="preserve"> skupna vrednost opredmetenih sredstev</m:t>
                                  </m:r>
                                </m:e>
                                <m:e>
                                  <m:r>
                                    <w:rPr>
                                      <w:rFonts w:ascii="Cambria Math" w:hAnsi="Cambria Math" w:cs="Times New Roman"/>
                                      <w:color w:val="000000" w:themeColor="text1"/>
                                      <w:sz w:val="14"/>
                                      <w:szCs w:val="14"/>
                                    </w:rPr>
                                    <m:t xml:space="preserve">v vseh jurisdikcijah s pravilom </m:t>
                                  </m:r>
                                </m:e>
                                <m:e>
                                  <m:r>
                                    <w:rPr>
                                      <w:rFonts w:ascii="Cambria Math" w:hAnsi="Cambria Math" w:cs="Times New Roman"/>
                                      <w:color w:val="000000" w:themeColor="text1"/>
                                      <w:sz w:val="14"/>
                                      <w:szCs w:val="14"/>
                                    </w:rPr>
                                    <m:t>o nizko obdavčenih dobičkih</m:t>
                                  </m:r>
                                </m:e>
                              </m:eqArr>
                            </m:den>
                          </m:f>
                        </m:oMath>
                      </m:oMathPara>
                      <w:bookmarkEnd w:id="12"/>
                    </w:p>
                    <w:p w:rsidR="008F6A83" w:rsidRDefault="008F6A83" w:rsidP="00CF451D">
                      <w:pPr>
                        <w:spacing w:after="0"/>
                        <w:ind w:left="2127" w:hanging="2127"/>
                        <w:jc w:val="both"/>
                        <w:rPr>
                          <w:rFonts w:ascii="Times New Roman" w:hAnsi="Times New Roman" w:cs="Times New Roman"/>
                          <w:sz w:val="18"/>
                          <w:szCs w:val="18"/>
                        </w:rPr>
                      </w:pPr>
                    </w:p>
                  </w:txbxContent>
                </v:textbox>
              </v:roundrect>
            </w:pict>
          </mc:Fallback>
        </mc:AlternateContent>
      </w:r>
    </w:p>
    <w:p w14:paraId="25AA8D4D" w14:textId="77777777" w:rsidR="00CF451D" w:rsidRDefault="00DB338C" w:rsidP="004D2C01">
      <w:pPr>
        <w:ind w:left="426"/>
      </w:pPr>
      <w:r>
        <w:rPr>
          <w:noProof/>
          <w:lang w:eastAsia="sl-SI"/>
        </w:rPr>
        <mc:AlternateContent>
          <mc:Choice Requires="wps">
            <w:drawing>
              <wp:anchor distT="45720" distB="45720" distL="114300" distR="114300" simplePos="0" relativeHeight="251689984" behindDoc="0" locked="0" layoutInCell="1" allowOverlap="1" wp14:anchorId="78FEF074" wp14:editId="675B96E9">
                <wp:simplePos x="0" y="0"/>
                <wp:positionH relativeFrom="column">
                  <wp:posOffset>-615315</wp:posOffset>
                </wp:positionH>
                <wp:positionV relativeFrom="paragraph">
                  <wp:posOffset>279400</wp:posOffset>
                </wp:positionV>
                <wp:extent cx="2026920" cy="1228090"/>
                <wp:effectExtent l="0" t="0" r="0" b="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228090"/>
                        </a:xfrm>
                        <a:prstGeom prst="rect">
                          <a:avLst/>
                        </a:prstGeom>
                        <a:solidFill>
                          <a:srgbClr val="FFFFFF"/>
                        </a:solidFill>
                        <a:ln w="9525">
                          <a:solidFill>
                            <a:schemeClr val="accent1">
                              <a:lumMod val="75000"/>
                            </a:schemeClr>
                          </a:solidFill>
                          <a:miter lim="800000"/>
                          <a:headEnd/>
                          <a:tailEnd/>
                        </a:ln>
                      </wps:spPr>
                      <wps:txbx>
                        <w:txbxContent>
                          <w:p w14:paraId="124A2B30" w14:textId="77777777" w:rsidR="008F6A83" w:rsidRPr="0074449C" w:rsidRDefault="008F6A83" w:rsidP="00CF451D">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7</w:t>
                            </w:r>
                          </w:p>
                          <w:p w14:paraId="42677F31" w14:textId="77777777" w:rsidR="008F6A83" w:rsidRDefault="008F6A83" w:rsidP="00CF451D">
                            <w:pPr>
                              <w:spacing w:after="0"/>
                              <w:jc w:val="center"/>
                              <w:rPr>
                                <w:rFonts w:ascii="Times New Roman" w:hAnsi="Times New Roman" w:cs="Times New Roman"/>
                                <w:sz w:val="18"/>
                                <w:szCs w:val="18"/>
                              </w:rPr>
                            </w:pPr>
                            <w:r>
                              <w:rPr>
                                <w:rFonts w:ascii="Times New Roman" w:hAnsi="Times New Roman" w:cs="Times New Roman"/>
                                <w:sz w:val="18"/>
                                <w:szCs w:val="18"/>
                              </w:rPr>
                              <w:t xml:space="preserve">Uporaba pravila o vključitvi dohodkov oziroma uporaba pravila o prenizko obdavčenih dobičkih </w:t>
                            </w:r>
                          </w:p>
                          <w:p w14:paraId="178761D4" w14:textId="77777777" w:rsidR="008F6A83" w:rsidRDefault="008F6A83" w:rsidP="00CF451D">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Elementi IIR in UTPR pravila</w:t>
                            </w:r>
                          </w:p>
                          <w:p w14:paraId="3FC0D27D" w14:textId="77777777" w:rsidR="008F6A83" w:rsidRPr="00AE6A64" w:rsidRDefault="008F6A83" w:rsidP="00CF451D">
                            <w:pPr>
                              <w:spacing w:after="0"/>
                              <w:jc w:val="center"/>
                              <w:rPr>
                                <w:rFonts w:ascii="Times New Roman" w:hAnsi="Times New Roman" w:cs="Times New Roman"/>
                                <w:b/>
                                <w:bCs/>
                                <w:sz w:val="18"/>
                                <w:szCs w:val="18"/>
                              </w:rPr>
                            </w:pPr>
                            <w:r w:rsidRPr="00AE6A64">
                              <w:rPr>
                                <w:rFonts w:ascii="Times New Roman" w:hAnsi="Times New Roman" w:cs="Times New Roman"/>
                                <w:b/>
                                <w:bCs/>
                                <w:sz w:val="18"/>
                                <w:szCs w:val="18"/>
                              </w:rPr>
                              <w:t xml:space="preserve">Bistveni členi ZMD: </w:t>
                            </w:r>
                            <w:r w:rsidRPr="00AE6A64">
                              <w:rPr>
                                <w:rFonts w:ascii="Times New Roman" w:hAnsi="Times New Roman" w:cs="Times New Roman"/>
                                <w:sz w:val="18"/>
                                <w:szCs w:val="18"/>
                              </w:rPr>
                              <w:t xml:space="preserve">II. </w:t>
                            </w:r>
                            <w:r>
                              <w:rPr>
                                <w:rFonts w:ascii="Times New Roman" w:hAnsi="Times New Roman" w:cs="Times New Roman"/>
                                <w:sz w:val="18"/>
                                <w:szCs w:val="18"/>
                              </w:rPr>
                              <w:t>p</w:t>
                            </w:r>
                            <w:r w:rsidRPr="00AE6A64">
                              <w:rPr>
                                <w:rFonts w:ascii="Times New Roman" w:hAnsi="Times New Roman" w:cs="Times New Roman"/>
                                <w:sz w:val="18"/>
                                <w:szCs w:val="18"/>
                              </w:rPr>
                              <w:t>oglavje</w:t>
                            </w:r>
                            <w:r>
                              <w:rPr>
                                <w:rFonts w:ascii="Times New Roman" w:hAnsi="Times New Roman" w:cs="Times New Roman"/>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81C83" id="Polje z besedilom 5" o:spid="_x0000_s1041" type="#_x0000_t202" style="position:absolute;left:0;text-align:left;margin-left:-48.45pt;margin-top:22pt;width:159.6pt;height:96.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" strokecolor="#2f5496 [2404]">
                <v:textbox>
                  <w:txbxContent>
                    <w:p w:rsidR="008F6A83" w:rsidRPr="0074449C" w:rsidRDefault="008F6A83" w:rsidP="00CF451D">
                      <w:pPr>
                        <w:spacing w:after="0"/>
                        <w:jc w:val="center"/>
                        <w:rPr>
                          <w:rFonts w:ascii="Times New Roman" w:hAnsi="Times New Roman" w:cs="Times New Roman"/>
                          <w:b/>
                          <w:bCs/>
                          <w:sz w:val="18"/>
                          <w:szCs w:val="18"/>
                          <w:u w:val="single"/>
                        </w:rPr>
                      </w:pPr>
                      <w:r w:rsidRPr="0074449C">
                        <w:rPr>
                          <w:rFonts w:ascii="Times New Roman" w:hAnsi="Times New Roman" w:cs="Times New Roman"/>
                          <w:b/>
                          <w:bCs/>
                          <w:sz w:val="18"/>
                          <w:szCs w:val="18"/>
                          <w:u w:val="single"/>
                        </w:rPr>
                        <w:t>KORAK 7</w:t>
                      </w:r>
                    </w:p>
                    <w:p w:rsidR="008F6A83" w:rsidRDefault="008F6A83" w:rsidP="00CF451D">
                      <w:pPr>
                        <w:spacing w:after="0"/>
                        <w:jc w:val="center"/>
                        <w:rPr>
                          <w:rFonts w:ascii="Times New Roman" w:hAnsi="Times New Roman" w:cs="Times New Roman"/>
                          <w:sz w:val="18"/>
                          <w:szCs w:val="18"/>
                        </w:rPr>
                      </w:pPr>
                      <w:r>
                        <w:rPr>
                          <w:rFonts w:ascii="Times New Roman" w:hAnsi="Times New Roman" w:cs="Times New Roman"/>
                          <w:sz w:val="18"/>
                          <w:szCs w:val="18"/>
                        </w:rPr>
                        <w:t xml:space="preserve">Uporaba pravila o vključitvi dohodkov oziroma uporaba pravila o prenizko obdavčenih dobičkih </w:t>
                      </w:r>
                    </w:p>
                    <w:p w:rsidR="008F6A83" w:rsidRDefault="008F6A83" w:rsidP="00CF451D">
                      <w:pPr>
                        <w:spacing w:after="0"/>
                        <w:jc w:val="center"/>
                        <w:rPr>
                          <w:rFonts w:ascii="Times New Roman" w:hAnsi="Times New Roman" w:cs="Times New Roman"/>
                          <w:sz w:val="18"/>
                          <w:szCs w:val="18"/>
                        </w:rPr>
                      </w:pPr>
                      <w:r w:rsidRPr="0074449C">
                        <w:rPr>
                          <w:rFonts w:ascii="Times New Roman" w:hAnsi="Times New Roman" w:cs="Times New Roman"/>
                          <w:b/>
                          <w:bCs/>
                          <w:sz w:val="18"/>
                          <w:szCs w:val="18"/>
                        </w:rPr>
                        <w:t>BISTVO:</w:t>
                      </w:r>
                      <w:r>
                        <w:rPr>
                          <w:rFonts w:ascii="Times New Roman" w:hAnsi="Times New Roman" w:cs="Times New Roman"/>
                          <w:sz w:val="18"/>
                          <w:szCs w:val="18"/>
                        </w:rPr>
                        <w:t xml:space="preserve"> Elementi IIR in UTPR pravila</w:t>
                      </w:r>
                    </w:p>
                    <w:p w:rsidR="008F6A83" w:rsidRPr="00AE6A64" w:rsidRDefault="008F6A83" w:rsidP="00CF451D">
                      <w:pPr>
                        <w:spacing w:after="0"/>
                        <w:jc w:val="center"/>
                        <w:rPr>
                          <w:rFonts w:ascii="Times New Roman" w:hAnsi="Times New Roman" w:cs="Times New Roman"/>
                          <w:b/>
                          <w:bCs/>
                          <w:sz w:val="18"/>
                          <w:szCs w:val="18"/>
                        </w:rPr>
                      </w:pPr>
                      <w:r w:rsidRPr="00AE6A64">
                        <w:rPr>
                          <w:rFonts w:ascii="Times New Roman" w:hAnsi="Times New Roman" w:cs="Times New Roman"/>
                          <w:b/>
                          <w:bCs/>
                          <w:sz w:val="18"/>
                          <w:szCs w:val="18"/>
                        </w:rPr>
                        <w:t xml:space="preserve">Bistveni členi ZMD: </w:t>
                      </w:r>
                      <w:r w:rsidRPr="00AE6A64">
                        <w:rPr>
                          <w:rFonts w:ascii="Times New Roman" w:hAnsi="Times New Roman" w:cs="Times New Roman"/>
                          <w:sz w:val="18"/>
                          <w:szCs w:val="18"/>
                        </w:rPr>
                        <w:t xml:space="preserve">II. </w:t>
                      </w:r>
                      <w:r>
                        <w:rPr>
                          <w:rFonts w:ascii="Times New Roman" w:hAnsi="Times New Roman" w:cs="Times New Roman"/>
                          <w:sz w:val="18"/>
                          <w:szCs w:val="18"/>
                        </w:rPr>
                        <w:t>p</w:t>
                      </w:r>
                      <w:r w:rsidRPr="00AE6A64">
                        <w:rPr>
                          <w:rFonts w:ascii="Times New Roman" w:hAnsi="Times New Roman" w:cs="Times New Roman"/>
                          <w:sz w:val="18"/>
                          <w:szCs w:val="18"/>
                        </w:rPr>
                        <w:t>oglavje</w:t>
                      </w:r>
                      <w:r>
                        <w:rPr>
                          <w:rFonts w:ascii="Times New Roman" w:hAnsi="Times New Roman" w:cs="Times New Roman"/>
                          <w:b/>
                          <w:bCs/>
                          <w:sz w:val="18"/>
                          <w:szCs w:val="18"/>
                        </w:rPr>
                        <w:t xml:space="preserve"> </w:t>
                      </w:r>
                    </w:p>
                  </w:txbxContent>
                </v:textbox>
                <w10:wrap type="square"/>
              </v:shape>
            </w:pict>
          </mc:Fallback>
        </mc:AlternateContent>
      </w:r>
    </w:p>
    <w:p w14:paraId="1AFB98B1" w14:textId="77777777" w:rsidR="00CF451D" w:rsidRDefault="00B276D1" w:rsidP="004D2C01">
      <w:pPr>
        <w:ind w:left="426"/>
      </w:pPr>
      <w:r>
        <w:rPr>
          <w:noProof/>
          <w:lang w:eastAsia="sl-SI"/>
        </w:rPr>
        <mc:AlternateContent>
          <mc:Choice Requires="wps">
            <w:drawing>
              <wp:anchor distT="0" distB="0" distL="114300" distR="114300" simplePos="0" relativeHeight="251688960" behindDoc="0" locked="0" layoutInCell="1" allowOverlap="1" wp14:anchorId="3FB963C1" wp14:editId="4634A74C">
                <wp:simplePos x="0" y="0"/>
                <wp:positionH relativeFrom="column">
                  <wp:posOffset>1472565</wp:posOffset>
                </wp:positionH>
                <wp:positionV relativeFrom="paragraph">
                  <wp:posOffset>118110</wp:posOffset>
                </wp:positionV>
                <wp:extent cx="340995" cy="1146175"/>
                <wp:effectExtent l="0" t="0" r="20955" b="15875"/>
                <wp:wrapNone/>
                <wp:docPr id="4" name="Levi zaviti oklepaj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146175"/>
                        </a:xfrm>
                        <a:prstGeom prst="leftBrac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4FA9EE" id="Levi zaviti oklepaj 4" o:spid="_x0000_s1026" type="#_x0000_t87" style="position:absolute;margin-left:115.95pt;margin-top:9.3pt;width:26.85pt;height:9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" adj="535" strokecolor="#2f5496 [2404]" strokeweight="1pt">
                <v:stroke joinstyle="miter"/>
              </v:shape>
            </w:pict>
          </mc:Fallback>
        </mc:AlternateContent>
      </w:r>
    </w:p>
    <w:bookmarkEnd w:id="0"/>
    <w:p w14:paraId="411D9059" w14:textId="77777777" w:rsidR="00CF451D" w:rsidRDefault="00CF451D" w:rsidP="004D2C01">
      <w:pPr>
        <w:ind w:left="426"/>
      </w:pPr>
    </w:p>
    <w:p w14:paraId="26377C34" w14:textId="77777777" w:rsidR="00DB65D9" w:rsidRDefault="00DB65D9" w:rsidP="004D2C01">
      <w:pPr>
        <w:ind w:left="426"/>
      </w:pPr>
    </w:p>
    <w:p w14:paraId="39A49083" w14:textId="77777777" w:rsidR="00DB65D9" w:rsidRDefault="00DB65D9" w:rsidP="004D2C01">
      <w:pPr>
        <w:ind w:left="426"/>
      </w:pPr>
    </w:p>
    <w:p w14:paraId="7948BF36" w14:textId="77777777" w:rsidR="00DB65D9" w:rsidRDefault="00DB65D9" w:rsidP="004D2C01">
      <w:pPr>
        <w:ind w:left="426"/>
      </w:pPr>
    </w:p>
    <w:p w14:paraId="76DC81B6" w14:textId="77777777" w:rsidR="004D2C01" w:rsidRDefault="00DB65D9" w:rsidP="004D2C01">
      <w:pPr>
        <w:ind w:left="426"/>
        <w:sectPr w:rsidR="004D2C01" w:rsidSect="004D2C01">
          <w:pgSz w:w="16838" w:h="11906" w:orient="landscape" w:code="9"/>
          <w:pgMar w:top="1418" w:right="1418" w:bottom="1418" w:left="2410" w:header="709" w:footer="709" w:gutter="0"/>
          <w:cols w:space="708"/>
          <w:docGrid w:linePitch="360"/>
        </w:sectPr>
      </w:pPr>
      <w:r>
        <w:br w:type="page"/>
      </w:r>
    </w:p>
    <w:p w14:paraId="04691024" w14:textId="77777777" w:rsidR="00DB65D9" w:rsidRPr="00392FD4" w:rsidRDefault="00DB65D9" w:rsidP="00FD1603">
      <w:pPr>
        <w:pStyle w:val="FURSnaslov1"/>
        <w:rPr>
          <w:lang w:val="sl-SI"/>
        </w:rPr>
      </w:pPr>
      <w:bookmarkStart w:id="8" w:name="_Toc157425301"/>
      <w:r w:rsidRPr="00392FD4">
        <w:rPr>
          <w:lang w:val="sl-SI"/>
        </w:rPr>
        <w:lastRenderedPageBreak/>
        <w:t xml:space="preserve">2.0 </w:t>
      </w:r>
      <w:r w:rsidR="00237DFD" w:rsidRPr="00392FD4">
        <w:rPr>
          <w:lang w:val="sl-SI"/>
        </w:rPr>
        <w:t>Zavezanci</w:t>
      </w:r>
      <w:r w:rsidR="00612708">
        <w:rPr>
          <w:lang w:val="sl-SI"/>
        </w:rPr>
        <w:t>,</w:t>
      </w:r>
      <w:r w:rsidR="00237DFD" w:rsidRPr="00392FD4">
        <w:rPr>
          <w:lang w:val="sl-SI"/>
        </w:rPr>
        <w:t xml:space="preserve"> obseg davčne obveznosti (mednarodne skupine in </w:t>
      </w:r>
      <w:bookmarkEnd w:id="5"/>
      <w:r w:rsidR="00237DFD" w:rsidRPr="00392FD4">
        <w:rPr>
          <w:lang w:val="sl-SI"/>
        </w:rPr>
        <w:t>domače skupine)</w:t>
      </w:r>
      <w:r w:rsidR="00612708">
        <w:rPr>
          <w:lang w:val="sl-SI"/>
        </w:rPr>
        <w:t xml:space="preserve"> in lokacija subjektov v sestavi</w:t>
      </w:r>
      <w:r w:rsidR="00F234A1">
        <w:rPr>
          <w:lang w:val="sl-SI"/>
        </w:rPr>
        <w:t xml:space="preserve"> (6. člen</w:t>
      </w:r>
      <w:r w:rsidR="00612708">
        <w:rPr>
          <w:lang w:val="sl-SI"/>
        </w:rPr>
        <w:t>, 7. člen in 8. člen ZMD</w:t>
      </w:r>
      <w:r w:rsidR="00F234A1">
        <w:rPr>
          <w:lang w:val="sl-SI"/>
        </w:rPr>
        <w:t>)</w:t>
      </w:r>
      <w:bookmarkEnd w:id="8"/>
    </w:p>
    <w:p w14:paraId="4D9CF3A5" w14:textId="77777777" w:rsidR="00237DFD" w:rsidRPr="008F3623" w:rsidRDefault="00237DFD" w:rsidP="00237DFD">
      <w:pPr>
        <w:pStyle w:val="FURSnaslov2"/>
        <w:rPr>
          <w:rFonts w:cs="Arial"/>
          <w:sz w:val="20"/>
          <w:szCs w:val="20"/>
          <w:lang w:val="sl-SI" w:eastAsia="sl-SI"/>
        </w:rPr>
      </w:pPr>
    </w:p>
    <w:p w14:paraId="193BCE1F" w14:textId="77777777" w:rsidR="00DB44EF" w:rsidRDefault="00A75D00" w:rsidP="00DB65D9">
      <w:pPr>
        <w:jc w:val="both"/>
        <w:rPr>
          <w:rFonts w:ascii="Arial" w:hAnsi="Arial" w:cs="Arial"/>
          <w:sz w:val="20"/>
          <w:szCs w:val="20"/>
        </w:rPr>
      </w:pPr>
      <w:r w:rsidRPr="008F3623">
        <w:rPr>
          <w:rFonts w:ascii="Arial" w:hAnsi="Arial" w:cs="Arial"/>
          <w:sz w:val="20"/>
          <w:szCs w:val="20"/>
        </w:rPr>
        <w:t xml:space="preserve">Zakon o minimalnem davku ima omejen obseg, in sicer zadeva le določene večje mednarodne in domače skupine podjetij. Tako je treba pred začetkom </w:t>
      </w:r>
      <w:r w:rsidR="00F362F5">
        <w:rPr>
          <w:rFonts w:ascii="Arial" w:hAnsi="Arial" w:cs="Arial"/>
          <w:sz w:val="20"/>
          <w:szCs w:val="20"/>
        </w:rPr>
        <w:t>uporabe preostalih</w:t>
      </w:r>
      <w:r w:rsidRPr="008F3623">
        <w:rPr>
          <w:rFonts w:ascii="Arial" w:hAnsi="Arial" w:cs="Arial"/>
          <w:sz w:val="20"/>
          <w:szCs w:val="20"/>
        </w:rPr>
        <w:t xml:space="preserve"> določb zakona najprej ugotoviti, katere skupine sodijo v obseg zakona in se posledično zanje uporablja ta zakon ter kateri subjekti iz teh skupin so izključeni. </w:t>
      </w:r>
    </w:p>
    <w:p w14:paraId="265F3230" w14:textId="77777777" w:rsidR="00DB44EF" w:rsidRDefault="00DB44EF" w:rsidP="00DB65D9">
      <w:pPr>
        <w:jc w:val="both"/>
        <w:rPr>
          <w:rFonts w:ascii="Arial" w:hAnsi="Arial" w:cs="Arial"/>
          <w:sz w:val="20"/>
          <w:szCs w:val="20"/>
        </w:rPr>
      </w:pPr>
      <w:r>
        <w:rPr>
          <w:rFonts w:ascii="Arial" w:hAnsi="Arial" w:cs="Arial"/>
          <w:sz w:val="20"/>
          <w:szCs w:val="20"/>
        </w:rPr>
        <w:t>Proces za ugotovitev ali je skupina v okviru sistema povrhnjega davka:</w:t>
      </w:r>
    </w:p>
    <w:p w14:paraId="2D151462" w14:textId="77777777" w:rsidR="00A75D00" w:rsidRDefault="00DB44EF" w:rsidP="002B7251">
      <w:pPr>
        <w:rPr>
          <w:rFonts w:ascii="Arial" w:hAnsi="Arial" w:cs="Arial"/>
          <w:sz w:val="20"/>
          <w:szCs w:val="20"/>
        </w:rPr>
      </w:pPr>
      <w:r>
        <w:rPr>
          <w:rFonts w:ascii="Arial" w:hAnsi="Arial" w:cs="Arial"/>
          <w:noProof/>
          <w:sz w:val="20"/>
          <w:szCs w:val="20"/>
          <w:lang w:eastAsia="sl-SI"/>
        </w:rPr>
        <w:drawing>
          <wp:inline distT="0" distB="0" distL="0" distR="0" wp14:anchorId="6D02F3AF" wp14:editId="254B820D">
            <wp:extent cx="5759811" cy="23812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2057" cy="2390447"/>
                    </a:xfrm>
                    <a:prstGeom prst="rect">
                      <a:avLst/>
                    </a:prstGeom>
                    <a:noFill/>
                  </pic:spPr>
                </pic:pic>
              </a:graphicData>
            </a:graphic>
          </wp:inline>
        </w:drawing>
      </w:r>
    </w:p>
    <w:p w14:paraId="1CBBCF3E" w14:textId="77777777" w:rsidR="00561763" w:rsidRDefault="00561763" w:rsidP="00DB65D9">
      <w:pPr>
        <w:jc w:val="both"/>
        <w:rPr>
          <w:rFonts w:ascii="Arial" w:hAnsi="Arial" w:cs="Arial"/>
          <w:sz w:val="20"/>
          <w:szCs w:val="20"/>
        </w:rPr>
      </w:pPr>
      <w:r>
        <w:rPr>
          <w:rFonts w:ascii="Arial" w:hAnsi="Arial" w:cs="Arial"/>
          <w:sz w:val="20"/>
          <w:szCs w:val="20"/>
        </w:rPr>
        <w:t>V zvezi z obsegom so relevantne naslednje zaporedne številke informativnega obrazca za obračun</w:t>
      </w:r>
      <w:r w:rsidR="000F06CD">
        <w:rPr>
          <w:rFonts w:ascii="Arial" w:hAnsi="Arial" w:cs="Arial"/>
          <w:sz w:val="20"/>
          <w:szCs w:val="20"/>
        </w:rPr>
        <w:t>, ki se nanašajo na splošne podatke o skupini in uporabi pravil za pripravo konsolidiranih računovodskih izkazov</w:t>
      </w:r>
      <w:r>
        <w:rPr>
          <w:rFonts w:ascii="Arial" w:hAnsi="Arial" w:cs="Arial"/>
          <w:sz w:val="20"/>
          <w:szCs w:val="20"/>
        </w:rPr>
        <w:t>:</w:t>
      </w:r>
    </w:p>
    <w:tbl>
      <w:tblPr>
        <w:tblStyle w:val="Tabelamrea"/>
        <w:tblW w:w="9173" w:type="dxa"/>
        <w:tblLook w:val="04A0" w:firstRow="1" w:lastRow="0" w:firstColumn="1" w:lastColumn="0" w:noHBand="0" w:noVBand="1"/>
      </w:tblPr>
      <w:tblGrid>
        <w:gridCol w:w="881"/>
        <w:gridCol w:w="2944"/>
        <w:gridCol w:w="5348"/>
      </w:tblGrid>
      <w:tr w:rsidR="009A4379" w:rsidRPr="00D76E23" w14:paraId="43068FAE" w14:textId="77777777" w:rsidTr="00730D4D">
        <w:trPr>
          <w:trHeight w:val="599"/>
        </w:trPr>
        <w:tc>
          <w:tcPr>
            <w:tcW w:w="881" w:type="dxa"/>
            <w:noWrap/>
            <w:hideMark/>
          </w:tcPr>
          <w:p w14:paraId="6C0A369E" w14:textId="77777777" w:rsidR="009A4379" w:rsidRPr="00D76E23" w:rsidRDefault="009A4379" w:rsidP="009A4379">
            <w:pPr>
              <w:jc w:val="both"/>
              <w:rPr>
                <w:rFonts w:ascii="Arial" w:hAnsi="Arial" w:cs="Arial"/>
                <w:b/>
                <w:bCs/>
                <w:sz w:val="18"/>
                <w:szCs w:val="18"/>
              </w:rPr>
            </w:pPr>
            <w:r w:rsidRPr="00D76E23">
              <w:rPr>
                <w:rFonts w:ascii="Arial" w:hAnsi="Arial" w:cs="Arial"/>
                <w:b/>
                <w:bCs/>
                <w:sz w:val="18"/>
                <w:szCs w:val="18"/>
              </w:rPr>
              <w:t>1.</w:t>
            </w:r>
          </w:p>
        </w:tc>
        <w:tc>
          <w:tcPr>
            <w:tcW w:w="2944" w:type="dxa"/>
            <w:noWrap/>
            <w:hideMark/>
          </w:tcPr>
          <w:p w14:paraId="5EDE34F9" w14:textId="77777777" w:rsidR="009A4379" w:rsidRPr="00D76E23" w:rsidRDefault="009A4379" w:rsidP="009A4379">
            <w:pPr>
              <w:jc w:val="both"/>
              <w:rPr>
                <w:rFonts w:ascii="Arial" w:hAnsi="Arial" w:cs="Arial"/>
                <w:b/>
                <w:bCs/>
                <w:sz w:val="18"/>
                <w:szCs w:val="18"/>
              </w:rPr>
            </w:pPr>
            <w:r w:rsidRPr="00D76E23">
              <w:rPr>
                <w:rFonts w:ascii="Arial" w:hAnsi="Arial" w:cs="Arial"/>
                <w:b/>
                <w:bCs/>
                <w:sz w:val="18"/>
                <w:szCs w:val="18"/>
              </w:rPr>
              <w:t>MEDNARODNA SKUPINA PODJETIJ - INFORMACIJE</w:t>
            </w:r>
          </w:p>
        </w:tc>
        <w:tc>
          <w:tcPr>
            <w:tcW w:w="5348" w:type="dxa"/>
            <w:noWrap/>
            <w:hideMark/>
          </w:tcPr>
          <w:p w14:paraId="0DA30BC0" w14:textId="77777777" w:rsidR="009A4379" w:rsidRPr="00D76E23" w:rsidRDefault="009A4379" w:rsidP="009A4379">
            <w:pPr>
              <w:jc w:val="both"/>
              <w:rPr>
                <w:rFonts w:ascii="Arial" w:hAnsi="Arial" w:cs="Arial"/>
                <w:sz w:val="18"/>
                <w:szCs w:val="18"/>
              </w:rPr>
            </w:pPr>
          </w:p>
        </w:tc>
      </w:tr>
      <w:tr w:rsidR="009A4379" w:rsidRPr="00D76E23" w14:paraId="21E8DE4A" w14:textId="77777777" w:rsidTr="00730D4D">
        <w:trPr>
          <w:trHeight w:val="409"/>
        </w:trPr>
        <w:tc>
          <w:tcPr>
            <w:tcW w:w="881" w:type="dxa"/>
            <w:noWrap/>
            <w:hideMark/>
          </w:tcPr>
          <w:p w14:paraId="6DC2D243" w14:textId="77777777" w:rsidR="009A4379" w:rsidRPr="00D76E23" w:rsidRDefault="009A4379" w:rsidP="009A4379">
            <w:pPr>
              <w:jc w:val="both"/>
              <w:rPr>
                <w:rFonts w:ascii="Arial" w:hAnsi="Arial" w:cs="Arial"/>
                <w:b/>
                <w:bCs/>
                <w:sz w:val="18"/>
                <w:szCs w:val="18"/>
              </w:rPr>
            </w:pPr>
            <w:r w:rsidRPr="00D76E23">
              <w:rPr>
                <w:rFonts w:ascii="Arial" w:hAnsi="Arial" w:cs="Arial"/>
                <w:b/>
                <w:bCs/>
                <w:sz w:val="18"/>
                <w:szCs w:val="18"/>
              </w:rPr>
              <w:t>1.1.</w:t>
            </w:r>
          </w:p>
        </w:tc>
        <w:tc>
          <w:tcPr>
            <w:tcW w:w="2944" w:type="dxa"/>
            <w:noWrap/>
            <w:hideMark/>
          </w:tcPr>
          <w:p w14:paraId="66093C30" w14:textId="77777777" w:rsidR="009A4379" w:rsidRPr="00D76E23" w:rsidRDefault="009A4379" w:rsidP="009A4379">
            <w:pPr>
              <w:jc w:val="both"/>
              <w:rPr>
                <w:rFonts w:ascii="Arial" w:hAnsi="Arial" w:cs="Arial"/>
                <w:b/>
                <w:bCs/>
                <w:sz w:val="18"/>
                <w:szCs w:val="18"/>
              </w:rPr>
            </w:pPr>
            <w:r w:rsidRPr="00D76E23">
              <w:rPr>
                <w:rFonts w:ascii="Arial" w:hAnsi="Arial" w:cs="Arial"/>
                <w:b/>
                <w:bCs/>
                <w:sz w:val="18"/>
                <w:szCs w:val="18"/>
              </w:rPr>
              <w:t xml:space="preserve">Identifikacijski podatki </w:t>
            </w:r>
            <w:proofErr w:type="spellStart"/>
            <w:r w:rsidRPr="00D76E23">
              <w:rPr>
                <w:rFonts w:ascii="Arial" w:hAnsi="Arial" w:cs="Arial"/>
                <w:b/>
                <w:bCs/>
                <w:sz w:val="18"/>
                <w:szCs w:val="18"/>
              </w:rPr>
              <w:t>vložniškega</w:t>
            </w:r>
            <w:proofErr w:type="spellEnd"/>
            <w:r w:rsidRPr="00D76E23">
              <w:rPr>
                <w:rFonts w:ascii="Arial" w:hAnsi="Arial" w:cs="Arial"/>
                <w:b/>
                <w:bCs/>
                <w:sz w:val="18"/>
                <w:szCs w:val="18"/>
              </w:rPr>
              <w:t xml:space="preserve"> subjekta v sestavi</w:t>
            </w:r>
          </w:p>
        </w:tc>
        <w:tc>
          <w:tcPr>
            <w:tcW w:w="5348" w:type="dxa"/>
            <w:noWrap/>
            <w:hideMark/>
          </w:tcPr>
          <w:p w14:paraId="0B56F45A"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 </w:t>
            </w:r>
          </w:p>
        </w:tc>
      </w:tr>
      <w:tr w:rsidR="009A4379" w:rsidRPr="00D76E23" w14:paraId="3718CD6F" w14:textId="77777777" w:rsidTr="00730D4D">
        <w:trPr>
          <w:trHeight w:val="559"/>
        </w:trPr>
        <w:tc>
          <w:tcPr>
            <w:tcW w:w="881" w:type="dxa"/>
            <w:noWrap/>
            <w:hideMark/>
          </w:tcPr>
          <w:p w14:paraId="7DA47C32"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1.1.1.</w:t>
            </w:r>
          </w:p>
        </w:tc>
        <w:tc>
          <w:tcPr>
            <w:tcW w:w="2944" w:type="dxa"/>
            <w:noWrap/>
            <w:hideMark/>
          </w:tcPr>
          <w:p w14:paraId="2A3D76A9"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 xml:space="preserve">Krovni matični subjekt je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v sestavi</w:t>
            </w:r>
          </w:p>
        </w:tc>
        <w:tc>
          <w:tcPr>
            <w:tcW w:w="5348" w:type="dxa"/>
            <w:hideMark/>
          </w:tcPr>
          <w:p w14:paraId="12FE0BD6" w14:textId="16AC87EA" w:rsidR="009A4379" w:rsidRPr="00D76E23" w:rsidRDefault="009A4379" w:rsidP="006537D4">
            <w:pPr>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v sestavi je tisti, ki vlaga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w:t>
            </w:r>
            <w:r w:rsidR="00FA18EE">
              <w:rPr>
                <w:rFonts w:ascii="Arial" w:hAnsi="Arial" w:cs="Arial"/>
                <w:sz w:val="18"/>
                <w:szCs w:val="18"/>
              </w:rPr>
              <w:t xml:space="preserve">informativni </w:t>
            </w:r>
            <w:r w:rsidR="008F6A83">
              <w:rPr>
                <w:rFonts w:ascii="Arial" w:hAnsi="Arial" w:cs="Arial"/>
                <w:sz w:val="18"/>
                <w:szCs w:val="18"/>
              </w:rPr>
              <w:t>obrazec</w:t>
            </w:r>
            <w:r w:rsidRPr="00D76E23">
              <w:rPr>
                <w:rFonts w:ascii="Arial" w:hAnsi="Arial" w:cs="Arial"/>
                <w:sz w:val="18"/>
                <w:szCs w:val="18"/>
              </w:rPr>
              <w:t xml:space="preserve">. Če več subjektov v sestavi vlaga </w:t>
            </w:r>
            <w:r w:rsidR="006537D4">
              <w:rPr>
                <w:rFonts w:ascii="Arial" w:hAnsi="Arial" w:cs="Arial"/>
                <w:sz w:val="18"/>
                <w:szCs w:val="18"/>
              </w:rPr>
              <w:t>obrazec</w:t>
            </w:r>
            <w:r w:rsidRPr="00D76E23">
              <w:rPr>
                <w:rFonts w:ascii="Arial" w:hAnsi="Arial" w:cs="Arial"/>
                <w:sz w:val="18"/>
                <w:szCs w:val="18"/>
              </w:rPr>
              <w:t>, vsak od njih vloži ločen</w:t>
            </w:r>
            <w:r w:rsidR="006537D4">
              <w:rPr>
                <w:rFonts w:ascii="Arial" w:hAnsi="Arial" w:cs="Arial"/>
                <w:sz w:val="18"/>
                <w:szCs w:val="18"/>
              </w:rPr>
              <w:t xml:space="preserve"> </w:t>
            </w:r>
            <w:r w:rsidR="00FA18EE">
              <w:rPr>
                <w:rFonts w:ascii="Arial" w:hAnsi="Arial" w:cs="Arial"/>
                <w:sz w:val="18"/>
                <w:szCs w:val="18"/>
              </w:rPr>
              <w:t xml:space="preserve">informativni </w:t>
            </w:r>
            <w:r w:rsidR="006537D4">
              <w:rPr>
                <w:rFonts w:ascii="Arial" w:hAnsi="Arial" w:cs="Arial"/>
                <w:sz w:val="18"/>
                <w:szCs w:val="18"/>
              </w:rPr>
              <w:t>obrazec.</w:t>
            </w:r>
          </w:p>
        </w:tc>
      </w:tr>
      <w:tr w:rsidR="009A4379" w:rsidRPr="00D76E23" w14:paraId="24C682CE" w14:textId="77777777" w:rsidTr="00730D4D">
        <w:trPr>
          <w:trHeight w:val="900"/>
        </w:trPr>
        <w:tc>
          <w:tcPr>
            <w:tcW w:w="881" w:type="dxa"/>
            <w:noWrap/>
            <w:hideMark/>
          </w:tcPr>
          <w:p w14:paraId="4D8DFA1C"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1.1.2.</w:t>
            </w:r>
          </w:p>
        </w:tc>
        <w:tc>
          <w:tcPr>
            <w:tcW w:w="2944" w:type="dxa"/>
            <w:noWrap/>
            <w:hideMark/>
          </w:tcPr>
          <w:p w14:paraId="5AC0D565"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 xml:space="preserve">Naziv </w:t>
            </w:r>
            <w:proofErr w:type="spellStart"/>
            <w:r w:rsidRPr="00D76E23">
              <w:rPr>
                <w:rFonts w:ascii="Arial" w:hAnsi="Arial" w:cs="Arial"/>
                <w:sz w:val="18"/>
                <w:szCs w:val="18"/>
              </w:rPr>
              <w:t>vložniškega</w:t>
            </w:r>
            <w:proofErr w:type="spellEnd"/>
            <w:r w:rsidRPr="00D76E23">
              <w:rPr>
                <w:rFonts w:ascii="Arial" w:hAnsi="Arial" w:cs="Arial"/>
                <w:sz w:val="18"/>
                <w:szCs w:val="18"/>
              </w:rPr>
              <w:t xml:space="preserve"> subjekta v sestavi</w:t>
            </w:r>
          </w:p>
        </w:tc>
        <w:tc>
          <w:tcPr>
            <w:tcW w:w="5348" w:type="dxa"/>
            <w:hideMark/>
          </w:tcPr>
          <w:p w14:paraId="32C759A3" w14:textId="14AD6BB7" w:rsidR="009A4379" w:rsidRPr="00D76E23" w:rsidRDefault="009A4379" w:rsidP="006537D4">
            <w:pPr>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v sestavi je tisti, ki vlaga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w:t>
            </w:r>
            <w:r w:rsidR="00FA18EE">
              <w:rPr>
                <w:rFonts w:ascii="Arial" w:hAnsi="Arial" w:cs="Arial"/>
                <w:sz w:val="18"/>
                <w:szCs w:val="18"/>
              </w:rPr>
              <w:t xml:space="preserve"> informativni </w:t>
            </w:r>
            <w:r w:rsidR="006537D4">
              <w:rPr>
                <w:rFonts w:ascii="Arial" w:hAnsi="Arial" w:cs="Arial"/>
                <w:sz w:val="18"/>
                <w:szCs w:val="18"/>
              </w:rPr>
              <w:t>obrazec</w:t>
            </w:r>
            <w:r w:rsidRPr="00D76E23">
              <w:rPr>
                <w:rFonts w:ascii="Arial" w:hAnsi="Arial" w:cs="Arial"/>
                <w:sz w:val="18"/>
                <w:szCs w:val="18"/>
              </w:rPr>
              <w:t xml:space="preserve">. Če več subjektov v sestavi vlaga </w:t>
            </w:r>
            <w:r w:rsidR="00FA18EE">
              <w:rPr>
                <w:rFonts w:ascii="Arial" w:hAnsi="Arial" w:cs="Arial"/>
                <w:sz w:val="18"/>
                <w:szCs w:val="18"/>
              </w:rPr>
              <w:t xml:space="preserve">informativni </w:t>
            </w:r>
            <w:r w:rsidR="006537D4">
              <w:rPr>
                <w:rFonts w:ascii="Arial" w:hAnsi="Arial" w:cs="Arial"/>
                <w:sz w:val="18"/>
                <w:szCs w:val="18"/>
              </w:rPr>
              <w:t>obrazec</w:t>
            </w:r>
            <w:r w:rsidRPr="00D76E23">
              <w:rPr>
                <w:rFonts w:ascii="Arial" w:hAnsi="Arial" w:cs="Arial"/>
                <w:sz w:val="18"/>
                <w:szCs w:val="18"/>
              </w:rPr>
              <w:t xml:space="preserve">, vsak od njih vloži ločen </w:t>
            </w:r>
            <w:r w:rsidR="00FA18EE">
              <w:rPr>
                <w:rFonts w:ascii="Arial" w:hAnsi="Arial" w:cs="Arial"/>
                <w:sz w:val="18"/>
                <w:szCs w:val="18"/>
              </w:rPr>
              <w:t xml:space="preserve">informativni </w:t>
            </w:r>
            <w:r w:rsidR="006537D4">
              <w:rPr>
                <w:rFonts w:ascii="Arial" w:hAnsi="Arial" w:cs="Arial"/>
                <w:sz w:val="18"/>
                <w:szCs w:val="18"/>
              </w:rPr>
              <w:t>obrazec</w:t>
            </w:r>
            <w:r w:rsidRPr="00D76E23">
              <w:rPr>
                <w:rFonts w:ascii="Arial" w:hAnsi="Arial" w:cs="Arial"/>
                <w:sz w:val="18"/>
                <w:szCs w:val="18"/>
              </w:rPr>
              <w:t xml:space="preserve">. </w:t>
            </w:r>
            <w:r w:rsidRPr="00D76E23">
              <w:rPr>
                <w:rFonts w:ascii="Arial" w:hAnsi="Arial" w:cs="Arial"/>
                <w:sz w:val="18"/>
                <w:szCs w:val="18"/>
              </w:rPr>
              <w:br/>
              <w:t xml:space="preserve">Polje se ne izpolnjuje, če je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w:t>
            </w:r>
            <w:r w:rsidR="008F6A83" w:rsidRPr="00D76E23">
              <w:rPr>
                <w:rFonts w:ascii="Arial" w:hAnsi="Arial" w:cs="Arial"/>
                <w:sz w:val="18"/>
                <w:szCs w:val="18"/>
              </w:rPr>
              <w:t>subjekt</w:t>
            </w:r>
            <w:r w:rsidRPr="00D76E23">
              <w:rPr>
                <w:rFonts w:ascii="Arial" w:hAnsi="Arial" w:cs="Arial"/>
                <w:sz w:val="18"/>
                <w:szCs w:val="18"/>
              </w:rPr>
              <w:t xml:space="preserve"> v sestavi Krovni Matični Subjekt.</w:t>
            </w:r>
          </w:p>
        </w:tc>
      </w:tr>
      <w:tr w:rsidR="009A4379" w:rsidRPr="00D76E23" w14:paraId="14BAA27F" w14:textId="77777777" w:rsidTr="00730D4D">
        <w:trPr>
          <w:trHeight w:val="1290"/>
        </w:trPr>
        <w:tc>
          <w:tcPr>
            <w:tcW w:w="881" w:type="dxa"/>
            <w:noWrap/>
            <w:hideMark/>
          </w:tcPr>
          <w:p w14:paraId="6E94E257"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1.1.3.</w:t>
            </w:r>
          </w:p>
        </w:tc>
        <w:tc>
          <w:tcPr>
            <w:tcW w:w="2944" w:type="dxa"/>
            <w:noWrap/>
            <w:hideMark/>
          </w:tcPr>
          <w:p w14:paraId="60BC04B6"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Davčna številka</w:t>
            </w:r>
          </w:p>
        </w:tc>
        <w:tc>
          <w:tcPr>
            <w:tcW w:w="5348" w:type="dxa"/>
            <w:hideMark/>
          </w:tcPr>
          <w:p w14:paraId="280DA38B" w14:textId="77777777" w:rsidR="00101D1E" w:rsidRDefault="009A4379" w:rsidP="009A4379">
            <w:pPr>
              <w:jc w:val="both"/>
              <w:rPr>
                <w:rFonts w:ascii="Arial" w:hAnsi="Arial" w:cs="Arial"/>
                <w:sz w:val="18"/>
                <w:szCs w:val="18"/>
              </w:rPr>
            </w:pPr>
            <w:r w:rsidRPr="00D76E23">
              <w:rPr>
                <w:rFonts w:ascii="Arial" w:hAnsi="Arial" w:cs="Arial"/>
                <w:sz w:val="18"/>
                <w:szCs w:val="18"/>
              </w:rPr>
              <w:t xml:space="preserve">Polje se ne izpolnjuje, če je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w:t>
            </w:r>
            <w:r w:rsidR="00B5167D" w:rsidRPr="00D76E23">
              <w:rPr>
                <w:rFonts w:ascii="Arial" w:hAnsi="Arial" w:cs="Arial"/>
                <w:sz w:val="18"/>
                <w:szCs w:val="18"/>
              </w:rPr>
              <w:t>subjekt</w:t>
            </w:r>
            <w:r w:rsidRPr="00D76E23">
              <w:rPr>
                <w:rFonts w:ascii="Arial" w:hAnsi="Arial" w:cs="Arial"/>
                <w:sz w:val="18"/>
                <w:szCs w:val="18"/>
              </w:rPr>
              <w:t xml:space="preserve"> v sestavi Krovni Matični Subjekt.</w:t>
            </w:r>
          </w:p>
          <w:p w14:paraId="2E47D4C7" w14:textId="77777777" w:rsidR="009A4379" w:rsidRPr="00D76E23" w:rsidRDefault="009A4379" w:rsidP="009A4379">
            <w:pPr>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v sestavi identificira svojo davčno številko, ki se uporablja za namene zajetih davkov v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jurisdikciji, ali, če DŠ ni na voljo, funkcijsko enakovredno številko, kot je registracijska številka/številka podjetja/poslovne številke</w:t>
            </w:r>
          </w:p>
        </w:tc>
      </w:tr>
      <w:tr w:rsidR="009A4379" w:rsidRPr="00D76E23" w14:paraId="52E8A67C" w14:textId="77777777" w:rsidTr="00730D4D">
        <w:trPr>
          <w:trHeight w:val="1068"/>
        </w:trPr>
        <w:tc>
          <w:tcPr>
            <w:tcW w:w="881" w:type="dxa"/>
            <w:noWrap/>
            <w:hideMark/>
          </w:tcPr>
          <w:p w14:paraId="56F8B18F"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1.1.4.</w:t>
            </w:r>
          </w:p>
        </w:tc>
        <w:tc>
          <w:tcPr>
            <w:tcW w:w="2944" w:type="dxa"/>
            <w:noWrap/>
            <w:hideMark/>
          </w:tcPr>
          <w:p w14:paraId="1DC0A979"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Vloga</w:t>
            </w:r>
          </w:p>
        </w:tc>
        <w:tc>
          <w:tcPr>
            <w:tcW w:w="5348" w:type="dxa"/>
            <w:hideMark/>
          </w:tcPr>
          <w:p w14:paraId="0332375D" w14:textId="77777777" w:rsidR="00101D1E" w:rsidRDefault="009A4379" w:rsidP="00730D4D">
            <w:pPr>
              <w:spacing w:line="259" w:lineRule="auto"/>
              <w:jc w:val="both"/>
              <w:rPr>
                <w:rFonts w:ascii="Arial" w:hAnsi="Arial" w:cs="Arial"/>
                <w:sz w:val="18"/>
                <w:szCs w:val="18"/>
              </w:rPr>
            </w:pPr>
            <w:r w:rsidRPr="00D76E23">
              <w:rPr>
                <w:rFonts w:ascii="Arial" w:hAnsi="Arial" w:cs="Arial"/>
                <w:sz w:val="18"/>
                <w:szCs w:val="18"/>
              </w:rPr>
              <w:t xml:space="preserve">Polje se ne izpolnjuje, če je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v sestavi Krovni Matični subjekt.</w:t>
            </w:r>
            <w:r w:rsidR="00101D1E">
              <w:rPr>
                <w:rFonts w:ascii="Arial" w:hAnsi="Arial" w:cs="Arial"/>
                <w:sz w:val="18"/>
                <w:szCs w:val="18"/>
              </w:rPr>
              <w:t xml:space="preserve"> </w:t>
            </w:r>
          </w:p>
          <w:p w14:paraId="3882AB4D" w14:textId="77777777" w:rsidR="006537D4" w:rsidRDefault="009A4379" w:rsidP="00730D4D">
            <w:pPr>
              <w:spacing w:line="259" w:lineRule="auto"/>
              <w:jc w:val="both"/>
              <w:rPr>
                <w:rFonts w:ascii="Arial" w:hAnsi="Arial" w:cs="Arial"/>
                <w:sz w:val="18"/>
                <w:szCs w:val="18"/>
              </w:rPr>
            </w:pPr>
            <w:r w:rsidRPr="00D76E23">
              <w:rPr>
                <w:rFonts w:ascii="Arial" w:hAnsi="Arial" w:cs="Arial"/>
                <w:sz w:val="18"/>
                <w:szCs w:val="18"/>
              </w:rPr>
              <w:t>Izbere se ena od možnosti:</w:t>
            </w:r>
            <w:r w:rsidR="006537D4">
              <w:rPr>
                <w:rFonts w:ascii="Arial" w:hAnsi="Arial" w:cs="Arial"/>
                <w:sz w:val="18"/>
                <w:szCs w:val="18"/>
              </w:rPr>
              <w:t xml:space="preserve">  </w:t>
            </w:r>
          </w:p>
          <w:p w14:paraId="07F26B84" w14:textId="7D0F370D" w:rsidR="00730D4D" w:rsidRPr="00D76E23" w:rsidRDefault="009A4379" w:rsidP="00730D4D">
            <w:pPr>
              <w:spacing w:line="259" w:lineRule="auto"/>
              <w:jc w:val="both"/>
              <w:rPr>
                <w:rFonts w:ascii="Arial" w:hAnsi="Arial" w:cs="Arial"/>
                <w:sz w:val="18"/>
                <w:szCs w:val="18"/>
              </w:rPr>
            </w:pPr>
            <w:r w:rsidRPr="00D76E23">
              <w:rPr>
                <w:rFonts w:ascii="Arial" w:hAnsi="Arial" w:cs="Arial"/>
                <w:sz w:val="18"/>
                <w:szCs w:val="18"/>
              </w:rPr>
              <w:t xml:space="preserve">•Imenovani subjekt, ki predloži podatke </w:t>
            </w:r>
            <w:r w:rsidRPr="00D76E23">
              <w:rPr>
                <w:rFonts w:ascii="Arial" w:hAnsi="Arial" w:cs="Arial"/>
                <w:sz w:val="18"/>
                <w:szCs w:val="18"/>
              </w:rPr>
              <w:br/>
              <w:t xml:space="preserve">• </w:t>
            </w:r>
            <w:r w:rsidR="006537D4">
              <w:rPr>
                <w:rFonts w:ascii="Arial" w:hAnsi="Arial" w:cs="Arial"/>
                <w:sz w:val="18"/>
                <w:szCs w:val="18"/>
              </w:rPr>
              <w:t>I</w:t>
            </w:r>
            <w:r w:rsidRPr="00D76E23">
              <w:rPr>
                <w:rFonts w:ascii="Arial" w:hAnsi="Arial" w:cs="Arial"/>
                <w:sz w:val="18"/>
                <w:szCs w:val="18"/>
              </w:rPr>
              <w:t>menovani lokalni subjekt</w:t>
            </w:r>
          </w:p>
          <w:p w14:paraId="7A135674"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 Subjekt v sestavi</w:t>
            </w:r>
          </w:p>
        </w:tc>
      </w:tr>
      <w:tr w:rsidR="009A4379" w:rsidRPr="00D76E23" w14:paraId="0293EB02" w14:textId="77777777" w:rsidTr="00730D4D">
        <w:trPr>
          <w:trHeight w:val="707"/>
        </w:trPr>
        <w:tc>
          <w:tcPr>
            <w:tcW w:w="881" w:type="dxa"/>
            <w:noWrap/>
            <w:hideMark/>
          </w:tcPr>
          <w:p w14:paraId="4247D71C"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1.1.5.</w:t>
            </w:r>
          </w:p>
        </w:tc>
        <w:tc>
          <w:tcPr>
            <w:tcW w:w="2944" w:type="dxa"/>
            <w:noWrap/>
            <w:hideMark/>
          </w:tcPr>
          <w:p w14:paraId="591434DF"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 xml:space="preserve">Jurisdikcija, v kateri je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v sestavi </w:t>
            </w:r>
          </w:p>
        </w:tc>
        <w:tc>
          <w:tcPr>
            <w:tcW w:w="5348" w:type="dxa"/>
            <w:hideMark/>
          </w:tcPr>
          <w:p w14:paraId="773D37D5"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 xml:space="preserve">Polje se ne izpolnjuje, če je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Krovni Matični Subjekt.</w:t>
            </w:r>
            <w:r w:rsidRPr="00D76E23">
              <w:rPr>
                <w:rFonts w:ascii="Arial" w:hAnsi="Arial" w:cs="Arial"/>
                <w:sz w:val="18"/>
                <w:szCs w:val="18"/>
              </w:rPr>
              <w:br/>
              <w:t xml:space="preserve">Vnese se </w:t>
            </w:r>
            <w:proofErr w:type="spellStart"/>
            <w:r w:rsidRPr="00D76E23">
              <w:rPr>
                <w:rFonts w:ascii="Arial" w:hAnsi="Arial" w:cs="Arial"/>
                <w:sz w:val="18"/>
                <w:szCs w:val="18"/>
              </w:rPr>
              <w:t>dvoznakovno</w:t>
            </w:r>
            <w:proofErr w:type="spellEnd"/>
            <w:r w:rsidRPr="00D76E23">
              <w:rPr>
                <w:rFonts w:ascii="Arial" w:hAnsi="Arial" w:cs="Arial"/>
                <w:sz w:val="18"/>
                <w:szCs w:val="18"/>
              </w:rPr>
              <w:t xml:space="preserve"> črkovno kodo države na podlagi standarda ISO 3166–1 </w:t>
            </w:r>
            <w:proofErr w:type="spellStart"/>
            <w:r w:rsidRPr="00D76E23">
              <w:rPr>
                <w:rFonts w:ascii="Arial" w:hAnsi="Arial" w:cs="Arial"/>
                <w:sz w:val="18"/>
                <w:szCs w:val="18"/>
              </w:rPr>
              <w:t>Alpha</w:t>
            </w:r>
            <w:proofErr w:type="spellEnd"/>
            <w:r w:rsidRPr="00D76E23">
              <w:rPr>
                <w:rFonts w:ascii="Arial" w:hAnsi="Arial" w:cs="Arial"/>
                <w:sz w:val="18"/>
                <w:szCs w:val="18"/>
              </w:rPr>
              <w:t xml:space="preserve"> 2 za jurisdikcijo, v kateri se nahaja.</w:t>
            </w:r>
          </w:p>
        </w:tc>
      </w:tr>
      <w:tr w:rsidR="009A4379" w:rsidRPr="00D76E23" w14:paraId="63191CAF" w14:textId="77777777" w:rsidTr="00730D4D">
        <w:trPr>
          <w:trHeight w:val="565"/>
        </w:trPr>
        <w:tc>
          <w:tcPr>
            <w:tcW w:w="881" w:type="dxa"/>
            <w:noWrap/>
            <w:hideMark/>
          </w:tcPr>
          <w:p w14:paraId="7FAB4C51"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lastRenderedPageBreak/>
              <w:t>1.1.6.</w:t>
            </w:r>
          </w:p>
        </w:tc>
        <w:tc>
          <w:tcPr>
            <w:tcW w:w="2944" w:type="dxa"/>
            <w:noWrap/>
            <w:hideMark/>
          </w:tcPr>
          <w:p w14:paraId="699BC027" w14:textId="77777777" w:rsidR="009A4379" w:rsidRPr="00D76E23" w:rsidRDefault="009A4379" w:rsidP="009A4379">
            <w:pPr>
              <w:jc w:val="both"/>
              <w:rPr>
                <w:rFonts w:ascii="Arial" w:hAnsi="Arial" w:cs="Arial"/>
                <w:sz w:val="18"/>
                <w:szCs w:val="18"/>
              </w:rPr>
            </w:pPr>
            <w:r w:rsidRPr="00D76E23">
              <w:rPr>
                <w:rFonts w:ascii="Arial" w:hAnsi="Arial" w:cs="Arial"/>
                <w:sz w:val="18"/>
                <w:szCs w:val="18"/>
              </w:rPr>
              <w:t>Jurisdikcije prejemnice Izmenjave informacij</w:t>
            </w:r>
          </w:p>
        </w:tc>
        <w:tc>
          <w:tcPr>
            <w:tcW w:w="5348" w:type="dxa"/>
            <w:hideMark/>
          </w:tcPr>
          <w:p w14:paraId="17278B56" w14:textId="77777777" w:rsidR="009A4379" w:rsidRPr="00D76E23" w:rsidRDefault="009A4379" w:rsidP="009A4379">
            <w:pPr>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mora identificirati jurisdikcije, v katerih je predvideno izpolnjevanje obveznosti Subjektov v sestavi prek izmenjave informacij v skladu s členom 8.1.2.</w:t>
            </w:r>
          </w:p>
        </w:tc>
      </w:tr>
      <w:tr w:rsidR="00730D4D" w:rsidRPr="00D76E23" w14:paraId="5AFA4F3B" w14:textId="77777777" w:rsidTr="00730D4D">
        <w:trPr>
          <w:trHeight w:val="300"/>
        </w:trPr>
        <w:tc>
          <w:tcPr>
            <w:tcW w:w="881" w:type="dxa"/>
            <w:noWrap/>
            <w:hideMark/>
          </w:tcPr>
          <w:p w14:paraId="556E597D" w14:textId="77777777" w:rsidR="00730D4D" w:rsidRPr="00730D4D" w:rsidRDefault="00730D4D" w:rsidP="00730D4D">
            <w:pPr>
              <w:rPr>
                <w:rFonts w:ascii="Arial" w:eastAsia="Times New Roman" w:hAnsi="Arial" w:cs="Arial"/>
                <w:b/>
                <w:bCs/>
                <w:color w:val="000000"/>
                <w:sz w:val="18"/>
                <w:szCs w:val="18"/>
                <w:lang w:eastAsia="sl-SI"/>
              </w:rPr>
            </w:pPr>
            <w:r w:rsidRPr="00730D4D">
              <w:rPr>
                <w:rFonts w:ascii="Arial" w:eastAsia="Times New Roman" w:hAnsi="Arial" w:cs="Arial"/>
                <w:b/>
                <w:bCs/>
                <w:color w:val="000000"/>
                <w:sz w:val="18"/>
                <w:szCs w:val="18"/>
                <w:lang w:eastAsia="sl-SI"/>
              </w:rPr>
              <w:t xml:space="preserve">1. 2. </w:t>
            </w:r>
          </w:p>
        </w:tc>
        <w:tc>
          <w:tcPr>
            <w:tcW w:w="2944" w:type="dxa"/>
            <w:noWrap/>
            <w:hideMark/>
          </w:tcPr>
          <w:p w14:paraId="056BEA2E" w14:textId="77777777" w:rsidR="00730D4D" w:rsidRPr="00730D4D" w:rsidRDefault="00730D4D" w:rsidP="00730D4D">
            <w:pPr>
              <w:rPr>
                <w:rFonts w:ascii="Arial" w:eastAsia="Times New Roman" w:hAnsi="Arial" w:cs="Arial"/>
                <w:b/>
                <w:bCs/>
                <w:color w:val="000000"/>
                <w:sz w:val="18"/>
                <w:szCs w:val="18"/>
                <w:lang w:eastAsia="sl-SI"/>
              </w:rPr>
            </w:pPr>
            <w:r w:rsidRPr="00730D4D">
              <w:rPr>
                <w:rFonts w:ascii="Arial" w:eastAsia="Times New Roman" w:hAnsi="Arial" w:cs="Arial"/>
                <w:b/>
                <w:bCs/>
                <w:color w:val="000000"/>
                <w:sz w:val="18"/>
                <w:szCs w:val="18"/>
                <w:lang w:eastAsia="sl-SI"/>
              </w:rPr>
              <w:t>Mednarodna Skupina podjetij - Splošne informacije</w:t>
            </w:r>
          </w:p>
        </w:tc>
        <w:tc>
          <w:tcPr>
            <w:tcW w:w="5348" w:type="dxa"/>
            <w:noWrap/>
            <w:hideMark/>
          </w:tcPr>
          <w:p w14:paraId="18038B0E"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 </w:t>
            </w:r>
          </w:p>
        </w:tc>
      </w:tr>
      <w:tr w:rsidR="00730D4D" w:rsidRPr="00D76E23" w14:paraId="19DC2858" w14:textId="77777777" w:rsidTr="00730D4D">
        <w:trPr>
          <w:trHeight w:val="300"/>
        </w:trPr>
        <w:tc>
          <w:tcPr>
            <w:tcW w:w="881" w:type="dxa"/>
            <w:noWrap/>
            <w:hideMark/>
          </w:tcPr>
          <w:p w14:paraId="4FBE7EA6" w14:textId="77777777" w:rsidR="00730D4D" w:rsidRPr="00730D4D" w:rsidRDefault="00730D4D" w:rsidP="00730D4D">
            <w:pPr>
              <w:rPr>
                <w:rFonts w:ascii="Arial" w:eastAsia="Times New Roman" w:hAnsi="Arial" w:cs="Arial"/>
                <w:b/>
                <w:bCs/>
                <w:color w:val="000000"/>
                <w:sz w:val="18"/>
                <w:szCs w:val="18"/>
                <w:lang w:eastAsia="sl-SI"/>
              </w:rPr>
            </w:pPr>
            <w:r w:rsidRPr="00730D4D">
              <w:rPr>
                <w:rFonts w:ascii="Arial" w:eastAsia="Times New Roman" w:hAnsi="Arial" w:cs="Arial"/>
                <w:b/>
                <w:bCs/>
                <w:color w:val="000000"/>
                <w:sz w:val="18"/>
                <w:szCs w:val="18"/>
                <w:lang w:eastAsia="sl-SI"/>
              </w:rPr>
              <w:t>1.2.1.</w:t>
            </w:r>
          </w:p>
        </w:tc>
        <w:tc>
          <w:tcPr>
            <w:tcW w:w="2944" w:type="dxa"/>
            <w:noWrap/>
            <w:hideMark/>
          </w:tcPr>
          <w:p w14:paraId="5A0D7594" w14:textId="77777777" w:rsidR="00730D4D" w:rsidRPr="00730D4D" w:rsidRDefault="00730D4D" w:rsidP="00730D4D">
            <w:pPr>
              <w:rPr>
                <w:rFonts w:ascii="Arial" w:eastAsia="Times New Roman" w:hAnsi="Arial" w:cs="Arial"/>
                <w:b/>
                <w:bCs/>
                <w:color w:val="000000"/>
                <w:sz w:val="18"/>
                <w:szCs w:val="18"/>
                <w:lang w:eastAsia="sl-SI"/>
              </w:rPr>
            </w:pPr>
            <w:r w:rsidRPr="00730D4D">
              <w:rPr>
                <w:rFonts w:ascii="Arial" w:eastAsia="Times New Roman" w:hAnsi="Arial" w:cs="Arial"/>
                <w:b/>
                <w:bCs/>
                <w:color w:val="000000"/>
                <w:sz w:val="18"/>
                <w:szCs w:val="18"/>
                <w:lang w:eastAsia="sl-SI"/>
              </w:rPr>
              <w:t>Mednarodna Skupina podjetij in Poročevalsko poslovno leto</w:t>
            </w:r>
          </w:p>
        </w:tc>
        <w:tc>
          <w:tcPr>
            <w:tcW w:w="5348" w:type="dxa"/>
            <w:hideMark/>
          </w:tcPr>
          <w:p w14:paraId="51648F59"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 </w:t>
            </w:r>
          </w:p>
        </w:tc>
      </w:tr>
      <w:tr w:rsidR="00730D4D" w:rsidRPr="00D76E23" w14:paraId="340DC628" w14:textId="77777777" w:rsidTr="00730D4D">
        <w:trPr>
          <w:trHeight w:val="600"/>
        </w:trPr>
        <w:tc>
          <w:tcPr>
            <w:tcW w:w="881" w:type="dxa"/>
            <w:noWrap/>
            <w:hideMark/>
          </w:tcPr>
          <w:p w14:paraId="2E0477BC"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1.2.1.1.</w:t>
            </w:r>
          </w:p>
        </w:tc>
        <w:tc>
          <w:tcPr>
            <w:tcW w:w="2944" w:type="dxa"/>
            <w:noWrap/>
            <w:hideMark/>
          </w:tcPr>
          <w:p w14:paraId="7C7230E0"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 xml:space="preserve">Naziv mednarodne Skupine podjetij </w:t>
            </w:r>
          </w:p>
        </w:tc>
        <w:tc>
          <w:tcPr>
            <w:tcW w:w="5348" w:type="dxa"/>
            <w:hideMark/>
          </w:tcPr>
          <w:p w14:paraId="43C9E973" w14:textId="77777777" w:rsidR="00730D4D" w:rsidRPr="00730D4D" w:rsidRDefault="00730D4D" w:rsidP="00730D4D">
            <w:pPr>
              <w:rPr>
                <w:rFonts w:ascii="Arial" w:eastAsia="Times New Roman" w:hAnsi="Arial" w:cs="Arial"/>
                <w:color w:val="000000"/>
                <w:sz w:val="18"/>
                <w:szCs w:val="18"/>
                <w:lang w:eastAsia="sl-SI"/>
              </w:rPr>
            </w:pPr>
            <w:proofErr w:type="spellStart"/>
            <w:r w:rsidRPr="00730D4D">
              <w:rPr>
                <w:rFonts w:ascii="Arial" w:eastAsia="Times New Roman" w:hAnsi="Arial" w:cs="Arial"/>
                <w:color w:val="000000"/>
                <w:sz w:val="18"/>
                <w:szCs w:val="18"/>
                <w:lang w:eastAsia="sl-SI"/>
              </w:rPr>
              <w:t>Vložniški</w:t>
            </w:r>
            <w:proofErr w:type="spellEnd"/>
            <w:r w:rsidRPr="00730D4D">
              <w:rPr>
                <w:rFonts w:ascii="Arial" w:eastAsia="Times New Roman" w:hAnsi="Arial" w:cs="Arial"/>
                <w:color w:val="000000"/>
                <w:sz w:val="18"/>
                <w:szCs w:val="18"/>
                <w:lang w:eastAsia="sl-SI"/>
              </w:rPr>
              <w:t xml:space="preserve"> Subjekt v sestavi poroča naziv mednarodne Skupine podjetij, ki se na splošno uporablja v zvezi s pripravo konsolidiranih finančnih izkazov</w:t>
            </w:r>
            <w:r w:rsidR="005D0919">
              <w:rPr>
                <w:rFonts w:ascii="Arial" w:eastAsia="Times New Roman" w:hAnsi="Arial" w:cs="Arial"/>
                <w:color w:val="000000"/>
                <w:sz w:val="18"/>
                <w:szCs w:val="18"/>
                <w:lang w:eastAsia="sl-SI"/>
              </w:rPr>
              <w:t>.</w:t>
            </w:r>
          </w:p>
        </w:tc>
      </w:tr>
      <w:tr w:rsidR="00730D4D" w:rsidRPr="00D76E23" w14:paraId="1520CAAB" w14:textId="77777777" w:rsidTr="00730D4D">
        <w:trPr>
          <w:trHeight w:val="300"/>
        </w:trPr>
        <w:tc>
          <w:tcPr>
            <w:tcW w:w="881" w:type="dxa"/>
            <w:noWrap/>
            <w:hideMark/>
          </w:tcPr>
          <w:p w14:paraId="0F77BD28"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1.2.1.2.</w:t>
            </w:r>
          </w:p>
        </w:tc>
        <w:tc>
          <w:tcPr>
            <w:tcW w:w="2944" w:type="dxa"/>
            <w:noWrap/>
            <w:hideMark/>
          </w:tcPr>
          <w:p w14:paraId="7FA06C16"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Datum začetka poročevalskega obdobja</w:t>
            </w:r>
          </w:p>
        </w:tc>
        <w:tc>
          <w:tcPr>
            <w:tcW w:w="5348" w:type="dxa"/>
            <w:noWrap/>
            <w:hideMark/>
          </w:tcPr>
          <w:p w14:paraId="485F8FE9" w14:textId="62EFAA00" w:rsidR="00730D4D" w:rsidRPr="00730D4D" w:rsidRDefault="00730D4D" w:rsidP="00730D4D">
            <w:pPr>
              <w:rPr>
                <w:rFonts w:ascii="Arial" w:eastAsia="Times New Roman" w:hAnsi="Arial" w:cs="Arial"/>
                <w:color w:val="000000"/>
                <w:sz w:val="18"/>
                <w:szCs w:val="18"/>
                <w:lang w:eastAsia="sl-SI"/>
              </w:rPr>
            </w:pPr>
            <w:proofErr w:type="spellStart"/>
            <w:r w:rsidRPr="00730D4D">
              <w:rPr>
                <w:rFonts w:ascii="Arial" w:eastAsia="Times New Roman" w:hAnsi="Arial" w:cs="Arial"/>
                <w:color w:val="000000"/>
                <w:sz w:val="18"/>
                <w:szCs w:val="18"/>
                <w:lang w:eastAsia="sl-SI"/>
              </w:rPr>
              <w:t>Vložniški</w:t>
            </w:r>
            <w:proofErr w:type="spellEnd"/>
            <w:r w:rsidRPr="00730D4D">
              <w:rPr>
                <w:rFonts w:ascii="Arial" w:eastAsia="Times New Roman" w:hAnsi="Arial" w:cs="Arial"/>
                <w:color w:val="000000"/>
                <w:sz w:val="18"/>
                <w:szCs w:val="18"/>
                <w:lang w:eastAsia="sl-SI"/>
              </w:rPr>
              <w:t xml:space="preserve"> Subjekt v sestavi poroča začetni datum</w:t>
            </w:r>
            <w:r w:rsidR="006669B6">
              <w:rPr>
                <w:rFonts w:ascii="Arial" w:eastAsia="Times New Roman" w:hAnsi="Arial" w:cs="Arial"/>
                <w:color w:val="000000"/>
                <w:sz w:val="18"/>
                <w:szCs w:val="18"/>
                <w:lang w:eastAsia="sl-SI"/>
              </w:rPr>
              <w:t xml:space="preserve"> </w:t>
            </w:r>
            <w:r w:rsidRPr="00730D4D">
              <w:rPr>
                <w:rFonts w:ascii="Arial" w:eastAsia="Times New Roman" w:hAnsi="Arial" w:cs="Arial"/>
                <w:color w:val="000000"/>
                <w:sz w:val="18"/>
                <w:szCs w:val="18"/>
                <w:lang w:eastAsia="sl-SI"/>
              </w:rPr>
              <w:t>Poročevalskega fiskalnega leta</w:t>
            </w:r>
            <w:r w:rsidR="005D0919">
              <w:rPr>
                <w:rFonts w:ascii="Arial" w:eastAsia="Times New Roman" w:hAnsi="Arial" w:cs="Arial"/>
                <w:color w:val="000000"/>
                <w:sz w:val="18"/>
                <w:szCs w:val="18"/>
                <w:lang w:eastAsia="sl-SI"/>
              </w:rPr>
              <w:t>.</w:t>
            </w:r>
          </w:p>
        </w:tc>
      </w:tr>
      <w:tr w:rsidR="00730D4D" w:rsidRPr="00D76E23" w14:paraId="78345D64" w14:textId="77777777" w:rsidTr="00730D4D">
        <w:trPr>
          <w:trHeight w:val="300"/>
        </w:trPr>
        <w:tc>
          <w:tcPr>
            <w:tcW w:w="881" w:type="dxa"/>
            <w:noWrap/>
            <w:hideMark/>
          </w:tcPr>
          <w:p w14:paraId="260BC09D"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1.2.1.3.</w:t>
            </w:r>
          </w:p>
        </w:tc>
        <w:tc>
          <w:tcPr>
            <w:tcW w:w="2944" w:type="dxa"/>
            <w:noWrap/>
            <w:hideMark/>
          </w:tcPr>
          <w:p w14:paraId="2BE90D3F"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Končni datum poročevalskega obdobja</w:t>
            </w:r>
          </w:p>
        </w:tc>
        <w:tc>
          <w:tcPr>
            <w:tcW w:w="5348" w:type="dxa"/>
            <w:noWrap/>
            <w:hideMark/>
          </w:tcPr>
          <w:p w14:paraId="26ADE4EF" w14:textId="77777777" w:rsidR="00730D4D" w:rsidRPr="00730D4D" w:rsidRDefault="00730D4D" w:rsidP="00730D4D">
            <w:pPr>
              <w:rPr>
                <w:rFonts w:ascii="Arial" w:eastAsia="Times New Roman" w:hAnsi="Arial" w:cs="Arial"/>
                <w:color w:val="000000"/>
                <w:sz w:val="18"/>
                <w:szCs w:val="18"/>
                <w:lang w:eastAsia="sl-SI"/>
              </w:rPr>
            </w:pPr>
            <w:proofErr w:type="spellStart"/>
            <w:r w:rsidRPr="00730D4D">
              <w:rPr>
                <w:rFonts w:ascii="Arial" w:eastAsia="Times New Roman" w:hAnsi="Arial" w:cs="Arial"/>
                <w:color w:val="000000"/>
                <w:sz w:val="18"/>
                <w:szCs w:val="18"/>
                <w:lang w:eastAsia="sl-SI"/>
              </w:rPr>
              <w:t>Vložniški</w:t>
            </w:r>
            <w:proofErr w:type="spellEnd"/>
            <w:r w:rsidRPr="00730D4D">
              <w:rPr>
                <w:rFonts w:ascii="Arial" w:eastAsia="Times New Roman" w:hAnsi="Arial" w:cs="Arial"/>
                <w:color w:val="000000"/>
                <w:sz w:val="18"/>
                <w:szCs w:val="18"/>
                <w:lang w:eastAsia="sl-SI"/>
              </w:rPr>
              <w:t xml:space="preserve"> Subjekt v sestavi poroča končni datum Poročevalskega fiskalnega leta</w:t>
            </w:r>
            <w:r w:rsidR="005D0919">
              <w:rPr>
                <w:rFonts w:ascii="Arial" w:eastAsia="Times New Roman" w:hAnsi="Arial" w:cs="Arial"/>
                <w:color w:val="000000"/>
                <w:sz w:val="18"/>
                <w:szCs w:val="18"/>
                <w:lang w:eastAsia="sl-SI"/>
              </w:rPr>
              <w:t>.</w:t>
            </w:r>
          </w:p>
        </w:tc>
      </w:tr>
      <w:tr w:rsidR="00730D4D" w:rsidRPr="00D76E23" w14:paraId="59FD696F" w14:textId="77777777" w:rsidTr="00730D4D">
        <w:trPr>
          <w:trHeight w:val="300"/>
        </w:trPr>
        <w:tc>
          <w:tcPr>
            <w:tcW w:w="881" w:type="dxa"/>
            <w:noWrap/>
            <w:hideMark/>
          </w:tcPr>
          <w:p w14:paraId="0BEFCADB"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1.2.1.4.</w:t>
            </w:r>
          </w:p>
        </w:tc>
        <w:tc>
          <w:tcPr>
            <w:tcW w:w="2944" w:type="dxa"/>
            <w:noWrap/>
            <w:hideMark/>
          </w:tcPr>
          <w:p w14:paraId="0945DB0D"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Popravek</w:t>
            </w:r>
          </w:p>
        </w:tc>
        <w:tc>
          <w:tcPr>
            <w:tcW w:w="5348" w:type="dxa"/>
            <w:noWrap/>
            <w:hideMark/>
          </w:tcPr>
          <w:p w14:paraId="57F12AA2" w14:textId="46A3D9AC" w:rsidR="00730D4D" w:rsidRPr="00730D4D" w:rsidRDefault="00730D4D" w:rsidP="006537D4">
            <w:pPr>
              <w:rPr>
                <w:rFonts w:ascii="Arial" w:eastAsia="Times New Roman" w:hAnsi="Arial" w:cs="Arial"/>
                <w:color w:val="000000"/>
                <w:sz w:val="18"/>
                <w:szCs w:val="18"/>
                <w:lang w:eastAsia="sl-SI"/>
              </w:rPr>
            </w:pPr>
            <w:proofErr w:type="spellStart"/>
            <w:r w:rsidRPr="00730D4D">
              <w:rPr>
                <w:rFonts w:ascii="Arial" w:eastAsia="Times New Roman" w:hAnsi="Arial" w:cs="Arial"/>
                <w:color w:val="000000"/>
                <w:sz w:val="18"/>
                <w:szCs w:val="18"/>
                <w:lang w:eastAsia="sl-SI"/>
              </w:rPr>
              <w:t>Vložniški</w:t>
            </w:r>
            <w:proofErr w:type="spellEnd"/>
            <w:r w:rsidRPr="00730D4D">
              <w:rPr>
                <w:rFonts w:ascii="Arial" w:eastAsia="Times New Roman" w:hAnsi="Arial" w:cs="Arial"/>
                <w:color w:val="000000"/>
                <w:sz w:val="18"/>
                <w:szCs w:val="18"/>
                <w:lang w:eastAsia="sl-SI"/>
              </w:rPr>
              <w:t xml:space="preserve"> </w:t>
            </w:r>
            <w:r w:rsidRPr="00C71BD1">
              <w:rPr>
                <w:rFonts w:ascii="Arial" w:eastAsia="Times New Roman" w:hAnsi="Arial" w:cs="Arial"/>
                <w:color w:val="000000" w:themeColor="text1"/>
                <w:sz w:val="18"/>
                <w:szCs w:val="18"/>
                <w:lang w:eastAsia="sl-SI"/>
              </w:rPr>
              <w:t xml:space="preserve">Subjekt v sestavi poroča "Da", če vlaga </w:t>
            </w:r>
            <w:r w:rsidR="00FA18EE">
              <w:rPr>
                <w:rFonts w:ascii="Arial" w:eastAsia="Times New Roman" w:hAnsi="Arial" w:cs="Arial"/>
                <w:color w:val="000000" w:themeColor="text1"/>
                <w:sz w:val="18"/>
                <w:szCs w:val="18"/>
                <w:lang w:eastAsia="sl-SI"/>
              </w:rPr>
              <w:t xml:space="preserve">informativni </w:t>
            </w:r>
            <w:r w:rsidR="006537D4">
              <w:rPr>
                <w:rFonts w:ascii="Arial" w:eastAsia="Times New Roman" w:hAnsi="Arial" w:cs="Arial"/>
                <w:color w:val="000000" w:themeColor="text1"/>
                <w:sz w:val="18"/>
                <w:szCs w:val="18"/>
                <w:lang w:eastAsia="sl-SI"/>
              </w:rPr>
              <w:t>obrazec</w:t>
            </w:r>
            <w:r w:rsidRPr="00C71BD1">
              <w:rPr>
                <w:rFonts w:ascii="Arial" w:eastAsia="Times New Roman" w:hAnsi="Arial" w:cs="Arial"/>
                <w:color w:val="000000" w:themeColor="text1"/>
                <w:sz w:val="18"/>
                <w:szCs w:val="18"/>
                <w:lang w:eastAsia="sl-SI"/>
              </w:rPr>
              <w:t xml:space="preserve"> kot popravek </w:t>
            </w:r>
            <w:r w:rsidR="00FA18EE">
              <w:rPr>
                <w:rFonts w:ascii="Arial" w:eastAsia="Times New Roman" w:hAnsi="Arial" w:cs="Arial"/>
                <w:color w:val="000000" w:themeColor="text1"/>
                <w:sz w:val="18"/>
                <w:szCs w:val="18"/>
                <w:lang w:eastAsia="sl-SI"/>
              </w:rPr>
              <w:t xml:space="preserve">informativnega </w:t>
            </w:r>
            <w:r w:rsidR="006537D4">
              <w:rPr>
                <w:rFonts w:ascii="Arial" w:eastAsia="Times New Roman" w:hAnsi="Arial" w:cs="Arial"/>
                <w:color w:val="000000" w:themeColor="text1"/>
                <w:sz w:val="18"/>
                <w:szCs w:val="18"/>
                <w:lang w:eastAsia="sl-SI"/>
              </w:rPr>
              <w:t>obrazca</w:t>
            </w:r>
            <w:r w:rsidR="005D0919">
              <w:rPr>
                <w:rFonts w:ascii="Arial" w:eastAsia="Times New Roman" w:hAnsi="Arial" w:cs="Arial"/>
                <w:color w:val="000000" w:themeColor="text1"/>
                <w:sz w:val="18"/>
                <w:szCs w:val="18"/>
                <w:lang w:eastAsia="sl-SI"/>
              </w:rPr>
              <w:t>.</w:t>
            </w:r>
          </w:p>
        </w:tc>
      </w:tr>
      <w:tr w:rsidR="00730D4D" w:rsidRPr="00D76E23" w14:paraId="2612CF90" w14:textId="77777777" w:rsidTr="00730D4D">
        <w:trPr>
          <w:trHeight w:val="600"/>
        </w:trPr>
        <w:tc>
          <w:tcPr>
            <w:tcW w:w="881" w:type="dxa"/>
            <w:hideMark/>
          </w:tcPr>
          <w:p w14:paraId="69C2A655" w14:textId="77777777" w:rsidR="00730D4D" w:rsidRPr="00730D4D" w:rsidRDefault="00730D4D" w:rsidP="00730D4D">
            <w:pPr>
              <w:rPr>
                <w:rFonts w:ascii="Arial" w:eastAsia="Times New Roman" w:hAnsi="Arial" w:cs="Arial"/>
                <w:b/>
                <w:bCs/>
                <w:color w:val="000000"/>
                <w:sz w:val="18"/>
                <w:szCs w:val="18"/>
                <w:lang w:eastAsia="sl-SI"/>
              </w:rPr>
            </w:pPr>
            <w:r w:rsidRPr="00730D4D">
              <w:rPr>
                <w:rFonts w:ascii="Arial" w:eastAsia="Times New Roman" w:hAnsi="Arial" w:cs="Arial"/>
                <w:b/>
                <w:bCs/>
                <w:color w:val="000000"/>
                <w:sz w:val="18"/>
                <w:szCs w:val="18"/>
                <w:lang w:eastAsia="sl-SI"/>
              </w:rPr>
              <w:t>1.2.2.</w:t>
            </w:r>
          </w:p>
        </w:tc>
        <w:tc>
          <w:tcPr>
            <w:tcW w:w="2944" w:type="dxa"/>
            <w:hideMark/>
          </w:tcPr>
          <w:p w14:paraId="6B73F101" w14:textId="77777777" w:rsidR="00730D4D" w:rsidRPr="00730D4D" w:rsidRDefault="00730D4D" w:rsidP="00730D4D">
            <w:pPr>
              <w:rPr>
                <w:rFonts w:ascii="Arial" w:eastAsia="Times New Roman" w:hAnsi="Arial" w:cs="Arial"/>
                <w:b/>
                <w:bCs/>
                <w:color w:val="000000"/>
                <w:sz w:val="18"/>
                <w:szCs w:val="18"/>
                <w:lang w:eastAsia="sl-SI"/>
              </w:rPr>
            </w:pPr>
            <w:r w:rsidRPr="00730D4D">
              <w:rPr>
                <w:rFonts w:ascii="Arial" w:eastAsia="Times New Roman" w:hAnsi="Arial" w:cs="Arial"/>
                <w:b/>
                <w:bCs/>
                <w:color w:val="000000"/>
                <w:sz w:val="18"/>
                <w:szCs w:val="18"/>
                <w:lang w:eastAsia="sl-SI"/>
              </w:rPr>
              <w:t xml:space="preserve">Splošne informacije o sistemu </w:t>
            </w:r>
            <w:proofErr w:type="spellStart"/>
            <w:r w:rsidRPr="00730D4D">
              <w:rPr>
                <w:rFonts w:ascii="Arial" w:eastAsia="Times New Roman" w:hAnsi="Arial" w:cs="Arial"/>
                <w:b/>
                <w:bCs/>
                <w:color w:val="000000"/>
                <w:sz w:val="18"/>
                <w:szCs w:val="18"/>
                <w:lang w:eastAsia="sl-SI"/>
              </w:rPr>
              <w:t>računovodenja</w:t>
            </w:r>
            <w:proofErr w:type="spellEnd"/>
            <w:r w:rsidRPr="00730D4D">
              <w:rPr>
                <w:rFonts w:ascii="Arial" w:eastAsia="Times New Roman" w:hAnsi="Arial" w:cs="Arial"/>
                <w:b/>
                <w:bCs/>
                <w:color w:val="000000"/>
                <w:sz w:val="18"/>
                <w:szCs w:val="18"/>
                <w:lang w:eastAsia="sl-SI"/>
              </w:rPr>
              <w:t xml:space="preserve"> mednarodnega podjetja</w:t>
            </w:r>
          </w:p>
        </w:tc>
        <w:tc>
          <w:tcPr>
            <w:tcW w:w="5348" w:type="dxa"/>
            <w:noWrap/>
            <w:hideMark/>
          </w:tcPr>
          <w:p w14:paraId="59F1A34E"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 </w:t>
            </w:r>
          </w:p>
        </w:tc>
      </w:tr>
      <w:tr w:rsidR="00730D4D" w:rsidRPr="00D76E23" w14:paraId="1DEB42C6" w14:textId="77777777" w:rsidTr="00730D4D">
        <w:trPr>
          <w:trHeight w:val="5160"/>
        </w:trPr>
        <w:tc>
          <w:tcPr>
            <w:tcW w:w="881" w:type="dxa"/>
            <w:noWrap/>
            <w:hideMark/>
          </w:tcPr>
          <w:p w14:paraId="3AB19431"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1.2.2.1</w:t>
            </w:r>
          </w:p>
        </w:tc>
        <w:tc>
          <w:tcPr>
            <w:tcW w:w="2944" w:type="dxa"/>
            <w:noWrap/>
            <w:hideMark/>
          </w:tcPr>
          <w:p w14:paraId="498EDD37"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Konsolidirani računovodski izkazi krovnega matičnega subjekta (tip)</w:t>
            </w:r>
          </w:p>
        </w:tc>
        <w:tc>
          <w:tcPr>
            <w:tcW w:w="5348" w:type="dxa"/>
            <w:hideMark/>
          </w:tcPr>
          <w:p w14:paraId="08C9506A"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Vnese se ustrezni pododstavek (a), (b), (c) in (č) opredelitve konsolidiranih računovodskih izkazov iz 7. člena</w:t>
            </w:r>
            <w:r w:rsidR="00612708">
              <w:rPr>
                <w:rFonts w:ascii="Arial" w:eastAsia="Times New Roman" w:hAnsi="Arial" w:cs="Arial"/>
                <w:color w:val="000000" w:themeColor="text1"/>
                <w:sz w:val="18"/>
                <w:szCs w:val="18"/>
                <w:lang w:eastAsia="sl-SI"/>
              </w:rPr>
              <w:t xml:space="preserve"> ZMD</w:t>
            </w:r>
            <w:r w:rsidRPr="00C71BD1">
              <w:rPr>
                <w:rFonts w:ascii="Arial" w:eastAsia="Times New Roman" w:hAnsi="Arial" w:cs="Arial"/>
                <w:color w:val="000000" w:themeColor="text1"/>
                <w:sz w:val="18"/>
                <w:szCs w:val="18"/>
                <w:lang w:eastAsia="sl-SI"/>
              </w:rPr>
              <w:t xml:space="preserve">, ki se uporablja za konsolidirane računovodske izkaze UPE. </w:t>
            </w:r>
            <w:r w:rsidRPr="00C71BD1">
              <w:rPr>
                <w:rFonts w:ascii="Arial" w:eastAsia="Times New Roman" w:hAnsi="Arial" w:cs="Arial"/>
                <w:color w:val="000000" w:themeColor="text1"/>
                <w:sz w:val="18"/>
                <w:szCs w:val="18"/>
                <w:lang w:eastAsia="sl-SI"/>
              </w:rPr>
              <w:br/>
              <w:t>9. „konsolidirani računovodski izkazi“ so:</w:t>
            </w:r>
          </w:p>
          <w:p w14:paraId="2E1EA649"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 xml:space="preserve">a) računovodski izkazi, ki jih v skladu s sprejemljivim standardom finančnega </w:t>
            </w:r>
            <w:proofErr w:type="spellStart"/>
            <w:r w:rsidRPr="00C71BD1">
              <w:rPr>
                <w:rFonts w:ascii="Arial" w:eastAsia="Times New Roman" w:hAnsi="Arial" w:cs="Arial"/>
                <w:color w:val="000000" w:themeColor="text1"/>
                <w:sz w:val="18"/>
                <w:szCs w:val="18"/>
                <w:lang w:eastAsia="sl-SI"/>
              </w:rPr>
              <w:t>računovodenja</w:t>
            </w:r>
            <w:proofErr w:type="spellEnd"/>
            <w:r w:rsidRPr="00C71BD1">
              <w:rPr>
                <w:rFonts w:ascii="Arial" w:eastAsia="Times New Roman" w:hAnsi="Arial" w:cs="Arial"/>
                <w:color w:val="000000" w:themeColor="text1"/>
                <w:sz w:val="18"/>
                <w:szCs w:val="18"/>
                <w:lang w:eastAsia="sl-SI"/>
              </w:rPr>
              <w:t xml:space="preserve"> pripravi subjekt ter v katerih so sredstva, obveznosti, dohodki, odhodki in denarni tokovi tega subjekta in vseh subjektov, v katerih ima nadzorujoči delež, predstavljeni kot sredstva, obveznosti, dohodki, odhodki in denarni tokovi istega gospodarskega subjekta;</w:t>
            </w:r>
          </w:p>
          <w:p w14:paraId="68DE05B3"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 xml:space="preserve">b) za skupine, opredeljene v točki b) 8. točke tega člena, računovodski izkazi, ki jih subjekt pripravi v skladu s sprejemljivim standardom finančnega </w:t>
            </w:r>
            <w:proofErr w:type="spellStart"/>
            <w:r w:rsidRPr="00C71BD1">
              <w:rPr>
                <w:rFonts w:ascii="Arial" w:eastAsia="Times New Roman" w:hAnsi="Arial" w:cs="Arial"/>
                <w:color w:val="000000" w:themeColor="text1"/>
                <w:sz w:val="18"/>
                <w:szCs w:val="18"/>
                <w:lang w:eastAsia="sl-SI"/>
              </w:rPr>
              <w:t>računovodenja</w:t>
            </w:r>
            <w:proofErr w:type="spellEnd"/>
            <w:r w:rsidRPr="00C71BD1">
              <w:rPr>
                <w:rFonts w:ascii="Arial" w:eastAsia="Times New Roman" w:hAnsi="Arial" w:cs="Arial"/>
                <w:color w:val="000000" w:themeColor="text1"/>
                <w:sz w:val="18"/>
                <w:szCs w:val="18"/>
                <w:lang w:eastAsia="sl-SI"/>
              </w:rPr>
              <w:t>;</w:t>
            </w:r>
          </w:p>
          <w:p w14:paraId="288D934C"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 xml:space="preserve">c) računovodski izkazi krovnega matičnega subjekta, ki niso pripravljeni v skladu s sprejemljivim standardom finančnega </w:t>
            </w:r>
            <w:proofErr w:type="spellStart"/>
            <w:r w:rsidRPr="00C71BD1">
              <w:rPr>
                <w:rFonts w:ascii="Arial" w:eastAsia="Times New Roman" w:hAnsi="Arial" w:cs="Arial"/>
                <w:color w:val="000000" w:themeColor="text1"/>
                <w:sz w:val="18"/>
                <w:szCs w:val="18"/>
                <w:lang w:eastAsia="sl-SI"/>
              </w:rPr>
              <w:t>računovodenja</w:t>
            </w:r>
            <w:proofErr w:type="spellEnd"/>
            <w:r w:rsidRPr="00C71BD1">
              <w:rPr>
                <w:rFonts w:ascii="Arial" w:eastAsia="Times New Roman" w:hAnsi="Arial" w:cs="Arial"/>
                <w:color w:val="000000" w:themeColor="text1"/>
                <w:sz w:val="18"/>
                <w:szCs w:val="18"/>
                <w:lang w:eastAsia="sl-SI"/>
              </w:rPr>
              <w:t xml:space="preserve"> in so bili naknadno prilagojeni, da se prepreči kakršno koli pomembno izkrivljanje konkurence, in</w:t>
            </w:r>
          </w:p>
          <w:p w14:paraId="5A589A55"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č) če krovni matični subjekt ne pripravi računovodskih izkazov, kot je opisano v točkah a), b) ali c) te točke, računovodski izkazi, ki bi bili pripravljeni, če bi se od krovnega matičnega subjekta zahtevalo, da take računovodske izkaze pripravi v skladu:</w:t>
            </w:r>
          </w:p>
          <w:p w14:paraId="142592E9"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 xml:space="preserve">– s sprejemljivim standardom finančnega </w:t>
            </w:r>
            <w:proofErr w:type="spellStart"/>
            <w:r w:rsidRPr="00C71BD1">
              <w:rPr>
                <w:rFonts w:ascii="Arial" w:eastAsia="Times New Roman" w:hAnsi="Arial" w:cs="Arial"/>
                <w:color w:val="000000" w:themeColor="text1"/>
                <w:sz w:val="18"/>
                <w:szCs w:val="18"/>
                <w:lang w:eastAsia="sl-SI"/>
              </w:rPr>
              <w:t>računovodenja</w:t>
            </w:r>
            <w:proofErr w:type="spellEnd"/>
            <w:r w:rsidRPr="00C71BD1">
              <w:rPr>
                <w:rFonts w:ascii="Arial" w:eastAsia="Times New Roman" w:hAnsi="Arial" w:cs="Arial"/>
                <w:color w:val="000000" w:themeColor="text1"/>
                <w:sz w:val="18"/>
                <w:szCs w:val="18"/>
                <w:lang w:eastAsia="sl-SI"/>
              </w:rPr>
              <w:t xml:space="preserve"> ali</w:t>
            </w:r>
          </w:p>
          <w:p w14:paraId="0081BAEE"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 xml:space="preserve">– z drugim standardom finančnega </w:t>
            </w:r>
            <w:proofErr w:type="spellStart"/>
            <w:r w:rsidRPr="00C71BD1">
              <w:rPr>
                <w:rFonts w:ascii="Arial" w:eastAsia="Times New Roman" w:hAnsi="Arial" w:cs="Arial"/>
                <w:color w:val="000000" w:themeColor="text1"/>
                <w:sz w:val="18"/>
                <w:szCs w:val="18"/>
                <w:lang w:eastAsia="sl-SI"/>
              </w:rPr>
              <w:t>računovodenja</w:t>
            </w:r>
            <w:proofErr w:type="spellEnd"/>
            <w:r w:rsidRPr="00C71BD1">
              <w:rPr>
                <w:rFonts w:ascii="Arial" w:eastAsia="Times New Roman" w:hAnsi="Arial" w:cs="Arial"/>
                <w:color w:val="000000" w:themeColor="text1"/>
                <w:sz w:val="18"/>
                <w:szCs w:val="18"/>
                <w:lang w:eastAsia="sl-SI"/>
              </w:rPr>
              <w:t xml:space="preserve"> in pod pogojem, da so bili taki računovodski izkazi prilagojeni, da se prepreči kakršno koli pomembno izkrivljanje konkurence;</w:t>
            </w:r>
            <w:r w:rsidRPr="00C71BD1">
              <w:rPr>
                <w:rFonts w:ascii="Arial" w:eastAsia="Times New Roman" w:hAnsi="Arial" w:cs="Arial"/>
                <w:color w:val="000000" w:themeColor="text1"/>
                <w:sz w:val="18"/>
                <w:szCs w:val="18"/>
                <w:lang w:eastAsia="sl-SI"/>
              </w:rPr>
              <w:br/>
            </w:r>
          </w:p>
          <w:p w14:paraId="0BECFE7A"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Kadar se uporablja točka (č), subjekt v sestavi v spisu uporabi razumno skrbnost in prizadevanja v dobri veri, da bi identificiral krovni matični subjekt.</w:t>
            </w:r>
          </w:p>
        </w:tc>
      </w:tr>
      <w:tr w:rsidR="00730D4D" w:rsidRPr="00D76E23" w14:paraId="04C9B13C" w14:textId="77777777" w:rsidTr="00730D4D">
        <w:trPr>
          <w:trHeight w:val="900"/>
        </w:trPr>
        <w:tc>
          <w:tcPr>
            <w:tcW w:w="881" w:type="dxa"/>
            <w:noWrap/>
            <w:hideMark/>
          </w:tcPr>
          <w:p w14:paraId="656D6A99"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1.2.2.2.</w:t>
            </w:r>
          </w:p>
        </w:tc>
        <w:tc>
          <w:tcPr>
            <w:tcW w:w="2944" w:type="dxa"/>
            <w:hideMark/>
          </w:tcPr>
          <w:p w14:paraId="319F6EC6"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Finančni računovodski standard uporabljen za konsolidirana finančna poročila krovnega matičnega subjekta</w:t>
            </w:r>
          </w:p>
        </w:tc>
        <w:tc>
          <w:tcPr>
            <w:tcW w:w="5348" w:type="dxa"/>
            <w:hideMark/>
          </w:tcPr>
          <w:p w14:paraId="4C697566" w14:textId="77777777" w:rsidR="00730D4D" w:rsidRPr="00C71BD1" w:rsidRDefault="00730D4D" w:rsidP="00730D4D">
            <w:pPr>
              <w:rPr>
                <w:rFonts w:ascii="Arial" w:eastAsia="Times New Roman" w:hAnsi="Arial" w:cs="Arial"/>
                <w:color w:val="000000" w:themeColor="text1"/>
                <w:sz w:val="18"/>
                <w:szCs w:val="18"/>
                <w:lang w:eastAsia="sl-SI"/>
              </w:rPr>
            </w:pPr>
            <w:r w:rsidRPr="00C71BD1">
              <w:rPr>
                <w:rFonts w:ascii="Arial" w:eastAsia="Times New Roman" w:hAnsi="Arial" w:cs="Arial"/>
                <w:color w:val="000000" w:themeColor="text1"/>
                <w:sz w:val="18"/>
                <w:szCs w:val="18"/>
                <w:lang w:eastAsia="sl-SI"/>
              </w:rPr>
              <w:t xml:space="preserve">Vnese se podatek o standardu finančnega </w:t>
            </w:r>
            <w:proofErr w:type="spellStart"/>
            <w:r w:rsidRPr="00C71BD1">
              <w:rPr>
                <w:rFonts w:ascii="Arial" w:eastAsia="Times New Roman" w:hAnsi="Arial" w:cs="Arial"/>
                <w:color w:val="000000" w:themeColor="text1"/>
                <w:sz w:val="18"/>
                <w:szCs w:val="18"/>
                <w:lang w:eastAsia="sl-SI"/>
              </w:rPr>
              <w:t>računovodenja</w:t>
            </w:r>
            <w:proofErr w:type="spellEnd"/>
            <w:r w:rsidRPr="00C71BD1">
              <w:rPr>
                <w:rFonts w:ascii="Arial" w:eastAsia="Times New Roman" w:hAnsi="Arial" w:cs="Arial"/>
                <w:color w:val="000000" w:themeColor="text1"/>
                <w:sz w:val="18"/>
                <w:szCs w:val="18"/>
                <w:lang w:eastAsia="sl-SI"/>
              </w:rPr>
              <w:t xml:space="preserve">, ki se uporablja za konsolidirane računovodske izkaze krovnega matičnega subjekta. Če krovni matični subjekt ne pripravi konsolidiranih računovodskih izkazov, se poroča finančni računovodski standard, ki se uporablja za namene pravil </w:t>
            </w:r>
            <w:proofErr w:type="spellStart"/>
            <w:r w:rsidRPr="00C71BD1">
              <w:rPr>
                <w:rFonts w:ascii="Arial" w:eastAsia="Times New Roman" w:hAnsi="Arial" w:cs="Arial"/>
                <w:color w:val="000000" w:themeColor="text1"/>
                <w:sz w:val="18"/>
                <w:szCs w:val="18"/>
                <w:lang w:eastAsia="sl-SI"/>
              </w:rPr>
              <w:t>GloBE</w:t>
            </w:r>
            <w:proofErr w:type="spellEnd"/>
            <w:r w:rsidR="005D0919">
              <w:rPr>
                <w:rFonts w:ascii="Arial" w:eastAsia="Times New Roman" w:hAnsi="Arial" w:cs="Arial"/>
                <w:color w:val="000000" w:themeColor="text1"/>
                <w:sz w:val="18"/>
                <w:szCs w:val="18"/>
                <w:lang w:eastAsia="sl-SI"/>
              </w:rPr>
              <w:t>.</w:t>
            </w:r>
          </w:p>
        </w:tc>
      </w:tr>
      <w:tr w:rsidR="00730D4D" w:rsidRPr="00D76E23" w14:paraId="2CD9FF56" w14:textId="77777777" w:rsidTr="00730D4D">
        <w:trPr>
          <w:trHeight w:val="900"/>
        </w:trPr>
        <w:tc>
          <w:tcPr>
            <w:tcW w:w="881" w:type="dxa"/>
            <w:noWrap/>
            <w:hideMark/>
          </w:tcPr>
          <w:p w14:paraId="48A102D8"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1.2.2.3.</w:t>
            </w:r>
          </w:p>
        </w:tc>
        <w:tc>
          <w:tcPr>
            <w:tcW w:w="2944" w:type="dxa"/>
            <w:hideMark/>
          </w:tcPr>
          <w:p w14:paraId="63F6ED36"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Funkcionalna valuta uporabljena za konsolidirana finančna poročila</w:t>
            </w:r>
          </w:p>
        </w:tc>
        <w:tc>
          <w:tcPr>
            <w:tcW w:w="5348" w:type="dxa"/>
            <w:hideMark/>
          </w:tcPr>
          <w:p w14:paraId="12F71B2B" w14:textId="77777777" w:rsidR="00730D4D" w:rsidRPr="00730D4D" w:rsidRDefault="00730D4D" w:rsidP="00730D4D">
            <w:pPr>
              <w:rPr>
                <w:rFonts w:ascii="Arial" w:eastAsia="Times New Roman" w:hAnsi="Arial" w:cs="Arial"/>
                <w:color w:val="000000"/>
                <w:sz w:val="18"/>
                <w:szCs w:val="18"/>
                <w:lang w:eastAsia="sl-SI"/>
              </w:rPr>
            </w:pPr>
            <w:r w:rsidRPr="00730D4D">
              <w:rPr>
                <w:rFonts w:ascii="Arial" w:eastAsia="Times New Roman" w:hAnsi="Arial" w:cs="Arial"/>
                <w:color w:val="000000"/>
                <w:sz w:val="18"/>
                <w:szCs w:val="18"/>
                <w:lang w:eastAsia="sl-SI"/>
              </w:rPr>
              <w:t xml:space="preserve">Vnese se valuto, ki se uporablja za konsolidirane računovodske izkaze krovnega matičnega subjekta, če krovni matični subjekt ne pripravi konsolidiranih računovodskih izkazov, se vnese valuta, ki se uporablja za namene pravil </w:t>
            </w:r>
            <w:proofErr w:type="spellStart"/>
            <w:r w:rsidRPr="00730D4D">
              <w:rPr>
                <w:rFonts w:ascii="Arial" w:eastAsia="Times New Roman" w:hAnsi="Arial" w:cs="Arial"/>
                <w:color w:val="000000"/>
                <w:sz w:val="18"/>
                <w:szCs w:val="18"/>
                <w:lang w:eastAsia="sl-SI"/>
              </w:rPr>
              <w:t>GloBE</w:t>
            </w:r>
            <w:proofErr w:type="spellEnd"/>
            <w:r w:rsidRPr="00730D4D">
              <w:rPr>
                <w:rFonts w:ascii="Arial" w:eastAsia="Times New Roman" w:hAnsi="Arial" w:cs="Arial"/>
                <w:color w:val="000000"/>
                <w:sz w:val="18"/>
                <w:szCs w:val="18"/>
                <w:lang w:eastAsia="sl-SI"/>
              </w:rPr>
              <w:t>.</w:t>
            </w:r>
          </w:p>
        </w:tc>
      </w:tr>
    </w:tbl>
    <w:p w14:paraId="4225615B" w14:textId="77777777" w:rsidR="000F06CD" w:rsidRDefault="000F06CD" w:rsidP="00101D1E">
      <w:pPr>
        <w:spacing w:before="120"/>
        <w:jc w:val="both"/>
        <w:rPr>
          <w:rFonts w:ascii="Arial" w:hAnsi="Arial" w:cs="Arial"/>
          <w:sz w:val="20"/>
          <w:szCs w:val="20"/>
        </w:rPr>
      </w:pPr>
      <w:r>
        <w:rPr>
          <w:rFonts w:ascii="Arial" w:hAnsi="Arial" w:cs="Arial"/>
          <w:sz w:val="20"/>
          <w:szCs w:val="20"/>
        </w:rPr>
        <w:t xml:space="preserve">ZMD in postopkovna pravila ne zahtevajo, da se skupine, ki spadajo v obseg povrhnjega davka, registrirajo kot zavezanci ali notificirajo svojo zavezanost po tem zakonu. </w:t>
      </w:r>
      <w:r w:rsidR="00C06FA4">
        <w:rPr>
          <w:rFonts w:ascii="Arial" w:hAnsi="Arial" w:cs="Arial"/>
          <w:sz w:val="20"/>
          <w:szCs w:val="20"/>
        </w:rPr>
        <w:t xml:space="preserve">Subjekti v sestavi bodo notificirali kdo je </w:t>
      </w:r>
      <w:proofErr w:type="spellStart"/>
      <w:r w:rsidR="00C06FA4">
        <w:rPr>
          <w:rFonts w:ascii="Arial" w:hAnsi="Arial" w:cs="Arial"/>
          <w:sz w:val="20"/>
          <w:szCs w:val="20"/>
        </w:rPr>
        <w:t>vložniški</w:t>
      </w:r>
      <w:proofErr w:type="spellEnd"/>
      <w:r w:rsidR="00C06FA4">
        <w:rPr>
          <w:rFonts w:ascii="Arial" w:hAnsi="Arial" w:cs="Arial"/>
          <w:sz w:val="20"/>
          <w:szCs w:val="20"/>
        </w:rPr>
        <w:t xml:space="preserve"> subjekt preko obrazcev za domači povrhnji davek oziroma obrazcev povrhnjega davka</w:t>
      </w:r>
      <w:r w:rsidR="00F362F5">
        <w:rPr>
          <w:rFonts w:ascii="Arial" w:hAnsi="Arial" w:cs="Arial"/>
          <w:sz w:val="20"/>
          <w:szCs w:val="20"/>
        </w:rPr>
        <w:t xml:space="preserve"> (glejte upravna pravila spodaj</w:t>
      </w:r>
      <w:r w:rsidR="009A4379">
        <w:rPr>
          <w:rFonts w:ascii="Arial" w:hAnsi="Arial" w:cs="Arial"/>
          <w:sz w:val="20"/>
          <w:szCs w:val="20"/>
        </w:rPr>
        <w:t xml:space="preserve"> v poglavju 4</w:t>
      </w:r>
      <w:r w:rsidR="00F362F5">
        <w:rPr>
          <w:rFonts w:ascii="Arial" w:hAnsi="Arial" w:cs="Arial"/>
          <w:sz w:val="20"/>
          <w:szCs w:val="20"/>
        </w:rPr>
        <w:t>)</w:t>
      </w:r>
      <w:r w:rsidR="00C06FA4">
        <w:rPr>
          <w:rFonts w:ascii="Arial" w:hAnsi="Arial" w:cs="Arial"/>
          <w:sz w:val="20"/>
          <w:szCs w:val="20"/>
        </w:rPr>
        <w:t xml:space="preserve">. </w:t>
      </w:r>
    </w:p>
    <w:p w14:paraId="2F14B51B" w14:textId="77777777" w:rsidR="00101D1E" w:rsidRDefault="00101D1E" w:rsidP="00101D1E">
      <w:pPr>
        <w:spacing w:before="120"/>
        <w:jc w:val="both"/>
        <w:rPr>
          <w:rFonts w:ascii="Arial" w:hAnsi="Arial" w:cs="Arial"/>
          <w:sz w:val="20"/>
          <w:szCs w:val="20"/>
        </w:rPr>
      </w:pPr>
    </w:p>
    <w:p w14:paraId="48748681" w14:textId="77777777" w:rsidR="00101D1E" w:rsidRPr="008F3623" w:rsidRDefault="00101D1E" w:rsidP="00101D1E">
      <w:pPr>
        <w:spacing w:before="120"/>
        <w:jc w:val="both"/>
        <w:rPr>
          <w:rFonts w:ascii="Arial" w:hAnsi="Arial" w:cs="Arial"/>
          <w:sz w:val="20"/>
          <w:szCs w:val="20"/>
        </w:rPr>
      </w:pPr>
    </w:p>
    <w:p w14:paraId="3958D775" w14:textId="77777777" w:rsidR="009B0D2B" w:rsidRPr="00392FD4" w:rsidRDefault="00FD1603" w:rsidP="00FD1603">
      <w:pPr>
        <w:pStyle w:val="FURSnaslov2"/>
        <w:rPr>
          <w:sz w:val="22"/>
          <w:szCs w:val="22"/>
          <w:lang w:val="sl-SI"/>
        </w:rPr>
      </w:pPr>
      <w:bookmarkStart w:id="9" w:name="_Toc157425302"/>
      <w:r w:rsidRPr="00392FD4">
        <w:rPr>
          <w:sz w:val="22"/>
          <w:szCs w:val="22"/>
          <w:lang w:val="sl-SI"/>
        </w:rPr>
        <w:lastRenderedPageBreak/>
        <w:t>2.1.</w:t>
      </w:r>
      <w:r w:rsidR="00DB2C18" w:rsidRPr="00392FD4">
        <w:rPr>
          <w:sz w:val="22"/>
          <w:szCs w:val="22"/>
          <w:lang w:val="sl-SI"/>
        </w:rPr>
        <w:t xml:space="preserve"> </w:t>
      </w:r>
      <w:r w:rsidR="009B0D2B" w:rsidRPr="00392FD4">
        <w:rPr>
          <w:sz w:val="22"/>
          <w:szCs w:val="22"/>
          <w:lang w:val="sl-SI"/>
        </w:rPr>
        <w:t>Nominalni prag 750 000 000 EUR</w:t>
      </w:r>
      <w:bookmarkEnd w:id="9"/>
    </w:p>
    <w:p w14:paraId="204E801E" w14:textId="77777777" w:rsidR="00310983" w:rsidRDefault="00A75D00" w:rsidP="00DB65D9">
      <w:pPr>
        <w:jc w:val="both"/>
        <w:rPr>
          <w:rFonts w:ascii="Arial" w:hAnsi="Arial" w:cs="Arial"/>
          <w:sz w:val="20"/>
          <w:szCs w:val="20"/>
        </w:rPr>
      </w:pPr>
      <w:r w:rsidRPr="008F3623">
        <w:rPr>
          <w:rFonts w:ascii="Arial" w:hAnsi="Arial" w:cs="Arial"/>
          <w:sz w:val="20"/>
          <w:szCs w:val="20"/>
        </w:rPr>
        <w:t>Za kvalifikacijo oziroma vključitev v obseg</w:t>
      </w:r>
      <w:r w:rsidR="00A5306C" w:rsidRPr="008F3623">
        <w:rPr>
          <w:rFonts w:ascii="Arial" w:hAnsi="Arial" w:cs="Arial"/>
          <w:sz w:val="20"/>
          <w:szCs w:val="20"/>
        </w:rPr>
        <w:t xml:space="preserve"> ZMD</w:t>
      </w:r>
      <w:r w:rsidRPr="008F3623">
        <w:rPr>
          <w:rFonts w:ascii="Arial" w:hAnsi="Arial" w:cs="Arial"/>
          <w:sz w:val="20"/>
          <w:szCs w:val="20"/>
        </w:rPr>
        <w:t xml:space="preserve"> se uporablja </w:t>
      </w:r>
      <w:r w:rsidRPr="008F3623">
        <w:rPr>
          <w:rFonts w:ascii="Arial" w:hAnsi="Arial" w:cs="Arial"/>
          <w:b/>
          <w:bCs/>
          <w:sz w:val="20"/>
          <w:szCs w:val="20"/>
        </w:rPr>
        <w:t>nominalno določen prag 750 000 000 EUR ali več</w:t>
      </w:r>
      <w:r w:rsidRPr="008F3623">
        <w:rPr>
          <w:rFonts w:ascii="Arial" w:hAnsi="Arial" w:cs="Arial"/>
          <w:sz w:val="20"/>
          <w:szCs w:val="20"/>
        </w:rPr>
        <w:t xml:space="preserve"> </w:t>
      </w:r>
      <w:r w:rsidRPr="008F3623">
        <w:rPr>
          <w:rFonts w:ascii="Arial" w:hAnsi="Arial" w:cs="Arial"/>
          <w:b/>
          <w:bCs/>
          <w:sz w:val="20"/>
          <w:szCs w:val="20"/>
        </w:rPr>
        <w:t xml:space="preserve">konsolidiranih letnih </w:t>
      </w:r>
      <w:r w:rsidR="00AE33C9">
        <w:rPr>
          <w:rFonts w:ascii="Arial" w:hAnsi="Arial" w:cs="Arial"/>
          <w:b/>
          <w:bCs/>
          <w:sz w:val="20"/>
          <w:szCs w:val="20"/>
        </w:rPr>
        <w:t>pri</w:t>
      </w:r>
      <w:r w:rsidRPr="008F3623">
        <w:rPr>
          <w:rFonts w:ascii="Arial" w:hAnsi="Arial" w:cs="Arial"/>
          <w:b/>
          <w:bCs/>
          <w:sz w:val="20"/>
          <w:szCs w:val="20"/>
        </w:rPr>
        <w:t>hodkov</w:t>
      </w:r>
      <w:r w:rsidR="00310983">
        <w:rPr>
          <w:rFonts w:ascii="Arial" w:hAnsi="Arial" w:cs="Arial"/>
          <w:b/>
          <w:bCs/>
          <w:sz w:val="20"/>
          <w:szCs w:val="20"/>
        </w:rPr>
        <w:t xml:space="preserve"> (6. člen ZMD)</w:t>
      </w:r>
      <w:r w:rsidRPr="008F3623">
        <w:rPr>
          <w:rFonts w:ascii="Arial" w:hAnsi="Arial" w:cs="Arial"/>
          <w:sz w:val="20"/>
          <w:szCs w:val="20"/>
        </w:rPr>
        <w:t>.</w:t>
      </w:r>
      <w:r w:rsidR="009B0D2B" w:rsidRPr="008F3623">
        <w:rPr>
          <w:rFonts w:ascii="Arial" w:hAnsi="Arial" w:cs="Arial"/>
          <w:sz w:val="20"/>
          <w:szCs w:val="20"/>
        </w:rPr>
        <w:t xml:space="preserve"> </w:t>
      </w:r>
    </w:p>
    <w:p w14:paraId="7E95C5DA" w14:textId="77777777" w:rsidR="00290F4A" w:rsidRDefault="004078EC" w:rsidP="00290F4A">
      <w:pPr>
        <w:jc w:val="both"/>
        <w:rPr>
          <w:rFonts w:ascii="Arial" w:hAnsi="Arial" w:cs="Arial"/>
          <w:sz w:val="20"/>
          <w:szCs w:val="20"/>
        </w:rPr>
      </w:pPr>
      <w:r>
        <w:rPr>
          <w:rFonts w:ascii="Arial" w:hAnsi="Arial" w:cs="Arial"/>
          <w:noProof/>
          <w:sz w:val="20"/>
          <w:szCs w:val="20"/>
          <w:lang w:eastAsia="sl-SI"/>
        </w:rPr>
        <w:drawing>
          <wp:anchor distT="0" distB="0" distL="114300" distR="114300" simplePos="0" relativeHeight="251694080" behindDoc="0" locked="0" layoutInCell="1" allowOverlap="1" wp14:anchorId="5CC901C4" wp14:editId="41F148F4">
            <wp:simplePos x="0" y="0"/>
            <wp:positionH relativeFrom="column">
              <wp:posOffset>-149</wp:posOffset>
            </wp:positionH>
            <wp:positionV relativeFrom="paragraph">
              <wp:posOffset>138430</wp:posOffset>
            </wp:positionV>
            <wp:extent cx="5759450" cy="2934271"/>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934271"/>
                    </a:xfrm>
                    <a:prstGeom prst="rect">
                      <a:avLst/>
                    </a:prstGeom>
                    <a:noFill/>
                  </pic:spPr>
                </pic:pic>
              </a:graphicData>
            </a:graphic>
          </wp:anchor>
        </w:drawing>
      </w:r>
      <w:r w:rsidR="00310983" w:rsidRPr="00310983">
        <w:rPr>
          <w:rFonts w:ascii="Arial" w:hAnsi="Arial" w:cs="Arial"/>
          <w:b/>
          <w:bCs/>
          <w:sz w:val="20"/>
          <w:szCs w:val="20"/>
        </w:rPr>
        <w:t>Zakonska opredelitev obsega:</w:t>
      </w:r>
      <w:r w:rsidR="00310983">
        <w:rPr>
          <w:rFonts w:ascii="Arial" w:hAnsi="Arial" w:cs="Arial"/>
          <w:sz w:val="20"/>
          <w:szCs w:val="20"/>
        </w:rPr>
        <w:t xml:space="preserve"> Ureditev povrhnjega davka se uporablja le za </w:t>
      </w:r>
      <w:r w:rsidR="00310983" w:rsidRPr="00310983">
        <w:rPr>
          <w:rFonts w:ascii="Arial" w:hAnsi="Arial" w:cs="Arial"/>
          <w:sz w:val="20"/>
          <w:szCs w:val="20"/>
        </w:rPr>
        <w:t xml:space="preserve">subjekte v sestavi </w:t>
      </w:r>
      <w:r w:rsidR="004D2C01">
        <w:rPr>
          <w:rFonts w:ascii="Arial" w:hAnsi="Arial" w:cs="Arial"/>
          <w:sz w:val="20"/>
          <w:szCs w:val="20"/>
        </w:rPr>
        <w:t xml:space="preserve">lociranim </w:t>
      </w:r>
      <w:r w:rsidR="00310983" w:rsidRPr="00310983">
        <w:rPr>
          <w:rFonts w:ascii="Arial" w:hAnsi="Arial" w:cs="Arial"/>
          <w:sz w:val="20"/>
          <w:szCs w:val="20"/>
        </w:rPr>
        <w:t>Sloveniji, ki so del mednarodne skupine podjetij ali velike domače skupine, katere letni prihodki, vključno s prihodki izključenih subjektov, o katerih se poroča v konsolidiranih računovodskih izkazih krovnega matičnega subjekta v vsaj dveh poslovnih letih od štirih poslovnih let neposredno pred preizkusnim poslovnim letom, znašajo 750.000.000 eurov ali več.</w:t>
      </w:r>
      <w:r w:rsidR="00290F4A" w:rsidRPr="00290F4A">
        <w:rPr>
          <w:rFonts w:ascii="Arial" w:hAnsi="Arial" w:cs="Arial"/>
          <w:sz w:val="20"/>
          <w:szCs w:val="20"/>
        </w:rPr>
        <w:t xml:space="preserve"> </w:t>
      </w:r>
    </w:p>
    <w:p w14:paraId="52D43CEC" w14:textId="77777777" w:rsidR="00290F4A" w:rsidRDefault="00290F4A" w:rsidP="004078EC">
      <w:pPr>
        <w:jc w:val="both"/>
        <w:rPr>
          <w:rFonts w:ascii="Arial" w:hAnsi="Arial" w:cs="Arial"/>
          <w:sz w:val="20"/>
          <w:szCs w:val="20"/>
        </w:rPr>
      </w:pPr>
      <w:r>
        <w:rPr>
          <w:rFonts w:ascii="Arial" w:hAnsi="Arial" w:cs="Arial"/>
          <w:sz w:val="20"/>
          <w:szCs w:val="20"/>
        </w:rPr>
        <w:t>Poenostavljen praktični prikaz ugotavljanja preseganja praga:</w:t>
      </w:r>
    </w:p>
    <w:p w14:paraId="333205F9" w14:textId="77777777" w:rsidR="00310983" w:rsidRDefault="00310983" w:rsidP="00DB65D9">
      <w:pPr>
        <w:jc w:val="both"/>
        <w:rPr>
          <w:rFonts w:ascii="Arial" w:hAnsi="Arial" w:cs="Arial"/>
          <w:sz w:val="20"/>
          <w:szCs w:val="20"/>
        </w:rPr>
      </w:pPr>
    </w:p>
    <w:p w14:paraId="211BEBF0" w14:textId="77777777" w:rsidR="00C64361" w:rsidRDefault="00C64361" w:rsidP="00DB65D9">
      <w:pPr>
        <w:jc w:val="both"/>
        <w:rPr>
          <w:rFonts w:ascii="Arial" w:hAnsi="Arial" w:cs="Arial"/>
          <w:sz w:val="20"/>
          <w:szCs w:val="20"/>
        </w:rPr>
      </w:pPr>
    </w:p>
    <w:p w14:paraId="47371ECB" w14:textId="77777777" w:rsidR="00C64361" w:rsidRDefault="00C64361" w:rsidP="00DB65D9">
      <w:pPr>
        <w:jc w:val="both"/>
        <w:rPr>
          <w:rFonts w:ascii="Arial" w:hAnsi="Arial" w:cs="Arial"/>
          <w:sz w:val="20"/>
          <w:szCs w:val="20"/>
        </w:rPr>
      </w:pPr>
    </w:p>
    <w:p w14:paraId="28A52BF6" w14:textId="77777777" w:rsidR="00C64361" w:rsidRDefault="00C64361" w:rsidP="00DB65D9">
      <w:pPr>
        <w:jc w:val="both"/>
        <w:rPr>
          <w:rFonts w:ascii="Arial" w:hAnsi="Arial" w:cs="Arial"/>
          <w:sz w:val="20"/>
          <w:szCs w:val="20"/>
        </w:rPr>
      </w:pPr>
    </w:p>
    <w:p w14:paraId="63944A84" w14:textId="77777777" w:rsidR="00C64361" w:rsidRDefault="00C64361" w:rsidP="00DB65D9">
      <w:pPr>
        <w:jc w:val="both"/>
        <w:rPr>
          <w:rFonts w:ascii="Arial" w:hAnsi="Arial" w:cs="Arial"/>
          <w:sz w:val="20"/>
          <w:szCs w:val="20"/>
        </w:rPr>
      </w:pPr>
    </w:p>
    <w:p w14:paraId="4AFB951A" w14:textId="77777777" w:rsidR="00C64361" w:rsidRDefault="00C64361" w:rsidP="00DB65D9">
      <w:pPr>
        <w:jc w:val="both"/>
        <w:rPr>
          <w:rFonts w:ascii="Arial" w:hAnsi="Arial" w:cs="Arial"/>
          <w:sz w:val="20"/>
          <w:szCs w:val="20"/>
        </w:rPr>
      </w:pPr>
    </w:p>
    <w:p w14:paraId="3093D68C" w14:textId="77777777" w:rsidR="00C64361" w:rsidRDefault="00C64361" w:rsidP="00DB65D9">
      <w:pPr>
        <w:jc w:val="both"/>
        <w:rPr>
          <w:rFonts w:ascii="Arial" w:hAnsi="Arial" w:cs="Arial"/>
          <w:sz w:val="20"/>
          <w:szCs w:val="20"/>
        </w:rPr>
      </w:pPr>
    </w:p>
    <w:p w14:paraId="329A7301" w14:textId="77777777" w:rsidR="00C64361" w:rsidRDefault="00C64361" w:rsidP="00DB65D9">
      <w:pPr>
        <w:jc w:val="both"/>
        <w:rPr>
          <w:rFonts w:ascii="Arial" w:hAnsi="Arial" w:cs="Arial"/>
          <w:sz w:val="20"/>
          <w:szCs w:val="20"/>
        </w:rPr>
      </w:pPr>
    </w:p>
    <w:p w14:paraId="6A3AC567" w14:textId="77777777" w:rsidR="00A75D00" w:rsidRPr="008F3623" w:rsidRDefault="009B0D2B" w:rsidP="00DB65D9">
      <w:pPr>
        <w:jc w:val="both"/>
        <w:rPr>
          <w:rFonts w:ascii="Arial" w:hAnsi="Arial" w:cs="Arial"/>
          <w:sz w:val="20"/>
          <w:szCs w:val="20"/>
        </w:rPr>
      </w:pPr>
      <w:r w:rsidRPr="008F3623">
        <w:rPr>
          <w:rFonts w:ascii="Arial" w:hAnsi="Arial" w:cs="Arial"/>
          <w:sz w:val="20"/>
          <w:szCs w:val="20"/>
        </w:rPr>
        <w:t>V izračun tega praga so vključeni tudi podatki subjektov, ki so v nadaljevanju izključeni za namene izračuna obveznosti povrhnjega davka.</w:t>
      </w:r>
      <w:r w:rsidR="00A75D00" w:rsidRPr="008F3623">
        <w:rPr>
          <w:rFonts w:ascii="Arial" w:hAnsi="Arial" w:cs="Arial"/>
          <w:sz w:val="20"/>
          <w:szCs w:val="20"/>
        </w:rPr>
        <w:t xml:space="preserve"> Prag oziroma pravilo, ki določa obseg, zagotavlja, da manjše skupine, vključno manjše domače skupine, ostanejo izven obsega sistema oziroma zanje ni učinka po tem zakonu. Pomembno je, da gre za številčno/po višini enak prag, kot je določen za namene poročanja po državah</w:t>
      </w:r>
      <w:r w:rsidR="003A1A95">
        <w:rPr>
          <w:rFonts w:ascii="Arial" w:hAnsi="Arial" w:cs="Arial"/>
          <w:sz w:val="20"/>
          <w:szCs w:val="20"/>
        </w:rPr>
        <w:t xml:space="preserve"> (</w:t>
      </w:r>
      <w:proofErr w:type="spellStart"/>
      <w:r w:rsidR="003A1A95">
        <w:rPr>
          <w:rFonts w:ascii="Arial" w:hAnsi="Arial" w:cs="Arial"/>
          <w:sz w:val="20"/>
          <w:szCs w:val="20"/>
        </w:rPr>
        <w:t>C</w:t>
      </w:r>
      <w:r w:rsidR="005D0919">
        <w:rPr>
          <w:rFonts w:ascii="Arial" w:hAnsi="Arial" w:cs="Arial"/>
          <w:sz w:val="20"/>
          <w:szCs w:val="20"/>
        </w:rPr>
        <w:t>b</w:t>
      </w:r>
      <w:r w:rsidR="003A1A95">
        <w:rPr>
          <w:rFonts w:ascii="Arial" w:hAnsi="Arial" w:cs="Arial"/>
          <w:sz w:val="20"/>
          <w:szCs w:val="20"/>
        </w:rPr>
        <w:t>C</w:t>
      </w:r>
      <w:r w:rsidR="005D0919">
        <w:rPr>
          <w:rFonts w:ascii="Arial" w:hAnsi="Arial" w:cs="Arial"/>
          <w:sz w:val="20"/>
          <w:szCs w:val="20"/>
        </w:rPr>
        <w:t>R</w:t>
      </w:r>
      <w:proofErr w:type="spellEnd"/>
      <w:r w:rsidR="003A1A95">
        <w:rPr>
          <w:rFonts w:ascii="Arial" w:hAnsi="Arial" w:cs="Arial"/>
          <w:sz w:val="20"/>
          <w:szCs w:val="20"/>
        </w:rPr>
        <w:t>)</w:t>
      </w:r>
      <w:r w:rsidR="00A75D00" w:rsidRPr="008F3623">
        <w:rPr>
          <w:rFonts w:ascii="Arial" w:hAnsi="Arial" w:cs="Arial"/>
          <w:sz w:val="20"/>
          <w:szCs w:val="20"/>
        </w:rPr>
        <w:t xml:space="preserve"> v navezi s čimer so se oblikovale tudi določene </w:t>
      </w:r>
      <w:r w:rsidR="003A1A95">
        <w:rPr>
          <w:rFonts w:ascii="Arial" w:hAnsi="Arial" w:cs="Arial"/>
          <w:sz w:val="20"/>
          <w:szCs w:val="20"/>
        </w:rPr>
        <w:t>(</w:t>
      </w:r>
      <w:r w:rsidR="00A75D00" w:rsidRPr="008F3623">
        <w:rPr>
          <w:rFonts w:ascii="Arial" w:hAnsi="Arial" w:cs="Arial"/>
          <w:sz w:val="20"/>
          <w:szCs w:val="20"/>
        </w:rPr>
        <w:t>prehodne</w:t>
      </w:r>
      <w:r w:rsidR="003A1A95">
        <w:rPr>
          <w:rFonts w:ascii="Arial" w:hAnsi="Arial" w:cs="Arial"/>
          <w:sz w:val="20"/>
          <w:szCs w:val="20"/>
        </w:rPr>
        <w:t>)</w:t>
      </w:r>
      <w:r w:rsidR="00A75D00" w:rsidRPr="008F3623">
        <w:rPr>
          <w:rFonts w:ascii="Arial" w:hAnsi="Arial" w:cs="Arial"/>
          <w:sz w:val="20"/>
          <w:szCs w:val="20"/>
        </w:rPr>
        <w:t xml:space="preserve"> rešitve varnih pristanov. Kljub vsemu pa prag ni določen identično s pragom za poročanje po državah</w:t>
      </w:r>
      <w:r w:rsidRPr="008F3623">
        <w:rPr>
          <w:rFonts w:ascii="Arial" w:hAnsi="Arial" w:cs="Arial"/>
          <w:sz w:val="20"/>
          <w:szCs w:val="20"/>
        </w:rPr>
        <w:t>, kar je pojasnjeno v nadaljevanju</w:t>
      </w:r>
      <w:r w:rsidR="00A75D00" w:rsidRPr="008F3623">
        <w:rPr>
          <w:rFonts w:ascii="Arial" w:hAnsi="Arial" w:cs="Arial"/>
          <w:sz w:val="20"/>
          <w:szCs w:val="20"/>
        </w:rPr>
        <w:t xml:space="preserve">. </w:t>
      </w:r>
    </w:p>
    <w:p w14:paraId="6BB3EAAA" w14:textId="6A959A6A" w:rsidR="009B0D2B" w:rsidRDefault="00D76E23" w:rsidP="00DB65D9">
      <w:pPr>
        <w:jc w:val="both"/>
        <w:rPr>
          <w:rFonts w:ascii="Arial" w:hAnsi="Arial" w:cs="Arial"/>
          <w:sz w:val="20"/>
          <w:szCs w:val="20"/>
        </w:rPr>
      </w:pPr>
      <w:r>
        <w:rPr>
          <w:rFonts w:ascii="Arial" w:hAnsi="Arial" w:cs="Arial"/>
          <w:noProof/>
          <w:sz w:val="20"/>
          <w:szCs w:val="20"/>
          <w:lang w:eastAsia="sl-SI"/>
        </w:rPr>
        <w:drawing>
          <wp:anchor distT="0" distB="0" distL="114300" distR="114300" simplePos="0" relativeHeight="251693056" behindDoc="0" locked="0" layoutInCell="1" allowOverlap="1" wp14:anchorId="3D588AEF" wp14:editId="12A0E802">
            <wp:simplePos x="0" y="0"/>
            <wp:positionH relativeFrom="column">
              <wp:posOffset>215355</wp:posOffset>
            </wp:positionH>
            <wp:positionV relativeFrom="paragraph">
              <wp:posOffset>604520</wp:posOffset>
            </wp:positionV>
            <wp:extent cx="5394325" cy="2753360"/>
            <wp:effectExtent l="0" t="0" r="0"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4325" cy="2753360"/>
                    </a:xfrm>
                    <a:prstGeom prst="rect">
                      <a:avLst/>
                    </a:prstGeom>
                    <a:noFill/>
                  </pic:spPr>
                </pic:pic>
              </a:graphicData>
            </a:graphic>
          </wp:anchor>
        </w:drawing>
      </w:r>
      <w:r w:rsidR="00A75D00" w:rsidRPr="008F3623">
        <w:rPr>
          <w:rFonts w:ascii="Arial" w:hAnsi="Arial" w:cs="Arial"/>
          <w:sz w:val="20"/>
          <w:szCs w:val="20"/>
        </w:rPr>
        <w:t xml:space="preserve">Prag oziroma preseganje praga ter posledično zapadlost pod ureditev iz zakona se ugotavlja v obdobju štirih let, </w:t>
      </w:r>
      <w:r w:rsidR="00A75D00" w:rsidRPr="008F3623">
        <w:rPr>
          <w:rFonts w:ascii="Arial" w:hAnsi="Arial" w:cs="Arial"/>
          <w:b/>
          <w:bCs/>
          <w:sz w:val="20"/>
          <w:szCs w:val="20"/>
        </w:rPr>
        <w:t>in sicer, če se prag presega v vsaj dveh od štirih poslovnih let neposredno pred preizkusnim poslovnim letom</w:t>
      </w:r>
      <w:r w:rsidR="00A75D00" w:rsidRPr="008F3623">
        <w:rPr>
          <w:rFonts w:ascii="Arial" w:hAnsi="Arial" w:cs="Arial"/>
          <w:sz w:val="20"/>
          <w:szCs w:val="20"/>
        </w:rPr>
        <w:t xml:space="preserve">. </w:t>
      </w:r>
      <w:r w:rsidR="009B0D2B" w:rsidRPr="008F3623">
        <w:rPr>
          <w:rFonts w:ascii="Arial" w:hAnsi="Arial" w:cs="Arial"/>
          <w:sz w:val="20"/>
          <w:szCs w:val="20"/>
        </w:rPr>
        <w:t>P</w:t>
      </w:r>
      <w:r w:rsidR="00A75D00" w:rsidRPr="008F3623">
        <w:rPr>
          <w:rFonts w:ascii="Arial" w:hAnsi="Arial" w:cs="Arial"/>
          <w:sz w:val="20"/>
          <w:szCs w:val="20"/>
        </w:rPr>
        <w:t>reizkusno leto</w:t>
      </w:r>
      <w:r w:rsidR="009B0D2B" w:rsidRPr="008F3623">
        <w:rPr>
          <w:rFonts w:ascii="Arial" w:hAnsi="Arial" w:cs="Arial"/>
          <w:sz w:val="20"/>
          <w:szCs w:val="20"/>
        </w:rPr>
        <w:t xml:space="preserve"> je določeno kot</w:t>
      </w:r>
      <w:r w:rsidR="00A75D00" w:rsidRPr="008F3623">
        <w:rPr>
          <w:rFonts w:ascii="Arial" w:hAnsi="Arial" w:cs="Arial"/>
          <w:sz w:val="20"/>
          <w:szCs w:val="20"/>
        </w:rPr>
        <w:t xml:space="preserve"> tekoče leto, v katerem se poroča v konsolidiranih izkazih in ne zapade pod štiriletno izračunavanje. Izključitev rezultata tekočega leta iz praga letnih prihodkov zagotavlja skupini vedenje, če spada v obseg tega zakona še pred začetkom tekočega leta. </w:t>
      </w:r>
      <w:r w:rsidR="003A1A95">
        <w:rPr>
          <w:rFonts w:ascii="Arial" w:hAnsi="Arial" w:cs="Arial"/>
          <w:sz w:val="20"/>
          <w:szCs w:val="20"/>
        </w:rPr>
        <w:t xml:space="preserve">V </w:t>
      </w:r>
      <w:r w:rsidR="009D1465">
        <w:rPr>
          <w:rFonts w:ascii="Arial" w:hAnsi="Arial" w:cs="Arial"/>
          <w:sz w:val="20"/>
          <w:szCs w:val="20"/>
        </w:rPr>
        <w:t>spodnjem</w:t>
      </w:r>
      <w:r w:rsidR="003A1A95">
        <w:rPr>
          <w:rFonts w:ascii="Arial" w:hAnsi="Arial" w:cs="Arial"/>
          <w:sz w:val="20"/>
          <w:szCs w:val="20"/>
        </w:rPr>
        <w:t xml:space="preserve"> poenostavljenem prikazu izpolnjevanja pogojev za prag bo tako skupina tudi v letu 2025 izpolnjevala pogoje za vključitev v sistem povrhnjega davka, četudi v letu 2024 ne bo presegla praga 750 mio konsolidiranih prihodkov. </w:t>
      </w:r>
    </w:p>
    <w:p w14:paraId="703E6B53" w14:textId="77777777" w:rsidR="003A1A95" w:rsidRDefault="003A1A95" w:rsidP="00DB65D9">
      <w:pPr>
        <w:jc w:val="both"/>
        <w:rPr>
          <w:rFonts w:ascii="Arial" w:hAnsi="Arial" w:cs="Arial"/>
          <w:sz w:val="20"/>
          <w:szCs w:val="20"/>
        </w:rPr>
      </w:pPr>
    </w:p>
    <w:p w14:paraId="25A83AD4" w14:textId="77777777" w:rsidR="003A1A95" w:rsidRDefault="003A1A95" w:rsidP="00DB65D9">
      <w:pPr>
        <w:jc w:val="both"/>
        <w:rPr>
          <w:rFonts w:ascii="Arial" w:hAnsi="Arial" w:cs="Arial"/>
          <w:sz w:val="20"/>
          <w:szCs w:val="20"/>
        </w:rPr>
      </w:pPr>
    </w:p>
    <w:p w14:paraId="41E58B3E" w14:textId="77777777" w:rsidR="003A1A95" w:rsidRDefault="003A1A95" w:rsidP="00DB65D9">
      <w:pPr>
        <w:jc w:val="both"/>
        <w:rPr>
          <w:rFonts w:ascii="Arial" w:hAnsi="Arial" w:cs="Arial"/>
          <w:sz w:val="20"/>
          <w:szCs w:val="20"/>
        </w:rPr>
      </w:pPr>
    </w:p>
    <w:p w14:paraId="1E1B9428" w14:textId="77777777" w:rsidR="003A1A95" w:rsidRDefault="003A1A95" w:rsidP="00DB65D9">
      <w:pPr>
        <w:jc w:val="both"/>
        <w:rPr>
          <w:rFonts w:ascii="Arial" w:hAnsi="Arial" w:cs="Arial"/>
          <w:sz w:val="20"/>
          <w:szCs w:val="20"/>
        </w:rPr>
      </w:pPr>
    </w:p>
    <w:p w14:paraId="230F72B6" w14:textId="77777777" w:rsidR="00C64361" w:rsidRDefault="00C64361" w:rsidP="00DB65D9">
      <w:pPr>
        <w:jc w:val="both"/>
        <w:rPr>
          <w:rFonts w:ascii="Arial" w:hAnsi="Arial" w:cs="Arial"/>
          <w:sz w:val="20"/>
          <w:szCs w:val="20"/>
        </w:rPr>
      </w:pPr>
    </w:p>
    <w:p w14:paraId="22B08217" w14:textId="77777777" w:rsidR="00C64361" w:rsidRDefault="00C64361" w:rsidP="00DB65D9">
      <w:pPr>
        <w:jc w:val="both"/>
        <w:rPr>
          <w:rFonts w:ascii="Arial" w:hAnsi="Arial" w:cs="Arial"/>
          <w:sz w:val="20"/>
          <w:szCs w:val="20"/>
        </w:rPr>
      </w:pPr>
    </w:p>
    <w:p w14:paraId="687B7B41" w14:textId="77777777" w:rsidR="00C64361" w:rsidRDefault="00C64361" w:rsidP="00DB65D9">
      <w:pPr>
        <w:jc w:val="both"/>
        <w:rPr>
          <w:rFonts w:ascii="Arial" w:hAnsi="Arial" w:cs="Arial"/>
          <w:sz w:val="20"/>
          <w:szCs w:val="20"/>
        </w:rPr>
      </w:pPr>
    </w:p>
    <w:p w14:paraId="643450B7" w14:textId="77777777" w:rsidR="00000E99" w:rsidRDefault="00000E99" w:rsidP="00DB65D9">
      <w:pPr>
        <w:jc w:val="both"/>
        <w:rPr>
          <w:rFonts w:ascii="Arial" w:hAnsi="Arial" w:cs="Arial"/>
          <w:sz w:val="20"/>
          <w:szCs w:val="20"/>
        </w:rPr>
      </w:pPr>
    </w:p>
    <w:p w14:paraId="46097018" w14:textId="77777777" w:rsidR="004078EC" w:rsidRDefault="004078EC" w:rsidP="004078EC">
      <w:pPr>
        <w:jc w:val="both"/>
        <w:rPr>
          <w:rFonts w:ascii="Arial" w:hAnsi="Arial" w:cs="Arial"/>
          <w:sz w:val="20"/>
          <w:szCs w:val="20"/>
        </w:rPr>
      </w:pPr>
      <w:r>
        <w:rPr>
          <w:rFonts w:ascii="Arial" w:hAnsi="Arial" w:cs="Arial"/>
          <w:sz w:val="20"/>
          <w:szCs w:val="20"/>
        </w:rPr>
        <w:t xml:space="preserve">V zvezi z nominalno določenim pragom, ki je izražen v valuti EUR je treba upoštevati tudi administrativne smernice iz februarja 2023, ki pojasnjujejo kako se iz drugih valut preračunavajo zneski, ki so v ZMD </w:t>
      </w:r>
      <w:r>
        <w:rPr>
          <w:rFonts w:ascii="Arial" w:hAnsi="Arial" w:cs="Arial"/>
          <w:sz w:val="20"/>
          <w:szCs w:val="20"/>
        </w:rPr>
        <w:lastRenderedPageBreak/>
        <w:t xml:space="preserve">izraženi v EUR. Preračun se opravi po naslednjem pravilu: </w:t>
      </w:r>
      <w:r w:rsidRPr="00D55C48">
        <w:rPr>
          <w:rFonts w:ascii="Arial" w:hAnsi="Arial" w:cs="Arial"/>
          <w:sz w:val="20"/>
          <w:szCs w:val="20"/>
        </w:rPr>
        <w:t>Tuji menjalni tečaj za vsako posamezno leto za namene določanja ustrezne meje, preveden v lokalno valuto, bo temeljil na povprečnem menjalnem tečaju za december koledarskega leta neposredno pred koledarskim letom, v katerem se začne prejšnje davčno leto."</w:t>
      </w:r>
      <w:r>
        <w:rPr>
          <w:rFonts w:ascii="Arial" w:hAnsi="Arial" w:cs="Arial"/>
          <w:sz w:val="20"/>
          <w:szCs w:val="20"/>
        </w:rPr>
        <w:t xml:space="preserve"> Delovanje tega pravila je prikazano na naslednjih primerih, v katerem se predpostavlja, da je relevantno (preizkusno) leto za ugotavljanje izpolnjevanja preseganja nominalnega praga leto 2024, kar pomeni:</w:t>
      </w:r>
    </w:p>
    <w:p w14:paraId="731E2CF8" w14:textId="77777777" w:rsidR="004078EC" w:rsidRPr="00D55C48" w:rsidRDefault="004078EC" w:rsidP="004078EC">
      <w:pPr>
        <w:jc w:val="both"/>
        <w:rPr>
          <w:rFonts w:ascii="Arial" w:hAnsi="Arial" w:cs="Arial"/>
          <w:sz w:val="20"/>
          <w:szCs w:val="20"/>
        </w:rPr>
      </w:pPr>
      <w:r w:rsidRPr="00D55C48">
        <w:rPr>
          <w:rFonts w:ascii="Arial" w:hAnsi="Arial" w:cs="Arial"/>
          <w:sz w:val="20"/>
          <w:szCs w:val="20"/>
        </w:rPr>
        <w:t>a. Za davčno leto 202</w:t>
      </w:r>
      <w:r>
        <w:rPr>
          <w:rFonts w:ascii="Arial" w:hAnsi="Arial" w:cs="Arial"/>
          <w:sz w:val="20"/>
          <w:szCs w:val="20"/>
        </w:rPr>
        <w:t>0</w:t>
      </w:r>
      <w:r w:rsidRPr="00D55C48">
        <w:rPr>
          <w:rFonts w:ascii="Arial" w:hAnsi="Arial" w:cs="Arial"/>
          <w:sz w:val="20"/>
          <w:szCs w:val="20"/>
        </w:rPr>
        <w:t xml:space="preserve"> – 750 milijonov evrov </w:t>
      </w:r>
      <w:r>
        <w:rPr>
          <w:rFonts w:ascii="Arial" w:hAnsi="Arial" w:cs="Arial"/>
          <w:sz w:val="20"/>
          <w:szCs w:val="20"/>
        </w:rPr>
        <w:t>preračunanih</w:t>
      </w:r>
      <w:r w:rsidRPr="00D55C48">
        <w:rPr>
          <w:rFonts w:ascii="Arial" w:hAnsi="Arial" w:cs="Arial"/>
          <w:sz w:val="20"/>
          <w:szCs w:val="20"/>
        </w:rPr>
        <w:t xml:space="preserve"> v lokalno valuto na podlagi povprečnega menjalnega tečaja za december 20</w:t>
      </w:r>
      <w:r>
        <w:rPr>
          <w:rFonts w:ascii="Arial" w:hAnsi="Arial" w:cs="Arial"/>
          <w:sz w:val="20"/>
          <w:szCs w:val="20"/>
        </w:rPr>
        <w:t>19</w:t>
      </w:r>
      <w:r w:rsidRPr="00D55C48">
        <w:rPr>
          <w:rFonts w:ascii="Arial" w:hAnsi="Arial" w:cs="Arial"/>
          <w:sz w:val="20"/>
          <w:szCs w:val="20"/>
        </w:rPr>
        <w:t xml:space="preserve">, določenega </w:t>
      </w:r>
      <w:r>
        <w:rPr>
          <w:rFonts w:ascii="Arial" w:hAnsi="Arial" w:cs="Arial"/>
          <w:sz w:val="20"/>
          <w:szCs w:val="20"/>
        </w:rPr>
        <w:t>z uporabo</w:t>
      </w:r>
      <w:r w:rsidRPr="00D55C48">
        <w:rPr>
          <w:rFonts w:ascii="Arial" w:hAnsi="Arial" w:cs="Arial"/>
          <w:sz w:val="20"/>
          <w:szCs w:val="20"/>
        </w:rPr>
        <w:t xml:space="preserve"> referenčnih tečajev</w:t>
      </w:r>
      <w:r>
        <w:rPr>
          <w:rFonts w:ascii="Arial" w:hAnsi="Arial" w:cs="Arial"/>
          <w:sz w:val="20"/>
          <w:szCs w:val="20"/>
        </w:rPr>
        <w:t xml:space="preserve"> tujih valut</w:t>
      </w:r>
      <w:r w:rsidRPr="00D55C48">
        <w:rPr>
          <w:rFonts w:ascii="Arial" w:hAnsi="Arial" w:cs="Arial"/>
          <w:sz w:val="20"/>
          <w:szCs w:val="20"/>
        </w:rPr>
        <w:t>, kot jih navaja Evropska centralna banka (ECB).</w:t>
      </w:r>
    </w:p>
    <w:p w14:paraId="67B027A5" w14:textId="77777777" w:rsidR="004078EC" w:rsidRPr="00D55C48" w:rsidRDefault="004078EC" w:rsidP="004078EC">
      <w:pPr>
        <w:jc w:val="both"/>
        <w:rPr>
          <w:rFonts w:ascii="Arial" w:hAnsi="Arial" w:cs="Arial"/>
          <w:sz w:val="20"/>
          <w:szCs w:val="20"/>
        </w:rPr>
      </w:pPr>
      <w:r w:rsidRPr="00D55C48">
        <w:rPr>
          <w:rFonts w:ascii="Arial" w:hAnsi="Arial" w:cs="Arial"/>
          <w:sz w:val="20"/>
          <w:szCs w:val="20"/>
        </w:rPr>
        <w:t>b. Za davčno leto 202</w:t>
      </w:r>
      <w:r>
        <w:rPr>
          <w:rFonts w:ascii="Arial" w:hAnsi="Arial" w:cs="Arial"/>
          <w:sz w:val="20"/>
          <w:szCs w:val="20"/>
        </w:rPr>
        <w:t>1</w:t>
      </w:r>
      <w:r w:rsidRPr="00D55C48">
        <w:rPr>
          <w:rFonts w:ascii="Arial" w:hAnsi="Arial" w:cs="Arial"/>
          <w:sz w:val="20"/>
          <w:szCs w:val="20"/>
        </w:rPr>
        <w:t xml:space="preserve"> – 750 milijonov evrov prevedenih v lokalno valuto na podlagi povprečnega menjalnega tečaja za december 202</w:t>
      </w:r>
      <w:r>
        <w:rPr>
          <w:rFonts w:ascii="Arial" w:hAnsi="Arial" w:cs="Arial"/>
          <w:sz w:val="20"/>
          <w:szCs w:val="20"/>
        </w:rPr>
        <w:t>0</w:t>
      </w:r>
      <w:r w:rsidRPr="00D55C48">
        <w:rPr>
          <w:rFonts w:ascii="Arial" w:hAnsi="Arial" w:cs="Arial"/>
          <w:sz w:val="20"/>
          <w:szCs w:val="20"/>
        </w:rPr>
        <w:t xml:space="preserve">, določenega </w:t>
      </w:r>
      <w:r>
        <w:rPr>
          <w:rFonts w:ascii="Arial" w:hAnsi="Arial" w:cs="Arial"/>
          <w:sz w:val="20"/>
          <w:szCs w:val="20"/>
        </w:rPr>
        <w:t>z uporabo</w:t>
      </w:r>
      <w:r w:rsidRPr="00D55C48">
        <w:rPr>
          <w:rFonts w:ascii="Arial" w:hAnsi="Arial" w:cs="Arial"/>
          <w:sz w:val="20"/>
          <w:szCs w:val="20"/>
        </w:rPr>
        <w:t xml:space="preserve"> referenčnih tečajev</w:t>
      </w:r>
      <w:r>
        <w:rPr>
          <w:rFonts w:ascii="Arial" w:hAnsi="Arial" w:cs="Arial"/>
          <w:sz w:val="20"/>
          <w:szCs w:val="20"/>
        </w:rPr>
        <w:t xml:space="preserve"> tujih valut</w:t>
      </w:r>
      <w:r w:rsidRPr="00D55C48">
        <w:rPr>
          <w:rFonts w:ascii="Arial" w:hAnsi="Arial" w:cs="Arial"/>
          <w:sz w:val="20"/>
          <w:szCs w:val="20"/>
        </w:rPr>
        <w:t>, kot jih navaja Evropska centralna banka (ECB).</w:t>
      </w:r>
    </w:p>
    <w:p w14:paraId="6BEDC107" w14:textId="77777777" w:rsidR="004078EC" w:rsidRPr="00D55C48" w:rsidRDefault="004078EC" w:rsidP="004078EC">
      <w:pPr>
        <w:jc w:val="both"/>
        <w:rPr>
          <w:rFonts w:ascii="Arial" w:hAnsi="Arial" w:cs="Arial"/>
          <w:sz w:val="20"/>
          <w:szCs w:val="20"/>
        </w:rPr>
      </w:pPr>
      <w:r w:rsidRPr="00D55C48">
        <w:rPr>
          <w:rFonts w:ascii="Arial" w:hAnsi="Arial" w:cs="Arial"/>
          <w:sz w:val="20"/>
          <w:szCs w:val="20"/>
        </w:rPr>
        <w:t>c. Za davčno leto 202</w:t>
      </w:r>
      <w:r>
        <w:rPr>
          <w:rFonts w:ascii="Arial" w:hAnsi="Arial" w:cs="Arial"/>
          <w:sz w:val="20"/>
          <w:szCs w:val="20"/>
        </w:rPr>
        <w:t>2</w:t>
      </w:r>
      <w:r w:rsidRPr="00D55C48">
        <w:rPr>
          <w:rFonts w:ascii="Arial" w:hAnsi="Arial" w:cs="Arial"/>
          <w:sz w:val="20"/>
          <w:szCs w:val="20"/>
        </w:rPr>
        <w:t xml:space="preserve"> – 750 milijonov evrov prevedenih v lokalno valuto na podlagi povprečnega menjalnega tečaja za december 202</w:t>
      </w:r>
      <w:r>
        <w:rPr>
          <w:rFonts w:ascii="Arial" w:hAnsi="Arial" w:cs="Arial"/>
          <w:sz w:val="20"/>
          <w:szCs w:val="20"/>
        </w:rPr>
        <w:t>1</w:t>
      </w:r>
      <w:r w:rsidRPr="00D55C48">
        <w:rPr>
          <w:rFonts w:ascii="Arial" w:hAnsi="Arial" w:cs="Arial"/>
          <w:sz w:val="20"/>
          <w:szCs w:val="20"/>
        </w:rPr>
        <w:t xml:space="preserve">, določenega </w:t>
      </w:r>
      <w:r>
        <w:rPr>
          <w:rFonts w:ascii="Arial" w:hAnsi="Arial" w:cs="Arial"/>
          <w:sz w:val="20"/>
          <w:szCs w:val="20"/>
        </w:rPr>
        <w:t>z uporabo</w:t>
      </w:r>
      <w:r w:rsidRPr="00D55C48">
        <w:rPr>
          <w:rFonts w:ascii="Arial" w:hAnsi="Arial" w:cs="Arial"/>
          <w:sz w:val="20"/>
          <w:szCs w:val="20"/>
        </w:rPr>
        <w:t xml:space="preserve"> referenčnih tečajev</w:t>
      </w:r>
      <w:r>
        <w:rPr>
          <w:rFonts w:ascii="Arial" w:hAnsi="Arial" w:cs="Arial"/>
          <w:sz w:val="20"/>
          <w:szCs w:val="20"/>
        </w:rPr>
        <w:t xml:space="preserve"> tujih valut</w:t>
      </w:r>
      <w:r w:rsidRPr="00D55C48">
        <w:rPr>
          <w:rFonts w:ascii="Arial" w:hAnsi="Arial" w:cs="Arial"/>
          <w:sz w:val="20"/>
          <w:szCs w:val="20"/>
        </w:rPr>
        <w:t>, kot jih navaja Evropska centralna banka (ECB).</w:t>
      </w:r>
    </w:p>
    <w:p w14:paraId="1B130C73" w14:textId="77777777" w:rsidR="004078EC" w:rsidRPr="00D55C48" w:rsidRDefault="004078EC" w:rsidP="004078EC">
      <w:pPr>
        <w:jc w:val="both"/>
        <w:rPr>
          <w:rFonts w:ascii="Arial" w:hAnsi="Arial" w:cs="Arial"/>
          <w:sz w:val="20"/>
          <w:szCs w:val="20"/>
        </w:rPr>
      </w:pPr>
      <w:r w:rsidRPr="00D55C48">
        <w:rPr>
          <w:rFonts w:ascii="Arial" w:hAnsi="Arial" w:cs="Arial"/>
          <w:sz w:val="20"/>
          <w:szCs w:val="20"/>
        </w:rPr>
        <w:t>d. Za davčno leto 202</w:t>
      </w:r>
      <w:r>
        <w:rPr>
          <w:rFonts w:ascii="Arial" w:hAnsi="Arial" w:cs="Arial"/>
          <w:sz w:val="20"/>
          <w:szCs w:val="20"/>
        </w:rPr>
        <w:t>3</w:t>
      </w:r>
      <w:r w:rsidRPr="00D55C48">
        <w:rPr>
          <w:rFonts w:ascii="Arial" w:hAnsi="Arial" w:cs="Arial"/>
          <w:sz w:val="20"/>
          <w:szCs w:val="20"/>
        </w:rPr>
        <w:t xml:space="preserve"> – 750 milijonov evrov prevedenih v lokalno valuto na podlagi povprečnega menjalnega tečaja za december 202</w:t>
      </w:r>
      <w:r>
        <w:rPr>
          <w:rFonts w:ascii="Arial" w:hAnsi="Arial" w:cs="Arial"/>
          <w:sz w:val="20"/>
          <w:szCs w:val="20"/>
        </w:rPr>
        <w:t>2</w:t>
      </w:r>
      <w:r w:rsidRPr="00D55C48">
        <w:rPr>
          <w:rFonts w:ascii="Arial" w:hAnsi="Arial" w:cs="Arial"/>
          <w:sz w:val="20"/>
          <w:szCs w:val="20"/>
        </w:rPr>
        <w:t xml:space="preserve">, določenega </w:t>
      </w:r>
      <w:r>
        <w:rPr>
          <w:rFonts w:ascii="Arial" w:hAnsi="Arial" w:cs="Arial"/>
          <w:sz w:val="20"/>
          <w:szCs w:val="20"/>
        </w:rPr>
        <w:t>z uporabo</w:t>
      </w:r>
      <w:r w:rsidRPr="00D55C48">
        <w:rPr>
          <w:rFonts w:ascii="Arial" w:hAnsi="Arial" w:cs="Arial"/>
          <w:sz w:val="20"/>
          <w:szCs w:val="20"/>
        </w:rPr>
        <w:t xml:space="preserve"> referenčnih tečajev</w:t>
      </w:r>
      <w:r>
        <w:rPr>
          <w:rFonts w:ascii="Arial" w:hAnsi="Arial" w:cs="Arial"/>
          <w:sz w:val="20"/>
          <w:szCs w:val="20"/>
        </w:rPr>
        <w:t xml:space="preserve"> tujih valut</w:t>
      </w:r>
      <w:r w:rsidRPr="00D55C48">
        <w:rPr>
          <w:rFonts w:ascii="Arial" w:hAnsi="Arial" w:cs="Arial"/>
          <w:sz w:val="20"/>
          <w:szCs w:val="20"/>
        </w:rPr>
        <w:t>, kot jih navaja Evropska centralna banka (ECB)</w:t>
      </w:r>
      <w:r>
        <w:rPr>
          <w:rFonts w:ascii="Arial" w:hAnsi="Arial" w:cs="Arial"/>
          <w:sz w:val="20"/>
          <w:szCs w:val="20"/>
        </w:rPr>
        <w:t>.</w:t>
      </w:r>
    </w:p>
    <w:p w14:paraId="44D168A0" w14:textId="77777777" w:rsidR="009B0D2B" w:rsidRPr="008F3623" w:rsidRDefault="009B0D2B" w:rsidP="00DB65D9">
      <w:pPr>
        <w:jc w:val="both"/>
        <w:rPr>
          <w:rFonts w:ascii="Arial" w:hAnsi="Arial" w:cs="Arial"/>
          <w:sz w:val="20"/>
          <w:szCs w:val="20"/>
        </w:rPr>
      </w:pPr>
      <w:r w:rsidRPr="008F3623">
        <w:rPr>
          <w:rFonts w:ascii="Arial" w:hAnsi="Arial" w:cs="Arial"/>
          <w:sz w:val="20"/>
          <w:szCs w:val="20"/>
        </w:rPr>
        <w:t>Zaradi različnih okoliščin poslovanja</w:t>
      </w:r>
      <w:r w:rsidR="00A75D00" w:rsidRPr="008F3623">
        <w:rPr>
          <w:rFonts w:ascii="Arial" w:hAnsi="Arial" w:cs="Arial"/>
          <w:sz w:val="20"/>
          <w:szCs w:val="20"/>
        </w:rPr>
        <w:t xml:space="preserve"> je</w:t>
      </w:r>
      <w:r w:rsidRPr="008F3623">
        <w:rPr>
          <w:rFonts w:ascii="Arial" w:hAnsi="Arial" w:cs="Arial"/>
          <w:sz w:val="20"/>
          <w:szCs w:val="20"/>
        </w:rPr>
        <w:t xml:space="preserve"> izrecno predpisana še</w:t>
      </w:r>
      <w:r w:rsidR="00A75D00" w:rsidRPr="008F3623">
        <w:rPr>
          <w:rFonts w:ascii="Arial" w:hAnsi="Arial" w:cs="Arial"/>
          <w:sz w:val="20"/>
          <w:szCs w:val="20"/>
        </w:rPr>
        <w:t xml:space="preserve"> rešitev v zvezi s pragom, če gre za primer poslovnih let, ki so krajša ali daljša od 12 mesecev.</w:t>
      </w:r>
      <w:r w:rsidRPr="008F3623">
        <w:rPr>
          <w:rFonts w:ascii="Arial" w:hAnsi="Arial" w:cs="Arial"/>
          <w:sz w:val="20"/>
          <w:szCs w:val="20"/>
        </w:rPr>
        <w:t xml:space="preserve"> Za te primere je d</w:t>
      </w:r>
      <w:r w:rsidR="00A75D00" w:rsidRPr="008F3623">
        <w:rPr>
          <w:rFonts w:ascii="Arial" w:hAnsi="Arial" w:cs="Arial"/>
          <w:sz w:val="20"/>
          <w:szCs w:val="20"/>
        </w:rPr>
        <w:t>oločena sorazmernost</w:t>
      </w:r>
      <w:r w:rsidRPr="008F3623">
        <w:rPr>
          <w:rFonts w:ascii="Arial" w:hAnsi="Arial" w:cs="Arial"/>
          <w:sz w:val="20"/>
          <w:szCs w:val="20"/>
        </w:rPr>
        <w:t>, in sicer tako, da če je eno ali več od štirih poslovnih let iz prvega odstavka tega člena daljše ali krajše od 12 mesecev, se prag prihodkov iz prvega odstavka tega člena sorazmerno prilagodi za vsako od teh poslovnih let</w:t>
      </w:r>
      <w:r w:rsidR="00A75D00" w:rsidRPr="008F3623">
        <w:rPr>
          <w:rFonts w:ascii="Arial" w:hAnsi="Arial" w:cs="Arial"/>
          <w:sz w:val="20"/>
          <w:szCs w:val="20"/>
        </w:rPr>
        <w:t xml:space="preserve">. </w:t>
      </w:r>
    </w:p>
    <w:p w14:paraId="30A79B97" w14:textId="77777777" w:rsidR="00C35EA5" w:rsidRPr="00110364" w:rsidRDefault="00C35EA5" w:rsidP="00110364">
      <w:pPr>
        <w:pStyle w:val="FURSnaslov2"/>
        <w:rPr>
          <w:i/>
          <w:iCs/>
          <w:sz w:val="20"/>
          <w:szCs w:val="20"/>
          <w:lang w:val="sl-SI"/>
        </w:rPr>
      </w:pPr>
      <w:bookmarkStart w:id="10" w:name="_Toc157425303"/>
      <w:r w:rsidRPr="00110364">
        <w:rPr>
          <w:i/>
          <w:iCs/>
          <w:sz w:val="20"/>
          <w:szCs w:val="20"/>
          <w:lang w:val="sl-SI"/>
        </w:rPr>
        <w:t>Primer 1</w:t>
      </w:r>
      <w:r w:rsidR="00FD1603" w:rsidRPr="00110364">
        <w:rPr>
          <w:i/>
          <w:iCs/>
          <w:sz w:val="20"/>
          <w:szCs w:val="20"/>
          <w:lang w:val="sl-SI"/>
        </w:rPr>
        <w:t xml:space="preserve"> – sorazmerni pripis prihodka</w:t>
      </w:r>
      <w:bookmarkEnd w:id="10"/>
    </w:p>
    <w:p w14:paraId="2908C50D" w14:textId="77777777" w:rsidR="00C35EA5" w:rsidRPr="008F3623" w:rsidRDefault="00C35EA5" w:rsidP="00DB65D9">
      <w:pPr>
        <w:jc w:val="both"/>
        <w:rPr>
          <w:rFonts w:ascii="Arial" w:hAnsi="Arial" w:cs="Arial"/>
          <w:i/>
          <w:iCs/>
          <w:sz w:val="20"/>
          <w:szCs w:val="20"/>
        </w:rPr>
      </w:pPr>
      <w:r w:rsidRPr="008F3623">
        <w:rPr>
          <w:rFonts w:ascii="Arial" w:hAnsi="Arial" w:cs="Arial"/>
          <w:i/>
          <w:iCs/>
          <w:sz w:val="20"/>
          <w:szCs w:val="20"/>
        </w:rPr>
        <w:t>Na primer, če davčno leto skupine MNE obsega 9 mesecev, lahko lokalni davčni organ zahteva, da se prag prihodka ustrezno zmanjša za četrtino, da zajame sorazmerno količino prihodka v 9-mesečnem obdobju, kar znaša 562,5 milijona evrov (750 milijonov evrov / 12 x 9). Da bi dosegli enak rezultat, se lahko konsolidirani prihodek skupine prilagodi navzgor na pro-rata osnovi, da odraža konsolidirani prihodek skupine, ki ustreza 12-mesečnemu davčnemu letu. Na primer, če davčno leto skupine MNE obsega 9 mesecev in je konsolidirani prihodek za to obdobje 562,5 milijona evrov, lahko lokalni davčni organ zahteva, da se prihodek poveča na osnovi razmerja med številom mesecev v letu in 12. V tem primeru bi bil konsolidirani prihodek skupine MNE za leto za namene uporabe praga 750 milijonov evrov (= 562,5 milijona evrov / [9/12]).</w:t>
      </w:r>
    </w:p>
    <w:p w14:paraId="507C4B5A" w14:textId="77777777" w:rsidR="00DB2C18" w:rsidRPr="008F3623" w:rsidRDefault="009B0D2B" w:rsidP="00DB2C18">
      <w:pPr>
        <w:tabs>
          <w:tab w:val="num" w:pos="720"/>
        </w:tabs>
        <w:jc w:val="both"/>
        <w:rPr>
          <w:rFonts w:ascii="Arial" w:hAnsi="Arial" w:cs="Arial"/>
          <w:sz w:val="20"/>
          <w:szCs w:val="20"/>
        </w:rPr>
      </w:pPr>
      <w:r w:rsidRPr="008F3623">
        <w:rPr>
          <w:rFonts w:ascii="Arial" w:hAnsi="Arial" w:cs="Arial"/>
          <w:sz w:val="20"/>
          <w:szCs w:val="20"/>
        </w:rPr>
        <w:t xml:space="preserve">Izračunavanje praga je specifično opredeljena še za primere, </w:t>
      </w:r>
      <w:r w:rsidRPr="008E5587">
        <w:rPr>
          <w:rFonts w:ascii="Arial" w:hAnsi="Arial" w:cs="Arial"/>
          <w:b/>
          <w:bCs/>
          <w:sz w:val="20"/>
          <w:szCs w:val="20"/>
        </w:rPr>
        <w:t xml:space="preserve">ko pride do statusnih sprememb </w:t>
      </w:r>
      <w:r w:rsidR="003F4EE0" w:rsidRPr="008E5587">
        <w:rPr>
          <w:rFonts w:ascii="Arial" w:hAnsi="Arial" w:cs="Arial"/>
          <w:b/>
          <w:bCs/>
          <w:sz w:val="20"/>
          <w:szCs w:val="20"/>
        </w:rPr>
        <w:t>oziroma sprememb v sestavi skupine</w:t>
      </w:r>
      <w:r w:rsidR="008E5587">
        <w:rPr>
          <w:rFonts w:ascii="Arial" w:hAnsi="Arial" w:cs="Arial"/>
          <w:b/>
          <w:bCs/>
          <w:sz w:val="20"/>
          <w:szCs w:val="20"/>
        </w:rPr>
        <w:t xml:space="preserve"> (44. člen ZMD)</w:t>
      </w:r>
      <w:r w:rsidR="003F4EE0" w:rsidRPr="008E5587">
        <w:rPr>
          <w:rFonts w:ascii="Arial" w:hAnsi="Arial" w:cs="Arial"/>
          <w:b/>
          <w:bCs/>
          <w:sz w:val="20"/>
          <w:szCs w:val="20"/>
        </w:rPr>
        <w:t>.</w:t>
      </w:r>
      <w:r w:rsidR="003F4EE0" w:rsidRPr="008F3623">
        <w:rPr>
          <w:rFonts w:ascii="Arial" w:hAnsi="Arial" w:cs="Arial"/>
          <w:sz w:val="20"/>
          <w:szCs w:val="20"/>
        </w:rPr>
        <w:t xml:space="preserve"> V nekaterih omejenih primerih zato konsolidirana finančna poročila morda niso na voljo v zvezi s štirimi davčnimi leti takoj pred preizkusnim davčnim letom. To se lahko zgodi, ker subjekti v sestavi skupine morda niso dolgo obstajali, tako da ni finančnih poročil za te subjekte v prejšnjih letih, ali pa zato, ker so subjekti, ki sestavljajo skupino, pred preizku</w:t>
      </w:r>
      <w:r w:rsidR="00DB2C18" w:rsidRPr="008F3623">
        <w:rPr>
          <w:rFonts w:ascii="Arial" w:hAnsi="Arial" w:cs="Arial"/>
          <w:sz w:val="20"/>
          <w:szCs w:val="20"/>
        </w:rPr>
        <w:t>snim</w:t>
      </w:r>
      <w:r w:rsidR="003F4EE0" w:rsidRPr="008F3623">
        <w:rPr>
          <w:rFonts w:ascii="Arial" w:hAnsi="Arial" w:cs="Arial"/>
          <w:sz w:val="20"/>
          <w:szCs w:val="20"/>
        </w:rPr>
        <w:t xml:space="preserve"> davčnim letom delovali kot samostojni subjekti, ki niso bili dolžni konsolidirati</w:t>
      </w:r>
      <w:r w:rsidR="00DB2C18" w:rsidRPr="008F3623">
        <w:rPr>
          <w:rFonts w:ascii="Arial" w:hAnsi="Arial" w:cs="Arial"/>
          <w:sz w:val="20"/>
          <w:szCs w:val="20"/>
        </w:rPr>
        <w:t>. Pravila ZMD to urejajo na naslednji način: k</w:t>
      </w:r>
      <w:r w:rsidR="003F4EE0" w:rsidRPr="008F3623">
        <w:rPr>
          <w:rFonts w:ascii="Arial" w:hAnsi="Arial" w:cs="Arial"/>
          <w:sz w:val="20"/>
          <w:szCs w:val="20"/>
        </w:rPr>
        <w:t>o se subjekt prinese pod skupni nadzor z drugim subjektom, da bi oblikovala skupino, se konsolidirani prag prihodka za prejšnje leto izpolni, če je vsota prihodkov v finančnih izjavah vsakega subjekta enaka ali večja od 750 milijonov evrov.</w:t>
      </w:r>
      <w:r w:rsidR="00DB2C18" w:rsidRPr="008F3623">
        <w:rPr>
          <w:rFonts w:ascii="Arial" w:hAnsi="Arial" w:cs="Arial"/>
          <w:sz w:val="20"/>
          <w:szCs w:val="20"/>
        </w:rPr>
        <w:t xml:space="preserve"> </w:t>
      </w:r>
    </w:p>
    <w:p w14:paraId="4B63AE69" w14:textId="77777777" w:rsidR="003F4EE0" w:rsidRDefault="003F4EE0" w:rsidP="00DB2C18">
      <w:pPr>
        <w:tabs>
          <w:tab w:val="num" w:pos="720"/>
        </w:tabs>
        <w:jc w:val="both"/>
        <w:rPr>
          <w:rFonts w:ascii="Arial" w:hAnsi="Arial" w:cs="Arial"/>
          <w:sz w:val="20"/>
          <w:szCs w:val="20"/>
        </w:rPr>
      </w:pPr>
      <w:r w:rsidRPr="008F3623">
        <w:rPr>
          <w:rFonts w:ascii="Arial" w:hAnsi="Arial" w:cs="Arial"/>
          <w:sz w:val="20"/>
          <w:szCs w:val="20"/>
        </w:rPr>
        <w:t>V primerih, ko so subjekti, ki sestavljajo skupino, bili nedavno ust</w:t>
      </w:r>
      <w:r w:rsidR="00864B12">
        <w:rPr>
          <w:rFonts w:ascii="Arial" w:hAnsi="Arial" w:cs="Arial"/>
          <w:sz w:val="20"/>
          <w:szCs w:val="20"/>
        </w:rPr>
        <w:t>anovljeni</w:t>
      </w:r>
      <w:r w:rsidRPr="008F3623">
        <w:rPr>
          <w:rFonts w:ascii="Arial" w:hAnsi="Arial" w:cs="Arial"/>
          <w:sz w:val="20"/>
          <w:szCs w:val="20"/>
        </w:rPr>
        <w:t xml:space="preserve">, tako da ni finančnih </w:t>
      </w:r>
      <w:r w:rsidR="00DB2C18" w:rsidRPr="008F3623">
        <w:rPr>
          <w:rFonts w:ascii="Arial" w:hAnsi="Arial" w:cs="Arial"/>
          <w:sz w:val="20"/>
          <w:szCs w:val="20"/>
        </w:rPr>
        <w:t>poročil</w:t>
      </w:r>
      <w:r w:rsidRPr="008F3623">
        <w:rPr>
          <w:rFonts w:ascii="Arial" w:hAnsi="Arial" w:cs="Arial"/>
          <w:sz w:val="20"/>
          <w:szCs w:val="20"/>
        </w:rPr>
        <w:t xml:space="preserve"> za skupino v prejšnjih letih, je tretje leto prvo leto, v katerem se lahko uporabljajo pravila </w:t>
      </w:r>
      <w:proofErr w:type="spellStart"/>
      <w:r w:rsidRPr="008F3623">
        <w:rPr>
          <w:rFonts w:ascii="Arial" w:hAnsi="Arial" w:cs="Arial"/>
          <w:sz w:val="20"/>
          <w:szCs w:val="20"/>
        </w:rPr>
        <w:t>GloBE</w:t>
      </w:r>
      <w:proofErr w:type="spellEnd"/>
      <w:r w:rsidRPr="008F3623">
        <w:rPr>
          <w:rFonts w:ascii="Arial" w:hAnsi="Arial" w:cs="Arial"/>
          <w:sz w:val="20"/>
          <w:szCs w:val="20"/>
        </w:rPr>
        <w:t xml:space="preserve">, saj bo takrat obstajalo dve prejšnji leti za preizkus. Če se prag prihodka izpolni za dve prejšnji leti, bo skupina v obsegu pravil </w:t>
      </w:r>
      <w:proofErr w:type="spellStart"/>
      <w:r w:rsidRPr="008F3623">
        <w:rPr>
          <w:rFonts w:ascii="Arial" w:hAnsi="Arial" w:cs="Arial"/>
          <w:sz w:val="20"/>
          <w:szCs w:val="20"/>
        </w:rPr>
        <w:t>GloBE</w:t>
      </w:r>
      <w:proofErr w:type="spellEnd"/>
      <w:r w:rsidRPr="008F3623">
        <w:rPr>
          <w:rFonts w:ascii="Arial" w:hAnsi="Arial" w:cs="Arial"/>
          <w:sz w:val="20"/>
          <w:szCs w:val="20"/>
        </w:rPr>
        <w:t xml:space="preserve"> v tretjem letu, ne glede na to, da skupina nima štirih prejšnjih let konsolidiranih finančnih izjav.</w:t>
      </w:r>
    </w:p>
    <w:p w14:paraId="4A26CF81" w14:textId="77777777" w:rsidR="00101D1E" w:rsidRPr="00E72C21" w:rsidRDefault="00101D1E" w:rsidP="0028454A">
      <w:pPr>
        <w:pStyle w:val="FURSnaslov2"/>
        <w:rPr>
          <w:i/>
          <w:iCs/>
          <w:sz w:val="20"/>
          <w:szCs w:val="20"/>
          <w:lang w:val="sl-SI"/>
        </w:rPr>
      </w:pPr>
    </w:p>
    <w:p w14:paraId="4DF36E24" w14:textId="77777777" w:rsidR="00101D1E" w:rsidRPr="00E72C21" w:rsidRDefault="00101D1E" w:rsidP="0028454A">
      <w:pPr>
        <w:pStyle w:val="FURSnaslov2"/>
        <w:rPr>
          <w:i/>
          <w:iCs/>
          <w:sz w:val="20"/>
          <w:szCs w:val="20"/>
          <w:lang w:val="sl-SI"/>
        </w:rPr>
      </w:pPr>
    </w:p>
    <w:p w14:paraId="0ED53299" w14:textId="77777777" w:rsidR="0028454A" w:rsidRPr="00FD1603" w:rsidRDefault="0028454A" w:rsidP="0028454A">
      <w:pPr>
        <w:pStyle w:val="FURSnaslov2"/>
        <w:rPr>
          <w:i/>
          <w:iCs/>
          <w:sz w:val="20"/>
          <w:szCs w:val="20"/>
        </w:rPr>
      </w:pPr>
      <w:bookmarkStart w:id="11" w:name="_Toc157425304"/>
      <w:r w:rsidRPr="00FD1603">
        <w:rPr>
          <w:i/>
          <w:iCs/>
          <w:sz w:val="20"/>
          <w:szCs w:val="20"/>
        </w:rPr>
        <w:lastRenderedPageBreak/>
        <w:t xml:space="preserve">Primer 2 – </w:t>
      </w:r>
      <w:proofErr w:type="spellStart"/>
      <w:r w:rsidRPr="00FD1603">
        <w:rPr>
          <w:i/>
          <w:iCs/>
          <w:sz w:val="20"/>
          <w:szCs w:val="20"/>
        </w:rPr>
        <w:t>prag</w:t>
      </w:r>
      <w:proofErr w:type="spellEnd"/>
      <w:r w:rsidRPr="00FD1603">
        <w:rPr>
          <w:i/>
          <w:iCs/>
          <w:sz w:val="20"/>
          <w:szCs w:val="20"/>
        </w:rPr>
        <w:t xml:space="preserve"> za </w:t>
      </w:r>
      <w:proofErr w:type="spellStart"/>
      <w:r w:rsidRPr="00FD1603">
        <w:rPr>
          <w:i/>
          <w:iCs/>
          <w:sz w:val="20"/>
          <w:szCs w:val="20"/>
        </w:rPr>
        <w:t>nedavno</w:t>
      </w:r>
      <w:proofErr w:type="spellEnd"/>
      <w:r w:rsidRPr="00FD1603">
        <w:rPr>
          <w:i/>
          <w:iCs/>
          <w:sz w:val="20"/>
          <w:szCs w:val="20"/>
        </w:rPr>
        <w:t xml:space="preserve"> </w:t>
      </w:r>
      <w:proofErr w:type="spellStart"/>
      <w:r w:rsidRPr="00FD1603">
        <w:rPr>
          <w:i/>
          <w:iCs/>
          <w:sz w:val="20"/>
          <w:szCs w:val="20"/>
        </w:rPr>
        <w:t>ustvarjene</w:t>
      </w:r>
      <w:proofErr w:type="spellEnd"/>
      <w:r w:rsidRPr="00FD1603">
        <w:rPr>
          <w:i/>
          <w:iCs/>
          <w:sz w:val="20"/>
          <w:szCs w:val="20"/>
        </w:rPr>
        <w:t xml:space="preserve"> </w:t>
      </w:r>
      <w:proofErr w:type="spellStart"/>
      <w:r w:rsidRPr="00FD1603">
        <w:rPr>
          <w:i/>
          <w:iCs/>
          <w:sz w:val="20"/>
          <w:szCs w:val="20"/>
        </w:rPr>
        <w:t>skupine</w:t>
      </w:r>
      <w:bookmarkEnd w:id="11"/>
      <w:proofErr w:type="spellEnd"/>
    </w:p>
    <w:p w14:paraId="2402D10E" w14:textId="77777777" w:rsidR="0028454A" w:rsidRDefault="0028454A" w:rsidP="0028454A">
      <w:pPr>
        <w:jc w:val="both"/>
        <w:rPr>
          <w:rFonts w:ascii="Arial" w:hAnsi="Arial" w:cs="Arial"/>
          <w:i/>
          <w:iCs/>
          <w:sz w:val="20"/>
          <w:szCs w:val="20"/>
        </w:rPr>
      </w:pPr>
      <w:r w:rsidRPr="008F3623">
        <w:rPr>
          <w:rFonts w:ascii="Arial" w:hAnsi="Arial" w:cs="Arial"/>
          <w:i/>
          <w:iCs/>
          <w:sz w:val="20"/>
          <w:szCs w:val="20"/>
        </w:rPr>
        <w:t xml:space="preserve">Na primer, v letu 1 sta družbi A Co in B Co ustanovljeni in oblikujeta skupino AB. Pripravljene so konsolidirane finančne izjave za skupino AB. V letih 1 in 2 ima skupina AB konsolidiran prihodek v višini 750 milijonov evrov. V tem primeru skupina AB v letih 1 in 2 ni v obsegu pravil </w:t>
      </w:r>
      <w:proofErr w:type="spellStart"/>
      <w:r w:rsidRPr="008F3623">
        <w:rPr>
          <w:rFonts w:ascii="Arial" w:hAnsi="Arial" w:cs="Arial"/>
          <w:i/>
          <w:iCs/>
          <w:sz w:val="20"/>
          <w:szCs w:val="20"/>
        </w:rPr>
        <w:t>GloBE</w:t>
      </w:r>
      <w:proofErr w:type="spellEnd"/>
      <w:r w:rsidRPr="008F3623">
        <w:rPr>
          <w:rFonts w:ascii="Arial" w:hAnsi="Arial" w:cs="Arial"/>
          <w:i/>
          <w:iCs/>
          <w:sz w:val="20"/>
          <w:szCs w:val="20"/>
        </w:rPr>
        <w:t>, ker pravila po ZMD zahtevajo, da ima skupina AB konsolidirane prihodke v višini 750 milijonov evrov ali več v vsaj dveh od štirih davčnih let, ki so pred preizkušenim davčnim letom. V letu 3 je prag konsolidiranega prihodka izpolnjen, ker v konsolidiranem prihodku skupine AB znaša 750 milijonov evrov dve davčni leti pred preizkušenim davčnim letom (leto 3).</w:t>
      </w:r>
    </w:p>
    <w:p w14:paraId="1B1AC5C7" w14:textId="77777777" w:rsidR="0028454A" w:rsidRPr="0028454A" w:rsidRDefault="0028454A" w:rsidP="0028454A">
      <w:pPr>
        <w:tabs>
          <w:tab w:val="num" w:pos="720"/>
        </w:tabs>
        <w:jc w:val="both"/>
        <w:rPr>
          <w:rFonts w:ascii="Arial" w:hAnsi="Arial" w:cs="Arial"/>
          <w:sz w:val="20"/>
          <w:szCs w:val="20"/>
        </w:rPr>
      </w:pPr>
      <w:r>
        <w:rPr>
          <w:rFonts w:ascii="Arial" w:hAnsi="Arial" w:cs="Arial"/>
          <w:sz w:val="20"/>
          <w:szCs w:val="20"/>
        </w:rPr>
        <w:t>V primerih, ko</w:t>
      </w:r>
      <w:r w:rsidRPr="0028454A">
        <w:rPr>
          <w:rFonts w:ascii="Arial" w:hAnsi="Arial" w:cs="Arial"/>
          <w:sz w:val="20"/>
          <w:szCs w:val="20"/>
        </w:rPr>
        <w:t xml:space="preserve"> se po tem zakonu ena mednarodna skupina podjetij ali velika domača skupina</w:t>
      </w:r>
      <w:r>
        <w:rPr>
          <w:rFonts w:ascii="Arial" w:hAnsi="Arial" w:cs="Arial"/>
          <w:sz w:val="20"/>
          <w:szCs w:val="20"/>
        </w:rPr>
        <w:t xml:space="preserve"> </w:t>
      </w:r>
      <w:r w:rsidRPr="0028454A">
        <w:rPr>
          <w:rFonts w:ascii="Arial" w:hAnsi="Arial" w:cs="Arial"/>
          <w:sz w:val="20"/>
          <w:szCs w:val="20"/>
        </w:rPr>
        <w:t>razdruži v dve skupini ali več skupin (vsaka od teh skupin je v nadaljnjem besedilu:</w:t>
      </w:r>
      <w:r>
        <w:rPr>
          <w:rFonts w:ascii="Arial" w:hAnsi="Arial" w:cs="Arial"/>
          <w:sz w:val="20"/>
          <w:szCs w:val="20"/>
        </w:rPr>
        <w:t xml:space="preserve"> </w:t>
      </w:r>
      <w:r w:rsidRPr="0028454A">
        <w:rPr>
          <w:rFonts w:ascii="Arial" w:hAnsi="Arial" w:cs="Arial"/>
          <w:sz w:val="20"/>
          <w:szCs w:val="20"/>
        </w:rPr>
        <w:t>razdružena skupina), se šteje, da razdružena skupina doseže prag konsolidiranih</w:t>
      </w:r>
      <w:r>
        <w:rPr>
          <w:rFonts w:ascii="Arial" w:hAnsi="Arial" w:cs="Arial"/>
          <w:sz w:val="20"/>
          <w:szCs w:val="20"/>
        </w:rPr>
        <w:t xml:space="preserve"> </w:t>
      </w:r>
      <w:r w:rsidRPr="0028454A">
        <w:rPr>
          <w:rFonts w:ascii="Arial" w:hAnsi="Arial" w:cs="Arial"/>
          <w:sz w:val="20"/>
          <w:szCs w:val="20"/>
        </w:rPr>
        <w:t>prihodkov:</w:t>
      </w:r>
    </w:p>
    <w:p w14:paraId="6D2225E7" w14:textId="77777777" w:rsidR="0028454A" w:rsidRPr="0028454A" w:rsidRDefault="0028454A" w:rsidP="0028454A">
      <w:pPr>
        <w:tabs>
          <w:tab w:val="num" w:pos="720"/>
        </w:tabs>
        <w:jc w:val="both"/>
        <w:rPr>
          <w:rFonts w:ascii="Arial" w:hAnsi="Arial" w:cs="Arial"/>
          <w:sz w:val="20"/>
          <w:szCs w:val="20"/>
        </w:rPr>
      </w:pPr>
      <w:r w:rsidRPr="0028454A">
        <w:rPr>
          <w:rFonts w:ascii="Arial" w:hAnsi="Arial" w:cs="Arial"/>
          <w:sz w:val="20"/>
          <w:szCs w:val="20"/>
        </w:rPr>
        <w:t>1. v zvezi s prvim preizkusnim poslovnim letom, ki se konča po razdružitvi, če ima</w:t>
      </w:r>
      <w:r>
        <w:rPr>
          <w:rFonts w:ascii="Arial" w:hAnsi="Arial" w:cs="Arial"/>
          <w:sz w:val="20"/>
          <w:szCs w:val="20"/>
        </w:rPr>
        <w:t xml:space="preserve"> </w:t>
      </w:r>
      <w:r w:rsidRPr="0028454A">
        <w:rPr>
          <w:rFonts w:ascii="Arial" w:hAnsi="Arial" w:cs="Arial"/>
          <w:sz w:val="20"/>
          <w:szCs w:val="20"/>
        </w:rPr>
        <w:t>v tem poslovnem letu razdružena skupina letni prihodek v višini 750.000.000 eurov</w:t>
      </w:r>
      <w:r>
        <w:rPr>
          <w:rFonts w:ascii="Arial" w:hAnsi="Arial" w:cs="Arial"/>
          <w:sz w:val="20"/>
          <w:szCs w:val="20"/>
        </w:rPr>
        <w:t xml:space="preserve"> </w:t>
      </w:r>
      <w:r w:rsidRPr="0028454A">
        <w:rPr>
          <w:rFonts w:ascii="Arial" w:hAnsi="Arial" w:cs="Arial"/>
          <w:sz w:val="20"/>
          <w:szCs w:val="20"/>
        </w:rPr>
        <w:t>ali več;</w:t>
      </w:r>
    </w:p>
    <w:p w14:paraId="5214FB1D" w14:textId="77777777" w:rsidR="0028454A" w:rsidRDefault="0028454A" w:rsidP="0028454A">
      <w:pPr>
        <w:tabs>
          <w:tab w:val="num" w:pos="720"/>
        </w:tabs>
        <w:jc w:val="both"/>
        <w:rPr>
          <w:rFonts w:ascii="Arial" w:hAnsi="Arial" w:cs="Arial"/>
          <w:sz w:val="20"/>
          <w:szCs w:val="20"/>
        </w:rPr>
      </w:pPr>
      <w:r w:rsidRPr="0028454A">
        <w:rPr>
          <w:rFonts w:ascii="Arial" w:hAnsi="Arial" w:cs="Arial"/>
          <w:sz w:val="20"/>
          <w:szCs w:val="20"/>
        </w:rPr>
        <w:t>2. v zvezi z drugim do četrtim preizkusnim poslovnim letom, ki se konča po razdružitvi,</w:t>
      </w:r>
      <w:r>
        <w:rPr>
          <w:rFonts w:ascii="Arial" w:hAnsi="Arial" w:cs="Arial"/>
          <w:sz w:val="20"/>
          <w:szCs w:val="20"/>
        </w:rPr>
        <w:t xml:space="preserve"> </w:t>
      </w:r>
      <w:r w:rsidRPr="0028454A">
        <w:rPr>
          <w:rFonts w:ascii="Arial" w:hAnsi="Arial" w:cs="Arial"/>
          <w:sz w:val="20"/>
          <w:szCs w:val="20"/>
        </w:rPr>
        <w:t>če ima razdružena skupina v vsaj dveh od teh poslovnih let letni prihodek v višini</w:t>
      </w:r>
      <w:r>
        <w:rPr>
          <w:rFonts w:ascii="Arial" w:hAnsi="Arial" w:cs="Arial"/>
          <w:sz w:val="20"/>
          <w:szCs w:val="20"/>
        </w:rPr>
        <w:t xml:space="preserve"> </w:t>
      </w:r>
      <w:r w:rsidRPr="0028454A">
        <w:rPr>
          <w:rFonts w:ascii="Arial" w:hAnsi="Arial" w:cs="Arial"/>
          <w:sz w:val="20"/>
          <w:szCs w:val="20"/>
        </w:rPr>
        <w:t>750.000.000 eurov ali več</w:t>
      </w:r>
      <w:r w:rsidR="00F01BF5">
        <w:rPr>
          <w:rFonts w:ascii="Arial" w:hAnsi="Arial" w:cs="Arial"/>
          <w:sz w:val="20"/>
          <w:szCs w:val="20"/>
        </w:rPr>
        <w:t>.</w:t>
      </w:r>
    </w:p>
    <w:p w14:paraId="09F26C78" w14:textId="77777777" w:rsidR="00F01BF5" w:rsidRPr="008F3623" w:rsidRDefault="00F01BF5" w:rsidP="0028454A">
      <w:pPr>
        <w:tabs>
          <w:tab w:val="num" w:pos="720"/>
        </w:tabs>
        <w:jc w:val="both"/>
        <w:rPr>
          <w:rFonts w:ascii="Arial" w:hAnsi="Arial" w:cs="Arial"/>
          <w:sz w:val="20"/>
          <w:szCs w:val="20"/>
        </w:rPr>
      </w:pPr>
      <w:r w:rsidRPr="00F01BF5">
        <w:rPr>
          <w:rFonts w:ascii="Arial" w:hAnsi="Arial" w:cs="Arial"/>
          <w:sz w:val="20"/>
          <w:szCs w:val="20"/>
        </w:rPr>
        <w:t>Pravila v</w:t>
      </w:r>
      <w:r>
        <w:rPr>
          <w:rFonts w:ascii="Arial" w:hAnsi="Arial" w:cs="Arial"/>
          <w:sz w:val="20"/>
          <w:szCs w:val="20"/>
        </w:rPr>
        <w:t xml:space="preserve"> zvezi z razdružitvami</w:t>
      </w:r>
      <w:r w:rsidRPr="00F01BF5">
        <w:rPr>
          <w:rFonts w:ascii="Arial" w:hAnsi="Arial" w:cs="Arial"/>
          <w:sz w:val="20"/>
          <w:szCs w:val="20"/>
        </w:rPr>
        <w:t xml:space="preserve"> so namenjena zagotavljanju, da vsaka skupina, ki nastane po </w:t>
      </w:r>
      <w:r>
        <w:rPr>
          <w:rFonts w:ascii="Arial" w:hAnsi="Arial" w:cs="Arial"/>
          <w:sz w:val="20"/>
          <w:szCs w:val="20"/>
        </w:rPr>
        <w:t>razdružitvi</w:t>
      </w:r>
      <w:r w:rsidRPr="00F01BF5">
        <w:rPr>
          <w:rFonts w:ascii="Arial" w:hAnsi="Arial" w:cs="Arial"/>
          <w:sz w:val="20"/>
          <w:szCs w:val="20"/>
        </w:rPr>
        <w:t xml:space="preserve"> skupine, ki je zajeta in izpolnjuje prag prihodkov, osta</w:t>
      </w:r>
      <w:r>
        <w:rPr>
          <w:rFonts w:ascii="Arial" w:hAnsi="Arial" w:cs="Arial"/>
          <w:sz w:val="20"/>
          <w:szCs w:val="20"/>
        </w:rPr>
        <w:t>ne zajeta v sistemu povrhnjega davka</w:t>
      </w:r>
      <w:r w:rsidRPr="00F01BF5">
        <w:rPr>
          <w:rFonts w:ascii="Arial" w:hAnsi="Arial" w:cs="Arial"/>
          <w:sz w:val="20"/>
          <w:szCs w:val="20"/>
        </w:rPr>
        <w:t xml:space="preserve">, tudi če </w:t>
      </w:r>
      <w:r>
        <w:rPr>
          <w:rFonts w:ascii="Arial" w:hAnsi="Arial" w:cs="Arial"/>
          <w:sz w:val="20"/>
          <w:szCs w:val="20"/>
        </w:rPr>
        <w:t>razdružena</w:t>
      </w:r>
      <w:r w:rsidRPr="00F01BF5">
        <w:rPr>
          <w:rFonts w:ascii="Arial" w:hAnsi="Arial" w:cs="Arial"/>
          <w:sz w:val="20"/>
          <w:szCs w:val="20"/>
        </w:rPr>
        <w:t xml:space="preserve"> skupina v tem letu ne izpolnjuje zahtev</w:t>
      </w:r>
      <w:r>
        <w:rPr>
          <w:rFonts w:ascii="Arial" w:hAnsi="Arial" w:cs="Arial"/>
          <w:sz w:val="20"/>
          <w:szCs w:val="20"/>
        </w:rPr>
        <w:t>e za prag konsolidiranih prihodkov.</w:t>
      </w:r>
      <w:r w:rsidRPr="00F01BF5">
        <w:rPr>
          <w:rFonts w:ascii="Arial" w:hAnsi="Arial" w:cs="Arial"/>
          <w:sz w:val="20"/>
          <w:szCs w:val="20"/>
        </w:rPr>
        <w:t xml:space="preserve"> </w:t>
      </w:r>
      <w:r>
        <w:rPr>
          <w:rFonts w:ascii="Arial" w:hAnsi="Arial" w:cs="Arial"/>
          <w:sz w:val="20"/>
          <w:szCs w:val="20"/>
        </w:rPr>
        <w:t>Zgornje pravilo je</w:t>
      </w:r>
      <w:r w:rsidRPr="00F01BF5">
        <w:rPr>
          <w:rFonts w:ascii="Arial" w:hAnsi="Arial" w:cs="Arial"/>
          <w:sz w:val="20"/>
          <w:szCs w:val="20"/>
        </w:rPr>
        <w:t xml:space="preserve"> razdeljen</w:t>
      </w:r>
      <w:r>
        <w:rPr>
          <w:rFonts w:ascii="Arial" w:hAnsi="Arial" w:cs="Arial"/>
          <w:sz w:val="20"/>
          <w:szCs w:val="20"/>
        </w:rPr>
        <w:t>o</w:t>
      </w:r>
      <w:r w:rsidRPr="00F01BF5">
        <w:rPr>
          <w:rFonts w:ascii="Arial" w:hAnsi="Arial" w:cs="Arial"/>
          <w:sz w:val="20"/>
          <w:szCs w:val="20"/>
        </w:rPr>
        <w:t xml:space="preserve"> na dva pododstavka. Pododstavek </w:t>
      </w:r>
      <w:r>
        <w:rPr>
          <w:rFonts w:ascii="Arial" w:hAnsi="Arial" w:cs="Arial"/>
          <w:sz w:val="20"/>
          <w:szCs w:val="20"/>
        </w:rPr>
        <w:t>1</w:t>
      </w:r>
      <w:r w:rsidRPr="00F01BF5">
        <w:rPr>
          <w:rFonts w:ascii="Arial" w:hAnsi="Arial" w:cs="Arial"/>
          <w:sz w:val="20"/>
          <w:szCs w:val="20"/>
        </w:rPr>
        <w:t xml:space="preserve"> zajema prvo preizku</w:t>
      </w:r>
      <w:r>
        <w:rPr>
          <w:rFonts w:ascii="Arial" w:hAnsi="Arial" w:cs="Arial"/>
          <w:sz w:val="20"/>
          <w:szCs w:val="20"/>
        </w:rPr>
        <w:t>s</w:t>
      </w:r>
      <w:r w:rsidRPr="00F01BF5">
        <w:rPr>
          <w:rFonts w:ascii="Arial" w:hAnsi="Arial" w:cs="Arial"/>
          <w:sz w:val="20"/>
          <w:szCs w:val="20"/>
        </w:rPr>
        <w:t xml:space="preserve">no </w:t>
      </w:r>
      <w:r>
        <w:rPr>
          <w:rFonts w:ascii="Arial" w:hAnsi="Arial" w:cs="Arial"/>
          <w:sz w:val="20"/>
          <w:szCs w:val="20"/>
        </w:rPr>
        <w:t>poslovno</w:t>
      </w:r>
      <w:r w:rsidRPr="00F01BF5">
        <w:rPr>
          <w:rFonts w:ascii="Arial" w:hAnsi="Arial" w:cs="Arial"/>
          <w:sz w:val="20"/>
          <w:szCs w:val="20"/>
        </w:rPr>
        <w:t xml:space="preserve"> leto po </w:t>
      </w:r>
      <w:r>
        <w:rPr>
          <w:rFonts w:ascii="Arial" w:hAnsi="Arial" w:cs="Arial"/>
          <w:sz w:val="20"/>
          <w:szCs w:val="20"/>
        </w:rPr>
        <w:t>razdružitvi</w:t>
      </w:r>
      <w:r w:rsidRPr="00F01BF5">
        <w:rPr>
          <w:rFonts w:ascii="Arial" w:hAnsi="Arial" w:cs="Arial"/>
          <w:sz w:val="20"/>
          <w:szCs w:val="20"/>
        </w:rPr>
        <w:t xml:space="preserve">, medtem ko pododstavek </w:t>
      </w:r>
      <w:r>
        <w:rPr>
          <w:rFonts w:ascii="Arial" w:hAnsi="Arial" w:cs="Arial"/>
          <w:sz w:val="20"/>
          <w:szCs w:val="20"/>
        </w:rPr>
        <w:t>2</w:t>
      </w:r>
      <w:r w:rsidRPr="00F01BF5">
        <w:rPr>
          <w:rFonts w:ascii="Arial" w:hAnsi="Arial" w:cs="Arial"/>
          <w:sz w:val="20"/>
          <w:szCs w:val="20"/>
        </w:rPr>
        <w:t xml:space="preserve"> zajema od drugega do četrtega preizku</w:t>
      </w:r>
      <w:r>
        <w:rPr>
          <w:rFonts w:ascii="Arial" w:hAnsi="Arial" w:cs="Arial"/>
          <w:sz w:val="20"/>
          <w:szCs w:val="20"/>
        </w:rPr>
        <w:t>s</w:t>
      </w:r>
      <w:r w:rsidRPr="00F01BF5">
        <w:rPr>
          <w:rFonts w:ascii="Arial" w:hAnsi="Arial" w:cs="Arial"/>
          <w:sz w:val="20"/>
          <w:szCs w:val="20"/>
        </w:rPr>
        <w:t xml:space="preserve">nega </w:t>
      </w:r>
      <w:r>
        <w:rPr>
          <w:rFonts w:ascii="Arial" w:hAnsi="Arial" w:cs="Arial"/>
          <w:sz w:val="20"/>
          <w:szCs w:val="20"/>
        </w:rPr>
        <w:t>poslovnega</w:t>
      </w:r>
      <w:r w:rsidRPr="00F01BF5">
        <w:rPr>
          <w:rFonts w:ascii="Arial" w:hAnsi="Arial" w:cs="Arial"/>
          <w:sz w:val="20"/>
          <w:szCs w:val="20"/>
        </w:rPr>
        <w:t xml:space="preserve"> leta po </w:t>
      </w:r>
      <w:r>
        <w:rPr>
          <w:rFonts w:ascii="Arial" w:hAnsi="Arial" w:cs="Arial"/>
          <w:sz w:val="20"/>
          <w:szCs w:val="20"/>
        </w:rPr>
        <w:t>razdružitvi</w:t>
      </w:r>
      <w:r w:rsidRPr="00F01BF5">
        <w:rPr>
          <w:rFonts w:ascii="Arial" w:hAnsi="Arial" w:cs="Arial"/>
          <w:sz w:val="20"/>
          <w:szCs w:val="20"/>
        </w:rPr>
        <w:t>. Pravila se uporabljajo ločeno za vsako od skupin, ki so nastale iz ali ostale po odcepu (vsaka odcepljena skupina).</w:t>
      </w:r>
    </w:p>
    <w:p w14:paraId="3437DE68" w14:textId="77777777" w:rsidR="00DB2C18" w:rsidRPr="00392FD4" w:rsidRDefault="00FD1603" w:rsidP="00FD1603">
      <w:pPr>
        <w:pStyle w:val="FURSnaslov2"/>
        <w:rPr>
          <w:sz w:val="22"/>
          <w:szCs w:val="22"/>
          <w:lang w:val="sl-SI"/>
        </w:rPr>
      </w:pPr>
      <w:bookmarkStart w:id="12" w:name="_Toc157425305"/>
      <w:r w:rsidRPr="00392FD4">
        <w:rPr>
          <w:sz w:val="22"/>
          <w:szCs w:val="22"/>
          <w:lang w:val="sl-SI"/>
        </w:rPr>
        <w:t>2.2.</w:t>
      </w:r>
      <w:r w:rsidR="00DB2C18" w:rsidRPr="00392FD4">
        <w:rPr>
          <w:sz w:val="22"/>
          <w:szCs w:val="22"/>
          <w:lang w:val="sl-SI"/>
        </w:rPr>
        <w:t xml:space="preserve"> Pogoj konsolidacije</w:t>
      </w:r>
      <w:bookmarkEnd w:id="12"/>
    </w:p>
    <w:p w14:paraId="5E5C1911" w14:textId="77777777" w:rsidR="00527743" w:rsidRPr="008F3623" w:rsidRDefault="00DB2C18" w:rsidP="00527743">
      <w:pPr>
        <w:jc w:val="both"/>
        <w:rPr>
          <w:rFonts w:ascii="Arial" w:hAnsi="Arial" w:cs="Arial"/>
          <w:sz w:val="20"/>
          <w:szCs w:val="20"/>
        </w:rPr>
      </w:pPr>
      <w:r w:rsidRPr="008F3623">
        <w:rPr>
          <w:rFonts w:ascii="Arial" w:hAnsi="Arial" w:cs="Arial"/>
          <w:sz w:val="20"/>
          <w:szCs w:val="20"/>
        </w:rPr>
        <w:t xml:space="preserve">Prag prihodka upošteva konsolidiran prihodek, kot je naveden v konsolidiranih finančnih </w:t>
      </w:r>
      <w:r w:rsidR="00527743" w:rsidRPr="008F3623">
        <w:rPr>
          <w:rFonts w:ascii="Arial" w:hAnsi="Arial" w:cs="Arial"/>
          <w:sz w:val="20"/>
          <w:szCs w:val="20"/>
        </w:rPr>
        <w:t xml:space="preserve">poročilih </w:t>
      </w:r>
      <w:r w:rsidRPr="008F3623">
        <w:rPr>
          <w:rFonts w:ascii="Arial" w:hAnsi="Arial" w:cs="Arial"/>
          <w:sz w:val="20"/>
          <w:szCs w:val="20"/>
        </w:rPr>
        <w:t xml:space="preserve">skupine. </w:t>
      </w:r>
    </w:p>
    <w:p w14:paraId="0E3A807D" w14:textId="77777777" w:rsidR="00050BD9" w:rsidRPr="008F3623" w:rsidRDefault="00DB2C18" w:rsidP="00050BD9">
      <w:pPr>
        <w:jc w:val="both"/>
        <w:rPr>
          <w:rFonts w:ascii="Arial" w:hAnsi="Arial" w:cs="Arial"/>
          <w:sz w:val="20"/>
          <w:szCs w:val="20"/>
        </w:rPr>
      </w:pPr>
      <w:r w:rsidRPr="00397FC1">
        <w:rPr>
          <w:rFonts w:ascii="Arial" w:hAnsi="Arial" w:cs="Arial"/>
          <w:b/>
          <w:bCs/>
          <w:sz w:val="20"/>
          <w:szCs w:val="20"/>
        </w:rPr>
        <w:t xml:space="preserve">Definicija konsolidiranih finančnih </w:t>
      </w:r>
      <w:r w:rsidR="00527743" w:rsidRPr="00397FC1">
        <w:rPr>
          <w:rFonts w:ascii="Arial" w:hAnsi="Arial" w:cs="Arial"/>
          <w:b/>
          <w:bCs/>
          <w:sz w:val="20"/>
          <w:szCs w:val="20"/>
        </w:rPr>
        <w:t>poročil v</w:t>
      </w:r>
      <w:r w:rsidRPr="00397FC1">
        <w:rPr>
          <w:rFonts w:ascii="Arial" w:hAnsi="Arial" w:cs="Arial"/>
          <w:b/>
          <w:bCs/>
          <w:sz w:val="20"/>
          <w:szCs w:val="20"/>
        </w:rPr>
        <w:t xml:space="preserve"> </w:t>
      </w:r>
      <w:r w:rsidR="00527743" w:rsidRPr="00397FC1">
        <w:rPr>
          <w:rFonts w:ascii="Arial" w:hAnsi="Arial" w:cs="Arial"/>
          <w:b/>
          <w:bCs/>
          <w:sz w:val="20"/>
          <w:szCs w:val="20"/>
        </w:rPr>
        <w:t>ZMD:</w:t>
      </w:r>
      <w:r w:rsidR="00527743" w:rsidRPr="008F3623">
        <w:rPr>
          <w:rFonts w:ascii="Arial" w:hAnsi="Arial" w:cs="Arial"/>
          <w:sz w:val="20"/>
          <w:szCs w:val="20"/>
        </w:rPr>
        <w:t xml:space="preserve"> </w:t>
      </w:r>
      <w:r w:rsidR="00A76CCE">
        <w:rPr>
          <w:rFonts w:ascii="Arial" w:hAnsi="Arial" w:cs="Arial"/>
          <w:sz w:val="20"/>
          <w:szCs w:val="20"/>
        </w:rPr>
        <w:t>»</w:t>
      </w:r>
      <w:r w:rsidR="00527743" w:rsidRPr="008F3623">
        <w:rPr>
          <w:rFonts w:ascii="Arial" w:hAnsi="Arial" w:cs="Arial"/>
          <w:sz w:val="20"/>
          <w:szCs w:val="20"/>
        </w:rPr>
        <w:t>konsolidirani računovodski izkazi</w:t>
      </w:r>
      <w:r w:rsidR="00A76CCE">
        <w:rPr>
          <w:rFonts w:ascii="Arial" w:hAnsi="Arial" w:cs="Arial"/>
          <w:sz w:val="20"/>
          <w:szCs w:val="20"/>
        </w:rPr>
        <w:t>«</w:t>
      </w:r>
      <w:r w:rsidR="00527743" w:rsidRPr="008F3623">
        <w:rPr>
          <w:rFonts w:ascii="Arial" w:hAnsi="Arial" w:cs="Arial"/>
          <w:sz w:val="20"/>
          <w:szCs w:val="20"/>
        </w:rPr>
        <w:t xml:space="preserve"> pomeni računovodske izkaze, ki jih v skladu s sprejemljivim standardom finančnega </w:t>
      </w:r>
      <w:proofErr w:type="spellStart"/>
      <w:r w:rsidR="00527743" w:rsidRPr="008F3623">
        <w:rPr>
          <w:rFonts w:ascii="Arial" w:hAnsi="Arial" w:cs="Arial"/>
          <w:sz w:val="20"/>
          <w:szCs w:val="20"/>
        </w:rPr>
        <w:t>računovodenja</w:t>
      </w:r>
      <w:proofErr w:type="spellEnd"/>
      <w:r w:rsidR="00527743" w:rsidRPr="008F3623">
        <w:rPr>
          <w:rFonts w:ascii="Arial" w:hAnsi="Arial" w:cs="Arial"/>
          <w:sz w:val="20"/>
          <w:szCs w:val="20"/>
        </w:rPr>
        <w:t xml:space="preserve"> pripravi subjekt ter v katerih so sredstva, obveznosti, dohodki, odhodki in denarni tokovi tega subjekta in vseh subjektov, v katerih ima nadzorujoči delež, predstavljeni kot sredstva, obveznosti, dohodki, odhodki in denarni tokovi istega gospodarskega subjekta. </w:t>
      </w:r>
      <w:r w:rsidR="00050BD9" w:rsidRPr="008F3623">
        <w:rPr>
          <w:rFonts w:ascii="Arial" w:hAnsi="Arial" w:cs="Arial"/>
          <w:sz w:val="20"/>
          <w:szCs w:val="20"/>
        </w:rPr>
        <w:t xml:space="preserve">Za skupine, ki imajo eno ali več stalnih poslovnih enot, se za konsolidirane računovodske izkaze šteje računovodske izkaze, ki jih subjekt pripravi v skladu s sprejemljivim standardom finančnega </w:t>
      </w:r>
      <w:proofErr w:type="spellStart"/>
      <w:r w:rsidR="00050BD9" w:rsidRPr="008F3623">
        <w:rPr>
          <w:rFonts w:ascii="Arial" w:hAnsi="Arial" w:cs="Arial"/>
          <w:sz w:val="20"/>
          <w:szCs w:val="20"/>
        </w:rPr>
        <w:t>računovodenja</w:t>
      </w:r>
      <w:proofErr w:type="spellEnd"/>
      <w:r w:rsidR="00050BD9" w:rsidRPr="008F3623">
        <w:rPr>
          <w:rFonts w:ascii="Arial" w:hAnsi="Arial" w:cs="Arial"/>
          <w:sz w:val="20"/>
          <w:szCs w:val="20"/>
        </w:rPr>
        <w:t xml:space="preserve">. Konsolidirani računovodski izkazi so tudi računovodski izkazi krovnega matičnega subjekta, ki niso pripravljeni v skladu s sprejemljivim standardom finančnega </w:t>
      </w:r>
      <w:proofErr w:type="spellStart"/>
      <w:r w:rsidR="00050BD9" w:rsidRPr="008F3623">
        <w:rPr>
          <w:rFonts w:ascii="Arial" w:hAnsi="Arial" w:cs="Arial"/>
          <w:sz w:val="20"/>
          <w:szCs w:val="20"/>
        </w:rPr>
        <w:t>računovodenja</w:t>
      </w:r>
      <w:proofErr w:type="spellEnd"/>
      <w:r w:rsidR="00050BD9" w:rsidRPr="008F3623">
        <w:rPr>
          <w:rFonts w:ascii="Arial" w:hAnsi="Arial" w:cs="Arial"/>
          <w:sz w:val="20"/>
          <w:szCs w:val="20"/>
        </w:rPr>
        <w:t xml:space="preserve"> in so bili naknadno prilagojeni, da se prepreči kakršno koli pomembno izkrivljanje konkurence. V primerih, če krovni matični subjekt ne pripravi računovodskih izkazov, kot je opisano zgoraj, se kot konsolidirani računovodski izkazi štejejo računovodski izkazi, ki bi bili pripravljeni, če bi se od krovnega matičnega subjekta zahtevalo, da take računovodske izkaze pripravi v skladu:</w:t>
      </w:r>
    </w:p>
    <w:p w14:paraId="755FF0AE" w14:textId="77777777" w:rsidR="00050BD9" w:rsidRPr="008F3623" w:rsidRDefault="00050BD9" w:rsidP="00C83549">
      <w:pPr>
        <w:spacing w:after="0"/>
        <w:jc w:val="both"/>
        <w:rPr>
          <w:rFonts w:ascii="Arial" w:hAnsi="Arial" w:cs="Arial"/>
          <w:sz w:val="20"/>
          <w:szCs w:val="20"/>
        </w:rPr>
      </w:pPr>
      <w:r w:rsidRPr="008F3623">
        <w:rPr>
          <w:rFonts w:ascii="Arial" w:hAnsi="Arial" w:cs="Arial"/>
          <w:sz w:val="20"/>
          <w:szCs w:val="20"/>
        </w:rPr>
        <w:t>-</w:t>
      </w:r>
      <w:r w:rsidRPr="008F3623">
        <w:rPr>
          <w:rFonts w:ascii="Arial" w:hAnsi="Arial" w:cs="Arial"/>
          <w:sz w:val="20"/>
          <w:szCs w:val="20"/>
        </w:rPr>
        <w:tab/>
        <w:t xml:space="preserve">s sprejemljivim standardom finančnega </w:t>
      </w:r>
      <w:proofErr w:type="spellStart"/>
      <w:r w:rsidRPr="008F3623">
        <w:rPr>
          <w:rFonts w:ascii="Arial" w:hAnsi="Arial" w:cs="Arial"/>
          <w:sz w:val="20"/>
          <w:szCs w:val="20"/>
        </w:rPr>
        <w:t>računovodenja</w:t>
      </w:r>
      <w:proofErr w:type="spellEnd"/>
      <w:r w:rsidRPr="008F3623">
        <w:rPr>
          <w:rFonts w:ascii="Arial" w:hAnsi="Arial" w:cs="Arial"/>
          <w:sz w:val="20"/>
          <w:szCs w:val="20"/>
        </w:rPr>
        <w:t xml:space="preserve"> ali</w:t>
      </w:r>
    </w:p>
    <w:p w14:paraId="7CA14908" w14:textId="77777777" w:rsidR="00050BD9" w:rsidRDefault="00050BD9" w:rsidP="00050BD9">
      <w:pPr>
        <w:jc w:val="both"/>
        <w:rPr>
          <w:rFonts w:ascii="Arial" w:hAnsi="Arial" w:cs="Arial"/>
          <w:sz w:val="20"/>
          <w:szCs w:val="20"/>
        </w:rPr>
      </w:pPr>
      <w:r w:rsidRPr="008F3623">
        <w:rPr>
          <w:rFonts w:ascii="Arial" w:hAnsi="Arial" w:cs="Arial"/>
          <w:sz w:val="20"/>
          <w:szCs w:val="20"/>
        </w:rPr>
        <w:t>-</w:t>
      </w:r>
      <w:r w:rsidRPr="008F3623">
        <w:rPr>
          <w:rFonts w:ascii="Arial" w:hAnsi="Arial" w:cs="Arial"/>
          <w:sz w:val="20"/>
          <w:szCs w:val="20"/>
        </w:rPr>
        <w:tab/>
        <w:t xml:space="preserve">z drugim standardom finančnega </w:t>
      </w:r>
      <w:proofErr w:type="spellStart"/>
      <w:r w:rsidRPr="008F3623">
        <w:rPr>
          <w:rFonts w:ascii="Arial" w:hAnsi="Arial" w:cs="Arial"/>
          <w:sz w:val="20"/>
          <w:szCs w:val="20"/>
        </w:rPr>
        <w:t>računovodenja</w:t>
      </w:r>
      <w:proofErr w:type="spellEnd"/>
      <w:r w:rsidRPr="008F3623">
        <w:rPr>
          <w:rFonts w:ascii="Arial" w:hAnsi="Arial" w:cs="Arial"/>
          <w:sz w:val="20"/>
          <w:szCs w:val="20"/>
        </w:rPr>
        <w:t xml:space="preserve"> in pod pogojem, da so bili taki računovodski izkazi prilagojeni, da se prepreči kakršno koli pomembno izkrivljanje konkurence</w:t>
      </w:r>
      <w:r w:rsidR="00126F03">
        <w:rPr>
          <w:rFonts w:ascii="Arial" w:hAnsi="Arial" w:cs="Arial"/>
          <w:sz w:val="20"/>
          <w:szCs w:val="20"/>
        </w:rPr>
        <w:t>.</w:t>
      </w:r>
    </w:p>
    <w:p w14:paraId="527BA1A1" w14:textId="77777777" w:rsidR="00126F03" w:rsidRDefault="00126F03" w:rsidP="00050BD9">
      <w:pPr>
        <w:jc w:val="both"/>
        <w:rPr>
          <w:rFonts w:ascii="Arial" w:hAnsi="Arial" w:cs="Arial"/>
          <w:sz w:val="20"/>
          <w:szCs w:val="20"/>
        </w:rPr>
      </w:pPr>
      <w:r>
        <w:rPr>
          <w:rFonts w:ascii="Arial" w:hAnsi="Arial" w:cs="Arial"/>
          <w:sz w:val="20"/>
          <w:szCs w:val="20"/>
        </w:rPr>
        <w:t>Zadnji test se imenuje »domnevana konsolidacija« (</w:t>
      </w:r>
      <w:proofErr w:type="spellStart"/>
      <w:r>
        <w:rPr>
          <w:rFonts w:ascii="Arial" w:hAnsi="Arial" w:cs="Arial"/>
          <w:sz w:val="20"/>
          <w:szCs w:val="20"/>
        </w:rPr>
        <w:t>deemed</w:t>
      </w:r>
      <w:proofErr w:type="spellEnd"/>
      <w:r>
        <w:rPr>
          <w:rFonts w:ascii="Arial" w:hAnsi="Arial" w:cs="Arial"/>
          <w:sz w:val="20"/>
          <w:szCs w:val="20"/>
        </w:rPr>
        <w:t xml:space="preserve"> </w:t>
      </w:r>
      <w:proofErr w:type="spellStart"/>
      <w:r>
        <w:rPr>
          <w:rFonts w:ascii="Arial" w:hAnsi="Arial" w:cs="Arial"/>
          <w:sz w:val="20"/>
          <w:szCs w:val="20"/>
        </w:rPr>
        <w:t>consolidation</w:t>
      </w:r>
      <w:proofErr w:type="spellEnd"/>
      <w:r>
        <w:rPr>
          <w:rFonts w:ascii="Arial" w:hAnsi="Arial" w:cs="Arial"/>
          <w:sz w:val="20"/>
          <w:szCs w:val="20"/>
        </w:rPr>
        <w:t xml:space="preserve">), </w:t>
      </w:r>
      <w:r w:rsidRPr="00126F03">
        <w:rPr>
          <w:rFonts w:ascii="Arial" w:hAnsi="Arial" w:cs="Arial"/>
          <w:sz w:val="20"/>
          <w:szCs w:val="20"/>
        </w:rPr>
        <w:t xml:space="preserve">ki se uporablja, kadar </w:t>
      </w:r>
      <w:r>
        <w:rPr>
          <w:rFonts w:ascii="Arial" w:hAnsi="Arial" w:cs="Arial"/>
          <w:sz w:val="20"/>
          <w:szCs w:val="20"/>
        </w:rPr>
        <w:t xml:space="preserve">krovna </w:t>
      </w:r>
      <w:r w:rsidRPr="00126F03">
        <w:rPr>
          <w:rFonts w:ascii="Arial" w:hAnsi="Arial" w:cs="Arial"/>
          <w:sz w:val="20"/>
          <w:szCs w:val="20"/>
        </w:rPr>
        <w:t xml:space="preserve">družba (UPE) dejansko ne pripravi </w:t>
      </w:r>
      <w:r>
        <w:rPr>
          <w:rFonts w:ascii="Arial" w:hAnsi="Arial" w:cs="Arial"/>
          <w:sz w:val="20"/>
          <w:szCs w:val="20"/>
        </w:rPr>
        <w:t xml:space="preserve">računovodskih </w:t>
      </w:r>
      <w:r w:rsidR="00F630FC">
        <w:rPr>
          <w:rFonts w:ascii="Arial" w:hAnsi="Arial" w:cs="Arial"/>
          <w:sz w:val="20"/>
          <w:szCs w:val="20"/>
        </w:rPr>
        <w:t>i</w:t>
      </w:r>
      <w:r w:rsidRPr="00126F03">
        <w:rPr>
          <w:rFonts w:ascii="Arial" w:hAnsi="Arial" w:cs="Arial"/>
          <w:sz w:val="20"/>
          <w:szCs w:val="20"/>
        </w:rPr>
        <w:t xml:space="preserve">zkazov v skladu s </w:t>
      </w:r>
      <w:r w:rsidR="00FA2E6D" w:rsidRPr="008F3623">
        <w:rPr>
          <w:rFonts w:ascii="Arial" w:hAnsi="Arial" w:cs="Arial"/>
          <w:sz w:val="20"/>
          <w:szCs w:val="20"/>
        </w:rPr>
        <w:t xml:space="preserve">sprejemljivim standardom finančnega </w:t>
      </w:r>
      <w:proofErr w:type="spellStart"/>
      <w:r w:rsidR="00FA2E6D" w:rsidRPr="008F3623">
        <w:rPr>
          <w:rFonts w:ascii="Arial" w:hAnsi="Arial" w:cs="Arial"/>
          <w:sz w:val="20"/>
          <w:szCs w:val="20"/>
        </w:rPr>
        <w:t>računovodenja</w:t>
      </w:r>
      <w:proofErr w:type="spellEnd"/>
      <w:r w:rsidRPr="00126F03">
        <w:rPr>
          <w:rFonts w:ascii="Arial" w:hAnsi="Arial" w:cs="Arial"/>
          <w:sz w:val="20"/>
          <w:szCs w:val="20"/>
        </w:rPr>
        <w:t xml:space="preserve">. </w:t>
      </w:r>
      <w:r w:rsidR="00FA2E6D">
        <w:rPr>
          <w:rFonts w:ascii="Arial" w:hAnsi="Arial" w:cs="Arial"/>
          <w:sz w:val="20"/>
          <w:szCs w:val="20"/>
        </w:rPr>
        <w:t>T</w:t>
      </w:r>
      <w:r w:rsidRPr="00126F03">
        <w:rPr>
          <w:rFonts w:ascii="Arial" w:hAnsi="Arial" w:cs="Arial"/>
          <w:sz w:val="20"/>
          <w:szCs w:val="20"/>
        </w:rPr>
        <w:t xml:space="preserve">est </w:t>
      </w:r>
      <w:r w:rsidR="00FA2E6D">
        <w:rPr>
          <w:rFonts w:ascii="Arial" w:hAnsi="Arial" w:cs="Arial"/>
          <w:sz w:val="20"/>
          <w:szCs w:val="20"/>
        </w:rPr>
        <w:t xml:space="preserve">domnevne </w:t>
      </w:r>
      <w:r w:rsidRPr="00126F03">
        <w:rPr>
          <w:rFonts w:ascii="Arial" w:hAnsi="Arial" w:cs="Arial"/>
          <w:sz w:val="20"/>
          <w:szCs w:val="20"/>
        </w:rPr>
        <w:t xml:space="preserve">konsolidacije se običajno uporablja, kadar pravila </w:t>
      </w:r>
      <w:proofErr w:type="spellStart"/>
      <w:r w:rsidRPr="00126F03">
        <w:rPr>
          <w:rFonts w:ascii="Arial" w:hAnsi="Arial" w:cs="Arial"/>
          <w:sz w:val="20"/>
          <w:szCs w:val="20"/>
        </w:rPr>
        <w:t>GloBE</w:t>
      </w:r>
      <w:proofErr w:type="spellEnd"/>
      <w:r w:rsidRPr="00126F03">
        <w:rPr>
          <w:rFonts w:ascii="Arial" w:hAnsi="Arial" w:cs="Arial"/>
          <w:sz w:val="20"/>
          <w:szCs w:val="20"/>
        </w:rPr>
        <w:t xml:space="preserve"> temeljijo </w:t>
      </w:r>
      <w:r w:rsidR="00F630FC">
        <w:rPr>
          <w:rFonts w:ascii="Arial" w:hAnsi="Arial" w:cs="Arial"/>
          <w:sz w:val="20"/>
          <w:szCs w:val="20"/>
        </w:rPr>
        <w:t>na podatkih iz</w:t>
      </w:r>
      <w:r w:rsidRPr="00126F03">
        <w:rPr>
          <w:rFonts w:ascii="Arial" w:hAnsi="Arial" w:cs="Arial"/>
          <w:sz w:val="20"/>
          <w:szCs w:val="20"/>
        </w:rPr>
        <w:t xml:space="preserve"> </w:t>
      </w:r>
      <w:r w:rsidR="00F630FC">
        <w:rPr>
          <w:rFonts w:ascii="Arial" w:hAnsi="Arial" w:cs="Arial"/>
          <w:sz w:val="20"/>
          <w:szCs w:val="20"/>
        </w:rPr>
        <w:t>računovodskih</w:t>
      </w:r>
      <w:r w:rsidRPr="00126F03">
        <w:rPr>
          <w:rFonts w:ascii="Arial" w:hAnsi="Arial" w:cs="Arial"/>
          <w:sz w:val="20"/>
          <w:szCs w:val="20"/>
        </w:rPr>
        <w:t xml:space="preserve"> izkazov, in ustrezna skupina ali entiteta ne pripravlja </w:t>
      </w:r>
      <w:r w:rsidR="00F630FC">
        <w:rPr>
          <w:rFonts w:ascii="Arial" w:hAnsi="Arial" w:cs="Arial"/>
          <w:sz w:val="20"/>
          <w:szCs w:val="20"/>
        </w:rPr>
        <w:t>k</w:t>
      </w:r>
      <w:r w:rsidRPr="00126F03">
        <w:rPr>
          <w:rFonts w:ascii="Arial" w:hAnsi="Arial" w:cs="Arial"/>
          <w:sz w:val="20"/>
          <w:szCs w:val="20"/>
        </w:rPr>
        <w:t xml:space="preserve">onsolidiranih </w:t>
      </w:r>
      <w:r w:rsidR="00F630FC">
        <w:rPr>
          <w:rFonts w:ascii="Arial" w:hAnsi="Arial" w:cs="Arial"/>
          <w:sz w:val="20"/>
          <w:szCs w:val="20"/>
        </w:rPr>
        <w:t>računovodskih</w:t>
      </w:r>
      <w:r w:rsidRPr="00126F03">
        <w:rPr>
          <w:rFonts w:ascii="Arial" w:hAnsi="Arial" w:cs="Arial"/>
          <w:sz w:val="20"/>
          <w:szCs w:val="20"/>
        </w:rPr>
        <w:t xml:space="preserve"> </w:t>
      </w:r>
      <w:r w:rsidR="00F630FC">
        <w:rPr>
          <w:rFonts w:ascii="Arial" w:hAnsi="Arial" w:cs="Arial"/>
          <w:sz w:val="20"/>
          <w:szCs w:val="20"/>
        </w:rPr>
        <w:t>i</w:t>
      </w:r>
      <w:r w:rsidRPr="00126F03">
        <w:rPr>
          <w:rFonts w:ascii="Arial" w:hAnsi="Arial" w:cs="Arial"/>
          <w:sz w:val="20"/>
          <w:szCs w:val="20"/>
        </w:rPr>
        <w:t xml:space="preserve">zkazov v skladu s </w:t>
      </w:r>
      <w:r w:rsidR="00F630FC">
        <w:rPr>
          <w:rFonts w:ascii="Arial" w:hAnsi="Arial" w:cs="Arial"/>
          <w:sz w:val="20"/>
          <w:szCs w:val="20"/>
        </w:rPr>
        <w:t>sprejemljivim</w:t>
      </w:r>
      <w:r w:rsidRPr="00126F03">
        <w:rPr>
          <w:rFonts w:ascii="Arial" w:hAnsi="Arial" w:cs="Arial"/>
          <w:sz w:val="20"/>
          <w:szCs w:val="20"/>
        </w:rPr>
        <w:t xml:space="preserve"> standardom </w:t>
      </w:r>
      <w:r w:rsidR="00F630FC">
        <w:rPr>
          <w:rFonts w:ascii="Arial" w:hAnsi="Arial" w:cs="Arial"/>
          <w:sz w:val="20"/>
          <w:szCs w:val="20"/>
        </w:rPr>
        <w:t xml:space="preserve">finančnega </w:t>
      </w:r>
      <w:proofErr w:type="spellStart"/>
      <w:r w:rsidR="00F630FC">
        <w:rPr>
          <w:rFonts w:ascii="Arial" w:hAnsi="Arial" w:cs="Arial"/>
          <w:sz w:val="20"/>
          <w:szCs w:val="20"/>
        </w:rPr>
        <w:t>računovodenja</w:t>
      </w:r>
      <w:proofErr w:type="spellEnd"/>
      <w:r w:rsidRPr="00126F03">
        <w:rPr>
          <w:rFonts w:ascii="Arial" w:hAnsi="Arial" w:cs="Arial"/>
          <w:sz w:val="20"/>
          <w:szCs w:val="20"/>
        </w:rPr>
        <w:t xml:space="preserve">. Pravila </w:t>
      </w:r>
      <w:r w:rsidR="00F630FC">
        <w:rPr>
          <w:rFonts w:ascii="Arial" w:hAnsi="Arial" w:cs="Arial"/>
          <w:sz w:val="20"/>
          <w:szCs w:val="20"/>
        </w:rPr>
        <w:t>povrhnjega davka</w:t>
      </w:r>
      <w:r w:rsidRPr="00126F03">
        <w:rPr>
          <w:rFonts w:ascii="Arial" w:hAnsi="Arial" w:cs="Arial"/>
          <w:sz w:val="20"/>
          <w:szCs w:val="20"/>
        </w:rPr>
        <w:t xml:space="preserve"> se zanašajo na pravila</w:t>
      </w:r>
      <w:r w:rsidR="00F630FC">
        <w:rPr>
          <w:rFonts w:ascii="Arial" w:hAnsi="Arial" w:cs="Arial"/>
          <w:sz w:val="20"/>
          <w:szCs w:val="20"/>
        </w:rPr>
        <w:t xml:space="preserve"> za</w:t>
      </w:r>
      <w:r w:rsidRPr="00126F03">
        <w:rPr>
          <w:rFonts w:ascii="Arial" w:hAnsi="Arial" w:cs="Arial"/>
          <w:sz w:val="20"/>
          <w:szCs w:val="20"/>
        </w:rPr>
        <w:t xml:space="preserve"> konsolidacij</w:t>
      </w:r>
      <w:r w:rsidR="00F630FC">
        <w:rPr>
          <w:rFonts w:ascii="Arial" w:hAnsi="Arial" w:cs="Arial"/>
          <w:sz w:val="20"/>
          <w:szCs w:val="20"/>
        </w:rPr>
        <w:t>o računovodskih izkazov</w:t>
      </w:r>
      <w:r w:rsidRPr="00126F03">
        <w:rPr>
          <w:rFonts w:ascii="Arial" w:hAnsi="Arial" w:cs="Arial"/>
          <w:sz w:val="20"/>
          <w:szCs w:val="20"/>
        </w:rPr>
        <w:t xml:space="preserve"> za določitev, ali skupina obstaja. Vendar pa v nekaterih primerih matično podjetje ne konsolidira svojih </w:t>
      </w:r>
      <w:r w:rsidR="00F630FC">
        <w:rPr>
          <w:rFonts w:ascii="Arial" w:hAnsi="Arial" w:cs="Arial"/>
          <w:sz w:val="20"/>
          <w:szCs w:val="20"/>
        </w:rPr>
        <w:t>podrejenih subjektov</w:t>
      </w:r>
      <w:r w:rsidRPr="00126F03">
        <w:rPr>
          <w:rFonts w:ascii="Arial" w:hAnsi="Arial" w:cs="Arial"/>
          <w:sz w:val="20"/>
          <w:szCs w:val="20"/>
        </w:rPr>
        <w:t xml:space="preserve">, ker ni zakona ali predpisa, ki bi zahteval pripravo </w:t>
      </w:r>
      <w:r w:rsidR="00F630FC">
        <w:rPr>
          <w:rFonts w:ascii="Arial" w:hAnsi="Arial" w:cs="Arial"/>
          <w:sz w:val="20"/>
          <w:szCs w:val="20"/>
        </w:rPr>
        <w:t>k</w:t>
      </w:r>
      <w:r w:rsidRPr="00126F03">
        <w:rPr>
          <w:rFonts w:ascii="Arial" w:hAnsi="Arial" w:cs="Arial"/>
          <w:sz w:val="20"/>
          <w:szCs w:val="20"/>
        </w:rPr>
        <w:t xml:space="preserve">onsolidiranih </w:t>
      </w:r>
      <w:r w:rsidR="00F630FC">
        <w:rPr>
          <w:rFonts w:ascii="Arial" w:hAnsi="Arial" w:cs="Arial"/>
          <w:sz w:val="20"/>
          <w:szCs w:val="20"/>
        </w:rPr>
        <w:t>računovodskih</w:t>
      </w:r>
      <w:r w:rsidRPr="00126F03">
        <w:rPr>
          <w:rFonts w:ascii="Arial" w:hAnsi="Arial" w:cs="Arial"/>
          <w:sz w:val="20"/>
          <w:szCs w:val="20"/>
        </w:rPr>
        <w:t xml:space="preserve"> </w:t>
      </w:r>
      <w:r w:rsidR="00F630FC">
        <w:rPr>
          <w:rFonts w:ascii="Arial" w:hAnsi="Arial" w:cs="Arial"/>
          <w:sz w:val="20"/>
          <w:szCs w:val="20"/>
        </w:rPr>
        <w:t>i</w:t>
      </w:r>
      <w:r w:rsidRPr="00126F03">
        <w:rPr>
          <w:rFonts w:ascii="Arial" w:hAnsi="Arial" w:cs="Arial"/>
          <w:sz w:val="20"/>
          <w:szCs w:val="20"/>
        </w:rPr>
        <w:t xml:space="preserve">zkazov v skladu z MRS ali lokalnimi računovodskimi standardi (npr. zasebna in družinska multinacionalka). </w:t>
      </w:r>
    </w:p>
    <w:p w14:paraId="6BF482B7" w14:textId="77777777" w:rsidR="00DB2C18" w:rsidRPr="008F3623" w:rsidRDefault="00DB2C18" w:rsidP="00527743">
      <w:pPr>
        <w:jc w:val="both"/>
        <w:rPr>
          <w:rFonts w:ascii="Arial" w:hAnsi="Arial" w:cs="Arial"/>
          <w:sz w:val="20"/>
          <w:szCs w:val="20"/>
        </w:rPr>
      </w:pPr>
      <w:r w:rsidRPr="008F3623">
        <w:rPr>
          <w:rFonts w:ascii="Arial" w:hAnsi="Arial" w:cs="Arial"/>
          <w:sz w:val="20"/>
          <w:szCs w:val="20"/>
        </w:rPr>
        <w:lastRenderedPageBreak/>
        <w:t>Kadar se dohodek subjekta konsolidira z dohodkom skupine, se prag uporablja za skupn</w:t>
      </w:r>
      <w:r w:rsidR="00B22628" w:rsidRPr="008F3623">
        <w:rPr>
          <w:rFonts w:ascii="Arial" w:hAnsi="Arial" w:cs="Arial"/>
          <w:sz w:val="20"/>
          <w:szCs w:val="20"/>
        </w:rPr>
        <w:t>i</w:t>
      </w:r>
      <w:r w:rsidRPr="008F3623">
        <w:rPr>
          <w:rFonts w:ascii="Arial" w:hAnsi="Arial" w:cs="Arial"/>
          <w:sz w:val="20"/>
          <w:szCs w:val="20"/>
        </w:rPr>
        <w:t xml:space="preserve"> znesek dohodka subjekta, ki je odražen v konsolidiranih finančnih izjavah skupine, tudi če del lastniških deležev v tem subjektu skupine pripada (neposredno ali posredno) manjšinskim lastnikom.</w:t>
      </w:r>
    </w:p>
    <w:p w14:paraId="1E478F88" w14:textId="77777777" w:rsidR="00594EE3" w:rsidRDefault="00B22628" w:rsidP="00B22628">
      <w:pPr>
        <w:jc w:val="both"/>
        <w:rPr>
          <w:rFonts w:ascii="Arial" w:hAnsi="Arial" w:cs="Arial"/>
          <w:sz w:val="20"/>
          <w:szCs w:val="20"/>
        </w:rPr>
      </w:pPr>
      <w:r w:rsidRPr="008F3623">
        <w:rPr>
          <w:rFonts w:ascii="Arial" w:hAnsi="Arial" w:cs="Arial"/>
          <w:sz w:val="20"/>
          <w:szCs w:val="20"/>
        </w:rPr>
        <w:t xml:space="preserve">V zvezi z izključenimi subjekti, ki so obravnavani v nadaljevanju je treba izpostaviti, da se izključeni subjekt ne šteje za subjekt v sestavi (in torej ni podvržen pravilom </w:t>
      </w:r>
      <w:r w:rsidR="00F630FC">
        <w:rPr>
          <w:rFonts w:ascii="Arial" w:hAnsi="Arial" w:cs="Arial"/>
          <w:sz w:val="20"/>
          <w:szCs w:val="20"/>
        </w:rPr>
        <w:t>povrhnjega davka</w:t>
      </w:r>
      <w:r w:rsidRPr="008F3623">
        <w:rPr>
          <w:rFonts w:ascii="Arial" w:hAnsi="Arial" w:cs="Arial"/>
          <w:sz w:val="20"/>
          <w:szCs w:val="20"/>
        </w:rPr>
        <w:t>)</w:t>
      </w:r>
      <w:r w:rsidR="00C35EA5" w:rsidRPr="008F3623">
        <w:rPr>
          <w:rFonts w:ascii="Arial" w:hAnsi="Arial" w:cs="Arial"/>
          <w:sz w:val="20"/>
          <w:szCs w:val="20"/>
        </w:rPr>
        <w:t>. Kljub temu</w:t>
      </w:r>
      <w:r w:rsidRPr="008F3623">
        <w:rPr>
          <w:rFonts w:ascii="Arial" w:hAnsi="Arial" w:cs="Arial"/>
          <w:sz w:val="20"/>
          <w:szCs w:val="20"/>
        </w:rPr>
        <w:t xml:space="preserve"> </w:t>
      </w:r>
      <w:r w:rsidRPr="008F3623">
        <w:rPr>
          <w:rFonts w:ascii="Arial" w:hAnsi="Arial" w:cs="Arial"/>
          <w:b/>
          <w:bCs/>
          <w:sz w:val="20"/>
          <w:szCs w:val="20"/>
          <w:u w:val="single"/>
        </w:rPr>
        <w:t>se</w:t>
      </w:r>
      <w:r w:rsidR="00C35EA5" w:rsidRPr="008F3623">
        <w:rPr>
          <w:rFonts w:ascii="Arial" w:hAnsi="Arial" w:cs="Arial"/>
          <w:b/>
          <w:bCs/>
          <w:sz w:val="20"/>
          <w:szCs w:val="20"/>
          <w:u w:val="single"/>
        </w:rPr>
        <w:t xml:space="preserve"> </w:t>
      </w:r>
      <w:r w:rsidRPr="008F3623">
        <w:rPr>
          <w:rFonts w:ascii="Arial" w:hAnsi="Arial" w:cs="Arial"/>
          <w:b/>
          <w:bCs/>
          <w:sz w:val="20"/>
          <w:szCs w:val="20"/>
          <w:u w:val="single"/>
        </w:rPr>
        <w:t>izključeni subjekt kvalificira kot subjekt skupine za namene določanja praga dohodka, v kolikor je njegov dohodek konsolidiran s preostalo skupino</w:t>
      </w:r>
      <w:r w:rsidRPr="008F3623">
        <w:rPr>
          <w:rFonts w:ascii="Arial" w:hAnsi="Arial" w:cs="Arial"/>
          <w:sz w:val="20"/>
          <w:szCs w:val="20"/>
        </w:rPr>
        <w:t>. V tem primeru se pri uporabi konsolidiranega praga prihodka upošteva tudi dohodek tega izključenega subjekta.</w:t>
      </w:r>
    </w:p>
    <w:p w14:paraId="3A5A215C" w14:textId="77777777" w:rsidR="00A452BA" w:rsidRDefault="00A452BA" w:rsidP="00B22628">
      <w:pPr>
        <w:jc w:val="both"/>
        <w:rPr>
          <w:rFonts w:ascii="Arial" w:hAnsi="Arial" w:cs="Arial"/>
          <w:sz w:val="20"/>
          <w:szCs w:val="20"/>
        </w:rPr>
      </w:pPr>
    </w:p>
    <w:p w14:paraId="2EBE8ECE" w14:textId="77777777" w:rsidR="00594EE3" w:rsidRDefault="00594EE3">
      <w:pPr>
        <w:rPr>
          <w:rFonts w:ascii="Arial" w:hAnsi="Arial" w:cs="Arial"/>
          <w:sz w:val="20"/>
          <w:szCs w:val="20"/>
        </w:rPr>
      </w:pPr>
      <w:r>
        <w:rPr>
          <w:rFonts w:ascii="Arial" w:hAnsi="Arial" w:cs="Arial"/>
          <w:sz w:val="20"/>
          <w:szCs w:val="20"/>
        </w:rPr>
        <w:br w:type="page"/>
      </w:r>
    </w:p>
    <w:p w14:paraId="5F793A25" w14:textId="77777777" w:rsidR="00453FAE" w:rsidRPr="00397FC1" w:rsidRDefault="00DB65D9" w:rsidP="00101D1E">
      <w:pPr>
        <w:pStyle w:val="FURSnaslov1"/>
        <w:spacing w:after="120"/>
        <w:rPr>
          <w:lang w:val="sl-SI"/>
        </w:rPr>
      </w:pPr>
      <w:bookmarkStart w:id="13" w:name="_Toc157425306"/>
      <w:r w:rsidRPr="00397FC1">
        <w:rPr>
          <w:lang w:val="sl-SI"/>
        </w:rPr>
        <w:lastRenderedPageBreak/>
        <w:t xml:space="preserve">3.0 </w:t>
      </w:r>
      <w:r w:rsidR="00C60F31">
        <w:rPr>
          <w:lang w:val="sl-SI"/>
        </w:rPr>
        <w:t>Vrste</w:t>
      </w:r>
      <w:r w:rsidR="00612708">
        <w:rPr>
          <w:lang w:val="sl-SI"/>
        </w:rPr>
        <w:t>/kategorije</w:t>
      </w:r>
      <w:r w:rsidR="00C60F31">
        <w:rPr>
          <w:lang w:val="sl-SI"/>
        </w:rPr>
        <w:t xml:space="preserve"> s</w:t>
      </w:r>
      <w:r w:rsidR="00C60F31" w:rsidRPr="00397FC1">
        <w:rPr>
          <w:lang w:val="sl-SI"/>
        </w:rPr>
        <w:t>ubjekt</w:t>
      </w:r>
      <w:r w:rsidR="00C60F31">
        <w:rPr>
          <w:lang w:val="sl-SI"/>
        </w:rPr>
        <w:t>ov</w:t>
      </w:r>
      <w:r w:rsidR="00C60F31" w:rsidRPr="00397FC1">
        <w:rPr>
          <w:lang w:val="sl-SI"/>
        </w:rPr>
        <w:t xml:space="preserve"> v sestavi</w:t>
      </w:r>
      <w:r w:rsidR="00C60F31">
        <w:rPr>
          <w:lang w:val="sl-SI"/>
        </w:rPr>
        <w:t xml:space="preserve"> </w:t>
      </w:r>
      <w:r w:rsidR="00551CC9">
        <w:rPr>
          <w:lang w:val="sl-SI"/>
        </w:rPr>
        <w:t>(7. člen ZMD)</w:t>
      </w:r>
      <w:bookmarkEnd w:id="13"/>
    </w:p>
    <w:p w14:paraId="48B877F4" w14:textId="77777777" w:rsidR="003F4EE0" w:rsidRDefault="00453FAE" w:rsidP="00001991">
      <w:pPr>
        <w:jc w:val="both"/>
        <w:rPr>
          <w:rFonts w:ascii="Arial" w:hAnsi="Arial" w:cs="Arial"/>
          <w:sz w:val="20"/>
          <w:szCs w:val="20"/>
        </w:rPr>
      </w:pPr>
      <w:r w:rsidRPr="005E1337">
        <w:rPr>
          <w:rFonts w:ascii="Arial" w:hAnsi="Arial" w:cs="Arial"/>
          <w:sz w:val="20"/>
          <w:szCs w:val="20"/>
        </w:rPr>
        <w:t>Z vidika pravilne opredelitve obsega veljave in uporabe pravil ZMD so pomembne tudi opredelitve subjektov v sestavi, krovnega matičnega subjekta,</w:t>
      </w:r>
      <w:r w:rsidR="00397FC1">
        <w:rPr>
          <w:rFonts w:ascii="Arial" w:hAnsi="Arial" w:cs="Arial"/>
          <w:sz w:val="20"/>
          <w:szCs w:val="20"/>
        </w:rPr>
        <w:t xml:space="preserve"> matičnega subjekta v delni lasti, vmesnega matičnega subjekta,</w:t>
      </w:r>
      <w:r w:rsidRPr="005E1337">
        <w:rPr>
          <w:rFonts w:ascii="Arial" w:hAnsi="Arial" w:cs="Arial"/>
          <w:sz w:val="20"/>
          <w:szCs w:val="20"/>
        </w:rPr>
        <w:t xml:space="preserve"> </w:t>
      </w:r>
      <w:r w:rsidR="00001991" w:rsidRPr="005E1337">
        <w:rPr>
          <w:rFonts w:ascii="Arial" w:hAnsi="Arial" w:cs="Arial"/>
          <w:sz w:val="20"/>
          <w:szCs w:val="20"/>
        </w:rPr>
        <w:t>izključenih subjektov</w:t>
      </w:r>
      <w:r w:rsidR="003F4EE0" w:rsidRPr="005E1337">
        <w:rPr>
          <w:rFonts w:ascii="Arial" w:hAnsi="Arial" w:cs="Arial"/>
          <w:sz w:val="20"/>
          <w:szCs w:val="20"/>
        </w:rPr>
        <w:t xml:space="preserve"> in določeni varni pristani, ki vplivajo na obveznosti posameznih subjektov v sestavi v zvezi s povrhnjim davkom.</w:t>
      </w:r>
    </w:p>
    <w:p w14:paraId="67DEB5A9" w14:textId="77777777" w:rsidR="00397FC1" w:rsidRDefault="00397FC1" w:rsidP="00001991">
      <w:pPr>
        <w:jc w:val="both"/>
        <w:rPr>
          <w:rFonts w:ascii="Arial" w:hAnsi="Arial" w:cs="Arial"/>
          <w:sz w:val="20"/>
          <w:szCs w:val="20"/>
        </w:rPr>
      </w:pPr>
      <w:r>
        <w:rPr>
          <w:rFonts w:ascii="Arial" w:hAnsi="Arial" w:cs="Arial"/>
          <w:sz w:val="20"/>
          <w:szCs w:val="20"/>
        </w:rPr>
        <w:t>ZMD in informativni obrazec za obračun na več mestih opredeljuje tudi subjekte, ki imajo določene značilnosti, zaradi katerih</w:t>
      </w:r>
      <w:r w:rsidR="005175A4">
        <w:rPr>
          <w:rFonts w:ascii="Arial" w:hAnsi="Arial" w:cs="Arial"/>
          <w:sz w:val="20"/>
          <w:szCs w:val="20"/>
        </w:rPr>
        <w:t xml:space="preserve"> se</w:t>
      </w:r>
      <w:r>
        <w:rPr>
          <w:rFonts w:ascii="Arial" w:hAnsi="Arial" w:cs="Arial"/>
          <w:sz w:val="20"/>
          <w:szCs w:val="20"/>
        </w:rPr>
        <w:t xml:space="preserve"> zahteva drugačn</w:t>
      </w:r>
      <w:r w:rsidR="005175A4">
        <w:rPr>
          <w:rFonts w:ascii="Arial" w:hAnsi="Arial" w:cs="Arial"/>
          <w:sz w:val="20"/>
          <w:szCs w:val="20"/>
        </w:rPr>
        <w:t>a</w:t>
      </w:r>
      <w:r>
        <w:rPr>
          <w:rFonts w:ascii="Arial" w:hAnsi="Arial" w:cs="Arial"/>
          <w:sz w:val="20"/>
          <w:szCs w:val="20"/>
        </w:rPr>
        <w:t xml:space="preserve"> obravnav</w:t>
      </w:r>
      <w:r w:rsidR="00864B12">
        <w:rPr>
          <w:rFonts w:ascii="Arial" w:hAnsi="Arial" w:cs="Arial"/>
          <w:sz w:val="20"/>
          <w:szCs w:val="20"/>
        </w:rPr>
        <w:t>a</w:t>
      </w:r>
      <w:r>
        <w:rPr>
          <w:rFonts w:ascii="Arial" w:hAnsi="Arial" w:cs="Arial"/>
          <w:sz w:val="20"/>
          <w:szCs w:val="20"/>
        </w:rPr>
        <w:t xml:space="preserve"> teh subjektov, ki se jih opredeljuje tudi</w:t>
      </w:r>
      <w:r w:rsidR="00864B12">
        <w:rPr>
          <w:rFonts w:ascii="Arial" w:hAnsi="Arial" w:cs="Arial"/>
          <w:sz w:val="20"/>
          <w:szCs w:val="20"/>
        </w:rPr>
        <w:t xml:space="preserve"> kot</w:t>
      </w:r>
      <w:r>
        <w:rPr>
          <w:rFonts w:ascii="Arial" w:hAnsi="Arial" w:cs="Arial"/>
          <w:sz w:val="20"/>
          <w:szCs w:val="20"/>
        </w:rPr>
        <w:t xml:space="preserve"> podskupine subjektov v sestavi. Navedene podskupine so: subjekti v manjšinski lasti, skupni podvigi, investicijski subjekti. Izhodiščno je treba identificirati vse kategorije teh subjektov v skupini, da se jih lahko ustrezno obravnava. </w:t>
      </w:r>
      <w:r w:rsidR="005175A4">
        <w:rPr>
          <w:rFonts w:ascii="Arial" w:hAnsi="Arial" w:cs="Arial"/>
          <w:sz w:val="20"/>
          <w:szCs w:val="20"/>
        </w:rPr>
        <w:t>Drugačna obravnava teh subjektov pa je, poenostavljeno povedano, predvidena predvsem v obliki izračuna dejanske davčne stopnje in kvalificiranega dohodka,</w:t>
      </w:r>
      <w:r w:rsidR="005175A4" w:rsidRPr="005175A4">
        <w:rPr>
          <w:rFonts w:ascii="Arial" w:hAnsi="Arial" w:cs="Arial"/>
          <w:sz w:val="20"/>
          <w:szCs w:val="20"/>
        </w:rPr>
        <w:t xml:space="preserve"> </w:t>
      </w:r>
      <w:r w:rsidR="005175A4">
        <w:rPr>
          <w:rFonts w:ascii="Arial" w:hAnsi="Arial" w:cs="Arial"/>
          <w:sz w:val="20"/>
          <w:szCs w:val="20"/>
        </w:rPr>
        <w:t>ločeno od preostalih subjektov v sestavi, ki se nahajajo v isti jurisdikciji</w:t>
      </w:r>
      <w:r w:rsidR="00C71E46">
        <w:rPr>
          <w:rFonts w:ascii="Arial" w:hAnsi="Arial" w:cs="Arial"/>
          <w:sz w:val="20"/>
          <w:szCs w:val="20"/>
        </w:rPr>
        <w:t>, oziroma posebnosti pri pripisovanju dohodkov in zajetih davkov tem subjektom</w:t>
      </w:r>
      <w:r w:rsidR="00864B12">
        <w:rPr>
          <w:rFonts w:ascii="Arial" w:hAnsi="Arial" w:cs="Arial"/>
          <w:sz w:val="20"/>
          <w:szCs w:val="20"/>
        </w:rPr>
        <w:t xml:space="preserve"> ter o načinu uporabe pravila o vključitvi dohodkov oziroma pravila o prenizko obdavčenih dobičkih</w:t>
      </w:r>
      <w:r w:rsidR="005175A4">
        <w:rPr>
          <w:rFonts w:ascii="Arial" w:hAnsi="Arial" w:cs="Arial"/>
          <w:sz w:val="20"/>
          <w:szCs w:val="20"/>
        </w:rPr>
        <w:t xml:space="preserve">. </w:t>
      </w:r>
    </w:p>
    <w:p w14:paraId="65EC156B" w14:textId="77777777" w:rsidR="005175A4" w:rsidRDefault="005175A4" w:rsidP="00001991">
      <w:pPr>
        <w:jc w:val="both"/>
        <w:rPr>
          <w:rFonts w:ascii="Arial" w:hAnsi="Arial" w:cs="Arial"/>
          <w:sz w:val="20"/>
          <w:szCs w:val="20"/>
        </w:rPr>
      </w:pPr>
      <w:r>
        <w:rPr>
          <w:rFonts w:ascii="Arial" w:hAnsi="Arial" w:cs="Arial"/>
          <w:sz w:val="20"/>
          <w:szCs w:val="20"/>
        </w:rPr>
        <w:t xml:space="preserve">Varni pristani so posebne ugodnosti, ki veljajo po sistemu povrhnjega davka in določajo kdaj se šteje, da je povrhnji davek nič, pri čemer se tudi teži k poenostavitvi posameznih izračunov, ki se zahtevajo v okviru povrhnjega davka. </w:t>
      </w:r>
    </w:p>
    <w:p w14:paraId="2CFEA1D5" w14:textId="77777777" w:rsidR="00561763" w:rsidRDefault="00561763" w:rsidP="00001991">
      <w:pPr>
        <w:jc w:val="both"/>
        <w:rPr>
          <w:rFonts w:ascii="Arial" w:hAnsi="Arial" w:cs="Arial"/>
          <w:sz w:val="20"/>
          <w:szCs w:val="20"/>
        </w:rPr>
      </w:pPr>
      <w:r w:rsidRPr="00457B7F">
        <w:rPr>
          <w:rFonts w:ascii="Arial" w:hAnsi="Arial" w:cs="Arial"/>
          <w:sz w:val="20"/>
          <w:szCs w:val="20"/>
        </w:rPr>
        <w:t>V zvezi s temi vsebinami so relevantne naslednje zaporedne številke informativnega obrazca za obračun:</w:t>
      </w:r>
    </w:p>
    <w:tbl>
      <w:tblPr>
        <w:tblStyle w:val="Tabelamrea"/>
        <w:tblW w:w="9067" w:type="dxa"/>
        <w:tblLook w:val="04A0" w:firstRow="1" w:lastRow="0" w:firstColumn="1" w:lastColumn="0" w:noHBand="0" w:noVBand="1"/>
      </w:tblPr>
      <w:tblGrid>
        <w:gridCol w:w="1162"/>
        <w:gridCol w:w="2519"/>
        <w:gridCol w:w="5386"/>
      </w:tblGrid>
      <w:tr w:rsidR="00457B7F" w:rsidRPr="00D76E23" w14:paraId="0D6E42A0" w14:textId="77777777" w:rsidTr="00457B7F">
        <w:trPr>
          <w:trHeight w:val="746"/>
        </w:trPr>
        <w:tc>
          <w:tcPr>
            <w:tcW w:w="1162" w:type="dxa"/>
            <w:shd w:val="clear" w:color="auto" w:fill="D9D9D9" w:themeFill="background1" w:themeFillShade="D9"/>
            <w:noWrap/>
          </w:tcPr>
          <w:p w14:paraId="3F933ACD" w14:textId="77777777" w:rsidR="00457B7F" w:rsidRPr="00D76E23" w:rsidRDefault="00457B7F" w:rsidP="00671CED">
            <w:pPr>
              <w:spacing w:line="240" w:lineRule="exact"/>
              <w:rPr>
                <w:rFonts w:ascii="Arial" w:hAnsi="Arial" w:cs="Arial"/>
                <w:sz w:val="18"/>
                <w:szCs w:val="18"/>
              </w:rPr>
            </w:pPr>
          </w:p>
        </w:tc>
        <w:tc>
          <w:tcPr>
            <w:tcW w:w="2519" w:type="dxa"/>
            <w:shd w:val="clear" w:color="auto" w:fill="D9D9D9" w:themeFill="background1" w:themeFillShade="D9"/>
            <w:noWrap/>
          </w:tcPr>
          <w:p w14:paraId="0E439CD2" w14:textId="77777777" w:rsidR="00457B7F" w:rsidRPr="00D76E23" w:rsidRDefault="00457B7F" w:rsidP="00671CED">
            <w:pPr>
              <w:spacing w:line="240" w:lineRule="exact"/>
              <w:rPr>
                <w:rFonts w:ascii="Arial" w:hAnsi="Arial" w:cs="Arial"/>
                <w:sz w:val="18"/>
                <w:szCs w:val="18"/>
              </w:rPr>
            </w:pPr>
            <w:r w:rsidRPr="00D76E23">
              <w:rPr>
                <w:rFonts w:ascii="Arial" w:hAnsi="Arial" w:cs="Arial"/>
                <w:sz w:val="18"/>
                <w:szCs w:val="18"/>
              </w:rPr>
              <w:t>KORPORACIJSKA STRUKTURA</w:t>
            </w:r>
          </w:p>
        </w:tc>
        <w:tc>
          <w:tcPr>
            <w:tcW w:w="5386" w:type="dxa"/>
            <w:shd w:val="clear" w:color="auto" w:fill="D9D9D9" w:themeFill="background1" w:themeFillShade="D9"/>
            <w:noWrap/>
          </w:tcPr>
          <w:p w14:paraId="52E3EFAB" w14:textId="77777777" w:rsidR="00457B7F" w:rsidRPr="00D76E23" w:rsidRDefault="00457B7F" w:rsidP="006E70C0">
            <w:pPr>
              <w:spacing w:line="240" w:lineRule="exact"/>
              <w:jc w:val="both"/>
              <w:rPr>
                <w:rFonts w:ascii="Arial" w:hAnsi="Arial" w:cs="Arial"/>
                <w:sz w:val="18"/>
                <w:szCs w:val="18"/>
              </w:rPr>
            </w:pPr>
          </w:p>
        </w:tc>
      </w:tr>
      <w:tr w:rsidR="00671CED" w:rsidRPr="00D76E23" w14:paraId="0F64049E" w14:textId="77777777" w:rsidTr="00457B7F">
        <w:trPr>
          <w:trHeight w:val="746"/>
        </w:trPr>
        <w:tc>
          <w:tcPr>
            <w:tcW w:w="1162" w:type="dxa"/>
            <w:shd w:val="clear" w:color="auto" w:fill="D9D9D9" w:themeFill="background1" w:themeFillShade="D9"/>
            <w:noWrap/>
            <w:hideMark/>
          </w:tcPr>
          <w:p w14:paraId="59FE9CE2"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1.3.1.</w:t>
            </w:r>
          </w:p>
        </w:tc>
        <w:tc>
          <w:tcPr>
            <w:tcW w:w="2519" w:type="dxa"/>
            <w:shd w:val="clear" w:color="auto" w:fill="D9D9D9" w:themeFill="background1" w:themeFillShade="D9"/>
            <w:noWrap/>
            <w:hideMark/>
          </w:tcPr>
          <w:p w14:paraId="17D5831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Krovni matični subjekt</w:t>
            </w:r>
          </w:p>
        </w:tc>
        <w:tc>
          <w:tcPr>
            <w:tcW w:w="5386" w:type="dxa"/>
            <w:shd w:val="clear" w:color="auto" w:fill="D9D9D9" w:themeFill="background1" w:themeFillShade="D9"/>
            <w:noWrap/>
            <w:hideMark/>
          </w:tcPr>
          <w:p w14:paraId="7513B06C"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Besedilo opozorila: Informacije se poročajo po stanju na zadnji dan </w:t>
            </w:r>
            <w:r w:rsidR="00612708" w:rsidRPr="00D76E23">
              <w:rPr>
                <w:rFonts w:ascii="Arial" w:hAnsi="Arial" w:cs="Arial"/>
                <w:sz w:val="18"/>
                <w:szCs w:val="18"/>
              </w:rPr>
              <w:t xml:space="preserve">finančnega </w:t>
            </w:r>
            <w:r w:rsidRPr="00D76E23">
              <w:rPr>
                <w:rFonts w:ascii="Arial" w:hAnsi="Arial" w:cs="Arial"/>
                <w:sz w:val="18"/>
                <w:szCs w:val="18"/>
              </w:rPr>
              <w:t>poročevalskega obdobja</w:t>
            </w:r>
            <w:r w:rsidR="005D0919">
              <w:rPr>
                <w:rFonts w:ascii="Arial" w:hAnsi="Arial" w:cs="Arial"/>
                <w:sz w:val="18"/>
                <w:szCs w:val="18"/>
              </w:rPr>
              <w:t>.</w:t>
            </w:r>
          </w:p>
        </w:tc>
      </w:tr>
      <w:tr w:rsidR="00671CED" w:rsidRPr="00D76E23" w14:paraId="5E172B3C" w14:textId="77777777" w:rsidTr="00671CED">
        <w:trPr>
          <w:trHeight w:val="558"/>
        </w:trPr>
        <w:tc>
          <w:tcPr>
            <w:tcW w:w="1162" w:type="dxa"/>
            <w:noWrap/>
            <w:hideMark/>
          </w:tcPr>
          <w:p w14:paraId="0B11CBB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1.3.1.1.</w:t>
            </w:r>
          </w:p>
        </w:tc>
        <w:tc>
          <w:tcPr>
            <w:tcW w:w="2519" w:type="dxa"/>
            <w:noWrap/>
            <w:hideMark/>
          </w:tcPr>
          <w:p w14:paraId="44C1B6D3"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Jurisdikcija krovnega matičnega subjekta</w:t>
            </w:r>
          </w:p>
        </w:tc>
        <w:tc>
          <w:tcPr>
            <w:tcW w:w="5386" w:type="dxa"/>
            <w:noWrap/>
            <w:hideMark/>
          </w:tcPr>
          <w:p w14:paraId="568F9A16" w14:textId="77777777" w:rsidR="00671CED" w:rsidRPr="00D76E23" w:rsidRDefault="00671CED" w:rsidP="006E70C0">
            <w:pPr>
              <w:spacing w:line="240" w:lineRule="exact"/>
              <w:jc w:val="both"/>
              <w:rPr>
                <w:rFonts w:ascii="Arial" w:hAnsi="Arial" w:cs="Arial"/>
                <w:sz w:val="18"/>
                <w:szCs w:val="18"/>
              </w:rPr>
            </w:pPr>
          </w:p>
        </w:tc>
      </w:tr>
      <w:tr w:rsidR="00671CED" w:rsidRPr="00D76E23" w14:paraId="4D9F5B29" w14:textId="77777777" w:rsidTr="00671CED">
        <w:trPr>
          <w:trHeight w:val="3458"/>
        </w:trPr>
        <w:tc>
          <w:tcPr>
            <w:tcW w:w="1162" w:type="dxa"/>
            <w:noWrap/>
            <w:hideMark/>
          </w:tcPr>
          <w:p w14:paraId="39E2968E"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1.3.1.2.</w:t>
            </w:r>
          </w:p>
        </w:tc>
        <w:tc>
          <w:tcPr>
            <w:tcW w:w="2519" w:type="dxa"/>
            <w:noWrap/>
            <w:hideMark/>
          </w:tcPr>
          <w:p w14:paraId="44B6A5CB"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Uporabljiva pravila </w:t>
            </w:r>
          </w:p>
        </w:tc>
        <w:tc>
          <w:tcPr>
            <w:tcW w:w="5386" w:type="dxa"/>
            <w:hideMark/>
          </w:tcPr>
          <w:p w14:paraId="0290B39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Podatkov se ne poroča, če je Krovni Matični Subjekt Izključen subjekt.</w:t>
            </w:r>
            <w:r w:rsidRPr="00D76E23">
              <w:rPr>
                <w:rFonts w:ascii="Arial" w:hAnsi="Arial" w:cs="Arial"/>
                <w:sz w:val="18"/>
                <w:szCs w:val="18"/>
              </w:rPr>
              <w:br/>
              <w:t>Poroča se, ali ima jurisdikcija krovnega matičnega subjekta v veljavi QIIR, QUTPR in/ali QDMTT za davčno leto poročanja. Ustrezne možnosti se izberejo:</w:t>
            </w:r>
          </w:p>
          <w:p w14:paraId="4CDD17E3" w14:textId="44A24F93"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w:t>
            </w:r>
            <w:r w:rsidR="009D1465">
              <w:rPr>
                <w:rFonts w:ascii="Arial" w:hAnsi="Arial" w:cs="Arial"/>
                <w:sz w:val="18"/>
                <w:szCs w:val="18"/>
              </w:rPr>
              <w:t>i</w:t>
            </w:r>
            <w:r w:rsidRPr="00D76E23">
              <w:rPr>
                <w:rFonts w:ascii="Arial" w:hAnsi="Arial" w:cs="Arial"/>
                <w:sz w:val="18"/>
                <w:szCs w:val="18"/>
              </w:rPr>
              <w:t>) Kvalificirano pravilo o vključitvi dohodkov (QIIR), ki se uporablja za nizko obdavčene subjekte v sestavi, ki se nahajajo v drugih jurisdikcijah,</w:t>
            </w:r>
            <w:r w:rsidRPr="00D76E23">
              <w:rPr>
                <w:rFonts w:ascii="Arial" w:hAnsi="Arial" w:cs="Arial"/>
                <w:sz w:val="18"/>
                <w:szCs w:val="18"/>
              </w:rPr>
              <w:br/>
              <w:t>(ii) Kvalificirano pravilo o vključitvi dohodkov (QIIR), ki se uporablja za nizko obdavčene subjekte v sestavi, ki se nahajajo v drugih jurisdikcijah in v jurisdikciji matičnega subjekta,</w:t>
            </w:r>
          </w:p>
          <w:p w14:paraId="10578677"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(iii) Kvalificirano pravilo o prenizko obdavčenih plačilih (QUTPR)</w:t>
            </w:r>
          </w:p>
          <w:p w14:paraId="250560D5" w14:textId="77777777" w:rsidR="006E70C0" w:rsidRDefault="006E70C0" w:rsidP="006E70C0">
            <w:pPr>
              <w:spacing w:line="240" w:lineRule="exact"/>
              <w:jc w:val="both"/>
              <w:rPr>
                <w:rFonts w:ascii="Arial" w:hAnsi="Arial" w:cs="Arial"/>
                <w:sz w:val="18"/>
                <w:szCs w:val="18"/>
              </w:rPr>
            </w:pPr>
            <w:r>
              <w:rPr>
                <w:rFonts w:ascii="Arial" w:hAnsi="Arial" w:cs="Arial"/>
                <w:sz w:val="18"/>
                <w:szCs w:val="18"/>
              </w:rPr>
              <w:t>(</w:t>
            </w:r>
            <w:r w:rsidR="00671CED" w:rsidRPr="00D76E23">
              <w:rPr>
                <w:rFonts w:ascii="Arial" w:hAnsi="Arial" w:cs="Arial"/>
                <w:sz w:val="18"/>
                <w:szCs w:val="18"/>
              </w:rPr>
              <w:t xml:space="preserve">iv) Kvalificiran domači povrhnji davek (QDMTT). </w:t>
            </w:r>
          </w:p>
          <w:p w14:paraId="2E033F47" w14:textId="69CAD2C9"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relevantna več kot ena možnost, subjekt v sestavi v spisu izbere vse ustrezne možnosti.</w:t>
            </w:r>
          </w:p>
        </w:tc>
      </w:tr>
      <w:tr w:rsidR="00671CED" w:rsidRPr="00D76E23" w14:paraId="50B5F705" w14:textId="77777777" w:rsidTr="00671CED">
        <w:trPr>
          <w:trHeight w:val="578"/>
        </w:trPr>
        <w:tc>
          <w:tcPr>
            <w:tcW w:w="1162" w:type="dxa"/>
            <w:noWrap/>
            <w:hideMark/>
          </w:tcPr>
          <w:p w14:paraId="757921F6"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1.3.1.3.</w:t>
            </w:r>
          </w:p>
        </w:tc>
        <w:tc>
          <w:tcPr>
            <w:tcW w:w="2519" w:type="dxa"/>
            <w:noWrap/>
            <w:hideMark/>
          </w:tcPr>
          <w:p w14:paraId="4318D40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Naziv krovnega matičnega subjekta</w:t>
            </w:r>
          </w:p>
        </w:tc>
        <w:tc>
          <w:tcPr>
            <w:tcW w:w="5386" w:type="dxa"/>
            <w:noWrap/>
            <w:hideMark/>
          </w:tcPr>
          <w:p w14:paraId="2A8BCFF7"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Vnese se ime Krovnega Matičnega Subjekta</w:t>
            </w:r>
            <w:r w:rsidR="0027479A">
              <w:rPr>
                <w:rFonts w:ascii="Arial" w:hAnsi="Arial" w:cs="Arial"/>
                <w:sz w:val="18"/>
                <w:szCs w:val="18"/>
              </w:rPr>
              <w:t>.</w:t>
            </w:r>
          </w:p>
        </w:tc>
      </w:tr>
      <w:tr w:rsidR="00671CED" w:rsidRPr="00D76E23" w14:paraId="7CA3B323" w14:textId="77777777" w:rsidTr="00671CED">
        <w:trPr>
          <w:trHeight w:val="1440"/>
        </w:trPr>
        <w:tc>
          <w:tcPr>
            <w:tcW w:w="1162" w:type="dxa"/>
            <w:noWrap/>
            <w:hideMark/>
          </w:tcPr>
          <w:p w14:paraId="6FD24EC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1.3.1.4.</w:t>
            </w:r>
          </w:p>
        </w:tc>
        <w:tc>
          <w:tcPr>
            <w:tcW w:w="2519" w:type="dxa"/>
            <w:noWrap/>
            <w:hideMark/>
          </w:tcPr>
          <w:p w14:paraId="72264CCA"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Davčna številka krovnega matičnega subjekta</w:t>
            </w:r>
          </w:p>
        </w:tc>
        <w:tc>
          <w:tcPr>
            <w:tcW w:w="5386" w:type="dxa"/>
            <w:hideMark/>
          </w:tcPr>
          <w:p w14:paraId="425CC94F"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davčna številka Krovnega Matičnega Subjekta UPE, ki se uporablja za namene zajetih davkov v jurisdikciji, v kateri je, za namene </w:t>
            </w:r>
            <w:r w:rsidR="00612708">
              <w:rPr>
                <w:rFonts w:ascii="Arial" w:hAnsi="Arial" w:cs="Arial"/>
                <w:sz w:val="18"/>
                <w:szCs w:val="18"/>
              </w:rPr>
              <w:t>povrhnjega davka</w:t>
            </w:r>
            <w:r w:rsidRPr="00D76E23">
              <w:rPr>
                <w:rFonts w:ascii="Arial" w:hAnsi="Arial" w:cs="Arial"/>
                <w:sz w:val="18"/>
                <w:szCs w:val="18"/>
              </w:rPr>
              <w:t xml:space="preserve"> ali, če davčna številka ni na voljo, funkcijski ekvivalent, kot je registracijska oznaka/številka podjetja</w:t>
            </w:r>
            <w:r w:rsidR="0027479A">
              <w:rPr>
                <w:rFonts w:ascii="Arial" w:hAnsi="Arial" w:cs="Arial"/>
                <w:sz w:val="18"/>
                <w:szCs w:val="18"/>
              </w:rPr>
              <w:t>.</w:t>
            </w:r>
          </w:p>
        </w:tc>
      </w:tr>
      <w:tr w:rsidR="00671CED" w:rsidRPr="00D76E23" w14:paraId="2EB7F256" w14:textId="77777777" w:rsidTr="00671CED">
        <w:trPr>
          <w:trHeight w:val="863"/>
        </w:trPr>
        <w:tc>
          <w:tcPr>
            <w:tcW w:w="1162" w:type="dxa"/>
            <w:noWrap/>
            <w:hideMark/>
          </w:tcPr>
          <w:p w14:paraId="2F1C44F2"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1.3.1.5.</w:t>
            </w:r>
          </w:p>
        </w:tc>
        <w:tc>
          <w:tcPr>
            <w:tcW w:w="2519" w:type="dxa"/>
            <w:hideMark/>
          </w:tcPr>
          <w:p w14:paraId="6A8DBBD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Davčna številka krovnega matičnega subjekta v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jurisdikciji </w:t>
            </w:r>
          </w:p>
        </w:tc>
        <w:tc>
          <w:tcPr>
            <w:tcW w:w="5386" w:type="dxa"/>
            <w:hideMark/>
          </w:tcPr>
          <w:p w14:paraId="5A6D508C"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davčna številka Krovnega Matičnega Subjekta UPE, ki se ji dodeli s strani </w:t>
            </w:r>
            <w:proofErr w:type="spellStart"/>
            <w:r w:rsidRPr="00D76E23">
              <w:rPr>
                <w:rFonts w:ascii="Arial" w:hAnsi="Arial" w:cs="Arial"/>
                <w:sz w:val="18"/>
                <w:szCs w:val="18"/>
              </w:rPr>
              <w:t>vložniške</w:t>
            </w:r>
            <w:proofErr w:type="spellEnd"/>
            <w:r w:rsidRPr="00D76E23">
              <w:rPr>
                <w:rFonts w:ascii="Arial" w:hAnsi="Arial" w:cs="Arial"/>
                <w:sz w:val="18"/>
                <w:szCs w:val="18"/>
              </w:rPr>
              <w:t xml:space="preserve"> jurisdikcije</w:t>
            </w:r>
          </w:p>
        </w:tc>
      </w:tr>
      <w:tr w:rsidR="00671CED" w:rsidRPr="00D76E23" w14:paraId="06EBB3B2" w14:textId="77777777" w:rsidTr="00671CED">
        <w:trPr>
          <w:trHeight w:val="2620"/>
        </w:trPr>
        <w:tc>
          <w:tcPr>
            <w:tcW w:w="1162" w:type="dxa"/>
            <w:noWrap/>
            <w:hideMark/>
          </w:tcPr>
          <w:p w14:paraId="61D8A12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1.3.1.6.</w:t>
            </w:r>
          </w:p>
        </w:tc>
        <w:tc>
          <w:tcPr>
            <w:tcW w:w="2519" w:type="dxa"/>
            <w:noWrap/>
            <w:hideMark/>
          </w:tcPr>
          <w:p w14:paraId="4EAB8C84"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Status za namene GLOBE</w:t>
            </w:r>
          </w:p>
        </w:tc>
        <w:tc>
          <w:tcPr>
            <w:tcW w:w="5386" w:type="dxa"/>
            <w:hideMark/>
          </w:tcPr>
          <w:p w14:paraId="3E14BB01"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Izbere se ustrezna možnost:</w:t>
            </w:r>
          </w:p>
          <w:p w14:paraId="263A9000" w14:textId="4F1AB1FB" w:rsidR="006537D4"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s</w:t>
            </w:r>
            <w:r w:rsidRPr="00D76E23">
              <w:rPr>
                <w:rFonts w:ascii="Arial" w:hAnsi="Arial" w:cs="Arial"/>
                <w:sz w:val="18"/>
                <w:szCs w:val="18"/>
              </w:rPr>
              <w:t xml:space="preserve">ubjekt v sestavi </w:t>
            </w:r>
          </w:p>
          <w:p w14:paraId="6C618D83"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pretočni subjekt – davčno pregleden </w:t>
            </w:r>
          </w:p>
          <w:p w14:paraId="578F6219"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pretočni subjekt– obratni hibridni subjekt </w:t>
            </w:r>
          </w:p>
          <w:p w14:paraId="51FAFF80"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hibridni subjekt </w:t>
            </w:r>
          </w:p>
          <w:p w14:paraId="2F6D5AC9"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glavni subjekt </w:t>
            </w:r>
          </w:p>
          <w:p w14:paraId="19E3AC84"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investicijski subjekt </w:t>
            </w:r>
          </w:p>
          <w:p w14:paraId="7DDD93CF"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zavarovalni investicijski subjekt </w:t>
            </w:r>
          </w:p>
          <w:p w14:paraId="0EAEC185" w14:textId="58503BA1"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i</w:t>
            </w:r>
            <w:r w:rsidRPr="00D76E23">
              <w:rPr>
                <w:rFonts w:ascii="Arial" w:hAnsi="Arial" w:cs="Arial"/>
                <w:sz w:val="18"/>
                <w:szCs w:val="18"/>
              </w:rPr>
              <w:t xml:space="preserve">zključeni subjekt. </w:t>
            </w:r>
          </w:p>
          <w:p w14:paraId="2FB326FE" w14:textId="19B34D72"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relevantna več kot ena možnost, subjekt v sestavi v spisu izbere vse ustrezne možnosti.</w:t>
            </w:r>
          </w:p>
        </w:tc>
      </w:tr>
      <w:tr w:rsidR="00671CED" w:rsidRPr="00D76E23" w14:paraId="60E7A69A" w14:textId="77777777" w:rsidTr="00671CED">
        <w:trPr>
          <w:trHeight w:val="2400"/>
        </w:trPr>
        <w:tc>
          <w:tcPr>
            <w:tcW w:w="1162" w:type="dxa"/>
            <w:noWrap/>
            <w:hideMark/>
          </w:tcPr>
          <w:p w14:paraId="1B5969D7"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1.3.1.7.</w:t>
            </w:r>
          </w:p>
        </w:tc>
        <w:tc>
          <w:tcPr>
            <w:tcW w:w="2519" w:type="dxa"/>
            <w:noWrap/>
            <w:hideMark/>
          </w:tcPr>
          <w:p w14:paraId="503E1D18"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Če je krovni matični subjekt Izključen subjekt - tip</w:t>
            </w:r>
          </w:p>
        </w:tc>
        <w:tc>
          <w:tcPr>
            <w:tcW w:w="5386" w:type="dxa"/>
            <w:hideMark/>
          </w:tcPr>
          <w:p w14:paraId="157F940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Če je Krovni Matični Subjekt Izključeni subjekt, se poroča, ali je Krovni Matični Subjekt:</w:t>
            </w:r>
          </w:p>
          <w:p w14:paraId="1C7976BE"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(I) Državni subjekt,</w:t>
            </w:r>
          </w:p>
          <w:p w14:paraId="6D1362C6"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(ii) mednarodna organizacija; </w:t>
            </w:r>
          </w:p>
          <w:p w14:paraId="6A77F62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(III) neprofitno organizacijo; </w:t>
            </w:r>
          </w:p>
          <w:p w14:paraId="70CD5DC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(IV) pokojninski sklad; </w:t>
            </w:r>
          </w:p>
          <w:p w14:paraId="449A7DC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(v) investicijski sklad, ki je krovni matični subjekt;</w:t>
            </w:r>
          </w:p>
          <w:p w14:paraId="79EF0033" w14:textId="7EA615AD"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(VI) nosilec naložb v nepremičnine, ki je krovni matični subjekt.</w:t>
            </w:r>
          </w:p>
        </w:tc>
      </w:tr>
      <w:tr w:rsidR="00671CED" w:rsidRPr="00D76E23" w14:paraId="134E1098" w14:textId="77777777" w:rsidTr="00101D1E">
        <w:trPr>
          <w:trHeight w:val="1031"/>
        </w:trPr>
        <w:tc>
          <w:tcPr>
            <w:tcW w:w="1162" w:type="dxa"/>
            <w:shd w:val="clear" w:color="auto" w:fill="D9D9D9" w:themeFill="background1" w:themeFillShade="D9"/>
            <w:hideMark/>
          </w:tcPr>
          <w:p w14:paraId="31EF4860"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w:t>
            </w:r>
          </w:p>
        </w:tc>
        <w:tc>
          <w:tcPr>
            <w:tcW w:w="2519" w:type="dxa"/>
            <w:shd w:val="clear" w:color="auto" w:fill="D9D9D9" w:themeFill="background1" w:themeFillShade="D9"/>
            <w:hideMark/>
          </w:tcPr>
          <w:p w14:paraId="43B849F7"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Subjekti Skupine (poleg krovnega matičnega subjekta) in člani Skupnega podviga Skupine</w:t>
            </w:r>
          </w:p>
        </w:tc>
        <w:tc>
          <w:tcPr>
            <w:tcW w:w="5386" w:type="dxa"/>
            <w:shd w:val="clear" w:color="auto" w:fill="D9D9D9" w:themeFill="background1" w:themeFillShade="D9"/>
            <w:noWrap/>
            <w:hideMark/>
          </w:tcPr>
          <w:p w14:paraId="0FFA6053"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w:t>
            </w:r>
          </w:p>
        </w:tc>
      </w:tr>
      <w:tr w:rsidR="00671CED" w:rsidRPr="00D76E23" w14:paraId="1DCC970E" w14:textId="77777777" w:rsidTr="00671CED">
        <w:trPr>
          <w:trHeight w:val="769"/>
        </w:trPr>
        <w:tc>
          <w:tcPr>
            <w:tcW w:w="1162" w:type="dxa"/>
            <w:noWrap/>
            <w:hideMark/>
          </w:tcPr>
          <w:p w14:paraId="34DF52CA"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w:t>
            </w:r>
          </w:p>
        </w:tc>
        <w:tc>
          <w:tcPr>
            <w:tcW w:w="2519" w:type="dxa"/>
            <w:noWrap/>
            <w:hideMark/>
          </w:tcPr>
          <w:p w14:paraId="7677D25E"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Subjekt v sestavi in člani Skupine Skupnega podviga </w:t>
            </w:r>
          </w:p>
        </w:tc>
        <w:tc>
          <w:tcPr>
            <w:tcW w:w="5386" w:type="dxa"/>
            <w:hideMark/>
          </w:tcPr>
          <w:p w14:paraId="6DCE48D2"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Besedilo opozorila: Informacije se poročajo po stanju na zadnji dan poročevalskega finančnega obdobja</w:t>
            </w:r>
            <w:r w:rsidR="0027479A">
              <w:rPr>
                <w:rFonts w:ascii="Arial" w:hAnsi="Arial" w:cs="Arial"/>
                <w:sz w:val="18"/>
                <w:szCs w:val="18"/>
              </w:rPr>
              <w:t>.</w:t>
            </w:r>
          </w:p>
        </w:tc>
      </w:tr>
      <w:tr w:rsidR="00671CED" w:rsidRPr="00D76E23" w14:paraId="27D85747" w14:textId="77777777" w:rsidTr="00671CED">
        <w:trPr>
          <w:trHeight w:val="1200"/>
        </w:trPr>
        <w:tc>
          <w:tcPr>
            <w:tcW w:w="1162" w:type="dxa"/>
            <w:noWrap/>
            <w:hideMark/>
          </w:tcPr>
          <w:p w14:paraId="4CCBA3D1"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1.3.2.1.1</w:t>
            </w:r>
          </w:p>
        </w:tc>
        <w:tc>
          <w:tcPr>
            <w:tcW w:w="2519" w:type="dxa"/>
            <w:noWrap/>
            <w:hideMark/>
          </w:tcPr>
          <w:p w14:paraId="3B585774"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Spremembe glede na prejšnje poročevalsko poslovno leto</w:t>
            </w:r>
          </w:p>
        </w:tc>
        <w:tc>
          <w:tcPr>
            <w:tcW w:w="5386" w:type="dxa"/>
            <w:hideMark/>
          </w:tcPr>
          <w:p w14:paraId="2DC001C9"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‚Ne‘, če so informacije, sporočene v vrsticah 1.3.2.1.2. do 1.3.2.1.16  </w:t>
            </w:r>
            <w:r w:rsidR="006537D4">
              <w:rPr>
                <w:rFonts w:ascii="Arial" w:hAnsi="Arial" w:cs="Arial"/>
                <w:sz w:val="18"/>
                <w:szCs w:val="18"/>
              </w:rPr>
              <w:t>obrazca</w:t>
            </w:r>
            <w:r w:rsidRPr="00D76E23">
              <w:rPr>
                <w:rFonts w:ascii="Arial" w:hAnsi="Arial" w:cs="Arial"/>
                <w:sz w:val="18"/>
                <w:szCs w:val="18"/>
              </w:rPr>
              <w:t xml:space="preserve">, predložene za predhodno Poslovno leto poročanja, še vedno veljavne in popolne za Poslovno leto poročanja. </w:t>
            </w:r>
          </w:p>
          <w:p w14:paraId="5DE4BC37"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Če je odgovor NE, se ne izpolni vrstic 1.3.2.1.2. do 1.3.2.1.16.</w:t>
            </w:r>
          </w:p>
          <w:p w14:paraId="471FBE67" w14:textId="2B157235"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odgovor DA, se izpolni vse vrstice 1.3.2.1.2. do 1.3.2.1.16 v zvezi z vsemi subjekti v sestavi in člani skupin skupnega podjetja.</w:t>
            </w:r>
          </w:p>
        </w:tc>
      </w:tr>
      <w:tr w:rsidR="00671CED" w:rsidRPr="00D76E23" w14:paraId="7E6BC418" w14:textId="77777777" w:rsidTr="00671CED">
        <w:trPr>
          <w:trHeight w:val="1800"/>
        </w:trPr>
        <w:tc>
          <w:tcPr>
            <w:tcW w:w="1162" w:type="dxa"/>
            <w:noWrap/>
            <w:hideMark/>
          </w:tcPr>
          <w:p w14:paraId="3198FAD0"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1.3.2.1.2</w:t>
            </w:r>
          </w:p>
        </w:tc>
        <w:tc>
          <w:tcPr>
            <w:tcW w:w="2519" w:type="dxa"/>
            <w:noWrap/>
            <w:hideMark/>
          </w:tcPr>
          <w:p w14:paraId="54DAC3F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Jurisdikcija</w:t>
            </w:r>
          </w:p>
        </w:tc>
        <w:tc>
          <w:tcPr>
            <w:tcW w:w="5386" w:type="dxa"/>
            <w:hideMark/>
          </w:tcPr>
          <w:p w14:paraId="7AE665B4"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5B2C2E58" w14:textId="77777777" w:rsidR="006E70C0" w:rsidRDefault="006E70C0" w:rsidP="006E70C0">
            <w:pPr>
              <w:spacing w:line="240" w:lineRule="exact"/>
              <w:jc w:val="both"/>
              <w:rPr>
                <w:rFonts w:ascii="Arial" w:hAnsi="Arial" w:cs="Arial"/>
                <w:sz w:val="18"/>
                <w:szCs w:val="18"/>
              </w:rPr>
            </w:pPr>
          </w:p>
          <w:p w14:paraId="3112C17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dvomestni črkovno kodo države na podlagi standarda ISO 3166–1 </w:t>
            </w:r>
            <w:proofErr w:type="spellStart"/>
            <w:r w:rsidRPr="00D76E23">
              <w:rPr>
                <w:rFonts w:ascii="Arial" w:hAnsi="Arial" w:cs="Arial"/>
                <w:sz w:val="18"/>
                <w:szCs w:val="18"/>
              </w:rPr>
              <w:t>Alpha</w:t>
            </w:r>
            <w:proofErr w:type="spellEnd"/>
            <w:r w:rsidRPr="00D76E23">
              <w:rPr>
                <w:rFonts w:ascii="Arial" w:hAnsi="Arial" w:cs="Arial"/>
                <w:sz w:val="18"/>
                <w:szCs w:val="18"/>
              </w:rPr>
              <w:t xml:space="preserve"> 2 za jurisdikcijo, v kateri se za namene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nahaja Subjekt v sestavi (ki ni Krovni Matični Subjekt), Skupina Skupnega podviga ali odvisna družba Skupine Skupnega podviga. </w:t>
            </w:r>
          </w:p>
          <w:p w14:paraId="679DDD95" w14:textId="59E4941B"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Polje lahko vključuje jurisdikcijo Krovnega Matičnega Subjekta, če se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Subjekti, ki niso Krovni Matični Subjekt,</w:t>
            </w:r>
            <w:r w:rsidR="00B5167D">
              <w:rPr>
                <w:rFonts w:ascii="Arial" w:hAnsi="Arial" w:cs="Arial"/>
                <w:sz w:val="18"/>
                <w:szCs w:val="18"/>
              </w:rPr>
              <w:t xml:space="preserve"> </w:t>
            </w:r>
            <w:r w:rsidRPr="00D76E23">
              <w:rPr>
                <w:rFonts w:ascii="Arial" w:hAnsi="Arial" w:cs="Arial"/>
                <w:sz w:val="18"/>
                <w:szCs w:val="18"/>
              </w:rPr>
              <w:t xml:space="preserve">Skupina Skupnega podviga ali odvisne družbe Skupine Skupnega podviga, nahajajo v jurisdikciji UPE. </w:t>
            </w:r>
          </w:p>
          <w:p w14:paraId="2E4A9611"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Za subjekte v sestavi brez državljanstva se vnese „brez državljanstva“.</w:t>
            </w:r>
          </w:p>
        </w:tc>
      </w:tr>
      <w:tr w:rsidR="00671CED" w:rsidRPr="00D76E23" w14:paraId="2743664F" w14:textId="77777777" w:rsidTr="00671CED">
        <w:trPr>
          <w:trHeight w:val="2700"/>
        </w:trPr>
        <w:tc>
          <w:tcPr>
            <w:tcW w:w="1162" w:type="dxa"/>
            <w:noWrap/>
            <w:hideMark/>
          </w:tcPr>
          <w:p w14:paraId="074EB63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1.3.2.1.3.</w:t>
            </w:r>
          </w:p>
        </w:tc>
        <w:tc>
          <w:tcPr>
            <w:tcW w:w="2519" w:type="dxa"/>
            <w:noWrap/>
            <w:hideMark/>
          </w:tcPr>
          <w:p w14:paraId="71B15297"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Jurisdikcija/Uporabljiva pravila </w:t>
            </w:r>
          </w:p>
        </w:tc>
        <w:tc>
          <w:tcPr>
            <w:tcW w:w="5386" w:type="dxa"/>
            <w:hideMark/>
          </w:tcPr>
          <w:p w14:paraId="14B1DC53"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4C0DFE5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Izberejo se ustrezne možnosti: </w:t>
            </w:r>
          </w:p>
          <w:p w14:paraId="3ABA594D" w14:textId="6419C7AC"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(I) Kvalificirano pravilo o vključitvi dohodkov (QIIR), ki se uporablja za nizko obdavčene subjekte v sestavi, ki se nahajajo v drugih jurisdikcijah,</w:t>
            </w:r>
            <w:r w:rsidRPr="00D76E23">
              <w:rPr>
                <w:rFonts w:ascii="Arial" w:hAnsi="Arial" w:cs="Arial"/>
                <w:sz w:val="18"/>
                <w:szCs w:val="18"/>
              </w:rPr>
              <w:br/>
              <w:t>(ii) Kvalificirano pravilo o vključitvi dohodkov (QIIR), ki se uporablja za nizko obdavčene subjekte v sestavi, ki se nahajajo v drugih jurisdikcijah in v jurisdikciji matičnega subjekta,</w:t>
            </w:r>
          </w:p>
          <w:p w14:paraId="516C3FB9"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(iii) Kvalificirano pravilo o prenizko obdavčenih plačilih (QUTPR)</w:t>
            </w:r>
          </w:p>
          <w:p w14:paraId="49A4EE5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(iv) Kvalificiran domači povrhnji davek (QDMTT). </w:t>
            </w:r>
          </w:p>
          <w:p w14:paraId="1A00AEEC" w14:textId="59F5E6D2"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relevantna več kot ena možnost, subjekt v sestavi v spisu izbere vse ustrezne možnosti</w:t>
            </w:r>
            <w:r w:rsidR="002C2F70">
              <w:rPr>
                <w:rFonts w:ascii="Arial" w:hAnsi="Arial" w:cs="Arial"/>
                <w:sz w:val="18"/>
                <w:szCs w:val="18"/>
              </w:rPr>
              <w:t>.</w:t>
            </w:r>
          </w:p>
        </w:tc>
      </w:tr>
      <w:tr w:rsidR="00671CED" w:rsidRPr="00D76E23" w14:paraId="10654DEC" w14:textId="77777777" w:rsidTr="00671CED">
        <w:trPr>
          <w:trHeight w:val="900"/>
        </w:trPr>
        <w:tc>
          <w:tcPr>
            <w:tcW w:w="1162" w:type="dxa"/>
            <w:noWrap/>
            <w:hideMark/>
          </w:tcPr>
          <w:p w14:paraId="5FB89E9E"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1.3.2.1.4.</w:t>
            </w:r>
          </w:p>
        </w:tc>
        <w:tc>
          <w:tcPr>
            <w:tcW w:w="2519" w:type="dxa"/>
            <w:hideMark/>
          </w:tcPr>
          <w:p w14:paraId="48A9FCE6"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Naziv Subjekta v sestavi, Skupnega podviga ali odvisnega Skupnega podviga</w:t>
            </w:r>
          </w:p>
        </w:tc>
        <w:tc>
          <w:tcPr>
            <w:tcW w:w="5386" w:type="dxa"/>
            <w:hideMark/>
          </w:tcPr>
          <w:p w14:paraId="4F55EAC5"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3C57D3CE" w14:textId="17A27B03"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Vnese se ime Subjekta v sestavi, Skupine Skupnega podviga ali odvisne družbe Skupine Skupnega podviga, ki se uporablja za namene zajetih davkov v jurisdikciji</w:t>
            </w:r>
            <w:r w:rsidR="002C2F70">
              <w:rPr>
                <w:rFonts w:ascii="Arial" w:hAnsi="Arial" w:cs="Arial"/>
                <w:sz w:val="18"/>
                <w:szCs w:val="18"/>
              </w:rPr>
              <w:t>.</w:t>
            </w:r>
          </w:p>
        </w:tc>
      </w:tr>
      <w:tr w:rsidR="00671CED" w:rsidRPr="00D76E23" w14:paraId="2DCEA37C" w14:textId="77777777" w:rsidTr="00671CED">
        <w:trPr>
          <w:trHeight w:val="1200"/>
        </w:trPr>
        <w:tc>
          <w:tcPr>
            <w:tcW w:w="1162" w:type="dxa"/>
            <w:noWrap/>
            <w:hideMark/>
          </w:tcPr>
          <w:p w14:paraId="196B002C"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1.3.2.1.5.</w:t>
            </w:r>
          </w:p>
        </w:tc>
        <w:tc>
          <w:tcPr>
            <w:tcW w:w="2519" w:type="dxa"/>
            <w:noWrap/>
            <w:hideMark/>
          </w:tcPr>
          <w:p w14:paraId="38F25C9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Davčna številka</w:t>
            </w:r>
          </w:p>
        </w:tc>
        <w:tc>
          <w:tcPr>
            <w:tcW w:w="5386" w:type="dxa"/>
            <w:hideMark/>
          </w:tcPr>
          <w:p w14:paraId="699358D0"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5B431EC4" w14:textId="77777777" w:rsidR="006E70C0" w:rsidRDefault="006E70C0" w:rsidP="006E70C0">
            <w:pPr>
              <w:spacing w:line="240" w:lineRule="exact"/>
              <w:jc w:val="both"/>
              <w:rPr>
                <w:rFonts w:ascii="Arial" w:hAnsi="Arial" w:cs="Arial"/>
                <w:sz w:val="18"/>
                <w:szCs w:val="18"/>
              </w:rPr>
            </w:pPr>
          </w:p>
          <w:p w14:paraId="44D801EC" w14:textId="54C31680"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Vnese se davčna številka Subjekta v sestavi, Skupine Skupnega podviga ali odvisne družbe Skupine Skupnega podviga, ki se uporablja za namene zajetih davkov v jurisdikciji, ali, če davčna številka ni na voljo, funkcionalni ekvivalent, kot je registracijska oznaka/številka podjetja</w:t>
            </w:r>
            <w:r w:rsidR="002C2F70">
              <w:rPr>
                <w:rFonts w:ascii="Arial" w:hAnsi="Arial" w:cs="Arial"/>
                <w:sz w:val="18"/>
                <w:szCs w:val="18"/>
              </w:rPr>
              <w:t>.</w:t>
            </w:r>
          </w:p>
        </w:tc>
      </w:tr>
      <w:tr w:rsidR="00671CED" w:rsidRPr="00D76E23" w14:paraId="6EAA2A23" w14:textId="77777777" w:rsidTr="00671CED">
        <w:trPr>
          <w:trHeight w:val="900"/>
        </w:trPr>
        <w:tc>
          <w:tcPr>
            <w:tcW w:w="1162" w:type="dxa"/>
            <w:noWrap/>
            <w:hideMark/>
          </w:tcPr>
          <w:p w14:paraId="6B62A356"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1.3.2.1.6.</w:t>
            </w:r>
          </w:p>
        </w:tc>
        <w:tc>
          <w:tcPr>
            <w:tcW w:w="2519" w:type="dxa"/>
            <w:noWrap/>
            <w:hideMark/>
          </w:tcPr>
          <w:p w14:paraId="42210B8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Davčna številka za </w:t>
            </w:r>
            <w:proofErr w:type="spellStart"/>
            <w:r w:rsidRPr="00D76E23">
              <w:rPr>
                <w:rFonts w:ascii="Arial" w:hAnsi="Arial" w:cs="Arial"/>
                <w:sz w:val="18"/>
                <w:szCs w:val="18"/>
              </w:rPr>
              <w:t>vložniško</w:t>
            </w:r>
            <w:proofErr w:type="spellEnd"/>
            <w:r w:rsidRPr="00D76E23">
              <w:rPr>
                <w:rFonts w:ascii="Arial" w:hAnsi="Arial" w:cs="Arial"/>
                <w:sz w:val="18"/>
                <w:szCs w:val="18"/>
              </w:rPr>
              <w:t xml:space="preserve"> jurisdikcijo (če)</w:t>
            </w:r>
          </w:p>
        </w:tc>
        <w:tc>
          <w:tcPr>
            <w:tcW w:w="5386" w:type="dxa"/>
            <w:hideMark/>
          </w:tcPr>
          <w:p w14:paraId="54B69A8A" w14:textId="28CBBF05"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2B6BEB20" w14:textId="77777777" w:rsidR="006E70C0" w:rsidRDefault="006E70C0" w:rsidP="006E70C0">
            <w:pPr>
              <w:spacing w:line="240" w:lineRule="exact"/>
              <w:jc w:val="both"/>
              <w:rPr>
                <w:rFonts w:ascii="Arial" w:hAnsi="Arial" w:cs="Arial"/>
                <w:sz w:val="18"/>
                <w:szCs w:val="18"/>
              </w:rPr>
            </w:pPr>
          </w:p>
          <w:p w14:paraId="08C452D3" w14:textId="39001F1E"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davčna številka Subjekta v sestavi, Skupine Skupnega podviga ali odvisne družbe Skupine Skupnega podviga, je dodeljena v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jurisdikciji</w:t>
            </w:r>
            <w:r w:rsidR="002C2F70">
              <w:rPr>
                <w:rFonts w:ascii="Arial" w:hAnsi="Arial" w:cs="Arial"/>
                <w:sz w:val="18"/>
                <w:szCs w:val="18"/>
              </w:rPr>
              <w:t>.</w:t>
            </w:r>
          </w:p>
        </w:tc>
      </w:tr>
      <w:tr w:rsidR="00671CED" w:rsidRPr="00D76E23" w14:paraId="5CEA4888" w14:textId="77777777" w:rsidTr="00671CED">
        <w:trPr>
          <w:trHeight w:val="4432"/>
        </w:trPr>
        <w:tc>
          <w:tcPr>
            <w:tcW w:w="1162" w:type="dxa"/>
            <w:noWrap/>
            <w:hideMark/>
          </w:tcPr>
          <w:p w14:paraId="111F777B"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1.3.2.1.7.</w:t>
            </w:r>
          </w:p>
        </w:tc>
        <w:tc>
          <w:tcPr>
            <w:tcW w:w="2519" w:type="dxa"/>
            <w:noWrap/>
            <w:hideMark/>
          </w:tcPr>
          <w:p w14:paraId="7F37596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Status za GL</w:t>
            </w:r>
            <w:r w:rsidR="00C60F31">
              <w:rPr>
                <w:rFonts w:ascii="Arial" w:hAnsi="Arial" w:cs="Arial"/>
                <w:sz w:val="18"/>
                <w:szCs w:val="18"/>
              </w:rPr>
              <w:t>OB</w:t>
            </w:r>
            <w:r w:rsidRPr="00D76E23">
              <w:rPr>
                <w:rFonts w:ascii="Arial" w:hAnsi="Arial" w:cs="Arial"/>
                <w:sz w:val="18"/>
                <w:szCs w:val="18"/>
              </w:rPr>
              <w:t>E namene</w:t>
            </w:r>
          </w:p>
        </w:tc>
        <w:tc>
          <w:tcPr>
            <w:tcW w:w="5386" w:type="dxa"/>
            <w:hideMark/>
          </w:tcPr>
          <w:p w14:paraId="27631B70"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48F79082" w14:textId="77777777" w:rsidR="006E70C0" w:rsidRDefault="006E70C0" w:rsidP="006E70C0">
            <w:pPr>
              <w:spacing w:line="240" w:lineRule="exact"/>
              <w:jc w:val="both"/>
              <w:rPr>
                <w:rFonts w:ascii="Arial" w:hAnsi="Arial" w:cs="Arial"/>
                <w:sz w:val="18"/>
                <w:szCs w:val="18"/>
              </w:rPr>
            </w:pPr>
          </w:p>
          <w:p w14:paraId="7A2B8B75"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Izbere se ustrezna možnost: </w:t>
            </w:r>
          </w:p>
          <w:p w14:paraId="1E6E6A0F"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subjekt v sestavi</w:t>
            </w:r>
          </w:p>
          <w:p w14:paraId="185B4266" w14:textId="0CBB86FC"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p</w:t>
            </w:r>
            <w:r w:rsidRPr="00D76E23">
              <w:rPr>
                <w:rFonts w:ascii="Arial" w:hAnsi="Arial" w:cs="Arial"/>
                <w:sz w:val="18"/>
                <w:szCs w:val="18"/>
              </w:rPr>
              <w:t>retočni Subjekt – davčno transparenten</w:t>
            </w:r>
          </w:p>
          <w:p w14:paraId="755AF0B7" w14:textId="643FF3F9"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p</w:t>
            </w:r>
            <w:r w:rsidRPr="00D76E23">
              <w:rPr>
                <w:rFonts w:ascii="Arial" w:hAnsi="Arial" w:cs="Arial"/>
                <w:sz w:val="18"/>
                <w:szCs w:val="18"/>
              </w:rPr>
              <w:t>retočni Subjekt – obratno hibridni subjekt</w:t>
            </w:r>
          </w:p>
          <w:p w14:paraId="7B97C75F"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hibridni subjekt </w:t>
            </w:r>
          </w:p>
          <w:p w14:paraId="208D8D33"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stalna poslovna enota</w:t>
            </w:r>
          </w:p>
          <w:p w14:paraId="0FA7B8B2"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glavni subjekt </w:t>
            </w:r>
          </w:p>
          <w:p w14:paraId="0C8C6023"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matični subjekt v manjši lasti </w:t>
            </w:r>
          </w:p>
          <w:p w14:paraId="276DEC3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odvisno podjetje v manjšinski lasti </w:t>
            </w:r>
          </w:p>
          <w:p w14:paraId="5C069622" w14:textId="2977B348"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s</w:t>
            </w:r>
            <w:r w:rsidRPr="00D76E23">
              <w:rPr>
                <w:rFonts w:ascii="Arial" w:hAnsi="Arial" w:cs="Arial"/>
                <w:sz w:val="18"/>
                <w:szCs w:val="18"/>
              </w:rPr>
              <w:t xml:space="preserve">ubjekt v sestavi v manjši lasti </w:t>
            </w:r>
          </w:p>
          <w:p w14:paraId="7545BFF4" w14:textId="6D66299A"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i</w:t>
            </w:r>
            <w:r w:rsidRPr="00D76E23">
              <w:rPr>
                <w:rFonts w:ascii="Arial" w:hAnsi="Arial" w:cs="Arial"/>
                <w:sz w:val="18"/>
                <w:szCs w:val="18"/>
              </w:rPr>
              <w:t>nvesticijski subjekt</w:t>
            </w:r>
          </w:p>
          <w:p w14:paraId="3FDBAA20"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zavarovalni investicijski subjekt </w:t>
            </w:r>
          </w:p>
          <w:p w14:paraId="3593CBE6"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skupn</w:t>
            </w:r>
            <w:r w:rsidR="00C60F31">
              <w:rPr>
                <w:rFonts w:ascii="Arial" w:hAnsi="Arial" w:cs="Arial"/>
                <w:sz w:val="18"/>
                <w:szCs w:val="18"/>
              </w:rPr>
              <w:t>i</w:t>
            </w:r>
            <w:r w:rsidRPr="00D76E23">
              <w:rPr>
                <w:rFonts w:ascii="Arial" w:hAnsi="Arial" w:cs="Arial"/>
                <w:sz w:val="18"/>
                <w:szCs w:val="18"/>
              </w:rPr>
              <w:t xml:space="preserve"> podvig (JV) </w:t>
            </w:r>
          </w:p>
          <w:p w14:paraId="1E536E18"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hčerinsk</w:t>
            </w:r>
            <w:r w:rsidR="002C2F70">
              <w:rPr>
                <w:rFonts w:ascii="Arial" w:hAnsi="Arial" w:cs="Arial"/>
                <w:sz w:val="18"/>
                <w:szCs w:val="18"/>
              </w:rPr>
              <w:t xml:space="preserve">a družba </w:t>
            </w:r>
            <w:r w:rsidRPr="00D76E23">
              <w:rPr>
                <w:rFonts w:ascii="Arial" w:hAnsi="Arial" w:cs="Arial"/>
                <w:sz w:val="18"/>
                <w:szCs w:val="18"/>
              </w:rPr>
              <w:t xml:space="preserve">skupnega podviga. </w:t>
            </w:r>
          </w:p>
          <w:p w14:paraId="587D419D" w14:textId="77777777" w:rsidR="006E70C0" w:rsidRDefault="006E70C0" w:rsidP="006E70C0">
            <w:pPr>
              <w:spacing w:line="240" w:lineRule="exact"/>
              <w:jc w:val="both"/>
              <w:rPr>
                <w:rFonts w:ascii="Arial" w:hAnsi="Arial" w:cs="Arial"/>
                <w:sz w:val="18"/>
                <w:szCs w:val="18"/>
              </w:rPr>
            </w:pPr>
          </w:p>
          <w:p w14:paraId="096E0609" w14:textId="01B35980"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relevantna več kot ena možnost, subjekt v sestavi v spisu izbere vse ustrezne možnosti.</w:t>
            </w:r>
          </w:p>
        </w:tc>
      </w:tr>
      <w:tr w:rsidR="00671CED" w:rsidRPr="00D76E23" w14:paraId="1C2BE987" w14:textId="77777777" w:rsidTr="00671CED">
        <w:trPr>
          <w:trHeight w:val="863"/>
        </w:trPr>
        <w:tc>
          <w:tcPr>
            <w:tcW w:w="1162" w:type="dxa"/>
            <w:hideMark/>
          </w:tcPr>
          <w:p w14:paraId="22ED6B44"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w:t>
            </w:r>
          </w:p>
        </w:tc>
        <w:tc>
          <w:tcPr>
            <w:tcW w:w="2519" w:type="dxa"/>
            <w:hideMark/>
          </w:tcPr>
          <w:p w14:paraId="0938CBB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Za vsak Subjekt, ki ima lastništvo v Subjektu v sestavi, JV ali odvisnem Skupnem podvigu</w:t>
            </w:r>
          </w:p>
        </w:tc>
        <w:tc>
          <w:tcPr>
            <w:tcW w:w="5386" w:type="dxa"/>
            <w:noWrap/>
            <w:hideMark/>
          </w:tcPr>
          <w:p w14:paraId="62EC3EA3"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w:t>
            </w:r>
          </w:p>
        </w:tc>
      </w:tr>
      <w:tr w:rsidR="00671CED" w:rsidRPr="00D76E23" w14:paraId="65C8A94E" w14:textId="77777777" w:rsidTr="00101D1E">
        <w:trPr>
          <w:trHeight w:val="2975"/>
        </w:trPr>
        <w:tc>
          <w:tcPr>
            <w:tcW w:w="1162" w:type="dxa"/>
            <w:noWrap/>
            <w:hideMark/>
          </w:tcPr>
          <w:p w14:paraId="5BAAB29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1.3.2.1.8.</w:t>
            </w:r>
          </w:p>
        </w:tc>
        <w:tc>
          <w:tcPr>
            <w:tcW w:w="2519" w:type="dxa"/>
            <w:noWrap/>
            <w:hideMark/>
          </w:tcPr>
          <w:p w14:paraId="3E931152"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Tip</w:t>
            </w:r>
          </w:p>
        </w:tc>
        <w:tc>
          <w:tcPr>
            <w:tcW w:w="5386" w:type="dxa"/>
            <w:hideMark/>
          </w:tcPr>
          <w:p w14:paraId="43679393"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32D0BD6A" w14:textId="77777777" w:rsidR="006E70C0" w:rsidRDefault="006E70C0" w:rsidP="006E70C0">
            <w:pPr>
              <w:spacing w:line="240" w:lineRule="exact"/>
              <w:jc w:val="both"/>
              <w:rPr>
                <w:rFonts w:ascii="Arial" w:hAnsi="Arial" w:cs="Arial"/>
                <w:sz w:val="18"/>
                <w:szCs w:val="18"/>
              </w:rPr>
            </w:pPr>
          </w:p>
          <w:p w14:paraId="29C79841"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Vnese se vrsta subjekta, ki ima neposredne ali posredne (prek Izključenih subjektov ali nečlanov</w:t>
            </w:r>
            <w:r w:rsidR="00B5167D">
              <w:rPr>
                <w:rFonts w:ascii="Arial" w:hAnsi="Arial" w:cs="Arial"/>
                <w:sz w:val="18"/>
                <w:szCs w:val="18"/>
              </w:rPr>
              <w:t xml:space="preserve"> </w:t>
            </w:r>
            <w:r w:rsidRPr="00D76E23">
              <w:rPr>
                <w:rFonts w:ascii="Arial" w:hAnsi="Arial" w:cs="Arial"/>
                <w:sz w:val="18"/>
                <w:szCs w:val="18"/>
              </w:rPr>
              <w:t>skupine) lastniške deleže v Subjektu v sestavi ali v članu Skupine skupnega pod</w:t>
            </w:r>
            <w:r w:rsidR="002C2F70">
              <w:rPr>
                <w:rFonts w:ascii="Arial" w:hAnsi="Arial" w:cs="Arial"/>
                <w:sz w:val="18"/>
                <w:szCs w:val="18"/>
              </w:rPr>
              <w:t>viga</w:t>
            </w:r>
            <w:r w:rsidRPr="00D76E23">
              <w:rPr>
                <w:rFonts w:ascii="Arial" w:hAnsi="Arial" w:cs="Arial"/>
                <w:sz w:val="18"/>
                <w:szCs w:val="18"/>
              </w:rPr>
              <w:t xml:space="preserve">. </w:t>
            </w:r>
          </w:p>
          <w:p w14:paraId="5A21EF8D" w14:textId="77777777" w:rsidR="006E70C0" w:rsidRDefault="006E70C0" w:rsidP="006E70C0">
            <w:pPr>
              <w:spacing w:line="240" w:lineRule="exact"/>
              <w:jc w:val="both"/>
              <w:rPr>
                <w:rFonts w:ascii="Arial" w:hAnsi="Arial" w:cs="Arial"/>
                <w:sz w:val="18"/>
                <w:szCs w:val="18"/>
              </w:rPr>
            </w:pPr>
          </w:p>
          <w:p w14:paraId="46B4572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Izbere se ustrezna možnost (samo ena ustrezna možnost): </w:t>
            </w:r>
            <w:r w:rsidRPr="00D76E23">
              <w:rPr>
                <w:rFonts w:ascii="Arial" w:hAnsi="Arial" w:cs="Arial"/>
                <w:sz w:val="18"/>
                <w:szCs w:val="18"/>
              </w:rPr>
              <w:br/>
              <w:t>• Krovni Matični Subjekt</w:t>
            </w:r>
          </w:p>
          <w:p w14:paraId="04043726"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Subjekti v sestavi</w:t>
            </w:r>
          </w:p>
          <w:p w14:paraId="17FCF87C"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Skupni podvigi </w:t>
            </w:r>
          </w:p>
          <w:p w14:paraId="56331A35"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Odvisne družbe Skupnega podviga</w:t>
            </w:r>
          </w:p>
          <w:p w14:paraId="267E164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Izključeni subjekti (skupno število) </w:t>
            </w:r>
          </w:p>
          <w:p w14:paraId="2B0C39ED" w14:textId="3A89F996"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N</w:t>
            </w:r>
            <w:r w:rsidRPr="00D76E23">
              <w:rPr>
                <w:rFonts w:ascii="Arial" w:hAnsi="Arial" w:cs="Arial"/>
                <w:sz w:val="18"/>
                <w:szCs w:val="18"/>
              </w:rPr>
              <w:t xml:space="preserve">ečlani skupine (agregat). </w:t>
            </w:r>
          </w:p>
          <w:p w14:paraId="0F170959" w14:textId="77777777" w:rsidR="002C2F70" w:rsidRDefault="002C2F70" w:rsidP="006E70C0">
            <w:pPr>
              <w:spacing w:line="240" w:lineRule="exact"/>
              <w:jc w:val="both"/>
              <w:rPr>
                <w:rFonts w:ascii="Arial" w:hAnsi="Arial" w:cs="Arial"/>
                <w:sz w:val="18"/>
                <w:szCs w:val="18"/>
              </w:rPr>
            </w:pPr>
          </w:p>
          <w:p w14:paraId="01CE636B"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„Izključeni subjekti (agregat)“ in „člani, ki niso člani skupine (agregat)“ se poročajo v agregatu.</w:t>
            </w:r>
          </w:p>
        </w:tc>
      </w:tr>
      <w:tr w:rsidR="00671CED" w:rsidRPr="00D76E23" w14:paraId="2F37CA59" w14:textId="77777777" w:rsidTr="00671CED">
        <w:trPr>
          <w:trHeight w:val="2100"/>
        </w:trPr>
        <w:tc>
          <w:tcPr>
            <w:tcW w:w="1162" w:type="dxa"/>
            <w:noWrap/>
            <w:hideMark/>
          </w:tcPr>
          <w:p w14:paraId="5E140056"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1.3.2.1.9.</w:t>
            </w:r>
          </w:p>
        </w:tc>
        <w:tc>
          <w:tcPr>
            <w:tcW w:w="2519" w:type="dxa"/>
            <w:noWrap/>
            <w:hideMark/>
          </w:tcPr>
          <w:p w14:paraId="405DBC68"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Davčna številka</w:t>
            </w:r>
          </w:p>
        </w:tc>
        <w:tc>
          <w:tcPr>
            <w:tcW w:w="5386" w:type="dxa"/>
            <w:hideMark/>
          </w:tcPr>
          <w:p w14:paraId="78068D4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493C52FC" w14:textId="77777777" w:rsidR="006E70C0" w:rsidRDefault="006E70C0" w:rsidP="006E70C0">
            <w:pPr>
              <w:spacing w:line="240" w:lineRule="exact"/>
              <w:jc w:val="both"/>
              <w:rPr>
                <w:rFonts w:ascii="Arial" w:hAnsi="Arial" w:cs="Arial"/>
                <w:sz w:val="18"/>
                <w:szCs w:val="18"/>
              </w:rPr>
            </w:pPr>
          </w:p>
          <w:p w14:paraId="6711C176" w14:textId="2492BF83"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(ali, če </w:t>
            </w:r>
            <w:r w:rsidR="006E70C0">
              <w:rPr>
                <w:rFonts w:ascii="Arial" w:hAnsi="Arial" w:cs="Arial"/>
                <w:sz w:val="18"/>
                <w:szCs w:val="18"/>
              </w:rPr>
              <w:t>TIN</w:t>
            </w:r>
            <w:r w:rsidRPr="00D76E23">
              <w:rPr>
                <w:rFonts w:ascii="Arial" w:hAnsi="Arial" w:cs="Arial"/>
                <w:sz w:val="18"/>
                <w:szCs w:val="18"/>
              </w:rPr>
              <w:t xml:space="preserve"> ni na voljo, funkcionalni ekvivalent, kot je registrska oznaka/številka podjetja)</w:t>
            </w:r>
            <w:r w:rsidR="002C2F70">
              <w:rPr>
                <w:rFonts w:ascii="Arial" w:hAnsi="Arial" w:cs="Arial"/>
                <w:sz w:val="18"/>
                <w:szCs w:val="18"/>
              </w:rPr>
              <w:t>.</w:t>
            </w:r>
            <w:r w:rsidRPr="00D76E23">
              <w:rPr>
                <w:rFonts w:ascii="Arial" w:hAnsi="Arial" w:cs="Arial"/>
                <w:sz w:val="18"/>
                <w:szCs w:val="18"/>
              </w:rPr>
              <w:t xml:space="preserve"> Vnese se davčna številka družb v sestavi, ki imajo lastniške deleže v Subjektu v sestavi, skupnem podvigu ali odvisni družbi skupnega podviga. Davčna številka se ne sporoči za izključene subjekte, ki niso krovni matični subjekt, in nečlane skupine, kot se poročajo v agregatu (tj. ‚Izključeni subjekti (agregat)‘ in ‚nečlani skupine (agregat)‘.</w:t>
            </w:r>
          </w:p>
        </w:tc>
      </w:tr>
      <w:tr w:rsidR="00671CED" w:rsidRPr="00D76E23" w14:paraId="52ED16D2" w14:textId="77777777" w:rsidTr="00671CED">
        <w:trPr>
          <w:trHeight w:val="5243"/>
        </w:trPr>
        <w:tc>
          <w:tcPr>
            <w:tcW w:w="1162" w:type="dxa"/>
            <w:noWrap/>
            <w:hideMark/>
          </w:tcPr>
          <w:p w14:paraId="0A5A8330"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1.3.2.1.10.</w:t>
            </w:r>
          </w:p>
        </w:tc>
        <w:tc>
          <w:tcPr>
            <w:tcW w:w="2519" w:type="dxa"/>
            <w:noWrap/>
            <w:hideMark/>
          </w:tcPr>
          <w:p w14:paraId="4D678D85"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Lastništvo (odstotek)</w:t>
            </w:r>
          </w:p>
        </w:tc>
        <w:tc>
          <w:tcPr>
            <w:tcW w:w="5386" w:type="dxa"/>
            <w:hideMark/>
          </w:tcPr>
          <w:p w14:paraId="18AD134A"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r w:rsidRPr="00D76E23">
              <w:rPr>
                <w:rFonts w:ascii="Arial" w:hAnsi="Arial" w:cs="Arial"/>
                <w:sz w:val="18"/>
                <w:szCs w:val="18"/>
              </w:rPr>
              <w:br/>
            </w:r>
          </w:p>
          <w:p w14:paraId="42C9CDE8"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(v odstotkih) lastniške deleže, ki jih imajo neposredno v Subjektu v sestavi, skupnem podvigu ali odvisni družbi skupnega podviga Subjekt v sestavi, skupno podjetje, odvisna podjetja skupnega podjetja, Izključeni subjekti in nečlani skupine, opredeljeni v točki 1.3.2.1.8.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poroča o lastniških deležih, ki jih imajo nečlani skupine, v agregatu. Kadar ima več izključenih subjektov neposredni lastniški delež v Subjektu v sestavi, skupnem podjetju ali odvisni družbi skupnega podjetja, se poroča skupni znesek, ki ga imajo v posesti vsi izključeni subjekti. Če ima Subjekt skupine posredni lastniški delež v Subjektu v sestavi, skupnem podjetju ali odvisnem podjetju skupnega podjetja prek enega ali več Izključenih subjektov ali prek članov, ki niso člani skupine, Subjekt v sestavi, ki ga ima neposredno v lasti, poroča o lastniških deležih, ki jih ima posredno prek Izključenih subjektov ali nečlanov skupine. Da bi se izognili dvojnemu štetju, se v tem primeru lastniški deleži, ki jih imajo ti izključeni subjekti ali člani skupine, ki niso člani skupine, neposredno v subjektu v sestavi, skupnem podjetju ali odvisnem podjetju skupnega podjetja, ne poročajo ločeno.</w:t>
            </w:r>
            <w:r w:rsidRPr="00D76E23">
              <w:rPr>
                <w:rFonts w:ascii="Arial" w:hAnsi="Arial" w:cs="Arial"/>
                <w:sz w:val="18"/>
                <w:szCs w:val="18"/>
              </w:rPr>
              <w:br/>
              <w:t>Če je Subjekt v sestavi Stalna Poslovna Enota, vpiše glavni subjekt v 1.3.2.1.8. in poroča 100 % v 1.3.2.1.10.</w:t>
            </w:r>
          </w:p>
        </w:tc>
      </w:tr>
      <w:tr w:rsidR="00671CED" w:rsidRPr="00D76E23" w14:paraId="79112A66" w14:textId="77777777" w:rsidTr="00101D1E">
        <w:trPr>
          <w:trHeight w:val="565"/>
        </w:trPr>
        <w:tc>
          <w:tcPr>
            <w:tcW w:w="1162" w:type="dxa"/>
            <w:noWrap/>
            <w:hideMark/>
          </w:tcPr>
          <w:p w14:paraId="6C915273"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1.3.2.1.11.</w:t>
            </w:r>
          </w:p>
        </w:tc>
        <w:tc>
          <w:tcPr>
            <w:tcW w:w="2519" w:type="dxa"/>
            <w:noWrap/>
            <w:hideMark/>
          </w:tcPr>
          <w:p w14:paraId="1E14EFA7"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Status matičnega subjekta</w:t>
            </w:r>
          </w:p>
        </w:tc>
        <w:tc>
          <w:tcPr>
            <w:tcW w:w="5386" w:type="dxa"/>
            <w:hideMark/>
          </w:tcPr>
          <w:p w14:paraId="472FB091"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0248CAC9" w14:textId="77777777" w:rsidR="006E70C0" w:rsidRDefault="006E70C0" w:rsidP="006E70C0">
            <w:pPr>
              <w:spacing w:line="240" w:lineRule="exact"/>
              <w:jc w:val="both"/>
              <w:rPr>
                <w:rFonts w:ascii="Arial" w:hAnsi="Arial" w:cs="Arial"/>
                <w:sz w:val="18"/>
                <w:szCs w:val="18"/>
              </w:rPr>
            </w:pPr>
          </w:p>
          <w:p w14:paraId="02093397"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Te informacije se v zvezi s Subjekt</w:t>
            </w:r>
            <w:r w:rsidR="002C2F70">
              <w:rPr>
                <w:rFonts w:ascii="Arial" w:hAnsi="Arial" w:cs="Arial"/>
                <w:sz w:val="18"/>
                <w:szCs w:val="18"/>
              </w:rPr>
              <w:t>i</w:t>
            </w:r>
            <w:r w:rsidRPr="00D76E23">
              <w:rPr>
                <w:rFonts w:ascii="Arial" w:hAnsi="Arial" w:cs="Arial"/>
                <w:sz w:val="18"/>
                <w:szCs w:val="18"/>
              </w:rPr>
              <w:t xml:space="preserve"> v Sestavi sporočijo le, če se pravilo o </w:t>
            </w:r>
            <w:r w:rsidR="002C2F70">
              <w:rPr>
                <w:rFonts w:ascii="Arial" w:hAnsi="Arial" w:cs="Arial"/>
                <w:sz w:val="18"/>
                <w:szCs w:val="18"/>
              </w:rPr>
              <w:t>vključitvi dohodkov</w:t>
            </w:r>
            <w:r w:rsidRPr="00D76E23">
              <w:rPr>
                <w:rFonts w:ascii="Arial" w:hAnsi="Arial" w:cs="Arial"/>
                <w:sz w:val="18"/>
                <w:szCs w:val="18"/>
              </w:rPr>
              <w:t xml:space="preserve"> (QIIR) uporablja v jurisdikciji, v kateri se nahaja, in če je Subjekt v sestavi Matični Subjekt v delni lasti (POPE) ali Vmesni Matični Subjekt.</w:t>
            </w:r>
          </w:p>
          <w:p w14:paraId="3EF5E9C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Te informacije se ne poročajo v zvezi s člani skupin Skupnega podviga ali subjekti, ki nimajo (neposrednih ali posrednih) lastniških deležev v drugem Subjektu v sestavi, saj ti subjekti skupine niso potencialni matični subjekti.</w:t>
            </w:r>
          </w:p>
          <w:p w14:paraId="1A2B68D4"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lastRenderedPageBreak/>
              <w:t>Sporoči se vrsta matičnega subjekta:</w:t>
            </w:r>
          </w:p>
          <w:p w14:paraId="6EC8DAA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Matični Subjekt v delni lasti</w:t>
            </w:r>
          </w:p>
          <w:p w14:paraId="243AA679" w14:textId="444A3B11"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Vmesni matični subjekt.</w:t>
            </w:r>
          </w:p>
        </w:tc>
      </w:tr>
      <w:tr w:rsidR="00671CED" w:rsidRPr="00D76E23" w14:paraId="1D23E545" w14:textId="77777777" w:rsidTr="00671CED">
        <w:trPr>
          <w:trHeight w:val="1622"/>
        </w:trPr>
        <w:tc>
          <w:tcPr>
            <w:tcW w:w="1162" w:type="dxa"/>
            <w:noWrap/>
            <w:hideMark/>
          </w:tcPr>
          <w:p w14:paraId="22947EF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1.3.2.1.12.</w:t>
            </w:r>
          </w:p>
        </w:tc>
        <w:tc>
          <w:tcPr>
            <w:tcW w:w="2519" w:type="dxa"/>
            <w:hideMark/>
          </w:tcPr>
          <w:p w14:paraId="35D7C9E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Če se uporabi izjema iz </w:t>
            </w:r>
            <w:r w:rsidR="00AA2352">
              <w:rPr>
                <w:rFonts w:ascii="Arial" w:hAnsi="Arial" w:cs="Arial"/>
                <w:sz w:val="18"/>
                <w:szCs w:val="18"/>
              </w:rPr>
              <w:t xml:space="preserve">drugega odstavka 10. </w:t>
            </w:r>
            <w:r w:rsidRPr="00D76E23">
              <w:rPr>
                <w:rFonts w:ascii="Arial" w:hAnsi="Arial" w:cs="Arial"/>
                <w:sz w:val="18"/>
                <w:szCs w:val="18"/>
              </w:rPr>
              <w:t>člena</w:t>
            </w:r>
            <w:r w:rsidR="00AA2352">
              <w:rPr>
                <w:rFonts w:ascii="Arial" w:hAnsi="Arial" w:cs="Arial"/>
                <w:sz w:val="18"/>
                <w:szCs w:val="18"/>
              </w:rPr>
              <w:t xml:space="preserve"> ZMD</w:t>
            </w:r>
            <w:r w:rsidRPr="00D76E23">
              <w:rPr>
                <w:rFonts w:ascii="Arial" w:hAnsi="Arial" w:cs="Arial"/>
                <w:sz w:val="18"/>
                <w:szCs w:val="18"/>
              </w:rPr>
              <w:t xml:space="preserve"> </w:t>
            </w:r>
            <w:r w:rsidR="00AA2352">
              <w:rPr>
                <w:rFonts w:ascii="Arial" w:hAnsi="Arial" w:cs="Arial"/>
                <w:sz w:val="18"/>
                <w:szCs w:val="18"/>
              </w:rPr>
              <w:t xml:space="preserve">(člen </w:t>
            </w:r>
            <w:r w:rsidRPr="00D76E23">
              <w:rPr>
                <w:rFonts w:ascii="Arial" w:hAnsi="Arial" w:cs="Arial"/>
                <w:sz w:val="18"/>
                <w:szCs w:val="18"/>
              </w:rPr>
              <w:t>2.1.3.</w:t>
            </w:r>
            <w:r w:rsidR="00AA2352">
              <w:rPr>
                <w:rFonts w:ascii="Arial" w:hAnsi="Arial" w:cs="Arial"/>
                <w:sz w:val="18"/>
                <w:szCs w:val="18"/>
              </w:rPr>
              <w:t xml:space="preserve"> vzorčnih pravil)</w:t>
            </w:r>
            <w:r w:rsidRPr="00D76E23">
              <w:rPr>
                <w:rFonts w:ascii="Arial" w:hAnsi="Arial" w:cs="Arial"/>
                <w:sz w:val="18"/>
                <w:szCs w:val="18"/>
              </w:rPr>
              <w:t xml:space="preserve"> in če je dolžan drug vmesni matični subjekt uporabiti IIR, identificirajte vmesni matični subjekt (DŠ)</w:t>
            </w:r>
          </w:p>
        </w:tc>
        <w:tc>
          <w:tcPr>
            <w:tcW w:w="5386" w:type="dxa"/>
            <w:hideMark/>
          </w:tcPr>
          <w:p w14:paraId="326AA77F" w14:textId="1E896BB2" w:rsidR="00671CED"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18F560EF" w14:textId="77777777" w:rsidR="006E70C0" w:rsidRPr="00D76E23" w:rsidRDefault="006E70C0" w:rsidP="006E70C0">
            <w:pPr>
              <w:spacing w:line="240" w:lineRule="exact"/>
              <w:jc w:val="both"/>
              <w:rPr>
                <w:rFonts w:ascii="Arial" w:hAnsi="Arial" w:cs="Arial"/>
                <w:sz w:val="18"/>
                <w:szCs w:val="18"/>
              </w:rPr>
            </w:pPr>
          </w:p>
          <w:p w14:paraId="40A88C87"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davčna številka, ki se uporablja za zajete davke v jurisdikciji, v kateri se nahaja drugi vmesni matični subjekt za namene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ali, če davčna številka ni na voljo, funkcijski ekvivalent, kot je registrska oznaka/številka podjetja.</w:t>
            </w:r>
          </w:p>
        </w:tc>
      </w:tr>
      <w:tr w:rsidR="00671CED" w:rsidRPr="00D76E23" w14:paraId="02396BBD" w14:textId="77777777" w:rsidTr="00671CED">
        <w:trPr>
          <w:trHeight w:val="2978"/>
        </w:trPr>
        <w:tc>
          <w:tcPr>
            <w:tcW w:w="1162" w:type="dxa"/>
            <w:noWrap/>
            <w:hideMark/>
          </w:tcPr>
          <w:p w14:paraId="051F53D3"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1.3.2.1.13.</w:t>
            </w:r>
          </w:p>
        </w:tc>
        <w:tc>
          <w:tcPr>
            <w:tcW w:w="2519" w:type="dxa"/>
            <w:hideMark/>
          </w:tcPr>
          <w:p w14:paraId="1DDF6B45"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Če se uporabi izjema iz</w:t>
            </w:r>
            <w:r w:rsidR="00AA2352">
              <w:rPr>
                <w:rFonts w:ascii="Arial" w:hAnsi="Arial" w:cs="Arial"/>
                <w:sz w:val="18"/>
                <w:szCs w:val="18"/>
              </w:rPr>
              <w:t xml:space="preserve"> drugega odstavka 12. člena ZMD</w:t>
            </w:r>
            <w:r w:rsidRPr="00D76E23">
              <w:rPr>
                <w:rFonts w:ascii="Arial" w:hAnsi="Arial" w:cs="Arial"/>
                <w:sz w:val="18"/>
                <w:szCs w:val="18"/>
              </w:rPr>
              <w:t xml:space="preserve"> </w:t>
            </w:r>
            <w:r w:rsidR="00AA2352">
              <w:rPr>
                <w:rFonts w:ascii="Arial" w:hAnsi="Arial" w:cs="Arial"/>
                <w:sz w:val="18"/>
                <w:szCs w:val="18"/>
              </w:rPr>
              <w:t>(</w:t>
            </w:r>
            <w:r w:rsidRPr="00D76E23">
              <w:rPr>
                <w:rFonts w:ascii="Arial" w:hAnsi="Arial" w:cs="Arial"/>
                <w:sz w:val="18"/>
                <w:szCs w:val="18"/>
              </w:rPr>
              <w:t>člen 2.1.5</w:t>
            </w:r>
            <w:r w:rsidR="00AA2352">
              <w:rPr>
                <w:rFonts w:ascii="Arial" w:hAnsi="Arial" w:cs="Arial"/>
                <w:sz w:val="18"/>
                <w:szCs w:val="18"/>
              </w:rPr>
              <w:t xml:space="preserve"> vzorčnih pravil)</w:t>
            </w:r>
            <w:r w:rsidRPr="00D76E23">
              <w:rPr>
                <w:rFonts w:ascii="Arial" w:hAnsi="Arial" w:cs="Arial"/>
                <w:sz w:val="18"/>
                <w:szCs w:val="18"/>
              </w:rPr>
              <w:t>, identificirajte drug matični subjekt v delni lasti (POPE), ki je dolžan uporabit</w:t>
            </w:r>
            <w:r w:rsidR="00AA2352">
              <w:rPr>
                <w:rFonts w:ascii="Arial" w:hAnsi="Arial" w:cs="Arial"/>
                <w:sz w:val="18"/>
                <w:szCs w:val="18"/>
              </w:rPr>
              <w:t>i</w:t>
            </w:r>
            <w:r w:rsidRPr="00D76E23">
              <w:rPr>
                <w:rFonts w:ascii="Arial" w:hAnsi="Arial" w:cs="Arial"/>
                <w:sz w:val="18"/>
                <w:szCs w:val="18"/>
              </w:rPr>
              <w:t xml:space="preserve"> kvalificirano pravilo o vključitvi dohodkov (QIIR) v zvezi s Subjektom v sestavi (smiselno član Skupine Skupnega podviga) (v odstotkih)</w:t>
            </w:r>
          </w:p>
        </w:tc>
        <w:tc>
          <w:tcPr>
            <w:tcW w:w="5386" w:type="dxa"/>
            <w:hideMark/>
          </w:tcPr>
          <w:p w14:paraId="1F22F096" w14:textId="13E940D5" w:rsidR="00671CED"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7668E2BF" w14:textId="77777777" w:rsidR="006E70C0" w:rsidRPr="00D76E23" w:rsidRDefault="006E70C0" w:rsidP="006E70C0">
            <w:pPr>
              <w:spacing w:line="240" w:lineRule="exact"/>
              <w:jc w:val="both"/>
              <w:rPr>
                <w:rFonts w:ascii="Arial" w:hAnsi="Arial" w:cs="Arial"/>
                <w:sz w:val="18"/>
                <w:szCs w:val="18"/>
              </w:rPr>
            </w:pPr>
          </w:p>
          <w:p w14:paraId="1A747F04"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 skladu </w:t>
            </w:r>
            <w:r w:rsidR="00AA2352">
              <w:rPr>
                <w:rFonts w:ascii="Arial" w:hAnsi="Arial" w:cs="Arial"/>
                <w:sz w:val="18"/>
                <w:szCs w:val="18"/>
              </w:rPr>
              <w:t>z drugim odstavkom 12. člena ZMD</w:t>
            </w:r>
            <w:r w:rsidR="00AA2352" w:rsidRPr="00D76E23">
              <w:rPr>
                <w:rFonts w:ascii="Arial" w:hAnsi="Arial" w:cs="Arial"/>
                <w:sz w:val="18"/>
                <w:szCs w:val="18"/>
              </w:rPr>
              <w:t xml:space="preserve"> </w:t>
            </w:r>
            <w:r w:rsidR="00AA2352">
              <w:rPr>
                <w:rFonts w:ascii="Arial" w:hAnsi="Arial" w:cs="Arial"/>
                <w:sz w:val="18"/>
                <w:szCs w:val="18"/>
              </w:rPr>
              <w:t>(</w:t>
            </w:r>
            <w:r w:rsidRPr="00D76E23">
              <w:rPr>
                <w:rFonts w:ascii="Arial" w:hAnsi="Arial" w:cs="Arial"/>
                <w:sz w:val="18"/>
                <w:szCs w:val="18"/>
              </w:rPr>
              <w:t>člen 2.1.5</w:t>
            </w:r>
            <w:r w:rsidR="00AA2352">
              <w:rPr>
                <w:rFonts w:ascii="Arial" w:hAnsi="Arial" w:cs="Arial"/>
                <w:sz w:val="18"/>
                <w:szCs w:val="18"/>
              </w:rPr>
              <w:t>)</w:t>
            </w:r>
            <w:r w:rsidRPr="00D76E23">
              <w:rPr>
                <w:rFonts w:ascii="Arial" w:hAnsi="Arial" w:cs="Arial"/>
                <w:sz w:val="18"/>
                <w:szCs w:val="18"/>
              </w:rPr>
              <w:t xml:space="preserve"> Matičnemu Subjektu v delni lasti (POPE) ni treba uporabljati pravila o vključitvi dohodkov, če je v celoti (neposredno ali posredno) v lasti drugega Matičnega Subjekta v delni lasti (POPE), ki mora za davčno leto poročanja uporabiti kvalificirano pravilo o vključitvi dohodkov (QIIR). Če se uporablja izjema iz </w:t>
            </w:r>
            <w:r w:rsidR="00AA2352">
              <w:rPr>
                <w:rFonts w:ascii="Arial" w:hAnsi="Arial" w:cs="Arial"/>
                <w:sz w:val="18"/>
                <w:szCs w:val="18"/>
              </w:rPr>
              <w:t>drugega odstavka 12. člena ZMD</w:t>
            </w:r>
            <w:r w:rsidR="00AA2352" w:rsidRPr="00D76E23">
              <w:rPr>
                <w:rFonts w:ascii="Arial" w:hAnsi="Arial" w:cs="Arial"/>
                <w:sz w:val="18"/>
                <w:szCs w:val="18"/>
              </w:rPr>
              <w:t xml:space="preserve"> </w:t>
            </w:r>
            <w:r w:rsidR="00AA2352">
              <w:rPr>
                <w:rFonts w:ascii="Arial" w:hAnsi="Arial" w:cs="Arial"/>
                <w:sz w:val="18"/>
                <w:szCs w:val="18"/>
              </w:rPr>
              <w:t>(</w:t>
            </w:r>
            <w:r w:rsidR="00AA2352" w:rsidRPr="00D76E23">
              <w:rPr>
                <w:rFonts w:ascii="Arial" w:hAnsi="Arial" w:cs="Arial"/>
                <w:sz w:val="18"/>
                <w:szCs w:val="18"/>
              </w:rPr>
              <w:t>člen 2.1.5</w:t>
            </w:r>
            <w:r w:rsidR="00AA2352">
              <w:rPr>
                <w:rFonts w:ascii="Arial" w:hAnsi="Arial" w:cs="Arial"/>
                <w:sz w:val="18"/>
                <w:szCs w:val="18"/>
              </w:rPr>
              <w:t xml:space="preserve"> vzorčnih pravil)</w:t>
            </w:r>
            <w:r w:rsidRPr="00D76E23">
              <w:rPr>
                <w:rFonts w:ascii="Arial" w:hAnsi="Arial" w:cs="Arial"/>
                <w:sz w:val="18"/>
                <w:szCs w:val="18"/>
              </w:rPr>
              <w:t xml:space="preserve">, se vnese davčno številko, ki se uporablja za zajete davke v jurisdikciji, v kateri se nahaja drugi Matični Subjekt v delni lasti (POPE), za namene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ali, če davčna številka ni na voljo, funkcijski ekvivalent, kot je registracijska številka podjetja/družbe.</w:t>
            </w:r>
          </w:p>
        </w:tc>
      </w:tr>
      <w:tr w:rsidR="00671CED" w:rsidRPr="00D76E23" w14:paraId="0491B62B" w14:textId="77777777" w:rsidTr="00671CED">
        <w:trPr>
          <w:trHeight w:val="792"/>
        </w:trPr>
        <w:tc>
          <w:tcPr>
            <w:tcW w:w="1162" w:type="dxa"/>
            <w:noWrap/>
            <w:hideMark/>
          </w:tcPr>
          <w:p w14:paraId="6FE6D65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1.3.2.1.14.</w:t>
            </w:r>
          </w:p>
        </w:tc>
        <w:tc>
          <w:tcPr>
            <w:tcW w:w="2519" w:type="dxa"/>
            <w:hideMark/>
          </w:tcPr>
          <w:p w14:paraId="05BAFAD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Začetna faza mednarodne aktivnosti (uporabljivost člena 9.3.)</w:t>
            </w:r>
          </w:p>
        </w:tc>
        <w:tc>
          <w:tcPr>
            <w:tcW w:w="5386" w:type="dxa"/>
            <w:hideMark/>
          </w:tcPr>
          <w:p w14:paraId="7136E6E5" w14:textId="2D65B84A"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325BB82A" w14:textId="77777777" w:rsidR="006E70C0" w:rsidRDefault="006E70C0" w:rsidP="006E70C0">
            <w:pPr>
              <w:spacing w:line="240" w:lineRule="exact"/>
              <w:jc w:val="both"/>
              <w:rPr>
                <w:rFonts w:ascii="Arial" w:hAnsi="Arial" w:cs="Arial"/>
                <w:sz w:val="18"/>
                <w:szCs w:val="18"/>
              </w:rPr>
            </w:pPr>
          </w:p>
          <w:p w14:paraId="6244CDA2"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Če je odgovor "DA"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ne izpolnjuje polj 1.3.2.1.15. in 1.3.2.1.16.</w:t>
            </w:r>
          </w:p>
        </w:tc>
      </w:tr>
      <w:tr w:rsidR="00671CED" w:rsidRPr="00D76E23" w14:paraId="65AEB42A" w14:textId="77777777" w:rsidTr="00101D1E">
        <w:trPr>
          <w:trHeight w:val="1132"/>
        </w:trPr>
        <w:tc>
          <w:tcPr>
            <w:tcW w:w="1162" w:type="dxa"/>
            <w:noWrap/>
            <w:hideMark/>
          </w:tcPr>
          <w:p w14:paraId="65063BD4"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1.3.2.1.15.</w:t>
            </w:r>
          </w:p>
        </w:tc>
        <w:tc>
          <w:tcPr>
            <w:tcW w:w="2519" w:type="dxa"/>
            <w:hideMark/>
          </w:tcPr>
          <w:p w14:paraId="3B32144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Agregiran lastniški delež (smiselno </w:t>
            </w:r>
            <w:proofErr w:type="spellStart"/>
            <w:r w:rsidRPr="00D76E23">
              <w:rPr>
                <w:rFonts w:ascii="Arial" w:hAnsi="Arial" w:cs="Arial"/>
                <w:sz w:val="18"/>
                <w:szCs w:val="18"/>
              </w:rPr>
              <w:t>dodeljivi</w:t>
            </w:r>
            <w:proofErr w:type="spellEnd"/>
            <w:r w:rsidRPr="00D76E23">
              <w:rPr>
                <w:rFonts w:ascii="Arial" w:hAnsi="Arial" w:cs="Arial"/>
                <w:sz w:val="18"/>
                <w:szCs w:val="18"/>
              </w:rPr>
              <w:t xml:space="preserve"> delež povrhnjega davka) matičnih subjektov, ki so dolžni aplicirati QIIR v zvezi s subjektom v sestavi (smiselno član Skupine Skupnega podviga) (v odstotku)</w:t>
            </w:r>
          </w:p>
        </w:tc>
        <w:tc>
          <w:tcPr>
            <w:tcW w:w="5386" w:type="dxa"/>
            <w:hideMark/>
          </w:tcPr>
          <w:p w14:paraId="4A627267"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0B41911D" w14:textId="4A32E1F3"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1.3.2.1.14. "NE"</w:t>
            </w:r>
          </w:p>
          <w:p w14:paraId="1D13102E" w14:textId="77777777" w:rsidR="006E70C0" w:rsidRDefault="006E70C0" w:rsidP="006E70C0">
            <w:pPr>
              <w:spacing w:line="240" w:lineRule="exact"/>
              <w:jc w:val="both"/>
              <w:rPr>
                <w:rFonts w:ascii="Arial" w:hAnsi="Arial" w:cs="Arial"/>
                <w:sz w:val="18"/>
                <w:szCs w:val="18"/>
              </w:rPr>
            </w:pPr>
          </w:p>
          <w:p w14:paraId="6D68AF6B" w14:textId="77777777"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skupne lastniške deleže v odstotkih glede na skupni znesek lastniških deležev v tem subjektu v sestavi. Skupni (neposredni in posredni) lastniški deleži matičnih subjektov, ki morajo uporabiti QIIR, je vsota lastniških deležev, ki jih ima vsak matični subjekt, ki mora v zvezi z nizko obdavčenimi subjekti v sestavi uporabiti QIIR. </w:t>
            </w:r>
            <w:r w:rsidR="002C2F70">
              <w:rPr>
                <w:rFonts w:ascii="Arial" w:hAnsi="Arial" w:cs="Arial"/>
                <w:sz w:val="18"/>
                <w:szCs w:val="18"/>
              </w:rPr>
              <w:t xml:space="preserve"> </w:t>
            </w:r>
          </w:p>
          <w:p w14:paraId="641E8A50" w14:textId="77777777"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Skupni znesek je nič, če nobenemu matičnemu subjektu ni treba uporabiti QIIR v zvezi z nizko obdavčenim dohodkom nizko obdavčenega subjekta v sestavi. </w:t>
            </w:r>
            <w:r w:rsidR="002C2F70">
              <w:rPr>
                <w:rFonts w:ascii="Arial" w:hAnsi="Arial" w:cs="Arial"/>
                <w:sz w:val="18"/>
                <w:szCs w:val="18"/>
              </w:rPr>
              <w:t xml:space="preserve"> </w:t>
            </w:r>
          </w:p>
          <w:p w14:paraId="02AD1561" w14:textId="77777777"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Če se od matičnega subjekta (ki ima v lasti lastniški delež v nizko obdavčenem Subjektu v sestavi posredno prek vmesnega matičnega subjekta ali delno v lasti matičnega subjekta, ki ni upravičen do izključitve iz pravila o vključitvi dohodkov v skladu</w:t>
            </w:r>
            <w:r w:rsidR="00AA2352">
              <w:rPr>
                <w:rFonts w:ascii="Arial" w:hAnsi="Arial" w:cs="Arial"/>
                <w:sz w:val="18"/>
                <w:szCs w:val="18"/>
              </w:rPr>
              <w:t xml:space="preserve"> z drugim odstavkom 10. člena ali drugim odstavkom 12. člena ZMD (</w:t>
            </w:r>
            <w:r w:rsidRPr="00D76E23">
              <w:rPr>
                <w:rFonts w:ascii="Arial" w:hAnsi="Arial" w:cs="Arial"/>
                <w:sz w:val="18"/>
                <w:szCs w:val="18"/>
              </w:rPr>
              <w:t>člen 2.1.3 ali 2.1.5</w:t>
            </w:r>
            <w:r w:rsidR="00AA2352">
              <w:rPr>
                <w:rFonts w:ascii="Arial" w:hAnsi="Arial" w:cs="Arial"/>
                <w:sz w:val="18"/>
                <w:szCs w:val="18"/>
              </w:rPr>
              <w:t xml:space="preserve"> vzorčnih pravil</w:t>
            </w:r>
            <w:r w:rsidRPr="00D76E23">
              <w:rPr>
                <w:rFonts w:ascii="Arial" w:hAnsi="Arial" w:cs="Arial"/>
                <w:sz w:val="18"/>
                <w:szCs w:val="18"/>
              </w:rPr>
              <w:t>) zahteva, da uporabi pravilo o vključitvi dohodkov, se zadevni lastniški deleži pri izračunu skupnega zneska štejejo samo enkrat.</w:t>
            </w:r>
            <w:r w:rsidR="002C2F70">
              <w:rPr>
                <w:rFonts w:ascii="Arial" w:hAnsi="Arial" w:cs="Arial"/>
                <w:sz w:val="18"/>
                <w:szCs w:val="18"/>
              </w:rPr>
              <w:t xml:space="preserve"> </w:t>
            </w:r>
          </w:p>
          <w:p w14:paraId="4519D672" w14:textId="77777777" w:rsidR="002C2F70" w:rsidRDefault="002C2F70" w:rsidP="006E70C0">
            <w:pPr>
              <w:spacing w:line="240" w:lineRule="exact"/>
              <w:jc w:val="both"/>
              <w:rPr>
                <w:rFonts w:ascii="Arial" w:hAnsi="Arial" w:cs="Arial"/>
                <w:sz w:val="18"/>
                <w:szCs w:val="18"/>
              </w:rPr>
            </w:pPr>
          </w:p>
          <w:p w14:paraId="0B44B3B4"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agregatni </w:t>
            </w:r>
            <w:proofErr w:type="spellStart"/>
            <w:r w:rsidRPr="00D76E23">
              <w:rPr>
                <w:rFonts w:ascii="Arial" w:hAnsi="Arial" w:cs="Arial"/>
                <w:sz w:val="18"/>
                <w:szCs w:val="18"/>
              </w:rPr>
              <w:t>dodeljivi</w:t>
            </w:r>
            <w:proofErr w:type="spellEnd"/>
            <w:r w:rsidRPr="00D76E23">
              <w:rPr>
                <w:rFonts w:ascii="Arial" w:hAnsi="Arial" w:cs="Arial"/>
                <w:sz w:val="18"/>
                <w:szCs w:val="18"/>
              </w:rPr>
              <w:t xml:space="preserve"> delež povrhnjega davka člana skupine Skupnega podviga v odstotkih glede na skupni znesek povrhnjega davka za navedenega člana skupine Skupnega podviga. Agregatni </w:t>
            </w:r>
            <w:proofErr w:type="spellStart"/>
            <w:r w:rsidRPr="00D76E23">
              <w:rPr>
                <w:rFonts w:ascii="Arial" w:hAnsi="Arial" w:cs="Arial"/>
                <w:sz w:val="18"/>
                <w:szCs w:val="18"/>
              </w:rPr>
              <w:t>dodeljivi</w:t>
            </w:r>
            <w:proofErr w:type="spellEnd"/>
            <w:r w:rsidRPr="00D76E23">
              <w:rPr>
                <w:rFonts w:ascii="Arial" w:hAnsi="Arial" w:cs="Arial"/>
                <w:sz w:val="18"/>
                <w:szCs w:val="18"/>
              </w:rPr>
              <w:t xml:space="preserve"> delež povrhnjih davkov matičnih subjektov, ki se zahteva za uporabo QIIR, je vsota </w:t>
            </w:r>
            <w:proofErr w:type="spellStart"/>
            <w:r w:rsidRPr="00D76E23">
              <w:rPr>
                <w:rFonts w:ascii="Arial" w:hAnsi="Arial" w:cs="Arial"/>
                <w:sz w:val="18"/>
                <w:szCs w:val="18"/>
              </w:rPr>
              <w:t>dodeljivega</w:t>
            </w:r>
            <w:proofErr w:type="spellEnd"/>
            <w:r w:rsidRPr="00D76E23">
              <w:rPr>
                <w:rFonts w:ascii="Arial" w:hAnsi="Arial" w:cs="Arial"/>
                <w:sz w:val="18"/>
                <w:szCs w:val="18"/>
              </w:rPr>
              <w:t xml:space="preserve"> deleža povrhnjega davka vsakega matičnega subjekta, ki mora uporabiti QIIR v zvezi z nizko obdavčeno skupino Skupnega podviga ali odvisno družbo skupnega podviga. Skupni znesek je nič, če nobenemu matičnemu subjektu ni treba uporabiti QIIR v zvezi z nizko obdavčenim dohodkom Skupnega podviga ali </w:t>
            </w:r>
            <w:r w:rsidRPr="00D76E23">
              <w:rPr>
                <w:rFonts w:ascii="Arial" w:hAnsi="Arial" w:cs="Arial"/>
                <w:sz w:val="18"/>
                <w:szCs w:val="18"/>
              </w:rPr>
              <w:lastRenderedPageBreak/>
              <w:t xml:space="preserve">odvisne družbe Skupnega podviga. Če ima obvladujoče podjetje lastniški delež v nizko obdavčenem skupnem podvigu ali odvisnem podjetju skupnega podjetja posredno prek drugega matičnega subjekta, ki mora uporabiti pravilo o vključitvi dohodkov, se za izračun skupnega zneska </w:t>
            </w:r>
            <w:proofErr w:type="spellStart"/>
            <w:r w:rsidRPr="00D76E23">
              <w:rPr>
                <w:rFonts w:ascii="Arial" w:hAnsi="Arial" w:cs="Arial"/>
                <w:sz w:val="18"/>
                <w:szCs w:val="18"/>
              </w:rPr>
              <w:t>dodeljivi</w:t>
            </w:r>
            <w:proofErr w:type="spellEnd"/>
            <w:r w:rsidRPr="00D76E23">
              <w:rPr>
                <w:rFonts w:ascii="Arial" w:hAnsi="Arial" w:cs="Arial"/>
                <w:sz w:val="18"/>
                <w:szCs w:val="18"/>
              </w:rPr>
              <w:t xml:space="preserve"> delež najvišjega davka šteje samo enkrat.</w:t>
            </w:r>
          </w:p>
        </w:tc>
      </w:tr>
      <w:tr w:rsidR="00671CED" w:rsidRPr="00D76E23" w14:paraId="4399B649" w14:textId="77777777" w:rsidTr="00671CED">
        <w:trPr>
          <w:trHeight w:val="2989"/>
        </w:trPr>
        <w:tc>
          <w:tcPr>
            <w:tcW w:w="1162" w:type="dxa"/>
            <w:noWrap/>
            <w:hideMark/>
          </w:tcPr>
          <w:p w14:paraId="7A429CC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1.3.2.1.16.</w:t>
            </w:r>
          </w:p>
        </w:tc>
        <w:tc>
          <w:tcPr>
            <w:tcW w:w="2519" w:type="dxa"/>
            <w:hideMark/>
          </w:tcPr>
          <w:p w14:paraId="688653B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Ali so lastniški deleži krovnega matičnega subjekta v Subjektu v sestavi (smiselno </w:t>
            </w:r>
            <w:proofErr w:type="spellStart"/>
            <w:r w:rsidRPr="00D76E23">
              <w:rPr>
                <w:rFonts w:ascii="Arial" w:hAnsi="Arial" w:cs="Arial"/>
                <w:sz w:val="18"/>
                <w:szCs w:val="18"/>
              </w:rPr>
              <w:t>dodeljivi</w:t>
            </w:r>
            <w:proofErr w:type="spellEnd"/>
            <w:r w:rsidRPr="00D76E23">
              <w:rPr>
                <w:rFonts w:ascii="Arial" w:hAnsi="Arial" w:cs="Arial"/>
                <w:sz w:val="18"/>
                <w:szCs w:val="18"/>
              </w:rPr>
              <w:t xml:space="preserve"> delež krovnega matičnega subjekta povrhnjega davka za člana Skupine Skupnega podviga), ki so večji od </w:t>
            </w:r>
            <w:proofErr w:type="spellStart"/>
            <w:r w:rsidRPr="00D76E23">
              <w:rPr>
                <w:rFonts w:ascii="Arial" w:hAnsi="Arial" w:cs="Arial"/>
                <w:sz w:val="18"/>
                <w:szCs w:val="18"/>
              </w:rPr>
              <w:t>agregiranih</w:t>
            </w:r>
            <w:proofErr w:type="spellEnd"/>
            <w:r w:rsidRPr="00D76E23">
              <w:rPr>
                <w:rFonts w:ascii="Arial" w:hAnsi="Arial" w:cs="Arial"/>
                <w:sz w:val="18"/>
                <w:szCs w:val="18"/>
              </w:rPr>
              <w:t xml:space="preserve"> lastniških deležev (smiselno </w:t>
            </w:r>
            <w:proofErr w:type="spellStart"/>
            <w:r w:rsidRPr="00D76E23">
              <w:rPr>
                <w:rFonts w:ascii="Arial" w:hAnsi="Arial" w:cs="Arial"/>
                <w:sz w:val="18"/>
                <w:szCs w:val="18"/>
              </w:rPr>
              <w:t>dodeljivi</w:t>
            </w:r>
            <w:proofErr w:type="spellEnd"/>
            <w:r w:rsidRPr="00D76E23">
              <w:rPr>
                <w:rFonts w:ascii="Arial" w:hAnsi="Arial" w:cs="Arial"/>
                <w:sz w:val="18"/>
                <w:szCs w:val="18"/>
              </w:rPr>
              <w:t xml:space="preserve"> delež) matičnega Subjekta, dolžni uporabiti QIIR v tem Subjektu v sestavi (smiselno član Skupine Skupnega podviga)</w:t>
            </w:r>
          </w:p>
        </w:tc>
        <w:tc>
          <w:tcPr>
            <w:tcW w:w="5386" w:type="dxa"/>
            <w:hideMark/>
          </w:tcPr>
          <w:p w14:paraId="2B10AA18"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 "DA"</w:t>
            </w:r>
          </w:p>
          <w:p w14:paraId="1A1003A1"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1.3.2.1.14. "NE"</w:t>
            </w:r>
          </w:p>
          <w:p w14:paraId="5796BC57" w14:textId="77777777" w:rsidR="006E70C0" w:rsidRDefault="006E70C0" w:rsidP="006E70C0">
            <w:pPr>
              <w:spacing w:line="240" w:lineRule="exact"/>
              <w:jc w:val="both"/>
              <w:rPr>
                <w:rFonts w:ascii="Arial" w:hAnsi="Arial" w:cs="Arial"/>
                <w:sz w:val="18"/>
                <w:szCs w:val="18"/>
              </w:rPr>
            </w:pPr>
          </w:p>
          <w:p w14:paraId="7B275DC2" w14:textId="77777777" w:rsidR="00671CED"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Sporoči se, ali so lastniški deleži Krovnega Matičnega Subjekta v Subjektu v Sestavi (oziroma </w:t>
            </w:r>
            <w:proofErr w:type="spellStart"/>
            <w:r w:rsidRPr="00D76E23">
              <w:rPr>
                <w:rFonts w:ascii="Arial" w:hAnsi="Arial" w:cs="Arial"/>
                <w:sz w:val="18"/>
                <w:szCs w:val="18"/>
              </w:rPr>
              <w:t>dodeljivi</w:t>
            </w:r>
            <w:proofErr w:type="spellEnd"/>
            <w:r w:rsidRPr="00D76E23">
              <w:rPr>
                <w:rFonts w:ascii="Arial" w:hAnsi="Arial" w:cs="Arial"/>
                <w:sz w:val="18"/>
                <w:szCs w:val="18"/>
              </w:rPr>
              <w:t xml:space="preserve"> delež krovnega subjekta za člana skupine JV) večji od skupnih lastniških deležev (oziroma </w:t>
            </w:r>
            <w:proofErr w:type="spellStart"/>
            <w:r w:rsidRPr="00D76E23">
              <w:rPr>
                <w:rFonts w:ascii="Arial" w:hAnsi="Arial" w:cs="Arial"/>
                <w:sz w:val="18"/>
                <w:szCs w:val="18"/>
              </w:rPr>
              <w:t>dodeljivega</w:t>
            </w:r>
            <w:proofErr w:type="spellEnd"/>
            <w:r w:rsidRPr="00D76E23">
              <w:rPr>
                <w:rFonts w:ascii="Arial" w:hAnsi="Arial" w:cs="Arial"/>
                <w:sz w:val="18"/>
                <w:szCs w:val="18"/>
              </w:rPr>
              <w:t xml:space="preserve"> deleža) matičnih subjektov, ki morajo uporabiti kvalificirano pravilo o vključitvi dohodkov (QIIR) v tem Subjektu v Sestavi (oziroma član skupine Skupnega Podviga).</w:t>
            </w:r>
          </w:p>
          <w:p w14:paraId="04476FD3" w14:textId="1E59EEB5" w:rsidR="006E70C0" w:rsidRPr="00D76E23" w:rsidRDefault="006E70C0" w:rsidP="006E70C0">
            <w:pPr>
              <w:spacing w:line="240" w:lineRule="exact"/>
              <w:jc w:val="both"/>
              <w:rPr>
                <w:rFonts w:ascii="Arial" w:hAnsi="Arial" w:cs="Arial"/>
                <w:sz w:val="18"/>
                <w:szCs w:val="18"/>
              </w:rPr>
            </w:pPr>
          </w:p>
        </w:tc>
      </w:tr>
      <w:tr w:rsidR="00671CED" w:rsidRPr="00D76E23" w14:paraId="5CBACCE1" w14:textId="77777777" w:rsidTr="00671CED">
        <w:trPr>
          <w:trHeight w:val="1133"/>
        </w:trPr>
        <w:tc>
          <w:tcPr>
            <w:tcW w:w="1162" w:type="dxa"/>
            <w:noWrap/>
            <w:hideMark/>
          </w:tcPr>
          <w:p w14:paraId="7AF2F70B"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1.3.2.2. </w:t>
            </w:r>
          </w:p>
        </w:tc>
        <w:tc>
          <w:tcPr>
            <w:tcW w:w="2519" w:type="dxa"/>
            <w:noWrap/>
            <w:hideMark/>
          </w:tcPr>
          <w:p w14:paraId="55FC49B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Izključeni subjekti</w:t>
            </w:r>
          </w:p>
        </w:tc>
        <w:tc>
          <w:tcPr>
            <w:tcW w:w="5386" w:type="dxa"/>
            <w:hideMark/>
          </w:tcPr>
          <w:p w14:paraId="16769950" w14:textId="77777777" w:rsidR="006E70C0" w:rsidRDefault="00AA2352" w:rsidP="006E70C0">
            <w:pPr>
              <w:spacing w:line="240" w:lineRule="exact"/>
              <w:jc w:val="both"/>
              <w:rPr>
                <w:rFonts w:ascii="Arial" w:hAnsi="Arial" w:cs="Arial"/>
                <w:sz w:val="18"/>
                <w:szCs w:val="18"/>
              </w:rPr>
            </w:pPr>
            <w:r>
              <w:rPr>
                <w:rFonts w:ascii="Arial" w:hAnsi="Arial" w:cs="Arial"/>
                <w:sz w:val="18"/>
                <w:szCs w:val="18"/>
              </w:rPr>
              <w:t>Pripomba</w:t>
            </w:r>
            <w:r w:rsidR="00671CED" w:rsidRPr="00D76E23">
              <w:rPr>
                <w:rFonts w:ascii="Arial" w:hAnsi="Arial" w:cs="Arial"/>
                <w:sz w:val="18"/>
                <w:szCs w:val="18"/>
              </w:rPr>
              <w:t>: Informacije se poročajo po stanju na zadnji dan poročevalskega finančnega obdobja</w:t>
            </w:r>
          </w:p>
          <w:p w14:paraId="4AA5FBD4" w14:textId="5A1FF13D"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Izključeni subjekt je Subjekt, ki je opredeljen v</w:t>
            </w:r>
            <w:r w:rsidR="00AA2352">
              <w:rPr>
                <w:rFonts w:ascii="Arial" w:hAnsi="Arial" w:cs="Arial"/>
                <w:sz w:val="18"/>
                <w:szCs w:val="18"/>
              </w:rPr>
              <w:t xml:space="preserve"> tretjem odstavku 6. člena ZMD</w:t>
            </w:r>
            <w:r w:rsidRPr="00D76E23">
              <w:rPr>
                <w:rFonts w:ascii="Arial" w:hAnsi="Arial" w:cs="Arial"/>
                <w:sz w:val="18"/>
                <w:szCs w:val="18"/>
              </w:rPr>
              <w:t xml:space="preserve"> </w:t>
            </w:r>
            <w:r w:rsidR="00AA2352">
              <w:rPr>
                <w:rFonts w:ascii="Arial" w:hAnsi="Arial" w:cs="Arial"/>
                <w:sz w:val="18"/>
                <w:szCs w:val="18"/>
              </w:rPr>
              <w:t>(</w:t>
            </w:r>
            <w:r w:rsidRPr="00D76E23">
              <w:rPr>
                <w:rFonts w:ascii="Arial" w:hAnsi="Arial" w:cs="Arial"/>
                <w:sz w:val="18"/>
                <w:szCs w:val="18"/>
              </w:rPr>
              <w:t>člen 1.5.1 ali člen 1.5.2.</w:t>
            </w:r>
            <w:r w:rsidR="00AA2352">
              <w:rPr>
                <w:rFonts w:ascii="Arial" w:hAnsi="Arial" w:cs="Arial"/>
                <w:sz w:val="18"/>
                <w:szCs w:val="18"/>
              </w:rPr>
              <w:t xml:space="preserve"> vzorčnih pravil)</w:t>
            </w:r>
          </w:p>
        </w:tc>
      </w:tr>
      <w:tr w:rsidR="00671CED" w:rsidRPr="00D76E23" w14:paraId="585E8BB1" w14:textId="77777777" w:rsidTr="00671CED">
        <w:trPr>
          <w:trHeight w:val="1478"/>
        </w:trPr>
        <w:tc>
          <w:tcPr>
            <w:tcW w:w="1162" w:type="dxa"/>
            <w:hideMark/>
          </w:tcPr>
          <w:p w14:paraId="0552BDEA"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1.3.2.2.1.</w:t>
            </w:r>
          </w:p>
        </w:tc>
        <w:tc>
          <w:tcPr>
            <w:tcW w:w="2519" w:type="dxa"/>
            <w:hideMark/>
          </w:tcPr>
          <w:p w14:paraId="524C7C3E"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Spremembe iz prejšnjih poročevalskih poslovnih let</w:t>
            </w:r>
          </w:p>
        </w:tc>
        <w:tc>
          <w:tcPr>
            <w:tcW w:w="5386" w:type="dxa"/>
            <w:hideMark/>
          </w:tcPr>
          <w:p w14:paraId="6A05C954"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„Ne“, če so informacije, sporočene v točkah 1.3.2.2.2. in 1.3.2.2.3. </w:t>
            </w:r>
            <w:r w:rsidR="00FA18EE">
              <w:rPr>
                <w:rFonts w:ascii="Arial" w:hAnsi="Arial" w:cs="Arial"/>
                <w:sz w:val="18"/>
                <w:szCs w:val="18"/>
              </w:rPr>
              <w:t xml:space="preserve">informativnega </w:t>
            </w:r>
            <w:r w:rsidR="006537D4">
              <w:rPr>
                <w:rFonts w:ascii="Arial" w:hAnsi="Arial" w:cs="Arial"/>
                <w:sz w:val="18"/>
                <w:szCs w:val="18"/>
              </w:rPr>
              <w:t>obrazca</w:t>
            </w:r>
            <w:r w:rsidRPr="00D76E23">
              <w:rPr>
                <w:rFonts w:ascii="Arial" w:hAnsi="Arial" w:cs="Arial"/>
                <w:sz w:val="18"/>
                <w:szCs w:val="18"/>
              </w:rPr>
              <w:t>, predložene za predhodno Poslovno leto poročanja, še vedno veljavne in popolne za Poslovno leto poročanja.</w:t>
            </w:r>
          </w:p>
          <w:p w14:paraId="281862C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Če je odgovor NE, se ne izpolni točk 1.3.2.2.2. in 1.3.2.2.3. </w:t>
            </w:r>
          </w:p>
          <w:p w14:paraId="5B47463D" w14:textId="357D6F02"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odgovor DA, se izpolnijo točke 1.3.2.2.2. in 1.3.2.2.3. v zvezi z vsemi Izključenimi subjekti.</w:t>
            </w:r>
          </w:p>
        </w:tc>
      </w:tr>
      <w:tr w:rsidR="00671CED" w:rsidRPr="00D76E23" w14:paraId="36A257C9" w14:textId="77777777" w:rsidTr="00101D1E">
        <w:trPr>
          <w:trHeight w:val="560"/>
        </w:trPr>
        <w:tc>
          <w:tcPr>
            <w:tcW w:w="1162" w:type="dxa"/>
            <w:hideMark/>
          </w:tcPr>
          <w:p w14:paraId="3E21F6F8"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1.3.2.2.2.</w:t>
            </w:r>
          </w:p>
        </w:tc>
        <w:tc>
          <w:tcPr>
            <w:tcW w:w="2519" w:type="dxa"/>
            <w:hideMark/>
          </w:tcPr>
          <w:p w14:paraId="380C50A0"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Naziv Izključenega subjekta</w:t>
            </w:r>
          </w:p>
        </w:tc>
        <w:tc>
          <w:tcPr>
            <w:tcW w:w="5386" w:type="dxa"/>
            <w:hideMark/>
          </w:tcPr>
          <w:p w14:paraId="5184A5C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2.2.2.1. "DA"</w:t>
            </w:r>
          </w:p>
          <w:p w14:paraId="4B7DDD5F" w14:textId="775D4DF5"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Vnese se naziv vsakega Izključenega Subjekta</w:t>
            </w:r>
          </w:p>
        </w:tc>
      </w:tr>
      <w:tr w:rsidR="00671CED" w:rsidRPr="00D76E23" w14:paraId="7A0C64E7" w14:textId="77777777" w:rsidTr="00671CED">
        <w:trPr>
          <w:trHeight w:val="3300"/>
        </w:trPr>
        <w:tc>
          <w:tcPr>
            <w:tcW w:w="1162" w:type="dxa"/>
            <w:hideMark/>
          </w:tcPr>
          <w:p w14:paraId="0D0E7E6F"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1.3.2.2.3.</w:t>
            </w:r>
          </w:p>
        </w:tc>
        <w:tc>
          <w:tcPr>
            <w:tcW w:w="2519" w:type="dxa"/>
            <w:hideMark/>
          </w:tcPr>
          <w:p w14:paraId="00151596"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Vrsta Izključenega Subjekta</w:t>
            </w:r>
          </w:p>
        </w:tc>
        <w:tc>
          <w:tcPr>
            <w:tcW w:w="5386" w:type="dxa"/>
            <w:hideMark/>
          </w:tcPr>
          <w:p w14:paraId="04AD8874"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Pravilo: izpolnjuje se samo, če je polje 2.2.1.1. "DA</w:t>
            </w:r>
          </w:p>
          <w:p w14:paraId="527E61D7" w14:textId="77777777" w:rsidR="006E70C0" w:rsidRDefault="006E70C0" w:rsidP="006E70C0">
            <w:pPr>
              <w:spacing w:line="240" w:lineRule="exact"/>
              <w:jc w:val="both"/>
              <w:rPr>
                <w:rFonts w:ascii="Arial" w:hAnsi="Arial" w:cs="Arial"/>
                <w:sz w:val="18"/>
                <w:szCs w:val="18"/>
              </w:rPr>
            </w:pPr>
          </w:p>
          <w:p w14:paraId="1B9D1362"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Določi se vrsta Izključenega subjekta. Izbere se ustrezna možnost</w:t>
            </w:r>
          </w:p>
          <w:p w14:paraId="66EA681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(samo ena ustrezna možnost):</w:t>
            </w:r>
          </w:p>
          <w:p w14:paraId="7F071FA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Vladni subjekt </w:t>
            </w:r>
          </w:p>
          <w:p w14:paraId="02AD2655"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0F54F2">
              <w:rPr>
                <w:rFonts w:ascii="Arial" w:hAnsi="Arial" w:cs="Arial"/>
                <w:sz w:val="18"/>
                <w:szCs w:val="18"/>
              </w:rPr>
              <w:t>M</w:t>
            </w:r>
            <w:r w:rsidRPr="00D76E23">
              <w:rPr>
                <w:rFonts w:ascii="Arial" w:hAnsi="Arial" w:cs="Arial"/>
                <w:sz w:val="18"/>
                <w:szCs w:val="18"/>
              </w:rPr>
              <w:t>ednarodna organizacija</w:t>
            </w:r>
          </w:p>
          <w:p w14:paraId="37FAEB2E"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0F54F2">
              <w:rPr>
                <w:rFonts w:ascii="Arial" w:hAnsi="Arial" w:cs="Arial"/>
                <w:sz w:val="18"/>
                <w:szCs w:val="18"/>
              </w:rPr>
              <w:t>N</w:t>
            </w:r>
            <w:r w:rsidRPr="00D76E23">
              <w:rPr>
                <w:rFonts w:ascii="Arial" w:hAnsi="Arial" w:cs="Arial"/>
                <w:sz w:val="18"/>
                <w:szCs w:val="18"/>
              </w:rPr>
              <w:t xml:space="preserve">eprofitna organizacija </w:t>
            </w:r>
          </w:p>
          <w:p w14:paraId="4B72CDF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Pokojninski sklad </w:t>
            </w:r>
          </w:p>
          <w:p w14:paraId="40EEA893"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0F54F2">
              <w:rPr>
                <w:rFonts w:ascii="Arial" w:hAnsi="Arial" w:cs="Arial"/>
                <w:sz w:val="18"/>
                <w:szCs w:val="18"/>
              </w:rPr>
              <w:t>I</w:t>
            </w:r>
            <w:r w:rsidRPr="00D76E23">
              <w:rPr>
                <w:rFonts w:ascii="Arial" w:hAnsi="Arial" w:cs="Arial"/>
                <w:sz w:val="18"/>
                <w:szCs w:val="18"/>
              </w:rPr>
              <w:t xml:space="preserve">nvesticijski sklad, ki je UPE </w:t>
            </w:r>
          </w:p>
          <w:p w14:paraId="53DFAC6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0F54F2">
              <w:rPr>
                <w:rFonts w:ascii="Arial" w:hAnsi="Arial" w:cs="Arial"/>
                <w:sz w:val="18"/>
                <w:szCs w:val="18"/>
              </w:rPr>
              <w:t>N</w:t>
            </w:r>
            <w:r w:rsidRPr="00D76E23">
              <w:rPr>
                <w:rFonts w:ascii="Arial" w:hAnsi="Arial" w:cs="Arial"/>
                <w:sz w:val="18"/>
                <w:szCs w:val="18"/>
              </w:rPr>
              <w:t>osilec za naložbe v nepremičnine, ki je UPE</w:t>
            </w:r>
          </w:p>
          <w:p w14:paraId="03BC22FA" w14:textId="2094C6D4"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Subjekt v lasti izključenih subjektov v skladu</w:t>
            </w:r>
            <w:r w:rsidR="000F54F2">
              <w:rPr>
                <w:rFonts w:ascii="Arial" w:hAnsi="Arial" w:cs="Arial"/>
                <w:sz w:val="18"/>
                <w:szCs w:val="18"/>
              </w:rPr>
              <w:t xml:space="preserve"> z  2. točko tretjega</w:t>
            </w:r>
            <w:r w:rsidR="006E70C0">
              <w:rPr>
                <w:rFonts w:ascii="Arial" w:hAnsi="Arial" w:cs="Arial"/>
                <w:sz w:val="18"/>
                <w:szCs w:val="18"/>
              </w:rPr>
              <w:t xml:space="preserve"> </w:t>
            </w:r>
            <w:r w:rsidR="000F54F2">
              <w:rPr>
                <w:rFonts w:ascii="Arial" w:hAnsi="Arial" w:cs="Arial"/>
                <w:sz w:val="18"/>
                <w:szCs w:val="18"/>
              </w:rPr>
              <w:t>odstavka 6. člena ZMD</w:t>
            </w:r>
            <w:r w:rsidRPr="00D76E23">
              <w:rPr>
                <w:rFonts w:ascii="Arial" w:hAnsi="Arial" w:cs="Arial"/>
                <w:sz w:val="18"/>
                <w:szCs w:val="18"/>
              </w:rPr>
              <w:t xml:space="preserve"> </w:t>
            </w:r>
            <w:r w:rsidR="000F54F2">
              <w:rPr>
                <w:rFonts w:ascii="Arial" w:hAnsi="Arial" w:cs="Arial"/>
                <w:sz w:val="18"/>
                <w:szCs w:val="18"/>
              </w:rPr>
              <w:t>(</w:t>
            </w:r>
            <w:r w:rsidRPr="00D76E23">
              <w:rPr>
                <w:rFonts w:ascii="Arial" w:hAnsi="Arial" w:cs="Arial"/>
                <w:sz w:val="18"/>
                <w:szCs w:val="18"/>
              </w:rPr>
              <w:t>členom 1.5.2(a)</w:t>
            </w:r>
            <w:r w:rsidR="000F54F2">
              <w:rPr>
                <w:rFonts w:ascii="Arial" w:hAnsi="Arial" w:cs="Arial"/>
                <w:sz w:val="18"/>
                <w:szCs w:val="18"/>
              </w:rPr>
              <w:t xml:space="preserve"> vzorčnih pravil)</w:t>
            </w:r>
          </w:p>
          <w:p w14:paraId="43E9C3E1" w14:textId="63BDCF0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Subjekt, ki je v lasti izključenih subjektov v skladu</w:t>
            </w:r>
            <w:r w:rsidR="000F54F2">
              <w:rPr>
                <w:rFonts w:ascii="Arial" w:hAnsi="Arial" w:cs="Arial"/>
                <w:sz w:val="18"/>
                <w:szCs w:val="18"/>
              </w:rPr>
              <w:t xml:space="preserve"> s 3. točko tretjega odstavka 6. člena ZMD</w:t>
            </w:r>
            <w:r w:rsidR="000F54F2" w:rsidRPr="00D76E23">
              <w:rPr>
                <w:rFonts w:ascii="Arial" w:hAnsi="Arial" w:cs="Arial"/>
                <w:sz w:val="18"/>
                <w:szCs w:val="18"/>
              </w:rPr>
              <w:t xml:space="preserve"> </w:t>
            </w:r>
            <w:r w:rsidR="000F54F2">
              <w:rPr>
                <w:rFonts w:ascii="Arial" w:hAnsi="Arial" w:cs="Arial"/>
                <w:sz w:val="18"/>
                <w:szCs w:val="18"/>
              </w:rPr>
              <w:t>(</w:t>
            </w:r>
            <w:r w:rsidRPr="00D76E23">
              <w:rPr>
                <w:rFonts w:ascii="Arial" w:hAnsi="Arial" w:cs="Arial"/>
                <w:sz w:val="18"/>
                <w:szCs w:val="18"/>
              </w:rPr>
              <w:t xml:space="preserve"> s členom 1.5.2(b).</w:t>
            </w:r>
          </w:p>
        </w:tc>
      </w:tr>
      <w:tr w:rsidR="00671CED" w:rsidRPr="00D76E23" w14:paraId="7E5014F6" w14:textId="77777777" w:rsidTr="00101D1E">
        <w:trPr>
          <w:trHeight w:val="2408"/>
        </w:trPr>
        <w:tc>
          <w:tcPr>
            <w:tcW w:w="1162" w:type="dxa"/>
            <w:noWrap/>
            <w:hideMark/>
          </w:tcPr>
          <w:p w14:paraId="4887FB6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 xml:space="preserve">1.3.3. </w:t>
            </w:r>
          </w:p>
        </w:tc>
        <w:tc>
          <w:tcPr>
            <w:tcW w:w="2519" w:type="dxa"/>
            <w:hideMark/>
          </w:tcPr>
          <w:p w14:paraId="23C4D0F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Spremembe v korporativni strukturi, ki se zgodijo med poročevalskim poslovnim letom </w:t>
            </w:r>
          </w:p>
        </w:tc>
        <w:tc>
          <w:tcPr>
            <w:tcW w:w="5386" w:type="dxa"/>
            <w:hideMark/>
          </w:tcPr>
          <w:p w14:paraId="5091B487" w14:textId="38C724F0" w:rsidR="00671CED" w:rsidRDefault="00671CED" w:rsidP="006E70C0">
            <w:pPr>
              <w:spacing w:line="240" w:lineRule="exact"/>
              <w:jc w:val="both"/>
              <w:rPr>
                <w:rFonts w:ascii="Arial" w:hAnsi="Arial" w:cs="Arial"/>
                <w:sz w:val="18"/>
                <w:szCs w:val="18"/>
              </w:rPr>
            </w:pPr>
            <w:r w:rsidRPr="00D76E23">
              <w:rPr>
                <w:rFonts w:ascii="Arial" w:hAnsi="Arial" w:cs="Arial"/>
                <w:sz w:val="18"/>
                <w:szCs w:val="18"/>
              </w:rPr>
              <w:t>Podatki se ne vnašajo, če v Poslovnem letu poročanja Subjekt v sestavi (ali drug Subjekt mednarodne skupine podjetij) ali član skupine skupnega p</w:t>
            </w:r>
            <w:r w:rsidR="002C2F70">
              <w:rPr>
                <w:rFonts w:ascii="Arial" w:hAnsi="Arial" w:cs="Arial"/>
                <w:sz w:val="18"/>
                <w:szCs w:val="18"/>
              </w:rPr>
              <w:t xml:space="preserve">odviga </w:t>
            </w:r>
            <w:r w:rsidRPr="00D76E23">
              <w:rPr>
                <w:rFonts w:ascii="Arial" w:hAnsi="Arial" w:cs="Arial"/>
                <w:sz w:val="18"/>
                <w:szCs w:val="18"/>
              </w:rPr>
              <w:t>ni bil predmet sprememb.</w:t>
            </w:r>
          </w:p>
          <w:p w14:paraId="4AE0E0C1" w14:textId="77777777" w:rsidR="006E70C0" w:rsidRPr="00D76E23" w:rsidRDefault="006E70C0" w:rsidP="006E70C0">
            <w:pPr>
              <w:spacing w:line="240" w:lineRule="exact"/>
              <w:jc w:val="both"/>
              <w:rPr>
                <w:rFonts w:ascii="Arial" w:hAnsi="Arial" w:cs="Arial"/>
                <w:sz w:val="18"/>
                <w:szCs w:val="18"/>
              </w:rPr>
            </w:pPr>
          </w:p>
          <w:p w14:paraId="00C7713E" w14:textId="77777777" w:rsidR="00671CED" w:rsidRPr="00D76E23" w:rsidRDefault="00671CED" w:rsidP="006E70C0">
            <w:pPr>
              <w:spacing w:line="240" w:lineRule="exact"/>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mora izpolniti to tabelo samo glede sprememb, ki so kadarkoli v poročevalskem fiskalnem letu vplivale na izračun efektivne davčne stopnje (npr. za Subjekte v sestavi, vključene v mednarodno dodelitev dohodka ali davkov) ali izračun ali dodelitev povrhnjega davka (npr. obseg, v katerem se uporablja IIR za Subjekt v sestavi).</w:t>
            </w:r>
          </w:p>
        </w:tc>
      </w:tr>
      <w:tr w:rsidR="00671CED" w:rsidRPr="00D76E23" w14:paraId="0A4C4AD5" w14:textId="77777777" w:rsidTr="00671CED">
        <w:trPr>
          <w:trHeight w:val="900"/>
        </w:trPr>
        <w:tc>
          <w:tcPr>
            <w:tcW w:w="1162" w:type="dxa"/>
            <w:hideMark/>
          </w:tcPr>
          <w:p w14:paraId="61411F7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1.3.3.1.</w:t>
            </w:r>
          </w:p>
        </w:tc>
        <w:tc>
          <w:tcPr>
            <w:tcW w:w="2519" w:type="dxa"/>
            <w:hideMark/>
          </w:tcPr>
          <w:p w14:paraId="1A613EF3"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Naziv Subjekta v sestavi (ali drugega Subjekta Skupine), ali člana Skupine Skupnega podviga </w:t>
            </w:r>
          </w:p>
        </w:tc>
        <w:tc>
          <w:tcPr>
            <w:tcW w:w="5386" w:type="dxa"/>
            <w:hideMark/>
          </w:tcPr>
          <w:p w14:paraId="1FB8A986"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Poroča se o vseh subjektih v sestavi (ali drugem subjektu mednarodne skupine podjetij</w:t>
            </w:r>
            <w:r w:rsidR="00B5167D">
              <w:rPr>
                <w:rFonts w:ascii="Arial" w:hAnsi="Arial" w:cs="Arial"/>
                <w:sz w:val="18"/>
                <w:szCs w:val="18"/>
              </w:rPr>
              <w:t xml:space="preserve"> ali velike domače skupine</w:t>
            </w:r>
            <w:r w:rsidRPr="00D76E23">
              <w:rPr>
                <w:rFonts w:ascii="Arial" w:hAnsi="Arial" w:cs="Arial"/>
                <w:sz w:val="18"/>
                <w:szCs w:val="18"/>
              </w:rPr>
              <w:t>, npr. izključenih subjektih) ali članih skupin skupnega podviga, ki so se med Poslovnim letom poročanja spremenili v svoji lastniški strukturi ali statusu</w:t>
            </w:r>
          </w:p>
        </w:tc>
      </w:tr>
      <w:tr w:rsidR="00671CED" w:rsidRPr="00D76E23" w14:paraId="687D6A79" w14:textId="77777777" w:rsidTr="00671CED">
        <w:trPr>
          <w:trHeight w:val="900"/>
        </w:trPr>
        <w:tc>
          <w:tcPr>
            <w:tcW w:w="1162" w:type="dxa"/>
            <w:hideMark/>
          </w:tcPr>
          <w:p w14:paraId="2BDF75FE"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1.3.3.2.</w:t>
            </w:r>
          </w:p>
        </w:tc>
        <w:tc>
          <w:tcPr>
            <w:tcW w:w="2519" w:type="dxa"/>
            <w:hideMark/>
          </w:tcPr>
          <w:p w14:paraId="36BE55FC"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Davčna številka</w:t>
            </w:r>
          </w:p>
        </w:tc>
        <w:tc>
          <w:tcPr>
            <w:tcW w:w="5386" w:type="dxa"/>
            <w:hideMark/>
          </w:tcPr>
          <w:p w14:paraId="3EF56DAD"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Vnese se davčna številka, ki se uporablja za namene zajetih davkov v jurisdikciji, v kateri se nahaja Subjekt v sestavi (ali drug Subjekt mednarodne skupine podjetij) ali član skupine JV za namene </w:t>
            </w:r>
            <w:proofErr w:type="spellStart"/>
            <w:r w:rsidRPr="00D76E23">
              <w:rPr>
                <w:rFonts w:ascii="Arial" w:hAnsi="Arial" w:cs="Arial"/>
                <w:sz w:val="18"/>
                <w:szCs w:val="18"/>
              </w:rPr>
              <w:t>GloBE</w:t>
            </w:r>
            <w:proofErr w:type="spellEnd"/>
            <w:r w:rsidRPr="00D76E23">
              <w:rPr>
                <w:rFonts w:ascii="Arial" w:hAnsi="Arial" w:cs="Arial"/>
                <w:sz w:val="18"/>
                <w:szCs w:val="18"/>
              </w:rPr>
              <w:t>, ali, če davčna številka ni na voljo, funkcijski ekvivalent, kot je registracijska koda/številka podjetja.</w:t>
            </w:r>
          </w:p>
        </w:tc>
      </w:tr>
      <w:tr w:rsidR="00671CED" w:rsidRPr="00D76E23" w14:paraId="68A86285" w14:textId="77777777" w:rsidTr="00671CED">
        <w:trPr>
          <w:trHeight w:val="1838"/>
        </w:trPr>
        <w:tc>
          <w:tcPr>
            <w:tcW w:w="1162" w:type="dxa"/>
            <w:hideMark/>
          </w:tcPr>
          <w:p w14:paraId="2E6AA1F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1.3.3.3.</w:t>
            </w:r>
          </w:p>
        </w:tc>
        <w:tc>
          <w:tcPr>
            <w:tcW w:w="2519" w:type="dxa"/>
            <w:hideMark/>
          </w:tcPr>
          <w:p w14:paraId="4BD52E51"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Efektivni datum začetka spremembe </w:t>
            </w:r>
          </w:p>
        </w:tc>
        <w:tc>
          <w:tcPr>
            <w:tcW w:w="5386" w:type="dxa"/>
            <w:hideMark/>
          </w:tcPr>
          <w:p w14:paraId="4C5EB73C"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Vnese se datum začetka učinkovanja vseh sprememb lastniške strukture ali kakršnih koli sprememb statusa Subjekta v sestavi (ali drugega Subjekta mednarodne skupine podjetij) ali člana skupine skupnega pod</w:t>
            </w:r>
            <w:r w:rsidR="002C2F70">
              <w:rPr>
                <w:rFonts w:ascii="Arial" w:hAnsi="Arial" w:cs="Arial"/>
                <w:sz w:val="18"/>
                <w:szCs w:val="18"/>
              </w:rPr>
              <w:t>viga</w:t>
            </w:r>
            <w:r w:rsidRPr="00D76E23">
              <w:rPr>
                <w:rFonts w:ascii="Arial" w:hAnsi="Arial" w:cs="Arial"/>
                <w:sz w:val="18"/>
                <w:szCs w:val="18"/>
              </w:rPr>
              <w:t>. Če se je Subjekt v sestavi (ali drug Subjekt mednarodne skupine podjetij) ali član skupine skupnega pod</w:t>
            </w:r>
            <w:r w:rsidR="002C2F70">
              <w:rPr>
                <w:rFonts w:ascii="Arial" w:hAnsi="Arial" w:cs="Arial"/>
                <w:sz w:val="18"/>
                <w:szCs w:val="18"/>
              </w:rPr>
              <w:t>viga</w:t>
            </w:r>
            <w:r w:rsidRPr="00D76E23">
              <w:rPr>
                <w:rFonts w:ascii="Arial" w:hAnsi="Arial" w:cs="Arial"/>
                <w:sz w:val="18"/>
                <w:szCs w:val="18"/>
              </w:rPr>
              <w:t xml:space="preserve"> v Poslovnem letu poročanja spremenil več kot enkrat, subjekt v sestavi podatka za vsako od teh sprememb izpolni ločeno vrstico.</w:t>
            </w:r>
          </w:p>
        </w:tc>
      </w:tr>
      <w:tr w:rsidR="00671CED" w:rsidRPr="00D76E23" w14:paraId="3611B500" w14:textId="77777777" w:rsidTr="00162EF0">
        <w:trPr>
          <w:trHeight w:val="6377"/>
        </w:trPr>
        <w:tc>
          <w:tcPr>
            <w:tcW w:w="1162" w:type="dxa"/>
            <w:hideMark/>
          </w:tcPr>
          <w:p w14:paraId="1ED86D7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1.3.3.4.</w:t>
            </w:r>
          </w:p>
        </w:tc>
        <w:tc>
          <w:tcPr>
            <w:tcW w:w="2519" w:type="dxa"/>
            <w:hideMark/>
          </w:tcPr>
          <w:p w14:paraId="6FEC76AC"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Status za namene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pred spremembo</w:t>
            </w:r>
          </w:p>
        </w:tc>
        <w:tc>
          <w:tcPr>
            <w:tcW w:w="5386" w:type="dxa"/>
            <w:hideMark/>
          </w:tcPr>
          <w:p w14:paraId="5C46512E"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Sporoči se status za namene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Subjekta v sestavi (ali drugega Subjekta mednarodne skupine podjetij) ali člana skupine JV na dan neposredno pred datumom spremembe. </w:t>
            </w:r>
          </w:p>
          <w:p w14:paraId="5EE34D20" w14:textId="77777777" w:rsidR="006E70C0" w:rsidRDefault="006E70C0" w:rsidP="006E70C0">
            <w:pPr>
              <w:spacing w:line="240" w:lineRule="exact"/>
              <w:jc w:val="both"/>
              <w:rPr>
                <w:rFonts w:ascii="Arial" w:hAnsi="Arial" w:cs="Arial"/>
                <w:sz w:val="18"/>
                <w:szCs w:val="18"/>
              </w:rPr>
            </w:pPr>
          </w:p>
          <w:p w14:paraId="7586C9FE"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Izbere se ustrezne možnosti: </w:t>
            </w:r>
          </w:p>
          <w:p w14:paraId="68A5300C" w14:textId="4FBBB19C"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w:t>
            </w:r>
            <w:r w:rsidR="00D427EB">
              <w:rPr>
                <w:rFonts w:ascii="Arial" w:hAnsi="Arial" w:cs="Arial"/>
                <w:sz w:val="18"/>
                <w:szCs w:val="18"/>
              </w:rPr>
              <w:t xml:space="preserve"> </w:t>
            </w:r>
            <w:r w:rsidR="006669B6">
              <w:rPr>
                <w:rFonts w:ascii="Arial" w:hAnsi="Arial" w:cs="Arial"/>
                <w:sz w:val="18"/>
                <w:szCs w:val="18"/>
              </w:rPr>
              <w:t>s</w:t>
            </w:r>
            <w:r w:rsidRPr="00D76E23">
              <w:rPr>
                <w:rFonts w:ascii="Arial" w:hAnsi="Arial" w:cs="Arial"/>
                <w:sz w:val="18"/>
                <w:szCs w:val="18"/>
              </w:rPr>
              <w:t xml:space="preserve">ubjekt v sestavi </w:t>
            </w:r>
          </w:p>
          <w:p w14:paraId="452E9AD7" w14:textId="151B454E"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p</w:t>
            </w:r>
            <w:r w:rsidRPr="00D76E23">
              <w:rPr>
                <w:rFonts w:ascii="Arial" w:hAnsi="Arial" w:cs="Arial"/>
                <w:sz w:val="18"/>
                <w:szCs w:val="18"/>
              </w:rPr>
              <w:t>retočni subjekt– davčno transparenten</w:t>
            </w:r>
          </w:p>
          <w:p w14:paraId="6227EF5B" w14:textId="428F902A"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p</w:t>
            </w:r>
            <w:r w:rsidRPr="00D76E23">
              <w:rPr>
                <w:rFonts w:ascii="Arial" w:hAnsi="Arial" w:cs="Arial"/>
                <w:sz w:val="18"/>
                <w:szCs w:val="18"/>
              </w:rPr>
              <w:t xml:space="preserve">retočni Subjekt– obratni hibridni Subjekt </w:t>
            </w:r>
          </w:p>
          <w:p w14:paraId="7F596ED7"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hibridni subjekt </w:t>
            </w:r>
          </w:p>
          <w:p w14:paraId="7C4D48B9"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stalna poslovna enota </w:t>
            </w:r>
          </w:p>
          <w:p w14:paraId="4FD7D846"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glavni subjekt </w:t>
            </w:r>
          </w:p>
          <w:p w14:paraId="6E23857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matični subjekt v manjšinski lasti</w:t>
            </w:r>
          </w:p>
          <w:p w14:paraId="6110EC48"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odvisno podjetje v manjšinski lasti </w:t>
            </w:r>
          </w:p>
          <w:p w14:paraId="14FBA5C1" w14:textId="77715E6D"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s</w:t>
            </w:r>
            <w:r w:rsidRPr="00D76E23">
              <w:rPr>
                <w:rFonts w:ascii="Arial" w:hAnsi="Arial" w:cs="Arial"/>
                <w:sz w:val="18"/>
                <w:szCs w:val="18"/>
              </w:rPr>
              <w:t xml:space="preserve">ubjekt v sestavi, ki je v manjšinski lasti </w:t>
            </w:r>
          </w:p>
          <w:p w14:paraId="5C22FAAA" w14:textId="6911594A"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i</w:t>
            </w:r>
            <w:r w:rsidRPr="00D76E23">
              <w:rPr>
                <w:rFonts w:ascii="Arial" w:hAnsi="Arial" w:cs="Arial"/>
                <w:sz w:val="18"/>
                <w:szCs w:val="18"/>
              </w:rPr>
              <w:t xml:space="preserve">nvesticijski subjekt </w:t>
            </w:r>
          </w:p>
          <w:p w14:paraId="0097CF22"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zavarovalni investicijski subjekt </w:t>
            </w:r>
          </w:p>
          <w:p w14:paraId="7986FC60"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skupni podvig</w:t>
            </w:r>
          </w:p>
          <w:p w14:paraId="4125D1D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odvisni subjekt v skupnem podjemu</w:t>
            </w:r>
          </w:p>
          <w:p w14:paraId="31FF72AE"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POPE </w:t>
            </w:r>
          </w:p>
          <w:p w14:paraId="03C3109F"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vmesni matični subjekt </w:t>
            </w:r>
          </w:p>
          <w:p w14:paraId="41102799" w14:textId="39778636"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k</w:t>
            </w:r>
            <w:r w:rsidRPr="00D76E23">
              <w:rPr>
                <w:rFonts w:ascii="Arial" w:hAnsi="Arial" w:cs="Arial"/>
                <w:sz w:val="18"/>
                <w:szCs w:val="18"/>
              </w:rPr>
              <w:t>rovni Matični Subjekt</w:t>
            </w:r>
          </w:p>
          <w:p w14:paraId="6A215FB6" w14:textId="60DF245C"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i</w:t>
            </w:r>
            <w:r w:rsidRPr="00D76E23">
              <w:rPr>
                <w:rFonts w:ascii="Arial" w:hAnsi="Arial" w:cs="Arial"/>
                <w:sz w:val="18"/>
                <w:szCs w:val="18"/>
              </w:rPr>
              <w:t>zključen Subjekt,</w:t>
            </w:r>
          </w:p>
          <w:p w14:paraId="4EB1936D" w14:textId="13D3D373"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w:t>
            </w:r>
            <w:r w:rsidR="006669B6">
              <w:rPr>
                <w:rFonts w:ascii="Arial" w:hAnsi="Arial" w:cs="Arial"/>
                <w:sz w:val="18"/>
                <w:szCs w:val="18"/>
              </w:rPr>
              <w:t>s</w:t>
            </w:r>
            <w:r w:rsidRPr="00D76E23">
              <w:rPr>
                <w:rFonts w:ascii="Arial" w:hAnsi="Arial" w:cs="Arial"/>
                <w:sz w:val="18"/>
                <w:szCs w:val="18"/>
              </w:rPr>
              <w:t xml:space="preserve">ubjekt, ki ni član skupine. </w:t>
            </w:r>
          </w:p>
          <w:p w14:paraId="2D853DB5" w14:textId="77777777" w:rsidR="006E70C0" w:rsidRDefault="006E70C0" w:rsidP="006E70C0">
            <w:pPr>
              <w:spacing w:line="240" w:lineRule="exact"/>
              <w:jc w:val="both"/>
              <w:rPr>
                <w:rFonts w:ascii="Arial" w:hAnsi="Arial" w:cs="Arial"/>
                <w:sz w:val="18"/>
                <w:szCs w:val="18"/>
              </w:rPr>
            </w:pPr>
          </w:p>
          <w:p w14:paraId="5D919BC5" w14:textId="5A5FEFF4"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relevantna več kot ena možnost, subjekt v sestavi v spisu izbere vse ustrezne možnosti.</w:t>
            </w:r>
          </w:p>
        </w:tc>
      </w:tr>
      <w:tr w:rsidR="00671CED" w:rsidRPr="00D76E23" w14:paraId="6A399213" w14:textId="77777777" w:rsidTr="00671CED">
        <w:trPr>
          <w:trHeight w:val="5810"/>
        </w:trPr>
        <w:tc>
          <w:tcPr>
            <w:tcW w:w="1162" w:type="dxa"/>
            <w:hideMark/>
          </w:tcPr>
          <w:p w14:paraId="60599212"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1.3.3.5.</w:t>
            </w:r>
          </w:p>
        </w:tc>
        <w:tc>
          <w:tcPr>
            <w:tcW w:w="2519" w:type="dxa"/>
            <w:hideMark/>
          </w:tcPr>
          <w:p w14:paraId="6745AAE8"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 xml:space="preserve">Status za namene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po spremembi</w:t>
            </w:r>
          </w:p>
        </w:tc>
        <w:tc>
          <w:tcPr>
            <w:tcW w:w="5386" w:type="dxa"/>
            <w:hideMark/>
          </w:tcPr>
          <w:p w14:paraId="4C15779C"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Sporoči se status za namene </w:t>
            </w:r>
            <w:proofErr w:type="spellStart"/>
            <w:r w:rsidRPr="00D76E23">
              <w:rPr>
                <w:rFonts w:ascii="Arial" w:hAnsi="Arial" w:cs="Arial"/>
                <w:sz w:val="18"/>
                <w:szCs w:val="18"/>
              </w:rPr>
              <w:t>GloBE</w:t>
            </w:r>
            <w:proofErr w:type="spellEnd"/>
            <w:r w:rsidRPr="00D76E23">
              <w:rPr>
                <w:rFonts w:ascii="Arial" w:hAnsi="Arial" w:cs="Arial"/>
                <w:sz w:val="18"/>
                <w:szCs w:val="18"/>
              </w:rPr>
              <w:t xml:space="preserve"> Subjekta v sestavi (ali drugega Subjekta mednarodne skupine podjetij) ali člana skupine JV na dan spremembe po transakciji. </w:t>
            </w:r>
          </w:p>
          <w:p w14:paraId="4961B204"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Izbere se ustrezne možnosti: </w:t>
            </w:r>
          </w:p>
          <w:p w14:paraId="06AD0D72"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w:t>
            </w:r>
            <w:r w:rsidR="00D427EB">
              <w:rPr>
                <w:rFonts w:ascii="Arial" w:hAnsi="Arial" w:cs="Arial"/>
                <w:sz w:val="18"/>
                <w:szCs w:val="18"/>
              </w:rPr>
              <w:t xml:space="preserve"> </w:t>
            </w:r>
            <w:r w:rsidRPr="00D76E23">
              <w:rPr>
                <w:rFonts w:ascii="Arial" w:hAnsi="Arial" w:cs="Arial"/>
                <w:sz w:val="18"/>
                <w:szCs w:val="18"/>
              </w:rPr>
              <w:t xml:space="preserve">Subjekt v sestavi </w:t>
            </w:r>
          </w:p>
          <w:p w14:paraId="7614D834"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Pretočni subjekt– davčno transparenten</w:t>
            </w:r>
          </w:p>
          <w:p w14:paraId="173AF63C"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Pretočni Subjekt– obratni hibridni Subjekt </w:t>
            </w:r>
          </w:p>
          <w:p w14:paraId="6BD9F55C"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hibridni subjekt </w:t>
            </w:r>
          </w:p>
          <w:p w14:paraId="7BF767D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stalna poslovna enota </w:t>
            </w:r>
          </w:p>
          <w:p w14:paraId="2E2E655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glavni subjekt </w:t>
            </w:r>
          </w:p>
          <w:p w14:paraId="2C9AFDD0"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matični subjekt v manjšinski lasti</w:t>
            </w:r>
          </w:p>
          <w:p w14:paraId="14C6D841"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odvisno podjetje v manjšinski lasti </w:t>
            </w:r>
          </w:p>
          <w:p w14:paraId="17E71D7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Subjekt v sestavi, ki je v manjšinski lasti </w:t>
            </w:r>
          </w:p>
          <w:p w14:paraId="79F89CAA"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Investicijski subjekt </w:t>
            </w:r>
          </w:p>
          <w:p w14:paraId="1CF751E6"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zavarovalni investicijski subjekt </w:t>
            </w:r>
          </w:p>
          <w:p w14:paraId="30F85321"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skupni podvig</w:t>
            </w:r>
          </w:p>
          <w:p w14:paraId="69F8541E"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odvisni subjekt v skupnem podjemu</w:t>
            </w:r>
          </w:p>
          <w:p w14:paraId="7090DF5D"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POPE </w:t>
            </w:r>
          </w:p>
          <w:p w14:paraId="109CB58F"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vmesni matični subjekt </w:t>
            </w:r>
          </w:p>
          <w:p w14:paraId="495BAB19"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Krovni Matični Subjekt</w:t>
            </w:r>
          </w:p>
          <w:p w14:paraId="3D85109B"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Izključen Subjekt,</w:t>
            </w:r>
          </w:p>
          <w:p w14:paraId="3928C4DA" w14:textId="6C14B3C9"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 Subjekt, ki ni član skupine. </w:t>
            </w:r>
          </w:p>
          <w:p w14:paraId="714228FE" w14:textId="77777777" w:rsidR="006E70C0" w:rsidRDefault="006E70C0" w:rsidP="006E70C0">
            <w:pPr>
              <w:spacing w:line="240" w:lineRule="exact"/>
              <w:jc w:val="both"/>
              <w:rPr>
                <w:rFonts w:ascii="Arial" w:hAnsi="Arial" w:cs="Arial"/>
                <w:sz w:val="18"/>
                <w:szCs w:val="18"/>
              </w:rPr>
            </w:pPr>
          </w:p>
          <w:p w14:paraId="76BA7579" w14:textId="4CA0354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relevantna več kot ena možnost, subjekt v sestavi v spisu izbere vse ustrezne možnosti.</w:t>
            </w:r>
          </w:p>
        </w:tc>
      </w:tr>
      <w:tr w:rsidR="00671CED" w:rsidRPr="00D76E23" w14:paraId="77B4823D" w14:textId="77777777" w:rsidTr="00671CED">
        <w:trPr>
          <w:trHeight w:val="4500"/>
        </w:trPr>
        <w:tc>
          <w:tcPr>
            <w:tcW w:w="1162" w:type="dxa"/>
            <w:hideMark/>
          </w:tcPr>
          <w:p w14:paraId="3DA5CB21"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1.3.3.6.</w:t>
            </w:r>
          </w:p>
        </w:tc>
        <w:tc>
          <w:tcPr>
            <w:tcW w:w="2519" w:type="dxa"/>
            <w:hideMark/>
          </w:tcPr>
          <w:p w14:paraId="1C6E7DDE"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Subjekti, ki imajo delež lastništva v tem Subjektu v sestavi (ali drugem subjektu) ali članu Skupine Skupnega podviga pred ali po spremembi</w:t>
            </w:r>
          </w:p>
        </w:tc>
        <w:tc>
          <w:tcPr>
            <w:tcW w:w="5386" w:type="dxa"/>
            <w:hideMark/>
          </w:tcPr>
          <w:p w14:paraId="6159FA16"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Polje se ne izpolni v zvezi z Izključenimi Subjekti, ki so bili </w:t>
            </w:r>
            <w:r w:rsidR="00D427EB">
              <w:rPr>
                <w:rFonts w:ascii="Arial" w:hAnsi="Arial" w:cs="Arial"/>
                <w:sz w:val="18"/>
                <w:szCs w:val="18"/>
              </w:rPr>
              <w:t>i</w:t>
            </w:r>
            <w:r w:rsidRPr="00D76E23">
              <w:rPr>
                <w:rFonts w:ascii="Arial" w:hAnsi="Arial" w:cs="Arial"/>
                <w:sz w:val="18"/>
                <w:szCs w:val="18"/>
              </w:rPr>
              <w:t xml:space="preserve">zključeni pred spremembo in ki so bili </w:t>
            </w:r>
            <w:r w:rsidR="00D427EB">
              <w:rPr>
                <w:rFonts w:ascii="Arial" w:hAnsi="Arial" w:cs="Arial"/>
                <w:sz w:val="18"/>
                <w:szCs w:val="18"/>
              </w:rPr>
              <w:t>i</w:t>
            </w:r>
            <w:r w:rsidRPr="00D76E23">
              <w:rPr>
                <w:rFonts w:ascii="Arial" w:hAnsi="Arial" w:cs="Arial"/>
                <w:sz w:val="18"/>
                <w:szCs w:val="18"/>
              </w:rPr>
              <w:t>zključeni po spremembi.</w:t>
            </w:r>
          </w:p>
          <w:p w14:paraId="1294B0E6" w14:textId="77777777" w:rsidR="006E70C0" w:rsidRDefault="00671CED" w:rsidP="006E70C0">
            <w:pPr>
              <w:spacing w:line="240" w:lineRule="exact"/>
              <w:jc w:val="both"/>
              <w:rPr>
                <w:rFonts w:ascii="Arial" w:hAnsi="Arial" w:cs="Arial"/>
                <w:sz w:val="18"/>
                <w:szCs w:val="18"/>
              </w:rPr>
            </w:pPr>
            <w:r w:rsidRPr="00D76E23">
              <w:rPr>
                <w:rFonts w:ascii="Arial" w:hAnsi="Arial" w:cs="Arial"/>
                <w:sz w:val="18"/>
                <w:szCs w:val="18"/>
              </w:rPr>
              <w:br/>
              <w:t xml:space="preserve">Če je Subjekt v sestavi član Skupine Skupnega podviga ali pa je poslovna enota,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identificira Glavni Subjekt.</w:t>
            </w:r>
          </w:p>
          <w:p w14:paraId="55DF6F0F" w14:textId="397D2F84"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br/>
              <w:t>Če je Subjekt v sestavi (ali drug subjekt skupine MNE) ali član JV skupine stalna poslovna enota,</w:t>
            </w:r>
            <w:r w:rsidR="00B5167D">
              <w:rPr>
                <w:rFonts w:ascii="Arial" w:hAnsi="Arial" w:cs="Arial"/>
                <w:sz w:val="18"/>
                <w:szCs w:val="18"/>
              </w:rPr>
              <w:t xml:space="preserve"> </w:t>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v stolpcu 1.3.3.6. identificira  Glavni subjekt in poroča 100% v stolpcu 1.3.3.7 ali 1.3.3.8.</w:t>
            </w:r>
            <w:r w:rsidRPr="00D76E23">
              <w:rPr>
                <w:rFonts w:ascii="Arial" w:hAnsi="Arial" w:cs="Arial"/>
                <w:sz w:val="18"/>
                <w:szCs w:val="18"/>
              </w:rPr>
              <w:br/>
            </w:r>
            <w:r w:rsidRPr="00D76E23">
              <w:rPr>
                <w:rFonts w:ascii="Arial" w:hAnsi="Arial" w:cs="Arial"/>
                <w:sz w:val="18"/>
                <w:szCs w:val="18"/>
              </w:rPr>
              <w:br/>
              <w:t xml:space="preserve">Poroča se o vseh Subjektih v sestavi, Subjektih skupine, Izključenih subjektih, članih skupin Skupnega Podviga ali </w:t>
            </w:r>
            <w:proofErr w:type="spellStart"/>
            <w:r w:rsidRPr="00D76E23">
              <w:rPr>
                <w:rFonts w:ascii="Arial" w:hAnsi="Arial" w:cs="Arial"/>
                <w:sz w:val="18"/>
                <w:szCs w:val="18"/>
              </w:rPr>
              <w:t>neskupinskih</w:t>
            </w:r>
            <w:proofErr w:type="spellEnd"/>
            <w:r w:rsidRPr="00D76E23">
              <w:rPr>
                <w:rFonts w:ascii="Arial" w:hAnsi="Arial" w:cs="Arial"/>
                <w:sz w:val="18"/>
                <w:szCs w:val="18"/>
              </w:rPr>
              <w:t xml:space="preserve"> članih, ki so imeli neposredno lastniške deleže v Subjektu v sestavi (ali drugem Subjektu mednarodne skupine podjetij) ali članu skupine skupnega podviga na dan neposredno pred datumom transakcije. O Izključenih subjektih, ki niso krovni matični subjekt, in nečlanih skupine je treba poročati v agregatu (tj. „Izključeni subjekti (agregat)“ in „člani, ki niso člani skupine (agregat)“). Subjekt v sestavi, ki deluje v sestavi, poroča tudi o vsakem Subjektu v skupini, ki je imel posredno lastniško udeležbo v sestavi (ali drugem subjektu mednarodne skupine podjetij) prek Izključenih subjektov ali članov, ki niso člani skupine, na dan neposredno pred datumom transakcije.</w:t>
            </w:r>
          </w:p>
        </w:tc>
      </w:tr>
      <w:tr w:rsidR="00671CED" w:rsidRPr="00D76E23" w14:paraId="70CD53E0" w14:textId="77777777" w:rsidTr="00671CED">
        <w:trPr>
          <w:trHeight w:val="1558"/>
        </w:trPr>
        <w:tc>
          <w:tcPr>
            <w:tcW w:w="1162" w:type="dxa"/>
            <w:hideMark/>
          </w:tcPr>
          <w:p w14:paraId="62F55EA9"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1.3.3.7.</w:t>
            </w:r>
          </w:p>
        </w:tc>
        <w:tc>
          <w:tcPr>
            <w:tcW w:w="2519" w:type="dxa"/>
            <w:hideMark/>
          </w:tcPr>
          <w:p w14:paraId="7A3D6703"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Delež lastništva v tem Subjektu v sestavi (ali drugem subjektu) ali članu Skupine Skupnega podviga pred spremembo (odstotek)</w:t>
            </w:r>
          </w:p>
        </w:tc>
        <w:tc>
          <w:tcPr>
            <w:tcW w:w="5386" w:type="dxa"/>
            <w:hideMark/>
          </w:tcPr>
          <w:p w14:paraId="20A5D454" w14:textId="77777777"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Polje se ne izpolni v zvezi z Izključenimi Subjekti, ki so bili Izključeni pred spremembo.</w:t>
            </w:r>
            <w:r w:rsidR="002C2F70">
              <w:rPr>
                <w:rFonts w:ascii="Arial" w:hAnsi="Arial" w:cs="Arial"/>
                <w:sz w:val="18"/>
                <w:szCs w:val="18"/>
              </w:rPr>
              <w:t xml:space="preserve"> </w:t>
            </w:r>
          </w:p>
          <w:p w14:paraId="14CF6645" w14:textId="77777777" w:rsidR="002C2F70" w:rsidRDefault="002C2F70" w:rsidP="006E70C0">
            <w:pPr>
              <w:spacing w:line="240" w:lineRule="exact"/>
              <w:jc w:val="both"/>
              <w:rPr>
                <w:rFonts w:ascii="Arial" w:hAnsi="Arial" w:cs="Arial"/>
                <w:sz w:val="18"/>
                <w:szCs w:val="18"/>
              </w:rPr>
            </w:pPr>
          </w:p>
          <w:p w14:paraId="7393310A"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Če je Subjekt v sestavi (ali drug subjekt mednarodne skupine podjetij) ali član skupine skupnega podjetja stalna poslovna enota, se poroča delež 100 %.</w:t>
            </w:r>
          </w:p>
        </w:tc>
      </w:tr>
      <w:tr w:rsidR="00671CED" w:rsidRPr="00D76E23" w14:paraId="73EFC55C" w14:textId="77777777" w:rsidTr="00671CED">
        <w:trPr>
          <w:trHeight w:val="2400"/>
        </w:trPr>
        <w:tc>
          <w:tcPr>
            <w:tcW w:w="1162" w:type="dxa"/>
            <w:hideMark/>
          </w:tcPr>
          <w:p w14:paraId="1017B356"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1.3.3.8.</w:t>
            </w:r>
          </w:p>
        </w:tc>
        <w:tc>
          <w:tcPr>
            <w:tcW w:w="2519" w:type="dxa"/>
            <w:hideMark/>
          </w:tcPr>
          <w:p w14:paraId="7847A090"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Delež lastništva v tem Subjektu v sestavi (ali drugem subjektu) ali članu Skupine Skupnega podviga po spremembi (odstotek)</w:t>
            </w:r>
          </w:p>
        </w:tc>
        <w:tc>
          <w:tcPr>
            <w:tcW w:w="5386" w:type="dxa"/>
            <w:hideMark/>
          </w:tcPr>
          <w:p w14:paraId="6EE7A899" w14:textId="77777777"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 xml:space="preserve">Polje se ne izpolnjuje v zvezi z Izključenimi Subjekti, ki so bili Izključeni po spremembi. </w:t>
            </w:r>
          </w:p>
          <w:p w14:paraId="483BF230" w14:textId="77777777" w:rsidR="002C2F70" w:rsidRDefault="002C2F70" w:rsidP="006E70C0">
            <w:pPr>
              <w:spacing w:line="240" w:lineRule="exact"/>
              <w:jc w:val="both"/>
              <w:rPr>
                <w:rFonts w:ascii="Arial" w:hAnsi="Arial" w:cs="Arial"/>
                <w:sz w:val="18"/>
                <w:szCs w:val="18"/>
              </w:rPr>
            </w:pPr>
          </w:p>
          <w:p w14:paraId="3EC6F7F9" w14:textId="77777777" w:rsidR="002C2F70" w:rsidRDefault="00671CED" w:rsidP="006E70C0">
            <w:pPr>
              <w:spacing w:line="240" w:lineRule="exact"/>
              <w:jc w:val="both"/>
              <w:rPr>
                <w:rFonts w:ascii="Arial" w:hAnsi="Arial" w:cs="Arial"/>
                <w:sz w:val="18"/>
                <w:szCs w:val="18"/>
              </w:rPr>
            </w:pPr>
            <w:r w:rsidRPr="00D76E23">
              <w:rPr>
                <w:rFonts w:ascii="Arial" w:hAnsi="Arial" w:cs="Arial"/>
                <w:sz w:val="18"/>
                <w:szCs w:val="18"/>
              </w:rPr>
              <w:t>Če je Subjekt v sestavi (ali drug subjekt mednarodne skupine podjetij) ali član skupine skupnega podviga stalna poslovna enota, se poroča delež 100 %.</w:t>
            </w:r>
          </w:p>
          <w:p w14:paraId="7223F1CE" w14:textId="77777777" w:rsidR="002C2F70" w:rsidRDefault="002C2F70" w:rsidP="006E70C0">
            <w:pPr>
              <w:spacing w:line="240" w:lineRule="exact"/>
              <w:jc w:val="both"/>
              <w:rPr>
                <w:rFonts w:ascii="Arial" w:hAnsi="Arial" w:cs="Arial"/>
                <w:sz w:val="18"/>
                <w:szCs w:val="18"/>
              </w:rPr>
            </w:pPr>
          </w:p>
          <w:p w14:paraId="680070AF"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Poroča se o lastniških deležih, ki jih imajo v Subjektu v sestavi (ali drugem Subjektu mednarodne skupine podjetij) ali članu skupine skupnega podjetja subjekti v sestavi, Izključeni subjekti, člani skupin skupnega podjetja in člani zunaj skupine, navedeni v 1.3.3.6., na dan spremembe po transakciji v skladu z navodili iz opombe 1.3.2.1.10.</w:t>
            </w:r>
          </w:p>
        </w:tc>
      </w:tr>
      <w:tr w:rsidR="00671CED" w:rsidRPr="00D76E23" w14:paraId="7D485DFA" w14:textId="77777777" w:rsidTr="00671CED">
        <w:trPr>
          <w:trHeight w:val="2415"/>
        </w:trPr>
        <w:tc>
          <w:tcPr>
            <w:tcW w:w="1162" w:type="dxa"/>
            <w:noWrap/>
            <w:hideMark/>
          </w:tcPr>
          <w:p w14:paraId="507347D1"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1.3.3.a</w:t>
            </w:r>
          </w:p>
        </w:tc>
        <w:tc>
          <w:tcPr>
            <w:tcW w:w="2519" w:type="dxa"/>
            <w:hideMark/>
          </w:tcPr>
          <w:p w14:paraId="7196FE41"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Ali spremembe v korporativni strukturi, ki so se zgodile med poročevalskim fiskalnim letom, niso bile poročane, ker niso vplivale na izračun efektivne davčne stopnje, izračun ali na dodelitev doplačilnega davka?</w:t>
            </w:r>
          </w:p>
        </w:tc>
        <w:tc>
          <w:tcPr>
            <w:tcW w:w="5386" w:type="dxa"/>
            <w:hideMark/>
          </w:tcPr>
          <w:p w14:paraId="48A501F1" w14:textId="77777777" w:rsidR="00671CED" w:rsidRPr="00D76E23" w:rsidRDefault="00671CED" w:rsidP="006E70C0">
            <w:pPr>
              <w:spacing w:line="240" w:lineRule="exact"/>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poroča "Da", če so se med poročevalskim fiskalnim letom zgodile kakršne koli spremembe, ki niso bile poročane v tabeli 1.3.3, ker niso vplivale na izračun efektivne davčne stopnje, izračun doplačilnega davka ali dodelitev doplačilnega davka kadar koli med poročevalskim fiskalnim letom (npr. če je bil sestavni subjekt, ki ni bil vključen v mednarodno dodelitev dohodka ali davkov, neposredno in v celoti v lasti UPE pred spremembo in je bil prenesen na drug sestavni subjekt, ki je neposredno in v celoti v lasti UPE).</w:t>
            </w:r>
          </w:p>
        </w:tc>
      </w:tr>
      <w:tr w:rsidR="00671CED" w:rsidRPr="00D76E23" w14:paraId="4DCDF35A" w14:textId="77777777" w:rsidTr="00101D1E">
        <w:trPr>
          <w:trHeight w:val="531"/>
        </w:trPr>
        <w:tc>
          <w:tcPr>
            <w:tcW w:w="1162" w:type="dxa"/>
            <w:shd w:val="clear" w:color="auto" w:fill="D9D9D9" w:themeFill="background1" w:themeFillShade="D9"/>
            <w:noWrap/>
            <w:hideMark/>
          </w:tcPr>
          <w:p w14:paraId="5C4A4172"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1.4.</w:t>
            </w:r>
          </w:p>
        </w:tc>
        <w:tc>
          <w:tcPr>
            <w:tcW w:w="2519" w:type="dxa"/>
            <w:shd w:val="clear" w:color="auto" w:fill="D9D9D9" w:themeFill="background1" w:themeFillShade="D9"/>
            <w:noWrap/>
            <w:hideMark/>
          </w:tcPr>
          <w:p w14:paraId="27BD958C"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Povzetek GLOBE informacij na višji ravni</w:t>
            </w:r>
          </w:p>
        </w:tc>
        <w:tc>
          <w:tcPr>
            <w:tcW w:w="5386" w:type="dxa"/>
            <w:shd w:val="clear" w:color="auto" w:fill="D9D9D9" w:themeFill="background1" w:themeFillShade="D9"/>
            <w:noWrap/>
            <w:hideMark/>
          </w:tcPr>
          <w:p w14:paraId="2F1EDB40" w14:textId="77777777"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t> </w:t>
            </w:r>
          </w:p>
        </w:tc>
      </w:tr>
      <w:tr w:rsidR="00671CED" w:rsidRPr="00D76E23" w14:paraId="571F7D9E" w14:textId="77777777" w:rsidTr="00671CED">
        <w:trPr>
          <w:trHeight w:val="1800"/>
        </w:trPr>
        <w:tc>
          <w:tcPr>
            <w:tcW w:w="1162" w:type="dxa"/>
            <w:hideMark/>
          </w:tcPr>
          <w:p w14:paraId="70FD9A03"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1.4.1.</w:t>
            </w:r>
          </w:p>
        </w:tc>
        <w:tc>
          <w:tcPr>
            <w:tcW w:w="2519" w:type="dxa"/>
            <w:hideMark/>
          </w:tcPr>
          <w:p w14:paraId="4C0A4885"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Naziv jurisdikcije</w:t>
            </w:r>
          </w:p>
        </w:tc>
        <w:tc>
          <w:tcPr>
            <w:tcW w:w="5386" w:type="dxa"/>
            <w:hideMark/>
          </w:tcPr>
          <w:p w14:paraId="2A37DCF3" w14:textId="77777777" w:rsidR="006E70C0" w:rsidRDefault="00671CED" w:rsidP="006E70C0">
            <w:pPr>
              <w:spacing w:line="240" w:lineRule="exact"/>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mora poročati informacije, prikazane v povzetku tabele, glede vsake jurisdikcije, v kateri ima skupina MNE Subjekte v sestavi ali v kateri so locirani člani skupin skupnega podviga (JV), ter za vsako podskupino, za katero velja ločen izračun efektivne davčne stopnje ali povrhnjega davka.</w:t>
            </w:r>
          </w:p>
          <w:p w14:paraId="418CF1A7" w14:textId="6D532824" w:rsidR="00671CED" w:rsidRPr="00D76E23" w:rsidRDefault="00671CED" w:rsidP="006E70C0">
            <w:pPr>
              <w:spacing w:line="240" w:lineRule="exact"/>
              <w:jc w:val="both"/>
              <w:rPr>
                <w:rFonts w:ascii="Arial" w:hAnsi="Arial" w:cs="Arial"/>
                <w:sz w:val="18"/>
                <w:szCs w:val="18"/>
              </w:rPr>
            </w:pPr>
            <w:r w:rsidRPr="00D76E23">
              <w:rPr>
                <w:rFonts w:ascii="Arial" w:hAnsi="Arial" w:cs="Arial"/>
                <w:sz w:val="18"/>
                <w:szCs w:val="18"/>
              </w:rPr>
              <w:br/>
            </w: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poroča dvomestno alfabetično kodo države za jurisdikcijo, v kateri ima skupina MNE Subjekte v sestavi ali v kateri so locirani člani skupin skupnega podviga (JV), in sicer na podlagi standarda ISO 3166-1 </w:t>
            </w:r>
            <w:proofErr w:type="spellStart"/>
            <w:r w:rsidRPr="00D76E23">
              <w:rPr>
                <w:rFonts w:ascii="Arial" w:hAnsi="Arial" w:cs="Arial"/>
                <w:sz w:val="18"/>
                <w:szCs w:val="18"/>
              </w:rPr>
              <w:t>Alpha</w:t>
            </w:r>
            <w:proofErr w:type="spellEnd"/>
            <w:r w:rsidRPr="00D76E23">
              <w:rPr>
                <w:rFonts w:ascii="Arial" w:hAnsi="Arial" w:cs="Arial"/>
                <w:sz w:val="18"/>
                <w:szCs w:val="18"/>
              </w:rPr>
              <w:t xml:space="preserve"> 2.</w:t>
            </w:r>
          </w:p>
        </w:tc>
      </w:tr>
      <w:tr w:rsidR="00671CED" w:rsidRPr="00D76E23" w14:paraId="1860E42B" w14:textId="77777777" w:rsidTr="00162EF0">
        <w:trPr>
          <w:trHeight w:val="377"/>
        </w:trPr>
        <w:tc>
          <w:tcPr>
            <w:tcW w:w="1162" w:type="dxa"/>
            <w:hideMark/>
          </w:tcPr>
          <w:p w14:paraId="6E22EA17"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1.4.2.</w:t>
            </w:r>
          </w:p>
        </w:tc>
        <w:tc>
          <w:tcPr>
            <w:tcW w:w="2519" w:type="dxa"/>
            <w:hideMark/>
          </w:tcPr>
          <w:p w14:paraId="4C7B7070"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Tip podskupine (če obstaja)</w:t>
            </w:r>
          </w:p>
        </w:tc>
        <w:tc>
          <w:tcPr>
            <w:tcW w:w="5386" w:type="dxa"/>
            <w:hideMark/>
          </w:tcPr>
          <w:p w14:paraId="36954ABC" w14:textId="77777777" w:rsidR="00671CED" w:rsidRPr="00D76E23" w:rsidRDefault="00671CED" w:rsidP="006E70C0">
            <w:pPr>
              <w:spacing w:line="240" w:lineRule="exact"/>
              <w:jc w:val="both"/>
              <w:rPr>
                <w:rFonts w:ascii="Arial" w:hAnsi="Arial" w:cs="Arial"/>
                <w:sz w:val="18"/>
                <w:szCs w:val="18"/>
              </w:rPr>
            </w:pPr>
          </w:p>
        </w:tc>
      </w:tr>
      <w:tr w:rsidR="00671CED" w:rsidRPr="00D76E23" w14:paraId="036B51B8" w14:textId="77777777" w:rsidTr="00162EF0">
        <w:trPr>
          <w:trHeight w:val="836"/>
        </w:trPr>
        <w:tc>
          <w:tcPr>
            <w:tcW w:w="1162" w:type="dxa"/>
            <w:hideMark/>
          </w:tcPr>
          <w:p w14:paraId="581DFF3D"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1.4.3.</w:t>
            </w:r>
          </w:p>
        </w:tc>
        <w:tc>
          <w:tcPr>
            <w:tcW w:w="2519" w:type="dxa"/>
            <w:hideMark/>
          </w:tcPr>
          <w:p w14:paraId="11D5BB27"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Identifikacija podskupine (če obstaja)</w:t>
            </w:r>
          </w:p>
        </w:tc>
        <w:tc>
          <w:tcPr>
            <w:tcW w:w="5386" w:type="dxa"/>
            <w:hideMark/>
          </w:tcPr>
          <w:p w14:paraId="4F798189" w14:textId="77777777" w:rsidR="00671CED" w:rsidRPr="00D76E23" w:rsidRDefault="00671CED" w:rsidP="006E70C0">
            <w:pPr>
              <w:spacing w:line="240" w:lineRule="exact"/>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w:t>
            </w:r>
            <w:r w:rsidR="00457B7F" w:rsidRPr="00D76E23">
              <w:rPr>
                <w:rFonts w:ascii="Arial" w:hAnsi="Arial" w:cs="Arial"/>
                <w:sz w:val="18"/>
                <w:szCs w:val="18"/>
              </w:rPr>
              <w:t>subjekt</w:t>
            </w:r>
            <w:r w:rsidRPr="00D76E23">
              <w:rPr>
                <w:rFonts w:ascii="Arial" w:hAnsi="Arial" w:cs="Arial"/>
                <w:sz w:val="18"/>
                <w:szCs w:val="18"/>
              </w:rPr>
              <w:t xml:space="preserve"> poroča davčno številko subjekta, ki je na vrhu lastniške strukture vsake posamezne podskupine, identificirane v polju 1.4.2.</w:t>
            </w:r>
          </w:p>
        </w:tc>
      </w:tr>
      <w:tr w:rsidR="00671CED" w:rsidRPr="00D76E23" w14:paraId="53748CE8" w14:textId="77777777" w:rsidTr="00671CED">
        <w:trPr>
          <w:trHeight w:val="5412"/>
        </w:trPr>
        <w:tc>
          <w:tcPr>
            <w:tcW w:w="1162" w:type="dxa"/>
            <w:hideMark/>
          </w:tcPr>
          <w:p w14:paraId="472AB75E"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lastRenderedPageBreak/>
              <w:t>1.4.4.</w:t>
            </w:r>
          </w:p>
        </w:tc>
        <w:tc>
          <w:tcPr>
            <w:tcW w:w="2519" w:type="dxa"/>
            <w:hideMark/>
          </w:tcPr>
          <w:p w14:paraId="4CC95B7A"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Naziv jurisdikcij, ki imajo pravico do obdavčitve</w:t>
            </w:r>
          </w:p>
        </w:tc>
        <w:tc>
          <w:tcPr>
            <w:tcW w:w="5386" w:type="dxa"/>
            <w:hideMark/>
          </w:tcPr>
          <w:p w14:paraId="63C7385A" w14:textId="77777777" w:rsidR="002C2F70" w:rsidRDefault="00671CED" w:rsidP="006E70C0">
            <w:pPr>
              <w:spacing w:line="240" w:lineRule="exact"/>
              <w:jc w:val="both"/>
              <w:rPr>
                <w:rFonts w:ascii="Arial" w:hAnsi="Arial" w:cs="Arial"/>
                <w:sz w:val="18"/>
                <w:szCs w:val="18"/>
              </w:rPr>
            </w:pPr>
            <w:proofErr w:type="spellStart"/>
            <w:r w:rsidRPr="00D76E23">
              <w:rPr>
                <w:rFonts w:ascii="Arial" w:hAnsi="Arial" w:cs="Arial"/>
                <w:sz w:val="18"/>
                <w:szCs w:val="18"/>
              </w:rPr>
              <w:t>Vložniški</w:t>
            </w:r>
            <w:proofErr w:type="spellEnd"/>
            <w:r w:rsidRPr="00D76E23">
              <w:rPr>
                <w:rFonts w:ascii="Arial" w:hAnsi="Arial" w:cs="Arial"/>
                <w:sz w:val="18"/>
                <w:szCs w:val="18"/>
              </w:rPr>
              <w:t xml:space="preserve"> subjekt poroča imena jurisdikcij s pravico do obdavčitve glede na jurisdikcijo, identificirano v 1.4.1, in po potrebi tudi ustrezno podskupino, identificirano v 1.4.3, v obliki 2-znakovnih alfabetičnih državnih kod na podlagi standarda ISO 3166-1 </w:t>
            </w:r>
            <w:proofErr w:type="spellStart"/>
            <w:r w:rsidRPr="00D76E23">
              <w:rPr>
                <w:rFonts w:ascii="Arial" w:hAnsi="Arial" w:cs="Arial"/>
                <w:sz w:val="18"/>
                <w:szCs w:val="18"/>
              </w:rPr>
              <w:t>Alpha</w:t>
            </w:r>
            <w:proofErr w:type="spellEnd"/>
            <w:r w:rsidRPr="00D76E23">
              <w:rPr>
                <w:rFonts w:ascii="Arial" w:hAnsi="Arial" w:cs="Arial"/>
                <w:sz w:val="18"/>
                <w:szCs w:val="18"/>
              </w:rPr>
              <w:t xml:space="preserve"> 2. </w:t>
            </w:r>
          </w:p>
          <w:p w14:paraId="11842092" w14:textId="77777777" w:rsidR="00FA18EE" w:rsidRPr="00FA18EE" w:rsidRDefault="00FA18EE" w:rsidP="006E70C0">
            <w:pPr>
              <w:spacing w:line="240" w:lineRule="exact"/>
              <w:jc w:val="both"/>
              <w:rPr>
                <w:rFonts w:ascii="Arial" w:hAnsi="Arial" w:cs="Arial"/>
                <w:sz w:val="18"/>
                <w:szCs w:val="18"/>
              </w:rPr>
            </w:pPr>
            <w:r w:rsidRPr="00FA18EE">
              <w:rPr>
                <w:rFonts w:ascii="Arial" w:hAnsi="Arial" w:cs="Arial"/>
                <w:sz w:val="18"/>
                <w:szCs w:val="18"/>
              </w:rPr>
              <w:t xml:space="preserve">Jurisdikcija ima pravico do obdavčitve v zvezi z drugo jurisdikcijo, kadar izračunani jurisdikcijski povrhnji davek slednje jurisdikcije skladno pravilom </w:t>
            </w:r>
            <w:proofErr w:type="spellStart"/>
            <w:r w:rsidRPr="00FA18EE">
              <w:rPr>
                <w:rFonts w:ascii="Arial" w:hAnsi="Arial" w:cs="Arial"/>
                <w:sz w:val="18"/>
                <w:szCs w:val="18"/>
              </w:rPr>
              <w:t>GloBE</w:t>
            </w:r>
            <w:proofErr w:type="spellEnd"/>
            <w:r w:rsidRPr="00FA18EE">
              <w:rPr>
                <w:rFonts w:ascii="Arial" w:hAnsi="Arial" w:cs="Arial"/>
                <w:sz w:val="18"/>
                <w:szCs w:val="18"/>
              </w:rPr>
              <w:t xml:space="preserve"> o vrstnem redu rezultira v obveznosti za povrhnji davek Subjekta v sestavi, ki je lociran v prvi jurisdikciji skladno s pravili o obdavčitvi v prvi jurisdikciji.</w:t>
            </w:r>
          </w:p>
          <w:p w14:paraId="14E24CF2" w14:textId="77777777" w:rsidR="00FA18EE" w:rsidRPr="00FA18EE" w:rsidRDefault="00FA18EE" w:rsidP="006E70C0">
            <w:pPr>
              <w:spacing w:line="240" w:lineRule="exact"/>
              <w:jc w:val="both"/>
              <w:rPr>
                <w:rFonts w:ascii="Arial" w:hAnsi="Arial" w:cs="Arial"/>
                <w:sz w:val="18"/>
                <w:szCs w:val="18"/>
              </w:rPr>
            </w:pPr>
          </w:p>
          <w:p w14:paraId="48AE9377" w14:textId="77777777" w:rsidR="00FA18EE" w:rsidRPr="00FA18EE" w:rsidRDefault="00FA18EE" w:rsidP="006E70C0">
            <w:pPr>
              <w:spacing w:line="240" w:lineRule="exact"/>
              <w:jc w:val="both"/>
              <w:rPr>
                <w:rFonts w:ascii="Arial" w:hAnsi="Arial" w:cs="Arial"/>
                <w:sz w:val="18"/>
                <w:szCs w:val="18"/>
              </w:rPr>
            </w:pPr>
            <w:r w:rsidRPr="00FA18EE">
              <w:rPr>
                <w:rFonts w:ascii="Arial" w:hAnsi="Arial" w:cs="Arial"/>
                <w:sz w:val="18"/>
                <w:szCs w:val="18"/>
              </w:rPr>
              <w:t xml:space="preserve">Natančneje, jurisdikcija varnega pristana QDMTT ali jurisdikcija s pravilom o vključitvi dohodka, ki velja za domače subjekte, bo imela pravico do obdavčitve. Poleg tega ima lahko več jurisdikcij pravico do obdavčitve v zvezi z isto drugo jurisdikcijo. To se lahko na primer zgodi, kadar morata UPE in matični subjekt v delni lasti uporabljati IIR v zvezi s subjektom v sestavi v tretji jurisdikciji. </w:t>
            </w:r>
          </w:p>
          <w:p w14:paraId="6C5C14DE" w14:textId="77777777" w:rsidR="00FA18EE" w:rsidRPr="00FA18EE" w:rsidRDefault="00FA18EE" w:rsidP="006E70C0">
            <w:pPr>
              <w:spacing w:line="240" w:lineRule="exact"/>
              <w:jc w:val="both"/>
              <w:rPr>
                <w:rFonts w:ascii="Arial" w:hAnsi="Arial" w:cs="Arial"/>
                <w:sz w:val="18"/>
                <w:szCs w:val="18"/>
              </w:rPr>
            </w:pPr>
            <w:r w:rsidRPr="00FA18EE">
              <w:rPr>
                <w:rFonts w:ascii="Arial" w:hAnsi="Arial" w:cs="Arial"/>
                <w:sz w:val="18"/>
                <w:szCs w:val="18"/>
              </w:rPr>
              <w:t xml:space="preserve">V tem primeru se tako UPE jurisdikcija kot jurisdikcija matičnega subjekta v delni lasti poročata pod 1.4.4. Prav tako bi jurisdikcije UTPR imele pravico do obdavčitve jurisdikcij, za katere povrhnji davek </w:t>
            </w:r>
            <w:r>
              <w:rPr>
                <w:rFonts w:ascii="Arial" w:hAnsi="Arial" w:cs="Arial"/>
                <w:sz w:val="18"/>
                <w:szCs w:val="18"/>
              </w:rPr>
              <w:t xml:space="preserve">skladno s tretjim odstavkom 16. člena ZMD </w:t>
            </w:r>
            <w:r w:rsidRPr="00FA18EE">
              <w:rPr>
                <w:rFonts w:ascii="Arial" w:hAnsi="Arial" w:cs="Arial"/>
                <w:sz w:val="18"/>
                <w:szCs w:val="18"/>
              </w:rPr>
              <w:t>ni znižan na nič.</w:t>
            </w:r>
          </w:p>
          <w:p w14:paraId="23998448" w14:textId="12A87E18" w:rsidR="00671CED" w:rsidRPr="00D76E23" w:rsidRDefault="00671CED" w:rsidP="006E70C0">
            <w:pPr>
              <w:spacing w:line="240" w:lineRule="exact"/>
              <w:jc w:val="both"/>
              <w:rPr>
                <w:rFonts w:ascii="Arial" w:hAnsi="Arial" w:cs="Arial"/>
                <w:sz w:val="18"/>
                <w:szCs w:val="18"/>
              </w:rPr>
            </w:pPr>
          </w:p>
        </w:tc>
      </w:tr>
      <w:tr w:rsidR="00671CED" w:rsidRPr="00D76E23" w14:paraId="3E0F7C45" w14:textId="77777777" w:rsidTr="00457B7F">
        <w:trPr>
          <w:trHeight w:val="719"/>
        </w:trPr>
        <w:tc>
          <w:tcPr>
            <w:tcW w:w="1162" w:type="dxa"/>
            <w:hideMark/>
          </w:tcPr>
          <w:p w14:paraId="394E7673"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1.4.5.</w:t>
            </w:r>
          </w:p>
        </w:tc>
        <w:tc>
          <w:tcPr>
            <w:tcW w:w="2519" w:type="dxa"/>
            <w:hideMark/>
          </w:tcPr>
          <w:p w14:paraId="1222EF46"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Uporaba varnega pristana in izvzetij</w:t>
            </w:r>
          </w:p>
        </w:tc>
        <w:tc>
          <w:tcPr>
            <w:tcW w:w="5386" w:type="dxa"/>
            <w:hideMark/>
          </w:tcPr>
          <w:p w14:paraId="61420D92" w14:textId="77777777" w:rsidR="00671CED" w:rsidRPr="00D76E23" w:rsidRDefault="00671CED" w:rsidP="006E70C0">
            <w:pPr>
              <w:spacing w:line="240" w:lineRule="exact"/>
              <w:jc w:val="both"/>
              <w:rPr>
                <w:rFonts w:ascii="Arial" w:hAnsi="Arial" w:cs="Arial"/>
                <w:sz w:val="18"/>
                <w:szCs w:val="18"/>
              </w:rPr>
            </w:pPr>
          </w:p>
        </w:tc>
      </w:tr>
      <w:tr w:rsidR="00671CED" w:rsidRPr="00D76E23" w14:paraId="6D928996" w14:textId="77777777" w:rsidTr="00457B7F">
        <w:trPr>
          <w:trHeight w:val="431"/>
        </w:trPr>
        <w:tc>
          <w:tcPr>
            <w:tcW w:w="1162" w:type="dxa"/>
            <w:hideMark/>
          </w:tcPr>
          <w:p w14:paraId="731F41EC"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1.4.6.</w:t>
            </w:r>
          </w:p>
        </w:tc>
        <w:tc>
          <w:tcPr>
            <w:tcW w:w="2519" w:type="dxa"/>
            <w:hideMark/>
          </w:tcPr>
          <w:p w14:paraId="1130F94B" w14:textId="77777777" w:rsidR="00671CED" w:rsidRPr="00D76E23" w:rsidRDefault="00457B7F" w:rsidP="00671CED">
            <w:pPr>
              <w:spacing w:line="240" w:lineRule="exact"/>
              <w:rPr>
                <w:rFonts w:ascii="Arial" w:hAnsi="Arial" w:cs="Arial"/>
                <w:sz w:val="18"/>
                <w:szCs w:val="18"/>
              </w:rPr>
            </w:pPr>
            <w:r w:rsidRPr="00D76E23">
              <w:rPr>
                <w:rFonts w:ascii="Arial" w:hAnsi="Arial" w:cs="Arial"/>
                <w:sz w:val="18"/>
                <w:szCs w:val="18"/>
              </w:rPr>
              <w:t>O</w:t>
            </w:r>
            <w:r w:rsidR="00671CED" w:rsidRPr="00D76E23">
              <w:rPr>
                <w:rFonts w:ascii="Arial" w:hAnsi="Arial" w:cs="Arial"/>
                <w:sz w:val="18"/>
                <w:szCs w:val="18"/>
              </w:rPr>
              <w:t>bseg</w:t>
            </w:r>
            <w:r w:rsidRPr="00D76E23">
              <w:rPr>
                <w:rFonts w:ascii="Arial" w:hAnsi="Arial" w:cs="Arial"/>
                <w:sz w:val="18"/>
                <w:szCs w:val="18"/>
              </w:rPr>
              <w:t xml:space="preserve"> (razpon)</w:t>
            </w:r>
            <w:r w:rsidR="00671CED" w:rsidRPr="00D76E23">
              <w:rPr>
                <w:rFonts w:ascii="Arial" w:hAnsi="Arial" w:cs="Arial"/>
                <w:sz w:val="18"/>
                <w:szCs w:val="18"/>
              </w:rPr>
              <w:t xml:space="preserve"> ETR</w:t>
            </w:r>
          </w:p>
        </w:tc>
        <w:tc>
          <w:tcPr>
            <w:tcW w:w="5386" w:type="dxa"/>
            <w:hideMark/>
          </w:tcPr>
          <w:p w14:paraId="1ED85DC8" w14:textId="77777777" w:rsidR="00671CED" w:rsidRPr="00D76E23" w:rsidRDefault="00671CED" w:rsidP="006E70C0">
            <w:pPr>
              <w:spacing w:line="240" w:lineRule="exact"/>
              <w:jc w:val="both"/>
              <w:rPr>
                <w:rFonts w:ascii="Arial" w:hAnsi="Arial" w:cs="Arial"/>
                <w:sz w:val="18"/>
                <w:szCs w:val="18"/>
              </w:rPr>
            </w:pPr>
          </w:p>
        </w:tc>
      </w:tr>
      <w:tr w:rsidR="00671CED" w:rsidRPr="00D76E23" w14:paraId="6712B314" w14:textId="77777777" w:rsidTr="00671CED">
        <w:trPr>
          <w:trHeight w:val="900"/>
        </w:trPr>
        <w:tc>
          <w:tcPr>
            <w:tcW w:w="1162" w:type="dxa"/>
            <w:hideMark/>
          </w:tcPr>
          <w:p w14:paraId="29B527B8"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1.4.7.</w:t>
            </w:r>
          </w:p>
        </w:tc>
        <w:tc>
          <w:tcPr>
            <w:tcW w:w="2519" w:type="dxa"/>
            <w:hideMark/>
          </w:tcPr>
          <w:p w14:paraId="25C18ACC" w14:textId="77777777" w:rsidR="00671CED" w:rsidRPr="00D76E23" w:rsidRDefault="00671CED" w:rsidP="00671CED">
            <w:pPr>
              <w:spacing w:line="240" w:lineRule="exact"/>
              <w:rPr>
                <w:rFonts w:ascii="Arial" w:hAnsi="Arial" w:cs="Arial"/>
                <w:sz w:val="18"/>
                <w:szCs w:val="18"/>
              </w:rPr>
            </w:pPr>
            <w:r w:rsidRPr="00D76E23">
              <w:rPr>
                <w:rFonts w:ascii="Arial" w:hAnsi="Arial" w:cs="Arial"/>
                <w:sz w:val="18"/>
                <w:szCs w:val="18"/>
              </w:rPr>
              <w:t>Ali uporaba Vsebinske izključitve dohodkov rezultira v znesku povrhnjega davka, ki je enak 0?</w:t>
            </w:r>
          </w:p>
        </w:tc>
        <w:tc>
          <w:tcPr>
            <w:tcW w:w="5386" w:type="dxa"/>
            <w:hideMark/>
          </w:tcPr>
          <w:p w14:paraId="0CF67C7E" w14:textId="77777777" w:rsidR="00671CED" w:rsidRPr="00D76E23" w:rsidRDefault="00671CED" w:rsidP="006E70C0">
            <w:pPr>
              <w:spacing w:line="240" w:lineRule="exact"/>
              <w:jc w:val="both"/>
              <w:rPr>
                <w:rFonts w:ascii="Arial" w:hAnsi="Arial" w:cs="Arial"/>
                <w:sz w:val="18"/>
                <w:szCs w:val="18"/>
              </w:rPr>
            </w:pPr>
          </w:p>
        </w:tc>
      </w:tr>
      <w:tr w:rsidR="00457B7F" w:rsidRPr="00D76E23" w14:paraId="36F2EDC5" w14:textId="77777777" w:rsidTr="00457B7F">
        <w:trPr>
          <w:trHeight w:val="469"/>
        </w:trPr>
        <w:tc>
          <w:tcPr>
            <w:tcW w:w="1162" w:type="dxa"/>
            <w:hideMark/>
          </w:tcPr>
          <w:p w14:paraId="536D0724" w14:textId="77777777" w:rsidR="00457B7F" w:rsidRPr="00D76E23" w:rsidRDefault="00457B7F" w:rsidP="00457B7F">
            <w:pPr>
              <w:spacing w:line="240" w:lineRule="exact"/>
              <w:rPr>
                <w:rFonts w:ascii="Arial" w:hAnsi="Arial" w:cs="Arial"/>
                <w:sz w:val="18"/>
                <w:szCs w:val="18"/>
              </w:rPr>
            </w:pPr>
            <w:r w:rsidRPr="00D76E23">
              <w:rPr>
                <w:rFonts w:ascii="Arial" w:hAnsi="Arial" w:cs="Arial"/>
                <w:sz w:val="18"/>
                <w:szCs w:val="18"/>
              </w:rPr>
              <w:t>1.4.8.</w:t>
            </w:r>
          </w:p>
        </w:tc>
        <w:tc>
          <w:tcPr>
            <w:tcW w:w="2519" w:type="dxa"/>
            <w:vAlign w:val="center"/>
            <w:hideMark/>
          </w:tcPr>
          <w:p w14:paraId="18B7DA1B" w14:textId="77777777" w:rsidR="00457B7F" w:rsidRPr="00D76E23" w:rsidRDefault="00457B7F" w:rsidP="00457B7F">
            <w:pPr>
              <w:spacing w:line="240" w:lineRule="exact"/>
              <w:rPr>
                <w:rFonts w:ascii="Arial" w:hAnsi="Arial" w:cs="Arial"/>
                <w:sz w:val="18"/>
                <w:szCs w:val="18"/>
              </w:rPr>
            </w:pPr>
            <w:r w:rsidRPr="00D76E23">
              <w:rPr>
                <w:rFonts w:ascii="Arial" w:hAnsi="Arial" w:cs="Arial"/>
                <w:color w:val="000000"/>
                <w:sz w:val="18"/>
                <w:szCs w:val="18"/>
              </w:rPr>
              <w:t xml:space="preserve">Top-up </w:t>
            </w:r>
            <w:proofErr w:type="spellStart"/>
            <w:r w:rsidRPr="00D76E23">
              <w:rPr>
                <w:rFonts w:ascii="Arial" w:hAnsi="Arial" w:cs="Arial"/>
                <w:color w:val="000000"/>
                <w:sz w:val="18"/>
                <w:szCs w:val="18"/>
              </w:rPr>
              <w:t>Tax</w:t>
            </w:r>
            <w:proofErr w:type="spellEnd"/>
            <w:r w:rsidRPr="00D76E23">
              <w:rPr>
                <w:rFonts w:ascii="Arial" w:hAnsi="Arial" w:cs="Arial"/>
                <w:color w:val="000000"/>
                <w:sz w:val="18"/>
                <w:szCs w:val="18"/>
              </w:rPr>
              <w:t xml:space="preserve"> </w:t>
            </w:r>
            <w:proofErr w:type="spellStart"/>
            <w:r w:rsidRPr="00D76E23">
              <w:rPr>
                <w:rFonts w:ascii="Arial" w:hAnsi="Arial" w:cs="Arial"/>
                <w:color w:val="000000"/>
                <w:sz w:val="18"/>
                <w:szCs w:val="18"/>
              </w:rPr>
              <w:t>payable</w:t>
            </w:r>
            <w:proofErr w:type="spellEnd"/>
            <w:r w:rsidRPr="00D76E23">
              <w:rPr>
                <w:rFonts w:ascii="Arial" w:hAnsi="Arial" w:cs="Arial"/>
                <w:color w:val="000000"/>
                <w:sz w:val="18"/>
                <w:szCs w:val="18"/>
              </w:rPr>
              <w:t xml:space="preserve"> (QDMTT) –range</w:t>
            </w:r>
          </w:p>
        </w:tc>
        <w:tc>
          <w:tcPr>
            <w:tcW w:w="5386" w:type="dxa"/>
            <w:hideMark/>
          </w:tcPr>
          <w:p w14:paraId="6036F21B" w14:textId="77777777" w:rsidR="00457B7F" w:rsidRPr="00D76E23" w:rsidRDefault="00457B7F" w:rsidP="006E70C0">
            <w:pPr>
              <w:spacing w:line="240" w:lineRule="exact"/>
              <w:jc w:val="both"/>
              <w:rPr>
                <w:rFonts w:ascii="Arial" w:hAnsi="Arial" w:cs="Arial"/>
                <w:sz w:val="18"/>
                <w:szCs w:val="18"/>
              </w:rPr>
            </w:pPr>
          </w:p>
        </w:tc>
      </w:tr>
      <w:tr w:rsidR="00457B7F" w:rsidRPr="00D76E23" w14:paraId="6E6DD18E" w14:textId="77777777" w:rsidTr="00457B7F">
        <w:trPr>
          <w:trHeight w:val="596"/>
        </w:trPr>
        <w:tc>
          <w:tcPr>
            <w:tcW w:w="1162" w:type="dxa"/>
            <w:hideMark/>
          </w:tcPr>
          <w:p w14:paraId="209870FD" w14:textId="77777777" w:rsidR="00457B7F" w:rsidRPr="00D76E23" w:rsidRDefault="00457B7F" w:rsidP="00457B7F">
            <w:pPr>
              <w:spacing w:line="240" w:lineRule="exact"/>
              <w:rPr>
                <w:rFonts w:ascii="Arial" w:hAnsi="Arial" w:cs="Arial"/>
                <w:sz w:val="18"/>
                <w:szCs w:val="18"/>
              </w:rPr>
            </w:pPr>
            <w:r w:rsidRPr="00D76E23">
              <w:rPr>
                <w:rFonts w:ascii="Arial" w:hAnsi="Arial" w:cs="Arial"/>
                <w:sz w:val="18"/>
                <w:szCs w:val="18"/>
              </w:rPr>
              <w:t>1.4.9.</w:t>
            </w:r>
          </w:p>
        </w:tc>
        <w:tc>
          <w:tcPr>
            <w:tcW w:w="2519" w:type="dxa"/>
            <w:vAlign w:val="center"/>
            <w:hideMark/>
          </w:tcPr>
          <w:p w14:paraId="13336C42" w14:textId="77777777" w:rsidR="00457B7F" w:rsidRPr="00D76E23" w:rsidRDefault="00457B7F" w:rsidP="00457B7F">
            <w:pPr>
              <w:spacing w:line="240" w:lineRule="exact"/>
              <w:rPr>
                <w:rFonts w:ascii="Arial" w:hAnsi="Arial" w:cs="Arial"/>
                <w:sz w:val="18"/>
                <w:szCs w:val="18"/>
              </w:rPr>
            </w:pPr>
            <w:r w:rsidRPr="00D76E23">
              <w:rPr>
                <w:rFonts w:ascii="Arial" w:hAnsi="Arial" w:cs="Arial"/>
                <w:color w:val="000000"/>
                <w:sz w:val="18"/>
                <w:szCs w:val="18"/>
              </w:rPr>
              <w:t xml:space="preserve">Top-up </w:t>
            </w:r>
            <w:proofErr w:type="spellStart"/>
            <w:r w:rsidRPr="00D76E23">
              <w:rPr>
                <w:rFonts w:ascii="Arial" w:hAnsi="Arial" w:cs="Arial"/>
                <w:color w:val="000000"/>
                <w:sz w:val="18"/>
                <w:szCs w:val="18"/>
              </w:rPr>
              <w:t>Tax</w:t>
            </w:r>
            <w:proofErr w:type="spellEnd"/>
            <w:r w:rsidRPr="00D76E23">
              <w:rPr>
                <w:rFonts w:ascii="Arial" w:hAnsi="Arial" w:cs="Arial"/>
                <w:color w:val="000000"/>
                <w:sz w:val="18"/>
                <w:szCs w:val="18"/>
              </w:rPr>
              <w:t xml:space="preserve"> </w:t>
            </w:r>
            <w:proofErr w:type="spellStart"/>
            <w:r w:rsidRPr="00D76E23">
              <w:rPr>
                <w:rFonts w:ascii="Arial" w:hAnsi="Arial" w:cs="Arial"/>
                <w:color w:val="000000"/>
                <w:sz w:val="18"/>
                <w:szCs w:val="18"/>
              </w:rPr>
              <w:t>payable</w:t>
            </w:r>
            <w:proofErr w:type="spellEnd"/>
            <w:r w:rsidRPr="00D76E23">
              <w:rPr>
                <w:rFonts w:ascii="Arial" w:hAnsi="Arial" w:cs="Arial"/>
                <w:color w:val="000000"/>
                <w:sz w:val="18"/>
                <w:szCs w:val="18"/>
              </w:rPr>
              <w:t xml:space="preserve"> (</w:t>
            </w:r>
            <w:proofErr w:type="spellStart"/>
            <w:r w:rsidRPr="00D76E23">
              <w:rPr>
                <w:rFonts w:ascii="Arial" w:hAnsi="Arial" w:cs="Arial"/>
                <w:color w:val="000000"/>
                <w:sz w:val="18"/>
                <w:szCs w:val="18"/>
              </w:rPr>
              <w:t>GloBE</w:t>
            </w:r>
            <w:proofErr w:type="spellEnd"/>
            <w:r w:rsidRPr="00D76E23">
              <w:rPr>
                <w:rFonts w:ascii="Arial" w:hAnsi="Arial" w:cs="Arial"/>
                <w:color w:val="000000"/>
                <w:sz w:val="18"/>
                <w:szCs w:val="18"/>
              </w:rPr>
              <w:t xml:space="preserve"> </w:t>
            </w:r>
            <w:proofErr w:type="spellStart"/>
            <w:r w:rsidRPr="00D76E23">
              <w:rPr>
                <w:rFonts w:ascii="Arial" w:hAnsi="Arial" w:cs="Arial"/>
                <w:color w:val="000000"/>
                <w:sz w:val="18"/>
                <w:szCs w:val="18"/>
              </w:rPr>
              <w:t>Rules</w:t>
            </w:r>
            <w:proofErr w:type="spellEnd"/>
            <w:r w:rsidRPr="00D76E23">
              <w:rPr>
                <w:rFonts w:ascii="Arial" w:hAnsi="Arial" w:cs="Arial"/>
                <w:color w:val="000000"/>
                <w:sz w:val="18"/>
                <w:szCs w:val="18"/>
              </w:rPr>
              <w:t xml:space="preserve">) – range </w:t>
            </w:r>
          </w:p>
        </w:tc>
        <w:tc>
          <w:tcPr>
            <w:tcW w:w="5386" w:type="dxa"/>
            <w:hideMark/>
          </w:tcPr>
          <w:p w14:paraId="36CCEB5B" w14:textId="77777777" w:rsidR="00457B7F" w:rsidRPr="00D76E23" w:rsidRDefault="00457B7F" w:rsidP="006E70C0">
            <w:pPr>
              <w:spacing w:line="240" w:lineRule="exact"/>
              <w:jc w:val="both"/>
              <w:rPr>
                <w:rFonts w:ascii="Arial" w:hAnsi="Arial" w:cs="Arial"/>
                <w:sz w:val="18"/>
                <w:szCs w:val="18"/>
              </w:rPr>
            </w:pPr>
          </w:p>
        </w:tc>
      </w:tr>
    </w:tbl>
    <w:p w14:paraId="060D2A14" w14:textId="77777777" w:rsidR="00561763" w:rsidRDefault="00561763" w:rsidP="00001991">
      <w:pPr>
        <w:jc w:val="both"/>
        <w:rPr>
          <w:rFonts w:ascii="Arial" w:hAnsi="Arial" w:cs="Arial"/>
          <w:sz w:val="20"/>
          <w:szCs w:val="20"/>
        </w:rPr>
      </w:pPr>
    </w:p>
    <w:p w14:paraId="4213ED8C" w14:textId="77777777" w:rsidR="00A04D64" w:rsidRDefault="00A04D64" w:rsidP="00A04D64">
      <w:pPr>
        <w:jc w:val="both"/>
        <w:rPr>
          <w:rFonts w:ascii="Arial" w:hAnsi="Arial" w:cs="Arial"/>
          <w:sz w:val="20"/>
          <w:szCs w:val="20"/>
        </w:rPr>
      </w:pPr>
      <w:r>
        <w:rPr>
          <w:rFonts w:ascii="Arial" w:hAnsi="Arial" w:cs="Arial"/>
          <w:sz w:val="20"/>
          <w:szCs w:val="20"/>
        </w:rPr>
        <w:t>Kot je razvidno iz informativnega obrazca za obračun</w:t>
      </w:r>
      <w:r w:rsidR="008D05B3">
        <w:rPr>
          <w:rFonts w:ascii="Arial" w:hAnsi="Arial" w:cs="Arial"/>
          <w:sz w:val="20"/>
          <w:szCs w:val="20"/>
        </w:rPr>
        <w:t>,</w:t>
      </w:r>
      <w:r>
        <w:rPr>
          <w:rFonts w:ascii="Arial" w:hAnsi="Arial" w:cs="Arial"/>
          <w:sz w:val="20"/>
          <w:szCs w:val="20"/>
        </w:rPr>
        <w:t xml:space="preserve"> je v okviru sistema povrhnjega davka predvidenih več statusov za namen povrhnjega davka, v okviru katerih je treba razporediti subjekte v sestavi. V okviru te sistematike se bo kot subjekta v sestavi označilo le, če ne bo imel kakšnih drugih značilnosti, kot je razvidno iz nadaljnje liste statusov:</w:t>
      </w:r>
    </w:p>
    <w:p w14:paraId="118CFB1D" w14:textId="77777777" w:rsidR="00A04D64" w:rsidRDefault="00A04D64" w:rsidP="00A04D64">
      <w:pPr>
        <w:spacing w:after="0"/>
        <w:jc w:val="both"/>
        <w:rPr>
          <w:rFonts w:ascii="Arial" w:hAnsi="Arial" w:cs="Arial"/>
          <w:sz w:val="20"/>
          <w:szCs w:val="20"/>
        </w:rPr>
      </w:pPr>
      <w:r w:rsidRPr="00006691">
        <w:rPr>
          <w:rFonts w:ascii="Arial" w:hAnsi="Arial" w:cs="Arial"/>
          <w:sz w:val="20"/>
          <w:szCs w:val="20"/>
        </w:rPr>
        <w:t>•</w:t>
      </w:r>
      <w:r>
        <w:rPr>
          <w:rFonts w:ascii="Arial" w:hAnsi="Arial" w:cs="Arial"/>
          <w:sz w:val="20"/>
          <w:szCs w:val="20"/>
        </w:rPr>
        <w:t xml:space="preserve"> </w:t>
      </w:r>
      <w:r w:rsidRPr="00006691">
        <w:rPr>
          <w:rFonts w:ascii="Arial" w:hAnsi="Arial" w:cs="Arial"/>
          <w:sz w:val="20"/>
          <w:szCs w:val="20"/>
        </w:rPr>
        <w:t xml:space="preserve">Subjekt v sestavi </w:t>
      </w:r>
    </w:p>
    <w:p w14:paraId="688A468C"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Krovni Matični Subjekt</w:t>
      </w:r>
    </w:p>
    <w:p w14:paraId="1BC15FD9"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Izključen Subjekt</w:t>
      </w:r>
    </w:p>
    <w:p w14:paraId="6486CC64"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M</w:t>
      </w:r>
      <w:r>
        <w:rPr>
          <w:rFonts w:ascii="Arial" w:hAnsi="Arial" w:cs="Arial"/>
          <w:sz w:val="20"/>
          <w:szCs w:val="20"/>
        </w:rPr>
        <w:t>atični subjekt v delni lasti (POPE)</w:t>
      </w:r>
      <w:r w:rsidRPr="00006691">
        <w:rPr>
          <w:rFonts w:ascii="Arial" w:hAnsi="Arial" w:cs="Arial"/>
          <w:sz w:val="20"/>
          <w:szCs w:val="20"/>
        </w:rPr>
        <w:t xml:space="preserve"> </w:t>
      </w:r>
    </w:p>
    <w:p w14:paraId="225BF9E3" w14:textId="77777777" w:rsidR="00A04D64"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V</w:t>
      </w:r>
      <w:r w:rsidRPr="00006691">
        <w:rPr>
          <w:rFonts w:ascii="Arial" w:hAnsi="Arial" w:cs="Arial"/>
          <w:sz w:val="20"/>
          <w:szCs w:val="20"/>
        </w:rPr>
        <w:t xml:space="preserve">mesni matični subjekt </w:t>
      </w:r>
    </w:p>
    <w:p w14:paraId="3D8E3FF9"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Pretočni subjekt– davčno transparenten</w:t>
      </w:r>
    </w:p>
    <w:p w14:paraId="15390A60"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Pretočni </w:t>
      </w:r>
      <w:r w:rsidR="008D05B3">
        <w:rPr>
          <w:rFonts w:ascii="Arial" w:hAnsi="Arial" w:cs="Arial"/>
          <w:sz w:val="20"/>
          <w:szCs w:val="20"/>
        </w:rPr>
        <w:t>s</w:t>
      </w:r>
      <w:r w:rsidRPr="00006691">
        <w:rPr>
          <w:rFonts w:ascii="Arial" w:hAnsi="Arial" w:cs="Arial"/>
          <w:sz w:val="20"/>
          <w:szCs w:val="20"/>
        </w:rPr>
        <w:t xml:space="preserve">ubjekt– obratni hibridni </w:t>
      </w:r>
      <w:r w:rsidR="008D05B3">
        <w:rPr>
          <w:rFonts w:ascii="Arial" w:hAnsi="Arial" w:cs="Arial"/>
          <w:sz w:val="20"/>
          <w:szCs w:val="20"/>
        </w:rPr>
        <w:t>s</w:t>
      </w:r>
      <w:r w:rsidRPr="00006691">
        <w:rPr>
          <w:rFonts w:ascii="Arial" w:hAnsi="Arial" w:cs="Arial"/>
          <w:sz w:val="20"/>
          <w:szCs w:val="20"/>
        </w:rPr>
        <w:t xml:space="preserve">ubjekt </w:t>
      </w:r>
    </w:p>
    <w:p w14:paraId="484FD353"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H</w:t>
      </w:r>
      <w:r w:rsidRPr="00006691">
        <w:rPr>
          <w:rFonts w:ascii="Arial" w:hAnsi="Arial" w:cs="Arial"/>
          <w:sz w:val="20"/>
          <w:szCs w:val="20"/>
        </w:rPr>
        <w:t xml:space="preserve">ibridni subjekt </w:t>
      </w:r>
    </w:p>
    <w:p w14:paraId="396AF7D0"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St</w:t>
      </w:r>
      <w:r w:rsidRPr="00006691">
        <w:rPr>
          <w:rFonts w:ascii="Arial" w:hAnsi="Arial" w:cs="Arial"/>
          <w:sz w:val="20"/>
          <w:szCs w:val="20"/>
        </w:rPr>
        <w:t xml:space="preserve">alna poslovna enota </w:t>
      </w:r>
    </w:p>
    <w:p w14:paraId="57B1A62D"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G</w:t>
      </w:r>
      <w:r w:rsidRPr="00006691">
        <w:rPr>
          <w:rFonts w:ascii="Arial" w:hAnsi="Arial" w:cs="Arial"/>
          <w:sz w:val="20"/>
          <w:szCs w:val="20"/>
        </w:rPr>
        <w:t xml:space="preserve">lavni subjekt </w:t>
      </w:r>
    </w:p>
    <w:p w14:paraId="5540EE5A"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M</w:t>
      </w:r>
      <w:r w:rsidRPr="00006691">
        <w:rPr>
          <w:rFonts w:ascii="Arial" w:hAnsi="Arial" w:cs="Arial"/>
          <w:sz w:val="20"/>
          <w:szCs w:val="20"/>
        </w:rPr>
        <w:t>atični subjekt v manjšinski lasti</w:t>
      </w:r>
    </w:p>
    <w:p w14:paraId="3704E304"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O</w:t>
      </w:r>
      <w:r w:rsidRPr="00006691">
        <w:rPr>
          <w:rFonts w:ascii="Arial" w:hAnsi="Arial" w:cs="Arial"/>
          <w:sz w:val="20"/>
          <w:szCs w:val="20"/>
        </w:rPr>
        <w:t xml:space="preserve">dvisno podjetje v manjšinski lasti </w:t>
      </w:r>
    </w:p>
    <w:p w14:paraId="5185CEA5"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Subjekt v sestavi, ki je v manjšinski lasti </w:t>
      </w:r>
    </w:p>
    <w:p w14:paraId="155560A4"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Investicijski subjekt </w:t>
      </w:r>
    </w:p>
    <w:p w14:paraId="07693F1C"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lastRenderedPageBreak/>
        <w:t xml:space="preserve">• </w:t>
      </w:r>
      <w:r w:rsidR="00131E85">
        <w:rPr>
          <w:rFonts w:ascii="Arial" w:hAnsi="Arial" w:cs="Arial"/>
          <w:sz w:val="20"/>
          <w:szCs w:val="20"/>
        </w:rPr>
        <w:t>Z</w:t>
      </w:r>
      <w:r w:rsidRPr="00006691">
        <w:rPr>
          <w:rFonts w:ascii="Arial" w:hAnsi="Arial" w:cs="Arial"/>
          <w:sz w:val="20"/>
          <w:szCs w:val="20"/>
        </w:rPr>
        <w:t xml:space="preserve">avarovalni investicijski subjekt </w:t>
      </w:r>
    </w:p>
    <w:p w14:paraId="6BA6CC3E"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S</w:t>
      </w:r>
      <w:r w:rsidRPr="00006691">
        <w:rPr>
          <w:rFonts w:ascii="Arial" w:hAnsi="Arial" w:cs="Arial"/>
          <w:sz w:val="20"/>
          <w:szCs w:val="20"/>
        </w:rPr>
        <w:t>kupni podvig</w:t>
      </w:r>
    </w:p>
    <w:p w14:paraId="78F653C4" w14:textId="77777777" w:rsidR="00A04D64" w:rsidRPr="00006691" w:rsidRDefault="00A04D64" w:rsidP="00A04D64">
      <w:pPr>
        <w:spacing w:after="0"/>
        <w:jc w:val="both"/>
        <w:rPr>
          <w:rFonts w:ascii="Arial" w:hAnsi="Arial" w:cs="Arial"/>
          <w:sz w:val="20"/>
          <w:szCs w:val="20"/>
        </w:rPr>
      </w:pPr>
      <w:r w:rsidRPr="00006691">
        <w:rPr>
          <w:rFonts w:ascii="Arial" w:hAnsi="Arial" w:cs="Arial"/>
          <w:sz w:val="20"/>
          <w:szCs w:val="20"/>
        </w:rPr>
        <w:t xml:space="preserve">• </w:t>
      </w:r>
      <w:r w:rsidR="00131E85">
        <w:rPr>
          <w:rFonts w:ascii="Arial" w:hAnsi="Arial" w:cs="Arial"/>
          <w:sz w:val="20"/>
          <w:szCs w:val="20"/>
        </w:rPr>
        <w:t>O</w:t>
      </w:r>
      <w:r w:rsidRPr="00006691">
        <w:rPr>
          <w:rFonts w:ascii="Arial" w:hAnsi="Arial" w:cs="Arial"/>
          <w:sz w:val="20"/>
          <w:szCs w:val="20"/>
        </w:rPr>
        <w:t>dvisni subjekt v skupnem po</w:t>
      </w:r>
      <w:r w:rsidR="00684432">
        <w:rPr>
          <w:rFonts w:ascii="Arial" w:hAnsi="Arial" w:cs="Arial"/>
          <w:sz w:val="20"/>
          <w:szCs w:val="20"/>
        </w:rPr>
        <w:t>dvigu</w:t>
      </w:r>
    </w:p>
    <w:p w14:paraId="1CF8801D" w14:textId="77777777" w:rsidR="00A04D64" w:rsidRDefault="00A04D64" w:rsidP="00A04D64">
      <w:pPr>
        <w:spacing w:after="0"/>
        <w:jc w:val="both"/>
        <w:rPr>
          <w:rFonts w:ascii="Arial" w:hAnsi="Arial" w:cs="Arial"/>
          <w:sz w:val="20"/>
          <w:szCs w:val="20"/>
        </w:rPr>
      </w:pPr>
      <w:r w:rsidRPr="00006691">
        <w:rPr>
          <w:rFonts w:ascii="Arial" w:hAnsi="Arial" w:cs="Arial"/>
          <w:sz w:val="20"/>
          <w:szCs w:val="20"/>
        </w:rPr>
        <w:t>• Subjekt, ki ni član skupine.</w:t>
      </w:r>
    </w:p>
    <w:p w14:paraId="0457A065" w14:textId="77777777" w:rsidR="00B5167D" w:rsidRDefault="00B5167D" w:rsidP="00001991">
      <w:pPr>
        <w:jc w:val="both"/>
        <w:rPr>
          <w:rFonts w:ascii="Arial" w:hAnsi="Arial" w:cs="Arial"/>
          <w:sz w:val="20"/>
          <w:szCs w:val="20"/>
        </w:rPr>
      </w:pPr>
    </w:p>
    <w:p w14:paraId="30B0FD96" w14:textId="77777777" w:rsidR="005175A4" w:rsidRPr="005E1337" w:rsidRDefault="005175A4" w:rsidP="00001991">
      <w:pPr>
        <w:jc w:val="both"/>
        <w:rPr>
          <w:rFonts w:ascii="Arial" w:hAnsi="Arial" w:cs="Arial"/>
          <w:sz w:val="20"/>
          <w:szCs w:val="20"/>
        </w:rPr>
      </w:pPr>
      <w:r>
        <w:rPr>
          <w:rFonts w:ascii="Arial" w:hAnsi="Arial" w:cs="Arial"/>
          <w:sz w:val="20"/>
          <w:szCs w:val="20"/>
        </w:rPr>
        <w:t>V nadaljevanju so podane opredelitve ključnih subjektov v sestavi in varnih pristanov</w:t>
      </w:r>
      <w:r w:rsidR="00006691">
        <w:rPr>
          <w:rFonts w:ascii="Arial" w:hAnsi="Arial" w:cs="Arial"/>
          <w:sz w:val="20"/>
          <w:szCs w:val="20"/>
        </w:rPr>
        <w:t>.</w:t>
      </w:r>
    </w:p>
    <w:p w14:paraId="10FD347E" w14:textId="77777777" w:rsidR="009A1A0A" w:rsidRPr="00392FD4" w:rsidRDefault="00FD1603" w:rsidP="00FD1603">
      <w:pPr>
        <w:pStyle w:val="FURSnaslov2"/>
        <w:rPr>
          <w:sz w:val="22"/>
          <w:szCs w:val="22"/>
          <w:lang w:val="sl-SI"/>
        </w:rPr>
      </w:pPr>
      <w:bookmarkStart w:id="14" w:name="_Toc157425307"/>
      <w:r w:rsidRPr="00392FD4">
        <w:rPr>
          <w:sz w:val="22"/>
          <w:szCs w:val="22"/>
          <w:lang w:val="sl-SI"/>
        </w:rPr>
        <w:t>3.1.</w:t>
      </w:r>
      <w:r w:rsidR="009A1A0A" w:rsidRPr="00392FD4">
        <w:rPr>
          <w:sz w:val="22"/>
          <w:szCs w:val="22"/>
          <w:lang w:val="sl-SI"/>
        </w:rPr>
        <w:t xml:space="preserve"> Subjekti v sestavi</w:t>
      </w:r>
      <w:r w:rsidR="00551CC9">
        <w:rPr>
          <w:sz w:val="22"/>
          <w:szCs w:val="22"/>
          <w:lang w:val="sl-SI"/>
        </w:rPr>
        <w:t xml:space="preserve"> (4. točka 7. člena ZMD v zvezi z opredelitvijo skupine 8. točka 7. člena ZMD)</w:t>
      </w:r>
      <w:bookmarkEnd w:id="14"/>
    </w:p>
    <w:p w14:paraId="5CD386CF" w14:textId="77777777" w:rsidR="00F260AC" w:rsidRDefault="00F260AC" w:rsidP="00F260AC">
      <w:pPr>
        <w:jc w:val="both"/>
        <w:rPr>
          <w:rFonts w:ascii="Arial" w:hAnsi="Arial" w:cs="Arial"/>
          <w:sz w:val="20"/>
          <w:szCs w:val="20"/>
        </w:rPr>
      </w:pPr>
      <w:r w:rsidRPr="008F3623">
        <w:rPr>
          <w:rFonts w:ascii="Arial" w:hAnsi="Arial" w:cs="Arial"/>
          <w:sz w:val="20"/>
          <w:szCs w:val="20"/>
        </w:rPr>
        <w:t>Izraz "subjekt v sestavi" določa tiste subjekte v skupini, ki so podvrženi pravilom povrhnjega davka. Na primer, subjekt mora biti identificiran kot subjekt v sestavi preden ga lahko obravnavamo kot nizko obdavčenega subjekta (LTCE) in podvržemo zaračunavanju po pravilu o vključitvi dohodkov ali pravilu o prenizko obdavčenih dobičkih.</w:t>
      </w:r>
    </w:p>
    <w:p w14:paraId="39E7A684" w14:textId="77777777" w:rsidR="00FD3657" w:rsidRPr="00FD3657" w:rsidRDefault="00FD3657" w:rsidP="00F260AC">
      <w:pPr>
        <w:jc w:val="both"/>
        <w:rPr>
          <w:rFonts w:ascii="Arial" w:hAnsi="Arial" w:cs="Arial"/>
          <w:b/>
          <w:bCs/>
          <w:sz w:val="20"/>
          <w:szCs w:val="20"/>
        </w:rPr>
      </w:pPr>
      <w:r w:rsidRPr="00FD3657">
        <w:rPr>
          <w:rFonts w:ascii="Arial" w:hAnsi="Arial" w:cs="Arial"/>
          <w:b/>
          <w:bCs/>
          <w:sz w:val="20"/>
          <w:szCs w:val="20"/>
        </w:rPr>
        <w:t>Subjekt v sestavi je opredeljen kot:</w:t>
      </w:r>
    </w:p>
    <w:p w14:paraId="06EBDE56" w14:textId="77777777" w:rsidR="00FD3657" w:rsidRPr="00FD3657" w:rsidRDefault="00FD3657" w:rsidP="00FD3657">
      <w:pPr>
        <w:jc w:val="both"/>
        <w:rPr>
          <w:rFonts w:ascii="Arial" w:hAnsi="Arial" w:cs="Arial"/>
          <w:sz w:val="20"/>
          <w:szCs w:val="20"/>
        </w:rPr>
      </w:pPr>
      <w:r w:rsidRPr="00FD3657">
        <w:rPr>
          <w:rFonts w:ascii="Arial" w:hAnsi="Arial" w:cs="Arial"/>
          <w:sz w:val="20"/>
          <w:szCs w:val="20"/>
        </w:rPr>
        <w:t>a) kateri koli subjekt, ki je del mednarodne skupine podjetij ali velike domače skupine, ter</w:t>
      </w:r>
    </w:p>
    <w:p w14:paraId="21BD4E8E" w14:textId="77777777" w:rsidR="00FD3657" w:rsidRPr="00FD3657" w:rsidRDefault="00FD3657" w:rsidP="00FD3657">
      <w:pPr>
        <w:jc w:val="both"/>
        <w:rPr>
          <w:rFonts w:ascii="Arial" w:hAnsi="Arial" w:cs="Arial"/>
          <w:sz w:val="20"/>
          <w:szCs w:val="20"/>
        </w:rPr>
      </w:pPr>
      <w:r w:rsidRPr="00FD3657">
        <w:rPr>
          <w:rFonts w:ascii="Arial" w:hAnsi="Arial" w:cs="Arial"/>
          <w:sz w:val="20"/>
          <w:szCs w:val="20"/>
        </w:rPr>
        <w:t>b) katera koli stalna poslovna enota glavnega subjekta, ki je del mednarodne skupine podjetij iz prejšnje točke;</w:t>
      </w:r>
    </w:p>
    <w:p w14:paraId="767B51BC" w14:textId="77777777" w:rsidR="00FD3657" w:rsidRDefault="00FD3657" w:rsidP="00F260AC">
      <w:pPr>
        <w:jc w:val="both"/>
        <w:rPr>
          <w:rFonts w:ascii="Arial" w:hAnsi="Arial" w:cs="Arial"/>
          <w:sz w:val="20"/>
          <w:szCs w:val="20"/>
        </w:rPr>
      </w:pPr>
      <w:r>
        <w:rPr>
          <w:rFonts w:ascii="Arial" w:hAnsi="Arial" w:cs="Arial"/>
          <w:sz w:val="20"/>
          <w:szCs w:val="20"/>
        </w:rPr>
        <w:t>V zvezi s tem je posebej relevantna še opredelitev skupine, ki je:</w:t>
      </w:r>
    </w:p>
    <w:tbl>
      <w:tblPr>
        <w:tblW w:w="5000" w:type="pct"/>
        <w:tblCellMar>
          <w:left w:w="0" w:type="dxa"/>
          <w:right w:w="0" w:type="dxa"/>
        </w:tblCellMar>
        <w:tblLook w:val="04A0" w:firstRow="1" w:lastRow="0" w:firstColumn="1" w:lastColumn="0" w:noHBand="0" w:noVBand="1"/>
      </w:tblPr>
      <w:tblGrid>
        <w:gridCol w:w="6"/>
        <w:gridCol w:w="9064"/>
      </w:tblGrid>
      <w:tr w:rsidR="002B7251" w:rsidRPr="00FD3657" w14:paraId="210506D9" w14:textId="77777777" w:rsidTr="00833CD8">
        <w:tc>
          <w:tcPr>
            <w:tcW w:w="0" w:type="auto"/>
            <w:shd w:val="clear" w:color="auto" w:fill="auto"/>
            <w:hideMark/>
          </w:tcPr>
          <w:p w14:paraId="73FB8351" w14:textId="77777777" w:rsidR="00FD3657" w:rsidRPr="00FD3657" w:rsidRDefault="00FD3657" w:rsidP="00FD3657">
            <w:pPr>
              <w:jc w:val="both"/>
              <w:rPr>
                <w:rFonts w:ascii="Arial" w:hAnsi="Arial" w:cs="Arial"/>
                <w:sz w:val="20"/>
                <w:szCs w:val="20"/>
              </w:rPr>
            </w:pPr>
            <w:r w:rsidRPr="00FD3657">
              <w:rPr>
                <w:rFonts w:ascii="Arial" w:hAnsi="Arial" w:cs="Arial"/>
                <w:sz w:val="20"/>
                <w:szCs w:val="20"/>
              </w:rPr>
              <w:t xml:space="preserve">  </w:t>
            </w: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78"/>
              <w:gridCol w:w="8886"/>
            </w:tblGrid>
            <w:tr w:rsidR="002B7251" w:rsidRPr="00FD3657" w14:paraId="4C8FC8D8" w14:textId="77777777" w:rsidTr="00833CD8">
              <w:tc>
                <w:tcPr>
                  <w:tcW w:w="0" w:type="auto"/>
                  <w:shd w:val="clear" w:color="auto" w:fill="auto"/>
                  <w:hideMark/>
                </w:tcPr>
                <w:p w14:paraId="12E9BB88" w14:textId="77777777" w:rsidR="00FD3657" w:rsidRPr="00FD3657" w:rsidRDefault="00FD3657" w:rsidP="00FD3657">
                  <w:pPr>
                    <w:jc w:val="both"/>
                    <w:rPr>
                      <w:rFonts w:ascii="Arial" w:hAnsi="Arial" w:cs="Arial"/>
                      <w:sz w:val="20"/>
                      <w:szCs w:val="20"/>
                    </w:rPr>
                  </w:pPr>
                  <w:r w:rsidRPr="00FD3657">
                    <w:rPr>
                      <w:rFonts w:ascii="Arial" w:hAnsi="Arial" w:cs="Arial"/>
                      <w:sz w:val="20"/>
                      <w:szCs w:val="20"/>
                    </w:rPr>
                    <w:t>a)</w:t>
                  </w:r>
                </w:p>
              </w:tc>
              <w:tc>
                <w:tcPr>
                  <w:tcW w:w="0" w:type="auto"/>
                  <w:shd w:val="clear" w:color="auto" w:fill="auto"/>
                  <w:hideMark/>
                </w:tcPr>
                <w:p w14:paraId="2BCC02AF" w14:textId="77777777" w:rsidR="00FD3657" w:rsidRPr="00FD3657" w:rsidRDefault="00FD3657" w:rsidP="00FD3657">
                  <w:pPr>
                    <w:jc w:val="both"/>
                    <w:rPr>
                      <w:rFonts w:ascii="Arial" w:hAnsi="Arial" w:cs="Arial"/>
                      <w:sz w:val="20"/>
                      <w:szCs w:val="20"/>
                    </w:rPr>
                  </w:pPr>
                  <w:r w:rsidRPr="00FD3657">
                    <w:rPr>
                      <w:rFonts w:ascii="Arial" w:hAnsi="Arial" w:cs="Arial"/>
                      <w:sz w:val="20"/>
                      <w:szCs w:val="20"/>
                    </w:rPr>
                    <w:t xml:space="preserve"> zbirka subjektov, ki so povezani prek lastništva ali nadzora, kot je opredeljeno v sprejemljivem finančnem računovodskem standardu, v skladu s katerim krovni matični subjekt pripravi konsolidirane računovodske izkaze, vključno s katerim koli subjektom, ki je bil morda izključen iz konsolidiranih računovodskih izkazov krovnega matičnega subjekta izključno zaradi svoje majhnosti, majhnega pomena ali na podlagi dejstva, da je na prodaj, ali</w:t>
                  </w:r>
                </w:p>
              </w:tc>
            </w:tr>
            <w:tr w:rsidR="002B7251" w:rsidRPr="00FD3657" w14:paraId="2AA5F24E" w14:textId="77777777" w:rsidTr="00833CD8">
              <w:tc>
                <w:tcPr>
                  <w:tcW w:w="0" w:type="auto"/>
                  <w:shd w:val="clear" w:color="auto" w:fill="auto"/>
                  <w:hideMark/>
                </w:tcPr>
                <w:p w14:paraId="4318D512" w14:textId="77777777" w:rsidR="00FD3657" w:rsidRPr="00FD3657" w:rsidRDefault="00FD3657" w:rsidP="00FD3657">
                  <w:pPr>
                    <w:jc w:val="both"/>
                    <w:rPr>
                      <w:rFonts w:ascii="Arial" w:hAnsi="Arial" w:cs="Arial"/>
                      <w:sz w:val="20"/>
                      <w:szCs w:val="20"/>
                    </w:rPr>
                  </w:pPr>
                  <w:r w:rsidRPr="00FD3657">
                    <w:rPr>
                      <w:rFonts w:ascii="Arial" w:hAnsi="Arial" w:cs="Arial"/>
                      <w:sz w:val="20"/>
                      <w:szCs w:val="20"/>
                    </w:rPr>
                    <w:t>b)</w:t>
                  </w:r>
                </w:p>
              </w:tc>
              <w:tc>
                <w:tcPr>
                  <w:tcW w:w="0" w:type="auto"/>
                  <w:shd w:val="clear" w:color="auto" w:fill="auto"/>
                  <w:hideMark/>
                </w:tcPr>
                <w:p w14:paraId="2AB2DBC6" w14:textId="77777777" w:rsidR="00FD3657" w:rsidRPr="00FD3657" w:rsidRDefault="00FD3657" w:rsidP="00D427EB">
                  <w:pPr>
                    <w:spacing w:after="240"/>
                    <w:jc w:val="both"/>
                    <w:rPr>
                      <w:rFonts w:ascii="Arial" w:hAnsi="Arial" w:cs="Arial"/>
                      <w:sz w:val="20"/>
                      <w:szCs w:val="20"/>
                    </w:rPr>
                  </w:pPr>
                  <w:r w:rsidRPr="00FD3657">
                    <w:rPr>
                      <w:rFonts w:ascii="Arial" w:hAnsi="Arial" w:cs="Arial"/>
                      <w:sz w:val="20"/>
                      <w:szCs w:val="20"/>
                    </w:rPr>
                    <w:t xml:space="preserve"> subjekt, ki ima eno stalno poslovno enoto ali več stalnih poslovnih enot, če ni del druge skupine, kot je opredeljena v prejšnji točki;</w:t>
                  </w:r>
                </w:p>
              </w:tc>
            </w:tr>
          </w:tbl>
          <w:p w14:paraId="3B4D56BB" w14:textId="77777777" w:rsidR="00FD3657" w:rsidRPr="00FD3657" w:rsidRDefault="00FD3657" w:rsidP="00FD3657">
            <w:pPr>
              <w:jc w:val="both"/>
              <w:rPr>
                <w:rFonts w:ascii="Arial" w:hAnsi="Arial" w:cs="Arial"/>
                <w:sz w:val="20"/>
                <w:szCs w:val="20"/>
              </w:rPr>
            </w:pPr>
          </w:p>
        </w:tc>
      </w:tr>
    </w:tbl>
    <w:p w14:paraId="58E46E2D" w14:textId="77777777" w:rsidR="00F260AC" w:rsidRPr="008F3623" w:rsidRDefault="00F260AC" w:rsidP="00F260AC">
      <w:pPr>
        <w:jc w:val="both"/>
        <w:rPr>
          <w:rFonts w:ascii="Arial" w:hAnsi="Arial" w:cs="Arial"/>
          <w:sz w:val="20"/>
          <w:szCs w:val="20"/>
        </w:rPr>
      </w:pPr>
      <w:r w:rsidRPr="006D0A85">
        <w:rPr>
          <w:rFonts w:ascii="Arial" w:hAnsi="Arial" w:cs="Arial"/>
          <w:b/>
          <w:bCs/>
          <w:sz w:val="20"/>
          <w:szCs w:val="20"/>
        </w:rPr>
        <w:t>Prvi tip subjekta</w:t>
      </w:r>
      <w:r w:rsidRPr="008F3623">
        <w:rPr>
          <w:rFonts w:ascii="Arial" w:hAnsi="Arial" w:cs="Arial"/>
          <w:sz w:val="20"/>
          <w:szCs w:val="20"/>
        </w:rPr>
        <w:t xml:space="preserve"> v sestavi je opredeljen kot kateri koli subjekt, ki je </w:t>
      </w:r>
      <w:r w:rsidR="00DC514C" w:rsidRPr="008F3623">
        <w:rPr>
          <w:rFonts w:ascii="Arial" w:hAnsi="Arial" w:cs="Arial"/>
          <w:sz w:val="20"/>
          <w:szCs w:val="20"/>
        </w:rPr>
        <w:t xml:space="preserve">del </w:t>
      </w:r>
      <w:r w:rsidR="008F3623" w:rsidRPr="008F3623">
        <w:rPr>
          <w:rFonts w:ascii="Arial" w:hAnsi="Arial" w:cs="Arial"/>
          <w:sz w:val="20"/>
          <w:szCs w:val="20"/>
        </w:rPr>
        <w:t>mednarodne skupine podjetij ali velike domače skupine</w:t>
      </w:r>
      <w:r w:rsidRPr="008F3623">
        <w:rPr>
          <w:rFonts w:ascii="Arial" w:hAnsi="Arial" w:cs="Arial"/>
          <w:sz w:val="20"/>
          <w:szCs w:val="20"/>
        </w:rPr>
        <w:t>. Zato bo vsak subjekt mednarodne (ali domače) skupine tudi subjekt v sestavi, razen če je izključen subjekt.</w:t>
      </w:r>
    </w:p>
    <w:p w14:paraId="4E6388CB" w14:textId="77777777" w:rsidR="00F260AC" w:rsidRPr="008F3623" w:rsidRDefault="00F260AC" w:rsidP="00F260AC">
      <w:pPr>
        <w:jc w:val="both"/>
        <w:rPr>
          <w:rFonts w:ascii="Arial" w:hAnsi="Arial" w:cs="Arial"/>
          <w:sz w:val="20"/>
          <w:szCs w:val="20"/>
        </w:rPr>
      </w:pPr>
      <w:r w:rsidRPr="006D0A85">
        <w:rPr>
          <w:rFonts w:ascii="Arial" w:hAnsi="Arial" w:cs="Arial"/>
          <w:b/>
          <w:bCs/>
          <w:sz w:val="20"/>
          <w:szCs w:val="20"/>
        </w:rPr>
        <w:t>Drugi tip subjekta</w:t>
      </w:r>
      <w:r w:rsidRPr="008F3623">
        <w:rPr>
          <w:rFonts w:ascii="Arial" w:hAnsi="Arial" w:cs="Arial"/>
          <w:sz w:val="20"/>
          <w:szCs w:val="20"/>
        </w:rPr>
        <w:t xml:space="preserve"> v sestavi je stalna poslovna enota (PE) glavnega subjekta, ki je sam subjekt v sestavi, in je obravnavana kot ločen subjekt v sestavi. Definicija PE</w:t>
      </w:r>
      <w:r w:rsidR="006B7509" w:rsidRPr="008F3623">
        <w:rPr>
          <w:rFonts w:ascii="Arial" w:hAnsi="Arial" w:cs="Arial"/>
          <w:sz w:val="20"/>
          <w:szCs w:val="20"/>
        </w:rPr>
        <w:t>, ki</w:t>
      </w:r>
      <w:r w:rsidRPr="008F3623">
        <w:rPr>
          <w:rFonts w:ascii="Arial" w:hAnsi="Arial" w:cs="Arial"/>
          <w:sz w:val="20"/>
          <w:szCs w:val="20"/>
        </w:rPr>
        <w:t xml:space="preserve"> </w:t>
      </w:r>
      <w:r w:rsidR="006B7509" w:rsidRPr="008F3623">
        <w:rPr>
          <w:rFonts w:ascii="Arial" w:hAnsi="Arial" w:cs="Arial"/>
          <w:sz w:val="20"/>
          <w:szCs w:val="20"/>
        </w:rPr>
        <w:t xml:space="preserve">temelji na identifikaciji PE, kot je priznana za davčne namene, </w:t>
      </w:r>
      <w:r w:rsidRPr="008F3623">
        <w:rPr>
          <w:rFonts w:ascii="Arial" w:hAnsi="Arial" w:cs="Arial"/>
          <w:sz w:val="20"/>
          <w:szCs w:val="20"/>
        </w:rPr>
        <w:t xml:space="preserve">loči med štirimi </w:t>
      </w:r>
      <w:r w:rsidR="006B7509" w:rsidRPr="008F3623">
        <w:rPr>
          <w:rFonts w:ascii="Arial" w:hAnsi="Arial" w:cs="Arial"/>
          <w:sz w:val="20"/>
          <w:szCs w:val="20"/>
        </w:rPr>
        <w:t>okoliščinami za opredelitev</w:t>
      </w:r>
      <w:r w:rsidRPr="008F3623">
        <w:rPr>
          <w:rFonts w:ascii="Arial" w:hAnsi="Arial" w:cs="Arial"/>
          <w:sz w:val="20"/>
          <w:szCs w:val="20"/>
        </w:rPr>
        <w:t xml:space="preserve"> PE</w:t>
      </w:r>
      <w:r w:rsidR="006B7509" w:rsidRPr="008F3623">
        <w:rPr>
          <w:rFonts w:ascii="Arial" w:hAnsi="Arial" w:cs="Arial"/>
          <w:sz w:val="20"/>
          <w:szCs w:val="20"/>
        </w:rPr>
        <w:t>: ko obstaja veljavni davčni sporazum; ko ni veljavnega davčnega sporazuma; ko ni sistema obdavčitve dohodkov pravnih oseb; druge situacije, ko se opravljajo dejavnosti zunaj jurisdikcije, v</w:t>
      </w:r>
      <w:r w:rsidR="000B4ECF">
        <w:rPr>
          <w:rFonts w:ascii="Arial" w:hAnsi="Arial" w:cs="Arial"/>
          <w:sz w:val="20"/>
          <w:szCs w:val="20"/>
        </w:rPr>
        <w:t xml:space="preserve"> </w:t>
      </w:r>
      <w:r w:rsidR="006B7509" w:rsidRPr="008F3623">
        <w:rPr>
          <w:rFonts w:ascii="Arial" w:hAnsi="Arial" w:cs="Arial"/>
          <w:sz w:val="20"/>
          <w:szCs w:val="20"/>
        </w:rPr>
        <w:t xml:space="preserve">kateri se nahaja subjekt. </w:t>
      </w:r>
      <w:r w:rsidRPr="008F3623">
        <w:rPr>
          <w:rFonts w:ascii="Arial" w:hAnsi="Arial" w:cs="Arial"/>
          <w:sz w:val="20"/>
          <w:szCs w:val="20"/>
        </w:rPr>
        <w:t xml:space="preserve"> </w:t>
      </w:r>
    </w:p>
    <w:p w14:paraId="5B83A26B" w14:textId="77777777" w:rsidR="009A1A0A" w:rsidRDefault="00F260AC" w:rsidP="00F260AC">
      <w:pPr>
        <w:jc w:val="both"/>
        <w:rPr>
          <w:rFonts w:ascii="Arial" w:hAnsi="Arial" w:cs="Arial"/>
          <w:sz w:val="20"/>
          <w:szCs w:val="20"/>
        </w:rPr>
      </w:pPr>
      <w:r w:rsidRPr="008F3623">
        <w:rPr>
          <w:rFonts w:ascii="Arial" w:hAnsi="Arial" w:cs="Arial"/>
          <w:sz w:val="20"/>
          <w:szCs w:val="20"/>
        </w:rPr>
        <w:t>PE, ki je subjekt v sestavi, se obravnava kot subjekt v sestavi</w:t>
      </w:r>
      <w:r w:rsidR="006B7509" w:rsidRPr="008F3623">
        <w:rPr>
          <w:rFonts w:ascii="Arial" w:hAnsi="Arial" w:cs="Arial"/>
          <w:sz w:val="20"/>
          <w:szCs w:val="20"/>
        </w:rPr>
        <w:t>,</w:t>
      </w:r>
      <w:r w:rsidRPr="008F3623">
        <w:rPr>
          <w:rFonts w:ascii="Arial" w:hAnsi="Arial" w:cs="Arial"/>
          <w:sz w:val="20"/>
          <w:szCs w:val="20"/>
        </w:rPr>
        <w:t xml:space="preserve"> </w:t>
      </w:r>
      <w:r w:rsidR="006B7509" w:rsidRPr="008F3623">
        <w:rPr>
          <w:rFonts w:ascii="Arial" w:hAnsi="Arial" w:cs="Arial"/>
          <w:sz w:val="20"/>
          <w:szCs w:val="20"/>
        </w:rPr>
        <w:t xml:space="preserve">ločen </w:t>
      </w:r>
      <w:r w:rsidRPr="008F3623">
        <w:rPr>
          <w:rFonts w:ascii="Arial" w:hAnsi="Arial" w:cs="Arial"/>
          <w:sz w:val="20"/>
          <w:szCs w:val="20"/>
        </w:rPr>
        <w:t xml:space="preserve">od glavnega subjekta in vseh drugih PE tega subjekta. Potreba po razlikovanju ločenih poslovnih operacij, izvedenih v tujih PE, je ključna za izračune glede </w:t>
      </w:r>
      <w:r w:rsidR="006B7509" w:rsidRPr="008F3623">
        <w:rPr>
          <w:rFonts w:ascii="Arial" w:hAnsi="Arial" w:cs="Arial"/>
          <w:sz w:val="20"/>
          <w:szCs w:val="20"/>
        </w:rPr>
        <w:t>jurisdikcijskega kombiniranja</w:t>
      </w:r>
      <w:r w:rsidRPr="008F3623">
        <w:rPr>
          <w:rFonts w:ascii="Arial" w:hAnsi="Arial" w:cs="Arial"/>
          <w:sz w:val="20"/>
          <w:szCs w:val="20"/>
        </w:rPr>
        <w:t xml:space="preserve">. To zagotavlja, da se dohodek, dosežen prek PE v drugi jurisdikciji, in davki, ki se nanašajo na ta dohodek, ne </w:t>
      </w:r>
      <w:r w:rsidR="006B7509" w:rsidRPr="008F3623">
        <w:rPr>
          <w:rFonts w:ascii="Arial" w:hAnsi="Arial" w:cs="Arial"/>
          <w:sz w:val="20"/>
          <w:szCs w:val="20"/>
        </w:rPr>
        <w:t>kombinirajo</w:t>
      </w:r>
      <w:r w:rsidRPr="008F3623">
        <w:rPr>
          <w:rFonts w:ascii="Arial" w:hAnsi="Arial" w:cs="Arial"/>
          <w:sz w:val="20"/>
          <w:szCs w:val="20"/>
        </w:rPr>
        <w:t xml:space="preserve"> z davkom in dohodkom glavnega subjekta ali drugega PE v drugi jurisdikciji. </w:t>
      </w:r>
    </w:p>
    <w:p w14:paraId="63FAD86F" w14:textId="77777777" w:rsidR="00006691" w:rsidRPr="008F3623" w:rsidRDefault="00131E85" w:rsidP="00F260AC">
      <w:pPr>
        <w:jc w:val="both"/>
        <w:rPr>
          <w:rFonts w:ascii="Arial" w:hAnsi="Arial" w:cs="Arial"/>
          <w:sz w:val="20"/>
          <w:szCs w:val="20"/>
        </w:rPr>
      </w:pPr>
      <w:r>
        <w:rPr>
          <w:rFonts w:ascii="Arial" w:hAnsi="Arial" w:cs="Arial"/>
          <w:sz w:val="20"/>
          <w:szCs w:val="20"/>
        </w:rPr>
        <w:t>Glavni subjekt</w:t>
      </w:r>
      <w:r w:rsidR="008D05B3">
        <w:rPr>
          <w:rFonts w:ascii="Arial" w:hAnsi="Arial" w:cs="Arial"/>
          <w:sz w:val="20"/>
          <w:szCs w:val="20"/>
        </w:rPr>
        <w:t xml:space="preserve"> opredeljuje nosilca PE in</w:t>
      </w:r>
      <w:r>
        <w:rPr>
          <w:rFonts w:ascii="Arial" w:hAnsi="Arial" w:cs="Arial"/>
          <w:sz w:val="20"/>
          <w:szCs w:val="20"/>
        </w:rPr>
        <w:t xml:space="preserve"> </w:t>
      </w:r>
      <w:r w:rsidR="008D05B3">
        <w:rPr>
          <w:rFonts w:ascii="Arial" w:hAnsi="Arial" w:cs="Arial"/>
          <w:sz w:val="20"/>
          <w:szCs w:val="20"/>
        </w:rPr>
        <w:t>se šteje za krovni matični subjekt skupine, ki jo sestavljajo glavni subjekt in ena ali več stalnih poslovnih enot</w:t>
      </w:r>
      <w:r w:rsidR="00E50498">
        <w:rPr>
          <w:rFonts w:ascii="Arial" w:hAnsi="Arial" w:cs="Arial"/>
          <w:sz w:val="20"/>
          <w:szCs w:val="20"/>
        </w:rPr>
        <w:t xml:space="preserve"> (glej naslednjo točko 3.2.)</w:t>
      </w:r>
      <w:r w:rsidR="008D05B3">
        <w:rPr>
          <w:rFonts w:ascii="Arial" w:hAnsi="Arial" w:cs="Arial"/>
          <w:sz w:val="20"/>
          <w:szCs w:val="20"/>
        </w:rPr>
        <w:t xml:space="preserve">. </w:t>
      </w:r>
    </w:p>
    <w:p w14:paraId="294DF3F1" w14:textId="77777777" w:rsidR="009A1A0A" w:rsidRPr="00392FD4" w:rsidRDefault="00507550" w:rsidP="00507550">
      <w:pPr>
        <w:pStyle w:val="FURSnaslov2"/>
        <w:spacing w:after="240"/>
        <w:rPr>
          <w:sz w:val="22"/>
          <w:szCs w:val="22"/>
          <w:lang w:val="sl-SI"/>
        </w:rPr>
      </w:pPr>
      <w:bookmarkStart w:id="15" w:name="_Toc157425308"/>
      <w:r w:rsidRPr="00392FD4">
        <w:rPr>
          <w:sz w:val="22"/>
          <w:szCs w:val="22"/>
          <w:lang w:val="sl-SI"/>
        </w:rPr>
        <w:t>3.2.</w:t>
      </w:r>
      <w:r w:rsidR="009A1A0A" w:rsidRPr="00392FD4">
        <w:rPr>
          <w:sz w:val="22"/>
          <w:szCs w:val="22"/>
          <w:lang w:val="sl-SI"/>
        </w:rPr>
        <w:t xml:space="preserve"> Krovni matični subjekt</w:t>
      </w:r>
      <w:r w:rsidR="00551CC9">
        <w:rPr>
          <w:sz w:val="22"/>
          <w:szCs w:val="22"/>
          <w:lang w:val="sl-SI"/>
        </w:rPr>
        <w:t xml:space="preserve"> (17. točka 7. člena ZMD)</w:t>
      </w:r>
      <w:bookmarkEnd w:id="15"/>
    </w:p>
    <w:p w14:paraId="2E942152" w14:textId="77777777" w:rsidR="005B4370" w:rsidRPr="008F3623" w:rsidRDefault="005B4370" w:rsidP="005B4370">
      <w:pPr>
        <w:tabs>
          <w:tab w:val="left" w:pos="4483"/>
        </w:tabs>
        <w:jc w:val="both"/>
        <w:rPr>
          <w:rFonts w:ascii="Arial" w:hAnsi="Arial" w:cs="Arial"/>
          <w:sz w:val="20"/>
          <w:szCs w:val="20"/>
        </w:rPr>
      </w:pPr>
      <w:r>
        <w:rPr>
          <w:rFonts w:ascii="Arial" w:hAnsi="Arial" w:cs="Arial"/>
          <w:sz w:val="20"/>
          <w:szCs w:val="20"/>
        </w:rPr>
        <w:t xml:space="preserve">Pojem »matični subjekt« v zakonodaji zajema </w:t>
      </w:r>
      <w:r w:rsidRPr="005B4370">
        <w:rPr>
          <w:rFonts w:ascii="Arial" w:hAnsi="Arial" w:cs="Arial"/>
          <w:sz w:val="20"/>
          <w:szCs w:val="20"/>
        </w:rPr>
        <w:t>krovni matični subjekt, ki ni izključeni subjekt, vmesni matični subjekt ali matični subjekt v delni lasti</w:t>
      </w:r>
      <w:r>
        <w:rPr>
          <w:rFonts w:ascii="Arial" w:hAnsi="Arial" w:cs="Arial"/>
          <w:sz w:val="20"/>
          <w:szCs w:val="20"/>
        </w:rPr>
        <w:t xml:space="preserve">. V tem podpoglavju je obrazložen pojem krovnega matičnega subjekta, ki je predstavljen podrobneje zaradi njegove pomembnosti v sistemu povrhnjega davka. </w:t>
      </w:r>
    </w:p>
    <w:p w14:paraId="03CF062F" w14:textId="77777777" w:rsidR="00D55F50" w:rsidRDefault="00D55F50" w:rsidP="00001991">
      <w:pPr>
        <w:jc w:val="both"/>
        <w:rPr>
          <w:rFonts w:ascii="Arial" w:hAnsi="Arial" w:cs="Arial"/>
          <w:sz w:val="20"/>
          <w:szCs w:val="20"/>
        </w:rPr>
      </w:pPr>
      <w:r w:rsidRPr="008F3623">
        <w:rPr>
          <w:rFonts w:ascii="Arial" w:hAnsi="Arial" w:cs="Arial"/>
          <w:sz w:val="20"/>
          <w:szCs w:val="20"/>
        </w:rPr>
        <w:lastRenderedPageBreak/>
        <w:t xml:space="preserve">Definicija </w:t>
      </w:r>
      <w:r w:rsidR="005B4370" w:rsidRPr="008F3623">
        <w:rPr>
          <w:rFonts w:ascii="Arial" w:hAnsi="Arial" w:cs="Arial"/>
          <w:sz w:val="20"/>
          <w:szCs w:val="20"/>
        </w:rPr>
        <w:t xml:space="preserve">krovni matični subjekt </w:t>
      </w:r>
      <w:r w:rsidR="005B4370">
        <w:rPr>
          <w:rFonts w:ascii="Arial" w:hAnsi="Arial" w:cs="Arial"/>
          <w:sz w:val="20"/>
          <w:szCs w:val="20"/>
        </w:rPr>
        <w:t>(</w:t>
      </w:r>
      <w:r w:rsidRPr="008F3623">
        <w:rPr>
          <w:rFonts w:ascii="Arial" w:hAnsi="Arial" w:cs="Arial"/>
          <w:sz w:val="20"/>
          <w:szCs w:val="20"/>
        </w:rPr>
        <w:t xml:space="preserve">UPE) se uporablja kot del definicije skupine in je začetna točka za identifikacijo vseh subjektov, ki sestavljajo skupino. Identifikacija UPE je pomembna tudi v drugih delih pravil </w:t>
      </w:r>
      <w:r w:rsidR="00D72A54" w:rsidRPr="008F3623">
        <w:rPr>
          <w:rFonts w:ascii="Arial" w:hAnsi="Arial" w:cs="Arial"/>
          <w:sz w:val="20"/>
          <w:szCs w:val="20"/>
        </w:rPr>
        <w:t>povrhnjega davka</w:t>
      </w:r>
      <w:r w:rsidRPr="008F3623">
        <w:rPr>
          <w:rFonts w:ascii="Arial" w:hAnsi="Arial" w:cs="Arial"/>
          <w:sz w:val="20"/>
          <w:szCs w:val="20"/>
        </w:rPr>
        <w:t xml:space="preserve">. Na primer, pravila </w:t>
      </w:r>
      <w:r w:rsidR="00D72A54" w:rsidRPr="008F3623">
        <w:rPr>
          <w:rFonts w:ascii="Arial" w:hAnsi="Arial" w:cs="Arial"/>
          <w:sz w:val="20"/>
          <w:szCs w:val="20"/>
        </w:rPr>
        <w:t>povrhnjega davka</w:t>
      </w:r>
      <w:r w:rsidRPr="008F3623">
        <w:rPr>
          <w:rFonts w:ascii="Arial" w:hAnsi="Arial" w:cs="Arial"/>
          <w:sz w:val="20"/>
          <w:szCs w:val="20"/>
        </w:rPr>
        <w:t xml:space="preserve"> dajejo prednost uporabi </w:t>
      </w:r>
      <w:r w:rsidR="00D72A54" w:rsidRPr="008F3623">
        <w:rPr>
          <w:rFonts w:ascii="Arial" w:hAnsi="Arial" w:cs="Arial"/>
          <w:sz w:val="20"/>
          <w:szCs w:val="20"/>
        </w:rPr>
        <w:t xml:space="preserve">pravila o vključitvi dohodkov </w:t>
      </w:r>
      <w:r w:rsidRPr="008F3623">
        <w:rPr>
          <w:rFonts w:ascii="Arial" w:hAnsi="Arial" w:cs="Arial"/>
          <w:sz w:val="20"/>
          <w:szCs w:val="20"/>
        </w:rPr>
        <w:t xml:space="preserve">v jurisdikciji, v kateri se nahaja UPE (jurisdikcija </w:t>
      </w:r>
      <w:r w:rsidR="00D72A54" w:rsidRPr="008F3623">
        <w:rPr>
          <w:rFonts w:ascii="Arial" w:hAnsi="Arial" w:cs="Arial"/>
          <w:sz w:val="20"/>
          <w:szCs w:val="20"/>
        </w:rPr>
        <w:t>krovnega matičnega subjekta</w:t>
      </w:r>
      <w:r w:rsidRPr="008F3623">
        <w:rPr>
          <w:rFonts w:ascii="Arial" w:hAnsi="Arial" w:cs="Arial"/>
          <w:sz w:val="20"/>
          <w:szCs w:val="20"/>
        </w:rPr>
        <w:t xml:space="preserve">), in običajno bo računovodski standard UPE tisti, ki se uporablja kot osnova za izračun dohodka ali izgube </w:t>
      </w:r>
      <w:r w:rsidR="00D72A54" w:rsidRPr="008F3623">
        <w:rPr>
          <w:rFonts w:ascii="Arial" w:hAnsi="Arial" w:cs="Arial"/>
          <w:sz w:val="20"/>
          <w:szCs w:val="20"/>
        </w:rPr>
        <w:t>povrhnjega davka</w:t>
      </w:r>
      <w:r w:rsidRPr="008F3623">
        <w:rPr>
          <w:rFonts w:ascii="Arial" w:hAnsi="Arial" w:cs="Arial"/>
          <w:sz w:val="20"/>
          <w:szCs w:val="20"/>
        </w:rPr>
        <w:t xml:space="preserve"> za subjekte v sestavi.</w:t>
      </w:r>
    </w:p>
    <w:p w14:paraId="382CDFD0" w14:textId="77777777" w:rsidR="00F767EB" w:rsidRPr="008F3623" w:rsidRDefault="00F767EB" w:rsidP="00F767EB">
      <w:pPr>
        <w:jc w:val="both"/>
        <w:rPr>
          <w:rFonts w:ascii="Arial" w:hAnsi="Arial" w:cs="Arial"/>
          <w:sz w:val="20"/>
          <w:szCs w:val="20"/>
        </w:rPr>
      </w:pPr>
      <w:r w:rsidRPr="008F3623">
        <w:rPr>
          <w:rFonts w:ascii="Arial" w:hAnsi="Arial" w:cs="Arial"/>
          <w:sz w:val="20"/>
          <w:szCs w:val="20"/>
        </w:rPr>
        <w:t>Obstajata dve vrsti UPE, in sicer UPE skupine, sestavljene iz najmanj dveh subjektov, in UPE skupine, ki jo sestavljajo glavni subjekt in ena ali več stalnih poslovnih enot. V slednjem primeru se glavni subjekt obravnava kot UPE skupine.</w:t>
      </w:r>
    </w:p>
    <w:p w14:paraId="2C9304E2" w14:textId="77777777" w:rsidR="00F767EB" w:rsidRPr="006D0A85" w:rsidRDefault="00F767EB" w:rsidP="00F767EB">
      <w:pPr>
        <w:jc w:val="both"/>
        <w:rPr>
          <w:rFonts w:ascii="Arial" w:hAnsi="Arial" w:cs="Arial"/>
          <w:b/>
          <w:bCs/>
          <w:sz w:val="20"/>
          <w:szCs w:val="20"/>
        </w:rPr>
      </w:pPr>
      <w:r w:rsidRPr="006D0A85">
        <w:rPr>
          <w:rFonts w:ascii="Arial" w:hAnsi="Arial" w:cs="Arial"/>
          <w:b/>
          <w:bCs/>
          <w:sz w:val="20"/>
          <w:szCs w:val="20"/>
        </w:rPr>
        <w:t xml:space="preserve">UPE skupine, sestavljene iz najmanj dveh subjektov </w:t>
      </w:r>
    </w:p>
    <w:p w14:paraId="1F2F0F2C" w14:textId="77777777" w:rsidR="00E50498" w:rsidRDefault="00F767EB" w:rsidP="00F767EB">
      <w:pPr>
        <w:jc w:val="both"/>
        <w:rPr>
          <w:rFonts w:ascii="Arial" w:hAnsi="Arial" w:cs="Arial"/>
          <w:sz w:val="20"/>
          <w:szCs w:val="20"/>
        </w:rPr>
      </w:pPr>
      <w:r w:rsidRPr="008F3623">
        <w:rPr>
          <w:rFonts w:ascii="Arial" w:hAnsi="Arial" w:cs="Arial"/>
          <w:sz w:val="20"/>
          <w:szCs w:val="20"/>
        </w:rPr>
        <w:t xml:space="preserve">Ta del podaja pojasnila glede UPE v primeru skupine, ki je sestavljena iz najmanj dveh subjektov. Da bi bil subjekt del UPE skupine, mora izpolnjevati dva pogoja. </w:t>
      </w:r>
      <w:r w:rsidRPr="008F3623">
        <w:rPr>
          <w:rFonts w:ascii="Arial" w:hAnsi="Arial" w:cs="Arial"/>
          <w:b/>
          <w:bCs/>
          <w:sz w:val="20"/>
          <w:szCs w:val="20"/>
        </w:rPr>
        <w:t>Prvi pogoj</w:t>
      </w:r>
      <w:r w:rsidRPr="008F3623">
        <w:rPr>
          <w:rFonts w:ascii="Arial" w:hAnsi="Arial" w:cs="Arial"/>
          <w:sz w:val="20"/>
          <w:szCs w:val="20"/>
        </w:rPr>
        <w:t xml:space="preserve"> je, da ima UPE v subjektu neposredno ali posredno v lasti nadzorujoči delež. </w:t>
      </w:r>
    </w:p>
    <w:p w14:paraId="6B65BFE2" w14:textId="77777777" w:rsidR="00F767EB" w:rsidRPr="008F3623" w:rsidRDefault="00F767EB" w:rsidP="00F767EB">
      <w:pPr>
        <w:jc w:val="both"/>
        <w:rPr>
          <w:rFonts w:ascii="Arial" w:hAnsi="Arial" w:cs="Arial"/>
          <w:sz w:val="20"/>
          <w:szCs w:val="20"/>
        </w:rPr>
      </w:pPr>
      <w:r w:rsidRPr="008F3623">
        <w:rPr>
          <w:rFonts w:ascii="Arial" w:hAnsi="Arial" w:cs="Arial"/>
          <w:sz w:val="20"/>
          <w:szCs w:val="20"/>
        </w:rPr>
        <w:t xml:space="preserve">Definicija nadzorujočega deleža uporablja test konsolidacije (vključno z domnevnim testom konsolidacije), da se določi, ali ima UPE v lasti nadzorujoči delež v drugem subjektu. Test konsolidacije je izpolnjen, če je UPE dolžan konsolidirati sredstva, obveznosti, dohodke, odhodke in denarne tokove subjekta po posameznih postavkah drugega subjekta v skladu z </w:t>
      </w:r>
      <w:r w:rsidR="0064416C" w:rsidRPr="008F3623">
        <w:rPr>
          <w:rFonts w:ascii="Arial" w:hAnsi="Arial" w:cs="Arial"/>
          <w:sz w:val="20"/>
          <w:szCs w:val="20"/>
        </w:rPr>
        <w:t xml:space="preserve">sprejemljivim standardom finančnega </w:t>
      </w:r>
      <w:proofErr w:type="spellStart"/>
      <w:r w:rsidR="0064416C" w:rsidRPr="008F3623">
        <w:rPr>
          <w:rFonts w:ascii="Arial" w:hAnsi="Arial" w:cs="Arial"/>
          <w:sz w:val="20"/>
          <w:szCs w:val="20"/>
        </w:rPr>
        <w:t>računovodenja</w:t>
      </w:r>
      <w:proofErr w:type="spellEnd"/>
      <w:r w:rsidRPr="008F3623">
        <w:rPr>
          <w:rFonts w:ascii="Arial" w:hAnsi="Arial" w:cs="Arial"/>
          <w:sz w:val="20"/>
          <w:szCs w:val="20"/>
        </w:rPr>
        <w:t xml:space="preserve"> ali če bi bil tak subjekt dolžan to storiti.</w:t>
      </w:r>
      <w:r w:rsidR="0064416C" w:rsidRPr="008F3623">
        <w:rPr>
          <w:rFonts w:ascii="Arial" w:hAnsi="Arial" w:cs="Arial"/>
          <w:sz w:val="20"/>
          <w:szCs w:val="20"/>
        </w:rPr>
        <w:t xml:space="preserve"> </w:t>
      </w:r>
      <w:r w:rsidRPr="008F3623">
        <w:rPr>
          <w:rFonts w:ascii="Arial" w:hAnsi="Arial" w:cs="Arial"/>
          <w:b/>
          <w:bCs/>
          <w:sz w:val="20"/>
          <w:szCs w:val="20"/>
        </w:rPr>
        <w:t>Drugi pogoj</w:t>
      </w:r>
      <w:r w:rsidRPr="008F3623">
        <w:rPr>
          <w:rFonts w:ascii="Arial" w:hAnsi="Arial" w:cs="Arial"/>
          <w:sz w:val="20"/>
          <w:szCs w:val="20"/>
        </w:rPr>
        <w:t xml:space="preserve"> je, da </w:t>
      </w:r>
      <w:r w:rsidR="0064416C" w:rsidRPr="008F3623">
        <w:rPr>
          <w:rFonts w:ascii="Arial" w:hAnsi="Arial" w:cs="Arial"/>
          <w:sz w:val="20"/>
          <w:szCs w:val="20"/>
        </w:rPr>
        <w:t>nadzorujoči</w:t>
      </w:r>
      <w:r w:rsidRPr="008F3623">
        <w:rPr>
          <w:rFonts w:ascii="Arial" w:hAnsi="Arial" w:cs="Arial"/>
          <w:sz w:val="20"/>
          <w:szCs w:val="20"/>
        </w:rPr>
        <w:t xml:space="preserve"> deleži subjekta ne smejo biti neposredno ali posredno </w:t>
      </w:r>
      <w:r w:rsidR="0064416C" w:rsidRPr="008F3623">
        <w:rPr>
          <w:rFonts w:ascii="Arial" w:hAnsi="Arial" w:cs="Arial"/>
          <w:sz w:val="20"/>
          <w:szCs w:val="20"/>
        </w:rPr>
        <w:t xml:space="preserve">v lasti </w:t>
      </w:r>
      <w:r w:rsidRPr="008F3623">
        <w:rPr>
          <w:rFonts w:ascii="Arial" w:hAnsi="Arial" w:cs="Arial"/>
          <w:sz w:val="20"/>
          <w:szCs w:val="20"/>
        </w:rPr>
        <w:t xml:space="preserve">drugega subjekta. </w:t>
      </w:r>
      <w:r w:rsidR="0064416C" w:rsidRPr="008F3623">
        <w:rPr>
          <w:rFonts w:ascii="Arial" w:hAnsi="Arial" w:cs="Arial"/>
          <w:sz w:val="20"/>
          <w:szCs w:val="20"/>
        </w:rPr>
        <w:t>Subjekt ne more biti del</w:t>
      </w:r>
      <w:r w:rsidRPr="008F3623">
        <w:rPr>
          <w:rFonts w:ascii="Arial" w:hAnsi="Arial" w:cs="Arial"/>
          <w:sz w:val="20"/>
          <w:szCs w:val="20"/>
        </w:rPr>
        <w:t xml:space="preserve"> UPE skupine, če so </w:t>
      </w:r>
      <w:r w:rsidR="0064416C" w:rsidRPr="008F3623">
        <w:rPr>
          <w:rFonts w:ascii="Arial" w:hAnsi="Arial" w:cs="Arial"/>
          <w:sz w:val="20"/>
          <w:szCs w:val="20"/>
        </w:rPr>
        <w:t>nadzorujoči</w:t>
      </w:r>
      <w:r w:rsidRPr="008F3623">
        <w:rPr>
          <w:rFonts w:ascii="Arial" w:hAnsi="Arial" w:cs="Arial"/>
          <w:sz w:val="20"/>
          <w:szCs w:val="20"/>
        </w:rPr>
        <w:t xml:space="preserve"> deleži v tem subjektu v lasti drugega subjekta. Drugače povedano, subjekt ni</w:t>
      </w:r>
      <w:r w:rsidR="0064416C" w:rsidRPr="008F3623">
        <w:rPr>
          <w:rFonts w:ascii="Arial" w:hAnsi="Arial" w:cs="Arial"/>
          <w:sz w:val="20"/>
          <w:szCs w:val="20"/>
        </w:rPr>
        <w:t xml:space="preserve"> mogoče šteti</w:t>
      </w:r>
      <w:r w:rsidRPr="008F3623">
        <w:rPr>
          <w:rFonts w:ascii="Arial" w:hAnsi="Arial" w:cs="Arial"/>
          <w:sz w:val="20"/>
          <w:szCs w:val="20"/>
        </w:rPr>
        <w:t xml:space="preserve"> za</w:t>
      </w:r>
      <w:r w:rsidR="0064416C" w:rsidRPr="008F3623">
        <w:rPr>
          <w:rFonts w:ascii="Arial" w:hAnsi="Arial" w:cs="Arial"/>
          <w:sz w:val="20"/>
          <w:szCs w:val="20"/>
        </w:rPr>
        <w:t xml:space="preserve"> subjekt v sestavi</w:t>
      </w:r>
      <w:r w:rsidRPr="008F3623">
        <w:rPr>
          <w:rFonts w:ascii="Arial" w:hAnsi="Arial" w:cs="Arial"/>
          <w:sz w:val="20"/>
          <w:szCs w:val="20"/>
        </w:rPr>
        <w:t xml:space="preserve"> UPE skupine, če obstaja drug subjekt, ki je bil dolžan ali bi bil dolžan konsolidirati</w:t>
      </w:r>
      <w:r w:rsidR="0064416C" w:rsidRPr="008F3623">
        <w:rPr>
          <w:rFonts w:ascii="Arial" w:hAnsi="Arial" w:cs="Arial"/>
          <w:sz w:val="20"/>
          <w:szCs w:val="20"/>
        </w:rPr>
        <w:t xml:space="preserve"> finančne podatke</w:t>
      </w:r>
      <w:r w:rsidRPr="008F3623">
        <w:rPr>
          <w:rFonts w:ascii="Arial" w:hAnsi="Arial" w:cs="Arial"/>
          <w:sz w:val="20"/>
          <w:szCs w:val="20"/>
        </w:rPr>
        <w:t xml:space="preserve"> prv</w:t>
      </w:r>
      <w:r w:rsidR="0064416C" w:rsidRPr="008F3623">
        <w:rPr>
          <w:rFonts w:ascii="Arial" w:hAnsi="Arial" w:cs="Arial"/>
          <w:sz w:val="20"/>
          <w:szCs w:val="20"/>
        </w:rPr>
        <w:t>ega</w:t>
      </w:r>
      <w:r w:rsidRPr="008F3623">
        <w:rPr>
          <w:rFonts w:ascii="Arial" w:hAnsi="Arial" w:cs="Arial"/>
          <w:sz w:val="20"/>
          <w:szCs w:val="20"/>
        </w:rPr>
        <w:t xml:space="preserve"> naveden</w:t>
      </w:r>
      <w:r w:rsidR="0064416C" w:rsidRPr="008F3623">
        <w:rPr>
          <w:rFonts w:ascii="Arial" w:hAnsi="Arial" w:cs="Arial"/>
          <w:sz w:val="20"/>
          <w:szCs w:val="20"/>
        </w:rPr>
        <w:t>ega</w:t>
      </w:r>
      <w:r w:rsidRPr="008F3623">
        <w:rPr>
          <w:rFonts w:ascii="Arial" w:hAnsi="Arial" w:cs="Arial"/>
          <w:sz w:val="20"/>
          <w:szCs w:val="20"/>
        </w:rPr>
        <w:t xml:space="preserve"> subjekt</w:t>
      </w:r>
      <w:r w:rsidR="0064416C" w:rsidRPr="008F3623">
        <w:rPr>
          <w:rFonts w:ascii="Arial" w:hAnsi="Arial" w:cs="Arial"/>
          <w:sz w:val="20"/>
          <w:szCs w:val="20"/>
        </w:rPr>
        <w:t>a po posameznih postavkah</w:t>
      </w:r>
      <w:r w:rsidRPr="008F3623">
        <w:rPr>
          <w:rFonts w:ascii="Arial" w:hAnsi="Arial" w:cs="Arial"/>
          <w:sz w:val="20"/>
          <w:szCs w:val="20"/>
        </w:rPr>
        <w:t>.</w:t>
      </w:r>
    </w:p>
    <w:p w14:paraId="397F2415" w14:textId="77777777" w:rsidR="00F767EB" w:rsidRPr="006D0A85" w:rsidRDefault="00F767EB" w:rsidP="00F767EB">
      <w:pPr>
        <w:jc w:val="both"/>
        <w:rPr>
          <w:rFonts w:ascii="Arial" w:hAnsi="Arial" w:cs="Arial"/>
          <w:b/>
          <w:bCs/>
          <w:sz w:val="20"/>
          <w:szCs w:val="20"/>
        </w:rPr>
      </w:pPr>
      <w:r w:rsidRPr="006D0A85">
        <w:rPr>
          <w:rFonts w:ascii="Arial" w:hAnsi="Arial" w:cs="Arial"/>
          <w:b/>
          <w:bCs/>
          <w:sz w:val="20"/>
          <w:szCs w:val="20"/>
        </w:rPr>
        <w:t xml:space="preserve">UPE skupine, </w:t>
      </w:r>
      <w:r w:rsidR="0064416C" w:rsidRPr="006D0A85">
        <w:rPr>
          <w:rFonts w:ascii="Arial" w:hAnsi="Arial" w:cs="Arial"/>
          <w:b/>
          <w:bCs/>
          <w:sz w:val="20"/>
          <w:szCs w:val="20"/>
        </w:rPr>
        <w:t>ki jo sestavljajo glavni subjekt in ena ali več stalnih poslovnih enot</w:t>
      </w:r>
    </w:p>
    <w:p w14:paraId="5D981185" w14:textId="77777777" w:rsidR="00F767EB" w:rsidRPr="008F3623" w:rsidRDefault="00F767EB" w:rsidP="00F767EB">
      <w:pPr>
        <w:jc w:val="both"/>
        <w:rPr>
          <w:rFonts w:ascii="Arial" w:hAnsi="Arial" w:cs="Arial"/>
          <w:sz w:val="20"/>
          <w:szCs w:val="20"/>
        </w:rPr>
      </w:pPr>
      <w:r w:rsidRPr="008F3623">
        <w:rPr>
          <w:rFonts w:ascii="Arial" w:hAnsi="Arial" w:cs="Arial"/>
          <w:sz w:val="20"/>
          <w:szCs w:val="20"/>
        </w:rPr>
        <w:t xml:space="preserve">Druga vrsta UPE </w:t>
      </w:r>
      <w:r w:rsidR="00DC514C" w:rsidRPr="008F3623">
        <w:rPr>
          <w:rFonts w:ascii="Arial" w:hAnsi="Arial" w:cs="Arial"/>
          <w:sz w:val="20"/>
          <w:szCs w:val="20"/>
        </w:rPr>
        <w:t>je opredeljena za</w:t>
      </w:r>
      <w:r w:rsidRPr="008F3623">
        <w:rPr>
          <w:rFonts w:ascii="Arial" w:hAnsi="Arial" w:cs="Arial"/>
          <w:sz w:val="20"/>
          <w:szCs w:val="20"/>
        </w:rPr>
        <w:t xml:space="preserve"> tist</w:t>
      </w:r>
      <w:r w:rsidR="00DC514C" w:rsidRPr="008F3623">
        <w:rPr>
          <w:rFonts w:ascii="Arial" w:hAnsi="Arial" w:cs="Arial"/>
          <w:sz w:val="20"/>
          <w:szCs w:val="20"/>
        </w:rPr>
        <w:t>e</w:t>
      </w:r>
      <w:r w:rsidRPr="008F3623">
        <w:rPr>
          <w:rFonts w:ascii="Arial" w:hAnsi="Arial" w:cs="Arial"/>
          <w:sz w:val="20"/>
          <w:szCs w:val="20"/>
        </w:rPr>
        <w:t xml:space="preserve"> primer</w:t>
      </w:r>
      <w:r w:rsidR="00DC514C" w:rsidRPr="008F3623">
        <w:rPr>
          <w:rFonts w:ascii="Arial" w:hAnsi="Arial" w:cs="Arial"/>
          <w:sz w:val="20"/>
          <w:szCs w:val="20"/>
        </w:rPr>
        <w:t>e</w:t>
      </w:r>
      <w:r w:rsidRPr="008F3623">
        <w:rPr>
          <w:rFonts w:ascii="Arial" w:hAnsi="Arial" w:cs="Arial"/>
          <w:sz w:val="20"/>
          <w:szCs w:val="20"/>
        </w:rPr>
        <w:t>, ko je skupina en sam subjekt z eno ali več tujimi stalnimi poslovnimi enotami</w:t>
      </w:r>
      <w:r w:rsidR="00DC514C" w:rsidRPr="008F3623">
        <w:rPr>
          <w:rFonts w:ascii="Arial" w:hAnsi="Arial" w:cs="Arial"/>
          <w:sz w:val="20"/>
          <w:szCs w:val="20"/>
        </w:rPr>
        <w:t>. V teh primerih</w:t>
      </w:r>
      <w:r w:rsidRPr="008F3623">
        <w:rPr>
          <w:rFonts w:ascii="Arial" w:hAnsi="Arial" w:cs="Arial"/>
          <w:sz w:val="20"/>
          <w:szCs w:val="20"/>
        </w:rPr>
        <w:t xml:space="preserve"> je glavni subjekt </w:t>
      </w:r>
      <w:r w:rsidR="00DC514C" w:rsidRPr="008F3623">
        <w:rPr>
          <w:rFonts w:ascii="Arial" w:hAnsi="Arial" w:cs="Arial"/>
          <w:sz w:val="20"/>
          <w:szCs w:val="20"/>
        </w:rPr>
        <w:t>določen kot</w:t>
      </w:r>
      <w:r w:rsidRPr="008F3623">
        <w:rPr>
          <w:rFonts w:ascii="Arial" w:hAnsi="Arial" w:cs="Arial"/>
          <w:sz w:val="20"/>
          <w:szCs w:val="20"/>
        </w:rPr>
        <w:t xml:space="preserve"> UPE. </w:t>
      </w:r>
      <w:r w:rsidR="00DC514C" w:rsidRPr="008F3623">
        <w:rPr>
          <w:rFonts w:ascii="Arial" w:hAnsi="Arial" w:cs="Arial"/>
          <w:sz w:val="20"/>
          <w:szCs w:val="20"/>
        </w:rPr>
        <w:t>Ta</w:t>
      </w:r>
      <w:r w:rsidRPr="008F3623">
        <w:rPr>
          <w:rFonts w:ascii="Arial" w:hAnsi="Arial" w:cs="Arial"/>
          <w:sz w:val="20"/>
          <w:szCs w:val="20"/>
        </w:rPr>
        <w:t xml:space="preserve"> razširjena definicija UPE</w:t>
      </w:r>
      <w:r w:rsidR="00DC514C" w:rsidRPr="008F3623">
        <w:rPr>
          <w:rFonts w:ascii="Arial" w:hAnsi="Arial" w:cs="Arial"/>
          <w:sz w:val="20"/>
          <w:szCs w:val="20"/>
        </w:rPr>
        <w:t xml:space="preserve"> je</w:t>
      </w:r>
      <w:r w:rsidRPr="008F3623">
        <w:rPr>
          <w:rFonts w:ascii="Arial" w:hAnsi="Arial" w:cs="Arial"/>
          <w:sz w:val="20"/>
          <w:szCs w:val="20"/>
        </w:rPr>
        <w:t xml:space="preserve"> potrebna, da se zagotovi, da je domač subjekt, ki posluje prek PE, podvržen pravilom </w:t>
      </w:r>
      <w:r w:rsidR="00DC514C" w:rsidRPr="008F3623">
        <w:rPr>
          <w:rFonts w:ascii="Arial" w:hAnsi="Arial" w:cs="Arial"/>
          <w:sz w:val="20"/>
          <w:szCs w:val="20"/>
        </w:rPr>
        <w:t>povrhnjega davka</w:t>
      </w:r>
      <w:r w:rsidRPr="008F3623">
        <w:rPr>
          <w:rFonts w:ascii="Arial" w:hAnsi="Arial" w:cs="Arial"/>
          <w:sz w:val="20"/>
          <w:szCs w:val="20"/>
        </w:rPr>
        <w:t>.</w:t>
      </w:r>
    </w:p>
    <w:p w14:paraId="2DE4F7A1" w14:textId="77777777" w:rsidR="009A1A0A" w:rsidRPr="00392FD4" w:rsidRDefault="00507550" w:rsidP="00507550">
      <w:pPr>
        <w:pStyle w:val="FURSnaslov2"/>
        <w:rPr>
          <w:sz w:val="22"/>
          <w:szCs w:val="22"/>
          <w:lang w:val="sl-SI"/>
        </w:rPr>
      </w:pPr>
      <w:bookmarkStart w:id="16" w:name="_Toc157425309"/>
      <w:r w:rsidRPr="00392FD4">
        <w:rPr>
          <w:sz w:val="22"/>
          <w:szCs w:val="22"/>
          <w:lang w:val="sl-SI"/>
        </w:rPr>
        <w:t>3.3.</w:t>
      </w:r>
      <w:r w:rsidR="009A1A0A" w:rsidRPr="00392FD4">
        <w:rPr>
          <w:sz w:val="22"/>
          <w:szCs w:val="22"/>
          <w:lang w:val="sl-SI"/>
        </w:rPr>
        <w:t xml:space="preserve"> Izključeni subjekti</w:t>
      </w:r>
      <w:r w:rsidR="00551CC9">
        <w:rPr>
          <w:sz w:val="22"/>
          <w:szCs w:val="22"/>
          <w:lang w:val="sl-SI"/>
        </w:rPr>
        <w:t xml:space="preserve"> (6. člen ZMD)</w:t>
      </w:r>
      <w:bookmarkEnd w:id="16"/>
    </w:p>
    <w:p w14:paraId="43FCACEF" w14:textId="77777777" w:rsidR="00873B56" w:rsidRDefault="00453FAE" w:rsidP="00001991">
      <w:pPr>
        <w:jc w:val="both"/>
        <w:rPr>
          <w:rFonts w:ascii="Arial" w:hAnsi="Arial" w:cs="Arial"/>
          <w:sz w:val="20"/>
          <w:szCs w:val="20"/>
        </w:rPr>
      </w:pPr>
      <w:r w:rsidRPr="008F3623">
        <w:rPr>
          <w:rFonts w:ascii="Arial" w:hAnsi="Arial" w:cs="Arial"/>
          <w:sz w:val="20"/>
          <w:szCs w:val="20"/>
        </w:rPr>
        <w:t>ZMD izrecno našteva vrste subjektov, ki so izključeni subjekti. Praviloma ti subjekti ne bi bili konsolidirani z drugimi subjekt</w:t>
      </w:r>
      <w:r w:rsidR="00873B56">
        <w:rPr>
          <w:rFonts w:ascii="Arial" w:hAnsi="Arial" w:cs="Arial"/>
          <w:sz w:val="20"/>
          <w:szCs w:val="20"/>
        </w:rPr>
        <w:t>i</w:t>
      </w:r>
      <w:r w:rsidRPr="008F3623">
        <w:rPr>
          <w:rFonts w:ascii="Arial" w:hAnsi="Arial" w:cs="Arial"/>
          <w:sz w:val="20"/>
          <w:szCs w:val="20"/>
        </w:rPr>
        <w:t xml:space="preserve"> in zato ne bi bili obravnavani kot subjekti v sestavi take skupine v okviru pravil za določitev subjekt</w:t>
      </w:r>
      <w:r w:rsidR="00873B56">
        <w:rPr>
          <w:rFonts w:ascii="Arial" w:hAnsi="Arial" w:cs="Arial"/>
          <w:sz w:val="20"/>
          <w:szCs w:val="20"/>
        </w:rPr>
        <w:t>ov</w:t>
      </w:r>
      <w:r w:rsidRPr="008F3623">
        <w:rPr>
          <w:rFonts w:ascii="Arial" w:hAnsi="Arial" w:cs="Arial"/>
          <w:sz w:val="20"/>
          <w:szCs w:val="20"/>
        </w:rPr>
        <w:t xml:space="preserve"> v sestavi.</w:t>
      </w:r>
      <w:r w:rsidR="00873B56">
        <w:rPr>
          <w:rFonts w:ascii="Arial" w:hAnsi="Arial" w:cs="Arial"/>
          <w:sz w:val="20"/>
          <w:szCs w:val="20"/>
        </w:rPr>
        <w:t xml:space="preserve"> Pri tem je pomembno, da se pri ugotavljanju izpolnjevanja pogoja, da je skupina v okviru povrhnjega davka po prvem odstavku 6. člena ZMD, upošteva tudi </w:t>
      </w:r>
      <w:r w:rsidR="00873B56" w:rsidRPr="00873B56">
        <w:rPr>
          <w:rFonts w:ascii="Arial" w:hAnsi="Arial" w:cs="Arial"/>
          <w:sz w:val="20"/>
          <w:szCs w:val="20"/>
        </w:rPr>
        <w:t>letn</w:t>
      </w:r>
      <w:r w:rsidR="00873B56">
        <w:rPr>
          <w:rFonts w:ascii="Arial" w:hAnsi="Arial" w:cs="Arial"/>
          <w:sz w:val="20"/>
          <w:szCs w:val="20"/>
        </w:rPr>
        <w:t>e</w:t>
      </w:r>
      <w:r w:rsidR="00873B56" w:rsidRPr="00873B56">
        <w:rPr>
          <w:rFonts w:ascii="Arial" w:hAnsi="Arial" w:cs="Arial"/>
          <w:sz w:val="20"/>
          <w:szCs w:val="20"/>
        </w:rPr>
        <w:t xml:space="preserve"> prihodk</w:t>
      </w:r>
      <w:r w:rsidR="00873B56">
        <w:rPr>
          <w:rFonts w:ascii="Arial" w:hAnsi="Arial" w:cs="Arial"/>
          <w:sz w:val="20"/>
          <w:szCs w:val="20"/>
        </w:rPr>
        <w:t>e</w:t>
      </w:r>
      <w:r w:rsidR="00873B56" w:rsidRPr="00873B56">
        <w:rPr>
          <w:rFonts w:ascii="Arial" w:hAnsi="Arial" w:cs="Arial"/>
          <w:sz w:val="20"/>
          <w:szCs w:val="20"/>
        </w:rPr>
        <w:t xml:space="preserve"> izključenih subjektov, o katerih se poroča v konsolidiranih računovodskih izkazih krovnega matičnega subjekta</w:t>
      </w:r>
      <w:r w:rsidR="00873B56">
        <w:rPr>
          <w:rFonts w:ascii="Arial" w:hAnsi="Arial" w:cs="Arial"/>
          <w:sz w:val="20"/>
          <w:szCs w:val="20"/>
        </w:rPr>
        <w:t>.</w:t>
      </w:r>
    </w:p>
    <w:p w14:paraId="4F8337AC" w14:textId="77777777" w:rsidR="00453FAE" w:rsidRPr="008F3623" w:rsidRDefault="00453FAE" w:rsidP="00001991">
      <w:pPr>
        <w:jc w:val="both"/>
        <w:rPr>
          <w:rFonts w:ascii="Arial" w:hAnsi="Arial" w:cs="Arial"/>
          <w:sz w:val="20"/>
          <w:szCs w:val="20"/>
        </w:rPr>
      </w:pPr>
      <w:r w:rsidRPr="008F3623">
        <w:rPr>
          <w:rFonts w:ascii="Arial" w:hAnsi="Arial" w:cs="Arial"/>
          <w:sz w:val="20"/>
          <w:szCs w:val="20"/>
        </w:rPr>
        <w:t>ZMD izrecno navaja seznam izključenih subjektov s ciljem celovitosti, doslednost</w:t>
      </w:r>
      <w:r w:rsidR="00873B56">
        <w:rPr>
          <w:rFonts w:ascii="Arial" w:hAnsi="Arial" w:cs="Arial"/>
          <w:sz w:val="20"/>
          <w:szCs w:val="20"/>
        </w:rPr>
        <w:t>i</w:t>
      </w:r>
      <w:r w:rsidRPr="008F3623">
        <w:rPr>
          <w:rFonts w:ascii="Arial" w:hAnsi="Arial" w:cs="Arial"/>
          <w:sz w:val="20"/>
          <w:szCs w:val="20"/>
        </w:rPr>
        <w:t xml:space="preserve"> in </w:t>
      </w:r>
      <w:r w:rsidR="009A1A0A" w:rsidRPr="008F3623">
        <w:rPr>
          <w:rFonts w:ascii="Arial" w:hAnsi="Arial" w:cs="Arial"/>
          <w:sz w:val="20"/>
          <w:szCs w:val="20"/>
        </w:rPr>
        <w:t>jasnosti</w:t>
      </w:r>
      <w:r w:rsidR="00CC009A">
        <w:rPr>
          <w:rFonts w:ascii="Arial" w:hAnsi="Arial" w:cs="Arial"/>
          <w:sz w:val="20"/>
          <w:szCs w:val="20"/>
        </w:rPr>
        <w:t xml:space="preserve"> opredelitve izključenih subjektov</w:t>
      </w:r>
      <w:r w:rsidRPr="008F3623">
        <w:rPr>
          <w:rFonts w:ascii="Arial" w:hAnsi="Arial" w:cs="Arial"/>
          <w:sz w:val="20"/>
          <w:szCs w:val="20"/>
        </w:rPr>
        <w:t>.</w:t>
      </w:r>
    </w:p>
    <w:p w14:paraId="77FB9C12" w14:textId="77777777" w:rsidR="00001991" w:rsidRPr="008F3623" w:rsidRDefault="003F4EE0" w:rsidP="00001991">
      <w:pPr>
        <w:jc w:val="both"/>
        <w:rPr>
          <w:rFonts w:ascii="Arial" w:hAnsi="Arial" w:cs="Arial"/>
          <w:sz w:val="20"/>
          <w:szCs w:val="20"/>
        </w:rPr>
      </w:pPr>
      <w:r w:rsidRPr="008F3623">
        <w:rPr>
          <w:rFonts w:ascii="Arial" w:hAnsi="Arial" w:cs="Arial"/>
          <w:sz w:val="20"/>
          <w:szCs w:val="20"/>
        </w:rPr>
        <w:t xml:space="preserve">Izključeni subjekti </w:t>
      </w:r>
      <w:r w:rsidR="00FD592B">
        <w:rPr>
          <w:rFonts w:ascii="Arial" w:hAnsi="Arial" w:cs="Arial"/>
          <w:sz w:val="20"/>
          <w:szCs w:val="20"/>
        </w:rPr>
        <w:t>po</w:t>
      </w:r>
      <w:r w:rsidRPr="008F3623">
        <w:rPr>
          <w:rFonts w:ascii="Arial" w:hAnsi="Arial" w:cs="Arial"/>
          <w:sz w:val="20"/>
          <w:szCs w:val="20"/>
        </w:rPr>
        <w:t xml:space="preserve"> ZMD</w:t>
      </w:r>
      <w:r w:rsidR="00001991" w:rsidRPr="008F3623">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167"/>
        <w:gridCol w:w="8903"/>
      </w:tblGrid>
      <w:tr w:rsidR="00001991" w:rsidRPr="008F3623" w14:paraId="49D43E40" w14:textId="77777777" w:rsidTr="00852532">
        <w:tc>
          <w:tcPr>
            <w:tcW w:w="0" w:type="auto"/>
            <w:shd w:val="clear" w:color="auto" w:fill="auto"/>
            <w:hideMark/>
          </w:tcPr>
          <w:p w14:paraId="0A9F4F89"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1.</w:t>
            </w:r>
          </w:p>
        </w:tc>
        <w:tc>
          <w:tcPr>
            <w:tcW w:w="0" w:type="auto"/>
            <w:shd w:val="clear" w:color="auto" w:fill="auto"/>
            <w:hideMark/>
          </w:tcPr>
          <w:p w14:paraId="1CBAEAF3"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 xml:space="preserve"> vladni subjekt, mednarodna organizacija, neprofitna organizacija, pokojninski sklad, investicijski sklad, ki je krovni matični subjekt, ali nosilec nepremičninske investicije, ki je krovni matični subjekt;</w:t>
            </w:r>
          </w:p>
        </w:tc>
      </w:tr>
      <w:tr w:rsidR="00001991" w:rsidRPr="008F3623" w14:paraId="33CF8B50" w14:textId="77777777" w:rsidTr="00852532">
        <w:tc>
          <w:tcPr>
            <w:tcW w:w="0" w:type="auto"/>
            <w:shd w:val="clear" w:color="auto" w:fill="auto"/>
            <w:hideMark/>
          </w:tcPr>
          <w:p w14:paraId="6E64EC26"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2.</w:t>
            </w:r>
          </w:p>
        </w:tc>
        <w:tc>
          <w:tcPr>
            <w:tcW w:w="0" w:type="auto"/>
            <w:shd w:val="clear" w:color="auto" w:fill="auto"/>
            <w:hideMark/>
          </w:tcPr>
          <w:p w14:paraId="30C451E9"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 xml:space="preserve"> subjekt, katerega najmanj 95 % vrednosti je neposredno ali prek enega ali več izključenih subjektov v lasti enega ali več subjektov iz 1. točke tega odstavka, razen subjektov, ki opravljajo pokojninske storitve, in ki:</w:t>
            </w:r>
          </w:p>
          <w:tbl>
            <w:tblPr>
              <w:tblW w:w="5000" w:type="pct"/>
              <w:tblCellMar>
                <w:left w:w="0" w:type="dxa"/>
                <w:right w:w="0" w:type="dxa"/>
              </w:tblCellMar>
              <w:tblLook w:val="04A0" w:firstRow="1" w:lastRow="0" w:firstColumn="1" w:lastColumn="0" w:noHBand="0" w:noVBand="1"/>
            </w:tblPr>
            <w:tblGrid>
              <w:gridCol w:w="178"/>
              <w:gridCol w:w="8725"/>
            </w:tblGrid>
            <w:tr w:rsidR="00001991" w:rsidRPr="008F3623" w14:paraId="2ED175C1" w14:textId="77777777" w:rsidTr="00852532">
              <w:tc>
                <w:tcPr>
                  <w:tcW w:w="0" w:type="auto"/>
                  <w:shd w:val="clear" w:color="auto" w:fill="auto"/>
                  <w:hideMark/>
                </w:tcPr>
                <w:p w14:paraId="768724E5"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a)</w:t>
                  </w:r>
                </w:p>
              </w:tc>
              <w:tc>
                <w:tcPr>
                  <w:tcW w:w="0" w:type="auto"/>
                  <w:shd w:val="clear" w:color="auto" w:fill="auto"/>
                  <w:hideMark/>
                </w:tcPr>
                <w:p w14:paraId="399F4972"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 xml:space="preserve"> posluje izključno ali skoraj izključno za namene posedovanja ali vlaganja sredstev v korist subjekta ali subjektov iz 1. točke ali</w:t>
                  </w:r>
                </w:p>
              </w:tc>
            </w:tr>
            <w:tr w:rsidR="00001991" w:rsidRPr="008F3623" w14:paraId="02A08CEE" w14:textId="77777777" w:rsidTr="00852532">
              <w:tc>
                <w:tcPr>
                  <w:tcW w:w="0" w:type="auto"/>
                  <w:shd w:val="clear" w:color="auto" w:fill="auto"/>
                  <w:hideMark/>
                </w:tcPr>
                <w:p w14:paraId="349F30B3"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b)</w:t>
                  </w:r>
                </w:p>
              </w:tc>
              <w:tc>
                <w:tcPr>
                  <w:tcW w:w="0" w:type="auto"/>
                  <w:shd w:val="clear" w:color="auto" w:fill="auto"/>
                  <w:hideMark/>
                </w:tcPr>
                <w:p w14:paraId="5A1C16B9"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 xml:space="preserve"> izvaja izključno dejavnosti, ki so pomožne tistim, ki jih opravljajo subjekt ali subjekti iz  1. točke;</w:t>
                  </w:r>
                </w:p>
              </w:tc>
            </w:tr>
          </w:tbl>
          <w:p w14:paraId="644B3224" w14:textId="77777777" w:rsidR="00001991" w:rsidRPr="008F3623" w:rsidRDefault="00001991" w:rsidP="00852532">
            <w:pPr>
              <w:spacing w:after="0" w:line="240" w:lineRule="auto"/>
              <w:rPr>
                <w:rFonts w:ascii="Arial" w:hAnsi="Arial" w:cs="Arial"/>
                <w:sz w:val="20"/>
                <w:szCs w:val="20"/>
              </w:rPr>
            </w:pPr>
          </w:p>
        </w:tc>
      </w:tr>
      <w:tr w:rsidR="00001991" w:rsidRPr="008F3623" w14:paraId="51A5D82C" w14:textId="77777777" w:rsidTr="00852532">
        <w:tc>
          <w:tcPr>
            <w:tcW w:w="0" w:type="auto"/>
            <w:shd w:val="clear" w:color="auto" w:fill="auto"/>
            <w:hideMark/>
          </w:tcPr>
          <w:p w14:paraId="3C204CB0"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3.</w:t>
            </w:r>
          </w:p>
        </w:tc>
        <w:tc>
          <w:tcPr>
            <w:tcW w:w="0" w:type="auto"/>
            <w:shd w:val="clear" w:color="auto" w:fill="auto"/>
            <w:hideMark/>
          </w:tcPr>
          <w:p w14:paraId="3E2AC07F" w14:textId="77777777" w:rsidR="00001991" w:rsidRPr="008F3623" w:rsidRDefault="00001991" w:rsidP="00852532">
            <w:pPr>
              <w:spacing w:before="120" w:after="0" w:line="240" w:lineRule="auto"/>
              <w:jc w:val="both"/>
              <w:rPr>
                <w:rFonts w:ascii="Arial" w:hAnsi="Arial" w:cs="Arial"/>
                <w:sz w:val="20"/>
                <w:szCs w:val="20"/>
              </w:rPr>
            </w:pPr>
            <w:r w:rsidRPr="008F3623">
              <w:rPr>
                <w:rFonts w:ascii="Arial" w:hAnsi="Arial" w:cs="Arial"/>
                <w:sz w:val="20"/>
                <w:szCs w:val="20"/>
              </w:rPr>
              <w:t xml:space="preserve"> subjekt, katerega najmanj 85 % vrednosti je neposredno ali prek enega ali več izključenih subjektov v lasti enega ali več subjektov iz 1. točke, razen subjektov, ki opravljajo pokojninske storitve, če skoraj </w:t>
            </w:r>
            <w:r w:rsidRPr="008F3623">
              <w:rPr>
                <w:rFonts w:ascii="Arial" w:hAnsi="Arial" w:cs="Arial"/>
                <w:sz w:val="20"/>
                <w:szCs w:val="20"/>
              </w:rPr>
              <w:lastRenderedPageBreak/>
              <w:t xml:space="preserve">ves njegov dohodek izhaja iz dividend ali dobičkov ali izgub iz lastniškega kapitala, ki so izključeni iz izračuna kvalificiranega dohodka ali izgube v skladu z drugo in tretjo točko drugega odstavka 23. člena Zakona o minimalnem davku. </w:t>
            </w:r>
          </w:p>
          <w:p w14:paraId="0927A9B2" w14:textId="77777777" w:rsidR="00001991" w:rsidRPr="008F3623" w:rsidRDefault="00001991" w:rsidP="00852532">
            <w:pPr>
              <w:spacing w:before="120" w:after="0" w:line="240" w:lineRule="auto"/>
              <w:jc w:val="both"/>
              <w:rPr>
                <w:rFonts w:ascii="Arial" w:hAnsi="Arial" w:cs="Arial"/>
                <w:sz w:val="20"/>
                <w:szCs w:val="20"/>
              </w:rPr>
            </w:pPr>
          </w:p>
        </w:tc>
      </w:tr>
    </w:tbl>
    <w:p w14:paraId="6262E6E6" w14:textId="77777777" w:rsidR="00001991" w:rsidRPr="008F3623" w:rsidRDefault="00001991" w:rsidP="00001991">
      <w:pPr>
        <w:jc w:val="both"/>
        <w:rPr>
          <w:rFonts w:ascii="Arial" w:hAnsi="Arial" w:cs="Arial"/>
          <w:sz w:val="20"/>
          <w:szCs w:val="20"/>
        </w:rPr>
      </w:pPr>
      <w:r w:rsidRPr="008F3623">
        <w:rPr>
          <w:rFonts w:ascii="Arial" w:hAnsi="Arial" w:cs="Arial"/>
          <w:sz w:val="20"/>
          <w:szCs w:val="20"/>
        </w:rPr>
        <w:lastRenderedPageBreak/>
        <w:t xml:space="preserve">Kot izhaja iz zgornjih opredelitev, so izključeni subjekti praviloma subjekti, ki ne opravljajo trgovinske ali poslovne dejavnosti, opravljajo pa dejavnosti v splošnem interesu. Izključen subjekt je tudi investicijski sklad, ki je krovni matični subjekt. Za izključene subjekte se </w:t>
      </w:r>
      <w:r w:rsidR="005A586F" w:rsidRPr="008F3623">
        <w:rPr>
          <w:rFonts w:ascii="Arial" w:hAnsi="Arial" w:cs="Arial"/>
          <w:sz w:val="20"/>
          <w:szCs w:val="20"/>
        </w:rPr>
        <w:t>ZMD</w:t>
      </w:r>
      <w:r w:rsidRPr="008F3623">
        <w:rPr>
          <w:rFonts w:ascii="Arial" w:hAnsi="Arial" w:cs="Arial"/>
          <w:sz w:val="20"/>
          <w:szCs w:val="20"/>
        </w:rPr>
        <w:t xml:space="preserve"> praviloma ne uporablja. </w:t>
      </w:r>
    </w:p>
    <w:p w14:paraId="0740FA5F" w14:textId="77777777" w:rsidR="00D3149B" w:rsidRPr="008F3623" w:rsidRDefault="009A1A0A" w:rsidP="009A1A0A">
      <w:pPr>
        <w:jc w:val="both"/>
        <w:rPr>
          <w:rFonts w:ascii="Arial" w:hAnsi="Arial" w:cs="Arial"/>
          <w:b/>
          <w:bCs/>
          <w:sz w:val="20"/>
          <w:szCs w:val="20"/>
        </w:rPr>
      </w:pPr>
      <w:r w:rsidRPr="008F3623">
        <w:rPr>
          <w:rFonts w:ascii="Arial" w:hAnsi="Arial" w:cs="Arial"/>
          <w:sz w:val="20"/>
          <w:szCs w:val="20"/>
        </w:rPr>
        <w:t xml:space="preserve">Posebno pozornosti je treba nameniti </w:t>
      </w:r>
      <w:r w:rsidRPr="00CC009A">
        <w:rPr>
          <w:rFonts w:ascii="Arial" w:hAnsi="Arial" w:cs="Arial"/>
          <w:b/>
          <w:bCs/>
          <w:sz w:val="20"/>
          <w:szCs w:val="20"/>
        </w:rPr>
        <w:t>2. točki</w:t>
      </w:r>
      <w:r w:rsidRPr="008F3623">
        <w:rPr>
          <w:rFonts w:ascii="Arial" w:hAnsi="Arial" w:cs="Arial"/>
          <w:sz w:val="20"/>
          <w:szCs w:val="20"/>
        </w:rPr>
        <w:t xml:space="preserve"> izključenih subjektov, ki morajo prestati </w:t>
      </w:r>
      <w:r w:rsidRPr="008F3623">
        <w:rPr>
          <w:rFonts w:ascii="Arial" w:hAnsi="Arial" w:cs="Arial"/>
          <w:b/>
          <w:bCs/>
          <w:sz w:val="20"/>
          <w:szCs w:val="20"/>
        </w:rPr>
        <w:t xml:space="preserve">test lastništva </w:t>
      </w:r>
      <w:r w:rsidRPr="008F3623">
        <w:rPr>
          <w:rFonts w:ascii="Arial" w:hAnsi="Arial" w:cs="Arial"/>
          <w:sz w:val="20"/>
          <w:szCs w:val="20"/>
        </w:rPr>
        <w:t>in</w:t>
      </w:r>
      <w:r w:rsidRPr="008F3623">
        <w:rPr>
          <w:rFonts w:ascii="Arial" w:hAnsi="Arial" w:cs="Arial"/>
          <w:b/>
          <w:bCs/>
          <w:sz w:val="20"/>
          <w:szCs w:val="20"/>
        </w:rPr>
        <w:t xml:space="preserve"> test dejavnosti. </w:t>
      </w:r>
    </w:p>
    <w:p w14:paraId="62D1C8CE" w14:textId="77777777" w:rsidR="009A1A0A" w:rsidRPr="008F3623" w:rsidRDefault="009A1A0A" w:rsidP="009A1A0A">
      <w:pPr>
        <w:jc w:val="both"/>
        <w:rPr>
          <w:rFonts w:ascii="Arial" w:hAnsi="Arial" w:cs="Arial"/>
          <w:sz w:val="20"/>
          <w:szCs w:val="20"/>
        </w:rPr>
      </w:pPr>
      <w:r w:rsidRPr="008F3623">
        <w:rPr>
          <w:rFonts w:ascii="Arial" w:hAnsi="Arial" w:cs="Arial"/>
          <w:sz w:val="20"/>
          <w:szCs w:val="20"/>
        </w:rPr>
        <w:t xml:space="preserve">V skladu s </w:t>
      </w:r>
      <w:r w:rsidRPr="008F3623">
        <w:rPr>
          <w:rFonts w:ascii="Arial" w:hAnsi="Arial" w:cs="Arial"/>
          <w:b/>
          <w:bCs/>
          <w:sz w:val="20"/>
          <w:szCs w:val="20"/>
        </w:rPr>
        <w:t>testom lastništva</w:t>
      </w:r>
      <w:r w:rsidRPr="008F3623">
        <w:rPr>
          <w:rFonts w:ascii="Arial" w:hAnsi="Arial" w:cs="Arial"/>
          <w:sz w:val="20"/>
          <w:szCs w:val="20"/>
        </w:rPr>
        <w:t xml:space="preserve"> mora en ali več izključenih subjektov, opredeljenih v 1. točki imeti v lasti vsaj 95% vrednosti subjekta. Prag 95% omogoča situacije, v katerih obstaja lastnik manjšinskega deleža, na primer, če je upravljavec sklada lastnik majhnega odstotka investicijskega sklada ali kadar domači zakon zahteva vsaj dva delničarja za ustanovitev družbe ali kadar mora izključeni subjekt investirati prek partnerstva in mora za potrebe domačega zakona imeti drug subjekt vlogo generalnega partnerja.</w:t>
      </w:r>
    </w:p>
    <w:p w14:paraId="25116CD1" w14:textId="77777777" w:rsidR="009A1A0A" w:rsidRPr="008F3623" w:rsidRDefault="009A1A0A" w:rsidP="009A1A0A">
      <w:pPr>
        <w:jc w:val="both"/>
        <w:rPr>
          <w:rFonts w:ascii="Arial" w:hAnsi="Arial" w:cs="Arial"/>
          <w:sz w:val="20"/>
          <w:szCs w:val="20"/>
        </w:rPr>
      </w:pPr>
      <w:r w:rsidRPr="008F3623">
        <w:rPr>
          <w:rFonts w:ascii="Arial" w:hAnsi="Arial" w:cs="Arial"/>
          <w:sz w:val="20"/>
          <w:szCs w:val="20"/>
        </w:rPr>
        <w:t>Lastniški test je prav tako izpolnjen, če ima izključeni subjekt v 1. točki lastni vsaj 95% vrednosti subjekta</w:t>
      </w:r>
      <w:r w:rsidR="008F2A3B" w:rsidRPr="008F3623">
        <w:rPr>
          <w:rFonts w:ascii="Arial" w:hAnsi="Arial" w:cs="Arial"/>
          <w:sz w:val="20"/>
          <w:szCs w:val="20"/>
        </w:rPr>
        <w:t xml:space="preserve"> posredno</w:t>
      </w:r>
      <w:r w:rsidRPr="008F3623">
        <w:rPr>
          <w:rFonts w:ascii="Arial" w:hAnsi="Arial" w:cs="Arial"/>
          <w:sz w:val="20"/>
          <w:szCs w:val="20"/>
        </w:rPr>
        <w:t xml:space="preserve"> prek verige izključenih subjektov. </w:t>
      </w:r>
    </w:p>
    <w:p w14:paraId="28884992" w14:textId="77777777" w:rsidR="009A1A0A" w:rsidRPr="00392FD4" w:rsidRDefault="009A1A0A" w:rsidP="00507550">
      <w:pPr>
        <w:pStyle w:val="FURSnaslov2"/>
        <w:rPr>
          <w:i/>
          <w:iCs/>
          <w:sz w:val="20"/>
          <w:szCs w:val="20"/>
          <w:lang w:val="sl-SI"/>
        </w:rPr>
      </w:pPr>
      <w:bookmarkStart w:id="17" w:name="_Toc157425310"/>
      <w:r w:rsidRPr="00392FD4">
        <w:rPr>
          <w:i/>
          <w:iCs/>
          <w:sz w:val="20"/>
          <w:szCs w:val="20"/>
          <w:lang w:val="sl-SI"/>
        </w:rPr>
        <w:t>Primer 3</w:t>
      </w:r>
      <w:r w:rsidR="00507550" w:rsidRPr="00392FD4">
        <w:rPr>
          <w:i/>
          <w:iCs/>
          <w:sz w:val="20"/>
          <w:szCs w:val="20"/>
          <w:lang w:val="sl-SI"/>
        </w:rPr>
        <w:t xml:space="preserve"> – izključeni subjekti</w:t>
      </w:r>
      <w:bookmarkEnd w:id="17"/>
    </w:p>
    <w:p w14:paraId="0F7B2FFF" w14:textId="77777777" w:rsidR="00001991" w:rsidRPr="008F3623" w:rsidRDefault="009A1A0A" w:rsidP="009A1A0A">
      <w:pPr>
        <w:jc w:val="both"/>
        <w:rPr>
          <w:rFonts w:ascii="Arial" w:hAnsi="Arial" w:cs="Arial"/>
          <w:i/>
          <w:iCs/>
          <w:sz w:val="20"/>
          <w:szCs w:val="20"/>
        </w:rPr>
      </w:pPr>
      <w:r w:rsidRPr="008F3623">
        <w:rPr>
          <w:rFonts w:ascii="Arial" w:hAnsi="Arial" w:cs="Arial"/>
          <w:i/>
          <w:iCs/>
          <w:sz w:val="20"/>
          <w:szCs w:val="20"/>
        </w:rPr>
        <w:t xml:space="preserve">Na primer, A Co je izključeni subjekt </w:t>
      </w:r>
      <w:r w:rsidR="006D1561" w:rsidRPr="008F3623">
        <w:rPr>
          <w:rFonts w:ascii="Arial" w:hAnsi="Arial" w:cs="Arial"/>
          <w:i/>
          <w:iCs/>
          <w:sz w:val="20"/>
          <w:szCs w:val="20"/>
        </w:rPr>
        <w:t>po 1. točki</w:t>
      </w:r>
      <w:r w:rsidRPr="008F3623">
        <w:rPr>
          <w:rFonts w:ascii="Arial" w:hAnsi="Arial" w:cs="Arial"/>
          <w:i/>
          <w:iCs/>
          <w:sz w:val="20"/>
          <w:szCs w:val="20"/>
        </w:rPr>
        <w:t xml:space="preserve"> A Co </w:t>
      </w:r>
      <w:r w:rsidR="006D1561" w:rsidRPr="008F3623">
        <w:rPr>
          <w:rFonts w:ascii="Arial" w:hAnsi="Arial" w:cs="Arial"/>
          <w:i/>
          <w:iCs/>
          <w:sz w:val="20"/>
          <w:szCs w:val="20"/>
        </w:rPr>
        <w:t xml:space="preserve">je 100% lastnik </w:t>
      </w:r>
      <w:r w:rsidRPr="008F3623">
        <w:rPr>
          <w:rFonts w:ascii="Arial" w:hAnsi="Arial" w:cs="Arial"/>
          <w:i/>
          <w:iCs/>
          <w:sz w:val="20"/>
          <w:szCs w:val="20"/>
        </w:rPr>
        <w:t>B Co (drugi izključeni subjekt</w:t>
      </w:r>
      <w:r w:rsidR="006D1561" w:rsidRPr="008F3623">
        <w:rPr>
          <w:rFonts w:ascii="Arial" w:hAnsi="Arial" w:cs="Arial"/>
          <w:i/>
          <w:iCs/>
          <w:sz w:val="20"/>
          <w:szCs w:val="20"/>
        </w:rPr>
        <w:t xml:space="preserve"> po 1. točki</w:t>
      </w:r>
      <w:r w:rsidRPr="008F3623">
        <w:rPr>
          <w:rFonts w:ascii="Arial" w:hAnsi="Arial" w:cs="Arial"/>
          <w:i/>
          <w:iCs/>
          <w:sz w:val="20"/>
          <w:szCs w:val="20"/>
        </w:rPr>
        <w:t xml:space="preserve">), ki </w:t>
      </w:r>
      <w:r w:rsidR="006D1561" w:rsidRPr="008F3623">
        <w:rPr>
          <w:rFonts w:ascii="Arial" w:hAnsi="Arial" w:cs="Arial"/>
          <w:i/>
          <w:iCs/>
          <w:sz w:val="20"/>
          <w:szCs w:val="20"/>
        </w:rPr>
        <w:t>je nato lastnik</w:t>
      </w:r>
      <w:r w:rsidRPr="008F3623">
        <w:rPr>
          <w:rFonts w:ascii="Arial" w:hAnsi="Arial" w:cs="Arial"/>
          <w:i/>
          <w:iCs/>
          <w:sz w:val="20"/>
          <w:szCs w:val="20"/>
        </w:rPr>
        <w:t xml:space="preserve"> 95% vrednosti </w:t>
      </w:r>
      <w:r w:rsidR="006D1561" w:rsidRPr="008F3623">
        <w:rPr>
          <w:rFonts w:ascii="Arial" w:hAnsi="Arial" w:cs="Arial"/>
          <w:i/>
          <w:iCs/>
          <w:sz w:val="20"/>
          <w:szCs w:val="20"/>
        </w:rPr>
        <w:t xml:space="preserve">v </w:t>
      </w:r>
      <w:r w:rsidRPr="008F3623">
        <w:rPr>
          <w:rFonts w:ascii="Arial" w:hAnsi="Arial" w:cs="Arial"/>
          <w:i/>
          <w:iCs/>
          <w:sz w:val="20"/>
          <w:szCs w:val="20"/>
        </w:rPr>
        <w:t xml:space="preserve">C Co. V tem primeru C Co izpolnjuje lastniški </w:t>
      </w:r>
      <w:r w:rsidR="006D1561" w:rsidRPr="008F3623">
        <w:rPr>
          <w:rFonts w:ascii="Arial" w:hAnsi="Arial" w:cs="Arial"/>
          <w:i/>
          <w:iCs/>
          <w:sz w:val="20"/>
          <w:szCs w:val="20"/>
        </w:rPr>
        <w:t>test</w:t>
      </w:r>
      <w:r w:rsidRPr="008F3623">
        <w:rPr>
          <w:rFonts w:ascii="Arial" w:hAnsi="Arial" w:cs="Arial"/>
          <w:i/>
          <w:iCs/>
          <w:sz w:val="20"/>
          <w:szCs w:val="20"/>
        </w:rPr>
        <w:t xml:space="preserve"> v</w:t>
      </w:r>
      <w:r w:rsidR="006D1561" w:rsidRPr="008F3623">
        <w:rPr>
          <w:rFonts w:ascii="Arial" w:hAnsi="Arial" w:cs="Arial"/>
          <w:i/>
          <w:iCs/>
          <w:sz w:val="20"/>
          <w:szCs w:val="20"/>
        </w:rPr>
        <w:t xml:space="preserve"> točki 2</w:t>
      </w:r>
      <w:r w:rsidRPr="008F3623">
        <w:rPr>
          <w:rFonts w:ascii="Arial" w:hAnsi="Arial" w:cs="Arial"/>
          <w:i/>
          <w:iCs/>
          <w:sz w:val="20"/>
          <w:szCs w:val="20"/>
        </w:rPr>
        <w:t>, ker 95% njegove vrednosti posredno lastni A Co. Nasprotno, če bi</w:t>
      </w:r>
      <w:r w:rsidR="006D1561" w:rsidRPr="008F3623">
        <w:rPr>
          <w:rFonts w:ascii="Arial" w:hAnsi="Arial" w:cs="Arial"/>
          <w:i/>
          <w:iCs/>
          <w:sz w:val="20"/>
          <w:szCs w:val="20"/>
        </w:rPr>
        <w:t xml:space="preserve"> bil</w:t>
      </w:r>
      <w:r w:rsidRPr="008F3623">
        <w:rPr>
          <w:rFonts w:ascii="Arial" w:hAnsi="Arial" w:cs="Arial"/>
          <w:i/>
          <w:iCs/>
          <w:sz w:val="20"/>
          <w:szCs w:val="20"/>
        </w:rPr>
        <w:t xml:space="preserve"> A Co 95% lastni</w:t>
      </w:r>
      <w:r w:rsidR="006D1561" w:rsidRPr="008F3623">
        <w:rPr>
          <w:rFonts w:ascii="Arial" w:hAnsi="Arial" w:cs="Arial"/>
          <w:i/>
          <w:iCs/>
          <w:sz w:val="20"/>
          <w:szCs w:val="20"/>
        </w:rPr>
        <w:t>k</w:t>
      </w:r>
      <w:r w:rsidRPr="008F3623">
        <w:rPr>
          <w:rFonts w:ascii="Arial" w:hAnsi="Arial" w:cs="Arial"/>
          <w:i/>
          <w:iCs/>
          <w:sz w:val="20"/>
          <w:szCs w:val="20"/>
        </w:rPr>
        <w:t xml:space="preserve"> deležev B Co, potem lastniški preizkus ni izpolnjen glede na C Co, ker bi </w:t>
      </w:r>
      <w:r w:rsidR="006D1561" w:rsidRPr="008F3623">
        <w:rPr>
          <w:rFonts w:ascii="Arial" w:hAnsi="Arial" w:cs="Arial"/>
          <w:i/>
          <w:iCs/>
          <w:sz w:val="20"/>
          <w:szCs w:val="20"/>
        </w:rPr>
        <w:t xml:space="preserve">bil posredni lastniški delež </w:t>
      </w:r>
      <w:r w:rsidRPr="008F3623">
        <w:rPr>
          <w:rFonts w:ascii="Arial" w:hAnsi="Arial" w:cs="Arial"/>
          <w:i/>
          <w:iCs/>
          <w:sz w:val="20"/>
          <w:szCs w:val="20"/>
        </w:rPr>
        <w:t>A Co</w:t>
      </w:r>
      <w:r w:rsidR="006D1561" w:rsidRPr="008F3623">
        <w:rPr>
          <w:rFonts w:ascii="Arial" w:hAnsi="Arial" w:cs="Arial"/>
          <w:i/>
          <w:iCs/>
          <w:sz w:val="20"/>
          <w:szCs w:val="20"/>
        </w:rPr>
        <w:t xml:space="preserve"> v C Co</w:t>
      </w:r>
      <w:r w:rsidRPr="008F3623">
        <w:rPr>
          <w:rFonts w:ascii="Arial" w:hAnsi="Arial" w:cs="Arial"/>
          <w:i/>
          <w:iCs/>
          <w:sz w:val="20"/>
          <w:szCs w:val="20"/>
        </w:rPr>
        <w:t xml:space="preserve"> 90% (95% x 95%).</w:t>
      </w:r>
    </w:p>
    <w:p w14:paraId="03ED07D5" w14:textId="77777777" w:rsidR="00D3149B" w:rsidRPr="008F3623" w:rsidRDefault="008D1557" w:rsidP="00D3149B">
      <w:pPr>
        <w:jc w:val="both"/>
        <w:rPr>
          <w:rFonts w:ascii="Arial" w:hAnsi="Arial" w:cs="Arial"/>
          <w:sz w:val="20"/>
          <w:szCs w:val="20"/>
        </w:rPr>
      </w:pPr>
      <w:r w:rsidRPr="002B7251">
        <w:rPr>
          <w:rFonts w:ascii="Arial" w:hAnsi="Arial"/>
          <w:b/>
          <w:sz w:val="20"/>
        </w:rPr>
        <w:t>Test</w:t>
      </w:r>
      <w:r w:rsidR="00D3149B" w:rsidRPr="002B7251">
        <w:rPr>
          <w:rFonts w:ascii="Arial" w:hAnsi="Arial"/>
          <w:b/>
          <w:sz w:val="20"/>
        </w:rPr>
        <w:t xml:space="preserve"> dejavnosti</w:t>
      </w:r>
      <w:r w:rsidR="00D3149B" w:rsidRPr="008F3623">
        <w:rPr>
          <w:rFonts w:ascii="Arial" w:hAnsi="Arial" w:cs="Arial"/>
          <w:sz w:val="20"/>
          <w:szCs w:val="20"/>
        </w:rPr>
        <w:t xml:space="preserve"> je razdeljen na dv</w:t>
      </w:r>
      <w:r w:rsidRPr="008F3623">
        <w:rPr>
          <w:rFonts w:ascii="Arial" w:hAnsi="Arial" w:cs="Arial"/>
          <w:sz w:val="20"/>
          <w:szCs w:val="20"/>
        </w:rPr>
        <w:t>e komplementarni pravili</w:t>
      </w:r>
      <w:r w:rsidR="00D3149B" w:rsidRPr="008F3623">
        <w:rPr>
          <w:rFonts w:ascii="Arial" w:hAnsi="Arial" w:cs="Arial"/>
          <w:sz w:val="20"/>
          <w:szCs w:val="20"/>
        </w:rPr>
        <w:t>.</w:t>
      </w:r>
      <w:r w:rsidRPr="008F3623">
        <w:rPr>
          <w:rFonts w:ascii="Arial" w:hAnsi="Arial" w:cs="Arial"/>
          <w:sz w:val="20"/>
          <w:szCs w:val="20"/>
        </w:rPr>
        <w:t xml:space="preserve"> </w:t>
      </w:r>
      <w:r w:rsidRPr="002B7251">
        <w:rPr>
          <w:rFonts w:ascii="Arial" w:hAnsi="Arial"/>
          <w:sz w:val="20"/>
          <w:u w:val="single"/>
        </w:rPr>
        <w:t>Prvo pravilo</w:t>
      </w:r>
      <w:r w:rsidRPr="008F3623">
        <w:rPr>
          <w:rFonts w:ascii="Arial" w:hAnsi="Arial" w:cs="Arial"/>
          <w:sz w:val="20"/>
          <w:szCs w:val="20"/>
        </w:rPr>
        <w:t xml:space="preserve"> zahteva</w:t>
      </w:r>
      <w:r w:rsidR="00D3149B" w:rsidRPr="008F3623">
        <w:rPr>
          <w:rFonts w:ascii="Arial" w:hAnsi="Arial" w:cs="Arial"/>
          <w:sz w:val="20"/>
          <w:szCs w:val="20"/>
        </w:rPr>
        <w:t xml:space="preserve">, da subjekt deluje "izključno ali skoraj izključno za namen držanja sredstev ali naložbe sredstev." Besedi "izključno ali skoraj izključno" označujeta preizkus dejstev in okoliščin, ki zahteva, da so vse ali skoraj vse dejavnosti subjekta povezane z držanjem sredstev ali naložbo sredstev. Ta </w:t>
      </w:r>
      <w:r w:rsidRPr="008F3623">
        <w:rPr>
          <w:rFonts w:ascii="Arial" w:hAnsi="Arial" w:cs="Arial"/>
          <w:sz w:val="20"/>
          <w:szCs w:val="20"/>
        </w:rPr>
        <w:t xml:space="preserve">dikcija </w:t>
      </w:r>
      <w:r w:rsidR="00D3149B" w:rsidRPr="008F3623">
        <w:rPr>
          <w:rFonts w:ascii="Arial" w:hAnsi="Arial" w:cs="Arial"/>
          <w:sz w:val="20"/>
          <w:szCs w:val="20"/>
        </w:rPr>
        <w:t xml:space="preserve">pomeni tudi, da mora subjekt v skladu </w:t>
      </w:r>
      <w:r w:rsidRPr="008F3623">
        <w:rPr>
          <w:rFonts w:ascii="Arial" w:hAnsi="Arial" w:cs="Arial"/>
          <w:sz w:val="20"/>
          <w:szCs w:val="20"/>
        </w:rPr>
        <w:t xml:space="preserve">točko </w:t>
      </w:r>
      <w:r w:rsidR="008F2A3B" w:rsidRPr="008F3623">
        <w:rPr>
          <w:rFonts w:ascii="Arial" w:hAnsi="Arial" w:cs="Arial"/>
          <w:sz w:val="20"/>
          <w:szCs w:val="20"/>
        </w:rPr>
        <w:t>2</w:t>
      </w:r>
      <w:r w:rsidR="00D3149B" w:rsidRPr="008F3623">
        <w:rPr>
          <w:rFonts w:ascii="Arial" w:hAnsi="Arial" w:cs="Arial"/>
          <w:sz w:val="20"/>
          <w:szCs w:val="20"/>
        </w:rPr>
        <w:t xml:space="preserve"> delovati pasivno in ne sme aktivno izvajati dejavnosti, ki niso povezane z držanjem sredstev ali naložbo sredstev.</w:t>
      </w:r>
    </w:p>
    <w:p w14:paraId="375220B7" w14:textId="77777777" w:rsidR="00D3149B" w:rsidRPr="008F3623" w:rsidRDefault="00187EC4" w:rsidP="00D3149B">
      <w:pPr>
        <w:jc w:val="both"/>
        <w:rPr>
          <w:rFonts w:ascii="Arial" w:hAnsi="Arial" w:cs="Arial"/>
          <w:sz w:val="20"/>
          <w:szCs w:val="20"/>
        </w:rPr>
      </w:pPr>
      <w:r w:rsidRPr="002B7251">
        <w:rPr>
          <w:rFonts w:ascii="Arial" w:hAnsi="Arial"/>
          <w:sz w:val="20"/>
          <w:u w:val="single"/>
        </w:rPr>
        <w:t>Drugo pravilo</w:t>
      </w:r>
      <w:r w:rsidRPr="008F3623">
        <w:rPr>
          <w:rFonts w:ascii="Arial" w:hAnsi="Arial" w:cs="Arial"/>
          <w:sz w:val="20"/>
          <w:szCs w:val="20"/>
        </w:rPr>
        <w:t>, ki dopolnjuje prvo,</w:t>
      </w:r>
      <w:r w:rsidR="008F2A3B" w:rsidRPr="008F3623">
        <w:rPr>
          <w:rFonts w:ascii="Arial" w:hAnsi="Arial" w:cs="Arial"/>
          <w:sz w:val="20"/>
          <w:szCs w:val="20"/>
        </w:rPr>
        <w:t xml:space="preserve"> določa, da</w:t>
      </w:r>
      <w:r w:rsidRPr="008F3623">
        <w:rPr>
          <w:rFonts w:ascii="Arial" w:hAnsi="Arial" w:cs="Arial"/>
          <w:sz w:val="20"/>
          <w:szCs w:val="20"/>
        </w:rPr>
        <w:t xml:space="preserve"> je preizkus dejavnosti izpolnjen, če subjekt izvaja samo dejavnosti, ki so sekundarne/podporne</w:t>
      </w:r>
      <w:r w:rsidR="008F2A3B" w:rsidRPr="008F3623">
        <w:rPr>
          <w:rFonts w:ascii="Arial" w:hAnsi="Arial" w:cs="Arial"/>
          <w:sz w:val="20"/>
          <w:szCs w:val="20"/>
        </w:rPr>
        <w:t>/pomožne</w:t>
      </w:r>
      <w:r w:rsidRPr="008F3623">
        <w:rPr>
          <w:rFonts w:ascii="Arial" w:hAnsi="Arial" w:cs="Arial"/>
          <w:sz w:val="20"/>
          <w:szCs w:val="20"/>
        </w:rPr>
        <w:t xml:space="preserve"> glede na dejavnosti, ki jih izvaja izključeni subjekt. Ta alternativni preizkus dejavnosti je bil vključen, ker se v nekaterih situacijah dejavnosti, ki bi jih sicer izvajal izključeni subjekt, izvajajo prek zunanjega pravnega subjekta, ki </w:t>
      </w:r>
      <w:r w:rsidR="008F2A3B" w:rsidRPr="008F3623">
        <w:rPr>
          <w:rFonts w:ascii="Arial" w:hAnsi="Arial" w:cs="Arial"/>
          <w:sz w:val="20"/>
          <w:szCs w:val="20"/>
        </w:rPr>
        <w:t>je</w:t>
      </w:r>
      <w:r w:rsidRPr="008F3623">
        <w:rPr>
          <w:rFonts w:ascii="Arial" w:hAnsi="Arial" w:cs="Arial"/>
          <w:sz w:val="20"/>
          <w:szCs w:val="20"/>
        </w:rPr>
        <w:t xml:space="preserve"> v celoti </w:t>
      </w:r>
      <w:r w:rsidR="008F2A3B" w:rsidRPr="008F3623">
        <w:rPr>
          <w:rFonts w:ascii="Arial" w:hAnsi="Arial" w:cs="Arial"/>
          <w:sz w:val="20"/>
          <w:szCs w:val="20"/>
        </w:rPr>
        <w:t xml:space="preserve">v </w:t>
      </w:r>
      <w:r w:rsidRPr="008F3623">
        <w:rPr>
          <w:rFonts w:ascii="Arial" w:hAnsi="Arial" w:cs="Arial"/>
          <w:sz w:val="20"/>
          <w:szCs w:val="20"/>
        </w:rPr>
        <w:t>lasti izključen</w:t>
      </w:r>
      <w:r w:rsidR="008F2A3B" w:rsidRPr="008F3623">
        <w:rPr>
          <w:rFonts w:ascii="Arial" w:hAnsi="Arial" w:cs="Arial"/>
          <w:sz w:val="20"/>
          <w:szCs w:val="20"/>
        </w:rPr>
        <w:t>ega</w:t>
      </w:r>
      <w:r w:rsidRPr="008F3623">
        <w:rPr>
          <w:rFonts w:ascii="Arial" w:hAnsi="Arial" w:cs="Arial"/>
          <w:sz w:val="20"/>
          <w:szCs w:val="20"/>
        </w:rPr>
        <w:t xml:space="preserve"> subjekt</w:t>
      </w:r>
      <w:r w:rsidR="008F2A3B" w:rsidRPr="008F3623">
        <w:rPr>
          <w:rFonts w:ascii="Arial" w:hAnsi="Arial" w:cs="Arial"/>
          <w:sz w:val="20"/>
          <w:szCs w:val="20"/>
        </w:rPr>
        <w:t>a</w:t>
      </w:r>
      <w:r w:rsidRPr="008F3623">
        <w:rPr>
          <w:rFonts w:ascii="Arial" w:hAnsi="Arial" w:cs="Arial"/>
          <w:sz w:val="20"/>
          <w:szCs w:val="20"/>
        </w:rPr>
        <w:t xml:space="preserve"> (vključno s tistimi, ki so v lasti 95%). Na primer, če izključeni subjekt ustanovi podjetje za informacijske tehnologije, ki zagotavlja storitve izključno izključenemu subjektu, potem bi takšno podjetje izpolnilo zahtevo v skladu s tem pravilom</w:t>
      </w:r>
      <w:r w:rsidR="00D3149B" w:rsidRPr="008F3623">
        <w:rPr>
          <w:rFonts w:ascii="Arial" w:hAnsi="Arial" w:cs="Arial"/>
          <w:sz w:val="20"/>
          <w:szCs w:val="20"/>
        </w:rPr>
        <w:t>.</w:t>
      </w:r>
    </w:p>
    <w:p w14:paraId="64BDD802" w14:textId="77777777" w:rsidR="00B01054" w:rsidRPr="008F3623" w:rsidRDefault="00B01054" w:rsidP="00D3149B">
      <w:pPr>
        <w:jc w:val="both"/>
        <w:rPr>
          <w:rFonts w:ascii="Arial" w:hAnsi="Arial" w:cs="Arial"/>
          <w:sz w:val="20"/>
          <w:szCs w:val="20"/>
        </w:rPr>
      </w:pPr>
      <w:r w:rsidRPr="008F3623">
        <w:rPr>
          <w:rFonts w:ascii="Arial" w:hAnsi="Arial" w:cs="Arial"/>
          <w:b/>
          <w:bCs/>
          <w:sz w:val="20"/>
          <w:szCs w:val="20"/>
        </w:rPr>
        <w:t>V 3. točki</w:t>
      </w:r>
      <w:r w:rsidRPr="008F3623">
        <w:rPr>
          <w:rFonts w:ascii="Arial" w:hAnsi="Arial" w:cs="Arial"/>
          <w:sz w:val="20"/>
          <w:szCs w:val="20"/>
        </w:rPr>
        <w:t xml:space="preserve"> </w:t>
      </w:r>
      <w:r w:rsidR="00B525CD" w:rsidRPr="008F3623">
        <w:rPr>
          <w:rFonts w:ascii="Arial" w:hAnsi="Arial" w:cs="Arial"/>
          <w:sz w:val="20"/>
          <w:szCs w:val="20"/>
        </w:rPr>
        <w:t>so izključeni subjekti</w:t>
      </w:r>
      <w:r w:rsidRPr="008F3623">
        <w:rPr>
          <w:rFonts w:ascii="Arial" w:hAnsi="Arial" w:cs="Arial"/>
          <w:sz w:val="20"/>
          <w:szCs w:val="20"/>
        </w:rPr>
        <w:t xml:space="preserve">, </w:t>
      </w:r>
      <w:r w:rsidR="00B525CD" w:rsidRPr="008F3623">
        <w:rPr>
          <w:rFonts w:ascii="Arial" w:hAnsi="Arial" w:cs="Arial"/>
          <w:sz w:val="20"/>
          <w:szCs w:val="20"/>
        </w:rPr>
        <w:t xml:space="preserve">ki so v lasti subjektov iz 1. točke </w:t>
      </w:r>
      <w:r w:rsidRPr="008F3623">
        <w:rPr>
          <w:rFonts w:ascii="Arial" w:hAnsi="Arial" w:cs="Arial"/>
          <w:sz w:val="20"/>
          <w:szCs w:val="20"/>
        </w:rPr>
        <w:t>(razen</w:t>
      </w:r>
      <w:r w:rsidR="00B525CD" w:rsidRPr="008F3623">
        <w:rPr>
          <w:rFonts w:ascii="Arial" w:hAnsi="Arial" w:cs="Arial"/>
          <w:sz w:val="20"/>
          <w:szCs w:val="20"/>
        </w:rPr>
        <w:t xml:space="preserve"> subjektov, ki opravljajo pokojninske storitve</w:t>
      </w:r>
      <w:r w:rsidRPr="008F3623">
        <w:rPr>
          <w:rFonts w:ascii="Arial" w:hAnsi="Arial" w:cs="Arial"/>
          <w:sz w:val="20"/>
          <w:szCs w:val="20"/>
        </w:rPr>
        <w:t xml:space="preserve">), </w:t>
      </w:r>
      <w:r w:rsidR="00B525CD" w:rsidRPr="008F3623">
        <w:rPr>
          <w:rFonts w:ascii="Arial" w:hAnsi="Arial" w:cs="Arial"/>
          <w:sz w:val="20"/>
          <w:szCs w:val="20"/>
        </w:rPr>
        <w:t xml:space="preserve">v višini </w:t>
      </w:r>
      <w:r w:rsidRPr="008F3623">
        <w:rPr>
          <w:rFonts w:ascii="Arial" w:hAnsi="Arial" w:cs="Arial"/>
          <w:sz w:val="20"/>
          <w:szCs w:val="20"/>
        </w:rPr>
        <w:t xml:space="preserve">vsaj 85% vrednosti drugega subjekta, katerega neto dohodek ali izguba iz finančnega računovodstva bi sicer bila izvzeta iz dohodka ali izgube </w:t>
      </w:r>
      <w:r w:rsidR="00B525CD" w:rsidRPr="008F3623">
        <w:rPr>
          <w:rFonts w:ascii="Arial" w:hAnsi="Arial" w:cs="Arial"/>
          <w:sz w:val="20"/>
          <w:szCs w:val="20"/>
        </w:rPr>
        <w:t>povrhnjega davka</w:t>
      </w:r>
      <w:r w:rsidRPr="008F3623">
        <w:rPr>
          <w:rFonts w:ascii="Arial" w:hAnsi="Arial" w:cs="Arial"/>
          <w:sz w:val="20"/>
          <w:szCs w:val="20"/>
        </w:rPr>
        <w:t xml:space="preserve">, ker je </w:t>
      </w:r>
      <w:r w:rsidR="00B525CD" w:rsidRPr="008F3623">
        <w:rPr>
          <w:rFonts w:ascii="Arial" w:hAnsi="Arial" w:cs="Arial"/>
          <w:sz w:val="20"/>
          <w:szCs w:val="20"/>
        </w:rPr>
        <w:t>skoraj v celoti</w:t>
      </w:r>
      <w:r w:rsidRPr="008F3623">
        <w:rPr>
          <w:rFonts w:ascii="Arial" w:hAnsi="Arial" w:cs="Arial"/>
          <w:sz w:val="20"/>
          <w:szCs w:val="20"/>
        </w:rPr>
        <w:t xml:space="preserve"> sestavljen iz izključenih dividend ali izključenih dobičkov ali izgub, ki so izvzeti iz dohodka</w:t>
      </w:r>
      <w:r w:rsidR="00B525CD" w:rsidRPr="008F3623">
        <w:rPr>
          <w:rFonts w:ascii="Arial" w:hAnsi="Arial" w:cs="Arial"/>
          <w:sz w:val="20"/>
          <w:szCs w:val="20"/>
        </w:rPr>
        <w:t xml:space="preserve"> povrhnjega davka</w:t>
      </w:r>
      <w:r w:rsidRPr="008F3623">
        <w:rPr>
          <w:rFonts w:ascii="Arial" w:hAnsi="Arial" w:cs="Arial"/>
          <w:sz w:val="20"/>
          <w:szCs w:val="20"/>
        </w:rPr>
        <w:t>.</w:t>
      </w:r>
      <w:r w:rsidR="00B525CD" w:rsidRPr="008F3623">
        <w:rPr>
          <w:rFonts w:ascii="Arial" w:hAnsi="Arial" w:cs="Arial"/>
          <w:sz w:val="20"/>
          <w:szCs w:val="20"/>
        </w:rPr>
        <w:t xml:space="preserve"> K</w:t>
      </w:r>
      <w:r w:rsidRPr="008F3623">
        <w:rPr>
          <w:rFonts w:ascii="Arial" w:hAnsi="Arial" w:cs="Arial"/>
          <w:sz w:val="20"/>
          <w:szCs w:val="20"/>
        </w:rPr>
        <w:t>er je ves dohodek</w:t>
      </w:r>
      <w:r w:rsidR="00B525CD" w:rsidRPr="008F3623">
        <w:rPr>
          <w:rFonts w:ascii="Arial" w:hAnsi="Arial" w:cs="Arial"/>
          <w:sz w:val="20"/>
          <w:szCs w:val="20"/>
        </w:rPr>
        <w:t xml:space="preserve"> takih subjektov</w:t>
      </w:r>
      <w:r w:rsidRPr="008F3623">
        <w:rPr>
          <w:rFonts w:ascii="Arial" w:hAnsi="Arial" w:cs="Arial"/>
          <w:sz w:val="20"/>
          <w:szCs w:val="20"/>
        </w:rPr>
        <w:t xml:space="preserve"> izvzet iz </w:t>
      </w:r>
      <w:r w:rsidR="00B525CD" w:rsidRPr="008F3623">
        <w:rPr>
          <w:rFonts w:ascii="Arial" w:hAnsi="Arial" w:cs="Arial"/>
          <w:sz w:val="20"/>
          <w:szCs w:val="20"/>
        </w:rPr>
        <w:t xml:space="preserve">kvalificiranega </w:t>
      </w:r>
      <w:r w:rsidRPr="008F3623">
        <w:rPr>
          <w:rFonts w:ascii="Arial" w:hAnsi="Arial" w:cs="Arial"/>
          <w:sz w:val="20"/>
          <w:szCs w:val="20"/>
        </w:rPr>
        <w:t xml:space="preserve">dohodka </w:t>
      </w:r>
      <w:r w:rsidR="00B525CD" w:rsidRPr="008F3623">
        <w:rPr>
          <w:rFonts w:ascii="Arial" w:hAnsi="Arial" w:cs="Arial"/>
          <w:sz w:val="20"/>
          <w:szCs w:val="20"/>
        </w:rPr>
        <w:t>za izračun povrhnjega davka, ni smiselno vključevati takih subjektov v okvir povrhnjega davka</w:t>
      </w:r>
      <w:r w:rsidRPr="008F3623">
        <w:rPr>
          <w:rFonts w:ascii="Arial" w:hAnsi="Arial" w:cs="Arial"/>
          <w:sz w:val="20"/>
          <w:szCs w:val="20"/>
        </w:rPr>
        <w:t>.</w:t>
      </w:r>
      <w:r w:rsidR="00B525CD" w:rsidRPr="008F3623">
        <w:rPr>
          <w:rFonts w:ascii="Arial" w:hAnsi="Arial" w:cs="Arial"/>
          <w:sz w:val="20"/>
          <w:szCs w:val="20"/>
        </w:rPr>
        <w:t xml:space="preserve"> </w:t>
      </w:r>
      <w:r w:rsidRPr="002B7251">
        <w:rPr>
          <w:rFonts w:ascii="Arial" w:hAnsi="Arial"/>
          <w:sz w:val="20"/>
          <w:u w:val="single"/>
        </w:rPr>
        <w:t>Izraz "</w:t>
      </w:r>
      <w:r w:rsidR="00B525CD" w:rsidRPr="002B7251">
        <w:rPr>
          <w:rFonts w:ascii="Arial" w:hAnsi="Arial"/>
          <w:sz w:val="20"/>
          <w:u w:val="single"/>
        </w:rPr>
        <w:t xml:space="preserve"> skoraj ves njegov dohodek</w:t>
      </w:r>
      <w:r w:rsidRPr="002B7251">
        <w:rPr>
          <w:rFonts w:ascii="Arial" w:hAnsi="Arial"/>
          <w:sz w:val="20"/>
          <w:u w:val="single"/>
        </w:rPr>
        <w:t>"</w:t>
      </w:r>
      <w:r w:rsidRPr="008F3623">
        <w:rPr>
          <w:rFonts w:ascii="Arial" w:hAnsi="Arial" w:cs="Arial"/>
          <w:sz w:val="20"/>
          <w:szCs w:val="20"/>
        </w:rPr>
        <w:t xml:space="preserve"> (to je ves ali skoraj ves dohodek</w:t>
      </w:r>
      <w:r w:rsidR="00B525CD" w:rsidRPr="008F3623">
        <w:rPr>
          <w:rFonts w:ascii="Arial" w:hAnsi="Arial" w:cs="Arial"/>
          <w:sz w:val="20"/>
          <w:szCs w:val="20"/>
        </w:rPr>
        <w:t xml:space="preserve"> subjektov iz 3. točke</w:t>
      </w:r>
      <w:r w:rsidRPr="008F3623">
        <w:rPr>
          <w:rFonts w:ascii="Arial" w:hAnsi="Arial" w:cs="Arial"/>
          <w:sz w:val="20"/>
          <w:szCs w:val="20"/>
        </w:rPr>
        <w:t xml:space="preserve">) je bil vključen, da se prepreči situacija, kjer subjekt ne izpolni pogojev iz </w:t>
      </w:r>
      <w:r w:rsidR="00B525CD" w:rsidRPr="008F3623">
        <w:rPr>
          <w:rFonts w:ascii="Arial" w:hAnsi="Arial" w:cs="Arial"/>
          <w:sz w:val="20"/>
          <w:szCs w:val="20"/>
        </w:rPr>
        <w:t>3. točke</w:t>
      </w:r>
      <w:r w:rsidRPr="008F3623">
        <w:rPr>
          <w:rFonts w:ascii="Arial" w:hAnsi="Arial" w:cs="Arial"/>
          <w:sz w:val="20"/>
          <w:szCs w:val="20"/>
        </w:rPr>
        <w:t xml:space="preserve"> samo zato, ker prejme majhno količino dohodka, ki ni v obliki dividend ali drugih donosov na lastniški kapital </w:t>
      </w:r>
      <w:r w:rsidR="00FF7866" w:rsidRPr="008F3623">
        <w:rPr>
          <w:rFonts w:ascii="Arial" w:hAnsi="Arial" w:cs="Arial"/>
          <w:sz w:val="20"/>
          <w:szCs w:val="20"/>
        </w:rPr>
        <w:t>iz</w:t>
      </w:r>
      <w:r w:rsidRPr="008F3623">
        <w:rPr>
          <w:rFonts w:ascii="Arial" w:hAnsi="Arial" w:cs="Arial"/>
          <w:sz w:val="20"/>
          <w:szCs w:val="20"/>
        </w:rPr>
        <w:t xml:space="preserve"> kontrolirani</w:t>
      </w:r>
      <w:r w:rsidR="00FF7866" w:rsidRPr="008F3623">
        <w:rPr>
          <w:rFonts w:ascii="Arial" w:hAnsi="Arial" w:cs="Arial"/>
          <w:sz w:val="20"/>
          <w:szCs w:val="20"/>
        </w:rPr>
        <w:t xml:space="preserve">h </w:t>
      </w:r>
      <w:r w:rsidRPr="008F3623">
        <w:rPr>
          <w:rFonts w:ascii="Arial" w:hAnsi="Arial" w:cs="Arial"/>
          <w:sz w:val="20"/>
          <w:szCs w:val="20"/>
        </w:rPr>
        <w:t>družb</w:t>
      </w:r>
      <w:r w:rsidR="00FF7866" w:rsidRPr="008F3623">
        <w:rPr>
          <w:rFonts w:ascii="Arial" w:hAnsi="Arial" w:cs="Arial"/>
          <w:sz w:val="20"/>
          <w:szCs w:val="20"/>
        </w:rPr>
        <w:t>.</w:t>
      </w:r>
      <w:r w:rsidRPr="008F3623">
        <w:rPr>
          <w:rFonts w:ascii="Arial" w:hAnsi="Arial" w:cs="Arial"/>
          <w:sz w:val="20"/>
          <w:szCs w:val="20"/>
        </w:rPr>
        <w:t xml:space="preserve"> </w:t>
      </w:r>
    </w:p>
    <w:p w14:paraId="6214A229" w14:textId="77777777" w:rsidR="00916220" w:rsidRDefault="00916220" w:rsidP="00D3149B">
      <w:pPr>
        <w:jc w:val="both"/>
        <w:rPr>
          <w:rFonts w:ascii="Arial" w:hAnsi="Arial" w:cs="Arial"/>
          <w:sz w:val="20"/>
          <w:szCs w:val="20"/>
        </w:rPr>
      </w:pPr>
      <w:r w:rsidRPr="008F3623">
        <w:rPr>
          <w:rFonts w:ascii="Arial" w:hAnsi="Arial" w:cs="Arial"/>
          <w:b/>
          <w:bCs/>
          <w:sz w:val="20"/>
          <w:szCs w:val="20"/>
        </w:rPr>
        <w:t>Opcija:</w:t>
      </w:r>
      <w:r w:rsidRPr="008F3623">
        <w:rPr>
          <w:rFonts w:ascii="Arial" w:hAnsi="Arial" w:cs="Arial"/>
          <w:sz w:val="20"/>
          <w:szCs w:val="20"/>
        </w:rPr>
        <w:t xml:space="preserve"> </w:t>
      </w:r>
      <w:r w:rsidR="005348A8" w:rsidRPr="008F3623">
        <w:rPr>
          <w:rFonts w:ascii="Arial" w:hAnsi="Arial" w:cs="Arial"/>
          <w:sz w:val="20"/>
          <w:szCs w:val="20"/>
        </w:rPr>
        <w:t>ZMD</w:t>
      </w:r>
      <w:r w:rsidRPr="008F3623">
        <w:rPr>
          <w:rFonts w:ascii="Arial" w:hAnsi="Arial" w:cs="Arial"/>
          <w:sz w:val="20"/>
          <w:szCs w:val="20"/>
        </w:rPr>
        <w:t xml:space="preserve"> določa možnost, da se </w:t>
      </w:r>
      <w:r w:rsidR="005348A8" w:rsidRPr="008F3623">
        <w:rPr>
          <w:rFonts w:ascii="Arial" w:hAnsi="Arial" w:cs="Arial"/>
          <w:sz w:val="20"/>
          <w:szCs w:val="20"/>
        </w:rPr>
        <w:t>2. in 3. točka</w:t>
      </w:r>
      <w:r w:rsidRPr="008F3623">
        <w:rPr>
          <w:rFonts w:ascii="Arial" w:hAnsi="Arial" w:cs="Arial"/>
          <w:sz w:val="20"/>
          <w:szCs w:val="20"/>
        </w:rPr>
        <w:t xml:space="preserve"> prezre v zvezi s subjektom, ki izpolnjuje pogoje za izključen subjekt v skladu s tem</w:t>
      </w:r>
      <w:r w:rsidR="005348A8" w:rsidRPr="008F3623">
        <w:rPr>
          <w:rFonts w:ascii="Arial" w:hAnsi="Arial" w:cs="Arial"/>
          <w:sz w:val="20"/>
          <w:szCs w:val="20"/>
        </w:rPr>
        <w:t>a točkama.</w:t>
      </w:r>
      <w:r w:rsidRPr="008F3623">
        <w:rPr>
          <w:rFonts w:ascii="Arial" w:hAnsi="Arial" w:cs="Arial"/>
          <w:sz w:val="20"/>
          <w:szCs w:val="20"/>
        </w:rPr>
        <w:t xml:space="preserve"> </w:t>
      </w:r>
      <w:r w:rsidR="005348A8" w:rsidRPr="008F3623">
        <w:rPr>
          <w:rFonts w:ascii="Arial" w:hAnsi="Arial" w:cs="Arial"/>
          <w:sz w:val="20"/>
          <w:szCs w:val="20"/>
        </w:rPr>
        <w:t>Gre za p</w:t>
      </w:r>
      <w:r w:rsidRPr="008F3623">
        <w:rPr>
          <w:rFonts w:ascii="Arial" w:hAnsi="Arial" w:cs="Arial"/>
          <w:sz w:val="20"/>
          <w:szCs w:val="20"/>
        </w:rPr>
        <w:t>etletn</w:t>
      </w:r>
      <w:r w:rsidR="005348A8" w:rsidRPr="008F3623">
        <w:rPr>
          <w:rFonts w:ascii="Arial" w:hAnsi="Arial" w:cs="Arial"/>
          <w:sz w:val="20"/>
          <w:szCs w:val="20"/>
        </w:rPr>
        <w:t>o</w:t>
      </w:r>
      <w:r w:rsidRPr="008F3623">
        <w:rPr>
          <w:rFonts w:ascii="Arial" w:hAnsi="Arial" w:cs="Arial"/>
          <w:sz w:val="20"/>
          <w:szCs w:val="20"/>
        </w:rPr>
        <w:t xml:space="preserve"> izbir</w:t>
      </w:r>
      <w:r w:rsidR="005348A8" w:rsidRPr="008F3623">
        <w:rPr>
          <w:rFonts w:ascii="Arial" w:hAnsi="Arial" w:cs="Arial"/>
          <w:sz w:val="20"/>
          <w:szCs w:val="20"/>
        </w:rPr>
        <w:t>o</w:t>
      </w:r>
      <w:r w:rsidR="00CC009A">
        <w:rPr>
          <w:rFonts w:ascii="Arial" w:hAnsi="Arial" w:cs="Arial"/>
          <w:sz w:val="20"/>
          <w:szCs w:val="20"/>
        </w:rPr>
        <w:t xml:space="preserve"> </w:t>
      </w:r>
      <w:r w:rsidR="005348A8" w:rsidRPr="008F3623">
        <w:rPr>
          <w:rFonts w:ascii="Arial" w:hAnsi="Arial" w:cs="Arial"/>
          <w:sz w:val="20"/>
          <w:szCs w:val="20"/>
        </w:rPr>
        <w:t xml:space="preserve">in v tem času se </w:t>
      </w:r>
      <w:r w:rsidRPr="008F3623">
        <w:rPr>
          <w:rFonts w:ascii="Arial" w:hAnsi="Arial" w:cs="Arial"/>
          <w:sz w:val="20"/>
          <w:szCs w:val="20"/>
        </w:rPr>
        <w:t>pravila</w:t>
      </w:r>
      <w:r w:rsidR="005348A8" w:rsidRPr="008F3623">
        <w:rPr>
          <w:rFonts w:ascii="Arial" w:hAnsi="Arial" w:cs="Arial"/>
          <w:sz w:val="20"/>
          <w:szCs w:val="20"/>
        </w:rPr>
        <w:t xml:space="preserve"> povrhnjega davka</w:t>
      </w:r>
      <w:r w:rsidRPr="008F3623">
        <w:rPr>
          <w:rFonts w:ascii="Arial" w:hAnsi="Arial" w:cs="Arial"/>
          <w:sz w:val="20"/>
          <w:szCs w:val="20"/>
        </w:rPr>
        <w:t xml:space="preserve"> uporabljajo za subjekt</w:t>
      </w:r>
      <w:r w:rsidR="005348A8" w:rsidRPr="008F3623">
        <w:rPr>
          <w:rFonts w:ascii="Arial" w:hAnsi="Arial" w:cs="Arial"/>
          <w:sz w:val="20"/>
          <w:szCs w:val="20"/>
        </w:rPr>
        <w:t xml:space="preserve">e iz 2. in 3. točke </w:t>
      </w:r>
      <w:r w:rsidRPr="008F3623">
        <w:rPr>
          <w:rFonts w:ascii="Arial" w:hAnsi="Arial" w:cs="Arial"/>
          <w:sz w:val="20"/>
          <w:szCs w:val="20"/>
        </w:rPr>
        <w:t xml:space="preserve">na enak način, kot se uporabljajo za kateri koli drug subjekt v sestavi skupine MNE. </w:t>
      </w:r>
    </w:p>
    <w:p w14:paraId="4C9DEC24" w14:textId="77777777" w:rsidR="00006691" w:rsidRPr="00201C02" w:rsidRDefault="00A04D64" w:rsidP="00A2110D">
      <w:pPr>
        <w:pStyle w:val="FURSnaslov2"/>
        <w:rPr>
          <w:sz w:val="20"/>
          <w:szCs w:val="20"/>
          <w:lang w:val="sl-SI"/>
        </w:rPr>
      </w:pPr>
      <w:bookmarkStart w:id="18" w:name="_Toc157425311"/>
      <w:r w:rsidRPr="00201C02">
        <w:rPr>
          <w:sz w:val="20"/>
          <w:szCs w:val="20"/>
          <w:lang w:val="sl-SI"/>
        </w:rPr>
        <w:lastRenderedPageBreak/>
        <w:t>3.4. Matični subjekt v delni lasti</w:t>
      </w:r>
      <w:r w:rsidR="001305E7">
        <w:rPr>
          <w:sz w:val="20"/>
          <w:szCs w:val="20"/>
          <w:lang w:val="sl-SI"/>
        </w:rPr>
        <w:t xml:space="preserve"> (23. točka 7. člena ZMD)</w:t>
      </w:r>
      <w:bookmarkEnd w:id="18"/>
    </w:p>
    <w:p w14:paraId="2F1AEFB8" w14:textId="0C62DCB1" w:rsidR="005C77F9" w:rsidRPr="00DC691B" w:rsidRDefault="005B4370" w:rsidP="005C77F9">
      <w:pPr>
        <w:jc w:val="both"/>
        <w:rPr>
          <w:rFonts w:ascii="Arial" w:hAnsi="Arial" w:cs="Arial"/>
          <w:sz w:val="20"/>
          <w:szCs w:val="20"/>
        </w:rPr>
      </w:pPr>
      <w:r w:rsidRPr="00DC691B">
        <w:rPr>
          <w:rFonts w:ascii="Arial" w:hAnsi="Arial" w:cs="Arial"/>
          <w:sz w:val="20"/>
          <w:szCs w:val="20"/>
        </w:rPr>
        <w:t>„Matični subjekt v delni lasti“</w:t>
      </w:r>
      <w:r w:rsidR="00E10900" w:rsidRPr="00DC691B">
        <w:rPr>
          <w:rFonts w:ascii="Arial" w:hAnsi="Arial" w:cs="Arial"/>
          <w:sz w:val="20"/>
          <w:szCs w:val="20"/>
        </w:rPr>
        <w:t xml:space="preserve"> ali POPE (</w:t>
      </w:r>
      <w:proofErr w:type="spellStart"/>
      <w:r w:rsidR="00E10900" w:rsidRPr="00DC691B">
        <w:rPr>
          <w:rFonts w:ascii="Arial" w:hAnsi="Arial" w:cs="Arial"/>
          <w:sz w:val="20"/>
          <w:szCs w:val="20"/>
        </w:rPr>
        <w:t>partially-owned</w:t>
      </w:r>
      <w:proofErr w:type="spellEnd"/>
      <w:r w:rsidR="00E10900" w:rsidRPr="00DC691B">
        <w:rPr>
          <w:rFonts w:ascii="Arial" w:hAnsi="Arial" w:cs="Arial"/>
          <w:sz w:val="20"/>
          <w:szCs w:val="20"/>
        </w:rPr>
        <w:t xml:space="preserve"> </w:t>
      </w:r>
      <w:proofErr w:type="spellStart"/>
      <w:r w:rsidR="00E10900" w:rsidRPr="00DC691B">
        <w:rPr>
          <w:rFonts w:ascii="Arial" w:hAnsi="Arial" w:cs="Arial"/>
          <w:sz w:val="20"/>
          <w:szCs w:val="20"/>
        </w:rPr>
        <w:t>parent</w:t>
      </w:r>
      <w:proofErr w:type="spellEnd"/>
      <w:r w:rsidR="00E10900" w:rsidRPr="00DC691B">
        <w:rPr>
          <w:rFonts w:ascii="Arial" w:hAnsi="Arial" w:cs="Arial"/>
          <w:sz w:val="20"/>
          <w:szCs w:val="20"/>
        </w:rPr>
        <w:t xml:space="preserve"> </w:t>
      </w:r>
      <w:proofErr w:type="spellStart"/>
      <w:r w:rsidR="00E10900" w:rsidRPr="00DC691B">
        <w:rPr>
          <w:rFonts w:ascii="Arial" w:hAnsi="Arial" w:cs="Arial"/>
          <w:sz w:val="20"/>
          <w:szCs w:val="20"/>
        </w:rPr>
        <w:t>entity</w:t>
      </w:r>
      <w:proofErr w:type="spellEnd"/>
      <w:r w:rsidR="00E10900" w:rsidRPr="00DC691B">
        <w:rPr>
          <w:rFonts w:ascii="Arial" w:hAnsi="Arial" w:cs="Arial"/>
          <w:sz w:val="20"/>
          <w:szCs w:val="20"/>
        </w:rPr>
        <w:t>)</w:t>
      </w:r>
      <w:r w:rsidRPr="00DC691B">
        <w:rPr>
          <w:rFonts w:ascii="Arial" w:hAnsi="Arial" w:cs="Arial"/>
          <w:sz w:val="20"/>
          <w:szCs w:val="20"/>
        </w:rPr>
        <w:t xml:space="preserve"> pomeni subjekt v sestavi, ki ima neposredno ali posredno v lasti lastniški delež v drugem subjektu v sestavi iste mednarodne skupine podjetij ali velike domače skupine in za katerega velja, da je več kot 20 % lastniškega deleža pri njegovem dobičku v neposredni ali posredni posesti ene osebe ali več oseb, ki niso subjekti v sestavi te mednarodne skupine podjetij ali velike domače skupine, in ki se ne šteje za krovni matični subjekt, stalno poslovno enoto ali investicijski subjekt.</w:t>
      </w:r>
      <w:r w:rsidR="005C77F9">
        <w:rPr>
          <w:rFonts w:ascii="Arial" w:hAnsi="Arial" w:cs="Arial"/>
          <w:sz w:val="20"/>
          <w:szCs w:val="20"/>
        </w:rPr>
        <w:t xml:space="preserve"> Skladno s OECD smernicami februar 2023 tudi zavarovalni investicijski subjekti ne morejo biti opredeljeni kot matični subjekti v delni lasti. </w:t>
      </w:r>
    </w:p>
    <w:p w14:paraId="7847A629" w14:textId="77777777" w:rsidR="005B4370" w:rsidRDefault="00E10900" w:rsidP="00DC691B">
      <w:pPr>
        <w:jc w:val="both"/>
        <w:rPr>
          <w:rFonts w:ascii="Arial" w:hAnsi="Arial" w:cs="Arial"/>
          <w:sz w:val="20"/>
          <w:szCs w:val="20"/>
        </w:rPr>
      </w:pPr>
      <w:r w:rsidRPr="00DC691B">
        <w:rPr>
          <w:rFonts w:ascii="Arial" w:hAnsi="Arial" w:cs="Arial"/>
          <w:sz w:val="20"/>
          <w:szCs w:val="20"/>
        </w:rPr>
        <w:t xml:space="preserve">POPE so relevantne predvsem z vidika aplikacije pravila o vključitvi dohodkov (IIR) povrhnjega davka in vrstnega reda dodelitve povrhnjega davka v okviru pravila IIR. </w:t>
      </w:r>
    </w:p>
    <w:p w14:paraId="6FBE7BC9" w14:textId="77777777" w:rsidR="007B4358" w:rsidRDefault="007B4358" w:rsidP="00DC691B">
      <w:pPr>
        <w:jc w:val="both"/>
        <w:rPr>
          <w:rFonts w:ascii="Arial" w:hAnsi="Arial" w:cs="Arial"/>
          <w:sz w:val="20"/>
          <w:szCs w:val="20"/>
        </w:rPr>
      </w:pPr>
      <w:r>
        <w:rPr>
          <w:rFonts w:ascii="Arial" w:hAnsi="Arial" w:cs="Arial"/>
          <w:sz w:val="20"/>
          <w:szCs w:val="20"/>
        </w:rPr>
        <w:t>Spodaj je podan prikaz strukture skupine z matičnim subjektom v delni lasti:</w:t>
      </w:r>
    </w:p>
    <w:p w14:paraId="799FC8D3" w14:textId="77777777" w:rsidR="007B4358" w:rsidRPr="00DC691B" w:rsidRDefault="007B4358" w:rsidP="00DC691B">
      <w:pPr>
        <w:jc w:val="both"/>
        <w:rPr>
          <w:rFonts w:ascii="Arial" w:hAnsi="Arial" w:cs="Arial"/>
          <w:sz w:val="20"/>
          <w:szCs w:val="20"/>
        </w:rPr>
      </w:pPr>
      <w:r>
        <w:rPr>
          <w:rFonts w:ascii="Arial" w:hAnsi="Arial" w:cs="Arial"/>
          <w:noProof/>
          <w:sz w:val="20"/>
          <w:szCs w:val="20"/>
          <w:lang w:eastAsia="sl-SI"/>
        </w:rPr>
        <w:drawing>
          <wp:inline distT="0" distB="0" distL="0" distR="0" wp14:anchorId="33E0C2A5" wp14:editId="50980E4E">
            <wp:extent cx="5456185" cy="3742176"/>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518" cy="3754064"/>
                    </a:xfrm>
                    <a:prstGeom prst="rect">
                      <a:avLst/>
                    </a:prstGeom>
                    <a:noFill/>
                  </pic:spPr>
                </pic:pic>
              </a:graphicData>
            </a:graphic>
          </wp:inline>
        </w:drawing>
      </w:r>
    </w:p>
    <w:p w14:paraId="01E83BC5" w14:textId="77777777" w:rsidR="00A04D64" w:rsidRDefault="00A04D64" w:rsidP="00A2110D">
      <w:pPr>
        <w:pStyle w:val="FURSnaslov2"/>
        <w:rPr>
          <w:sz w:val="20"/>
          <w:szCs w:val="20"/>
          <w:lang w:val="sl-SI"/>
        </w:rPr>
      </w:pPr>
      <w:bookmarkStart w:id="19" w:name="_Toc157425312"/>
      <w:r w:rsidRPr="00E10900">
        <w:rPr>
          <w:sz w:val="20"/>
          <w:szCs w:val="20"/>
          <w:lang w:val="sl-SI"/>
        </w:rPr>
        <w:t>3.5. Vmesni matični subjekt</w:t>
      </w:r>
      <w:r w:rsidR="001305E7">
        <w:rPr>
          <w:sz w:val="20"/>
          <w:szCs w:val="20"/>
          <w:lang w:val="sl-SI"/>
        </w:rPr>
        <w:t xml:space="preserve"> (21. člen ZMD)</w:t>
      </w:r>
      <w:bookmarkEnd w:id="19"/>
    </w:p>
    <w:p w14:paraId="4549A472" w14:textId="091AA94E" w:rsidR="00E10900" w:rsidRPr="00DC691B" w:rsidRDefault="00E10900" w:rsidP="00DC691B">
      <w:pPr>
        <w:jc w:val="both"/>
        <w:rPr>
          <w:rFonts w:ascii="Arial" w:hAnsi="Arial" w:cs="Arial"/>
          <w:sz w:val="20"/>
          <w:szCs w:val="20"/>
        </w:rPr>
      </w:pPr>
      <w:r w:rsidRPr="00DC691B">
        <w:rPr>
          <w:rFonts w:ascii="Arial" w:hAnsi="Arial" w:cs="Arial"/>
          <w:sz w:val="20"/>
          <w:szCs w:val="20"/>
        </w:rPr>
        <w:t>„Vmesni matični subjekt“ pomeni subjekt v sestavi, ki ima neposredno ali posredno v lasti lastniški delež v drugem subjektu v sestavi v isti mednarodni skupini podjetij ali veliki domači skupini in se ne šteje za krovni matični subjekt, matično podjetje v delni lasti, stalno poslovno enoto ali investicijski subjekt.</w:t>
      </w:r>
      <w:r w:rsidR="005C77F9">
        <w:rPr>
          <w:rFonts w:ascii="Arial" w:hAnsi="Arial" w:cs="Arial"/>
          <w:sz w:val="20"/>
          <w:szCs w:val="20"/>
        </w:rPr>
        <w:t xml:space="preserve"> Skladno s OECD smernicami februar 2023 tudi zavarovalni investicijski subjekti ne morejo biti opredeljeni kot vmesni matični subjekti. </w:t>
      </w:r>
    </w:p>
    <w:p w14:paraId="353685E1" w14:textId="77777777" w:rsidR="00E10900" w:rsidRDefault="00E10900" w:rsidP="00DC691B">
      <w:pPr>
        <w:jc w:val="both"/>
        <w:rPr>
          <w:rFonts w:ascii="Arial" w:hAnsi="Arial" w:cs="Arial"/>
          <w:sz w:val="20"/>
          <w:szCs w:val="20"/>
        </w:rPr>
      </w:pPr>
      <w:r w:rsidRPr="00DC691B">
        <w:rPr>
          <w:rFonts w:ascii="Arial" w:hAnsi="Arial" w:cs="Arial"/>
          <w:sz w:val="20"/>
          <w:szCs w:val="20"/>
        </w:rPr>
        <w:t xml:space="preserve">Podobno kot POPE je vmesni matični subjekt </w:t>
      </w:r>
      <w:r w:rsidR="0041002F" w:rsidRPr="00DC691B">
        <w:rPr>
          <w:rFonts w:ascii="Arial" w:hAnsi="Arial" w:cs="Arial"/>
          <w:sz w:val="20"/>
          <w:szCs w:val="20"/>
        </w:rPr>
        <w:t>relevanten</w:t>
      </w:r>
      <w:r w:rsidRPr="00DC691B">
        <w:rPr>
          <w:rFonts w:ascii="Arial" w:hAnsi="Arial" w:cs="Arial"/>
          <w:sz w:val="20"/>
          <w:szCs w:val="20"/>
        </w:rPr>
        <w:t xml:space="preserve"> z vidika aplikacije pravila o vključitvi dohodkov (IIR) povrhnjega davka in </w:t>
      </w:r>
      <w:r w:rsidR="0041002F" w:rsidRPr="00DC691B">
        <w:rPr>
          <w:rFonts w:ascii="Arial" w:hAnsi="Arial" w:cs="Arial"/>
          <w:sz w:val="20"/>
          <w:szCs w:val="20"/>
        </w:rPr>
        <w:t>vrstnega</w:t>
      </w:r>
      <w:r w:rsidRPr="00DC691B">
        <w:rPr>
          <w:rFonts w:ascii="Arial" w:hAnsi="Arial" w:cs="Arial"/>
          <w:sz w:val="20"/>
          <w:szCs w:val="20"/>
        </w:rPr>
        <w:t xml:space="preserve"> reda dodelitve povrhnjega davka v okviru pravila IIR</w:t>
      </w:r>
      <w:r w:rsidR="007B4358">
        <w:rPr>
          <w:rFonts w:ascii="Arial" w:hAnsi="Arial" w:cs="Arial"/>
          <w:sz w:val="20"/>
          <w:szCs w:val="20"/>
        </w:rPr>
        <w:t>. Spodaj je podan prikaz strukture skupine in dejanske situacije, ko je vmesni matični subjekt relevanten z vidika aplikacije IIR:</w:t>
      </w:r>
    </w:p>
    <w:p w14:paraId="07BAD8C4" w14:textId="77777777" w:rsidR="007B4358" w:rsidRPr="00DC691B" w:rsidRDefault="007B4358" w:rsidP="00DC691B">
      <w:pPr>
        <w:jc w:val="both"/>
        <w:rPr>
          <w:rFonts w:ascii="Arial" w:hAnsi="Arial" w:cs="Arial"/>
          <w:sz w:val="20"/>
          <w:szCs w:val="20"/>
        </w:rPr>
      </w:pPr>
      <w:r>
        <w:rPr>
          <w:rFonts w:ascii="Arial" w:hAnsi="Arial" w:cs="Arial"/>
          <w:noProof/>
          <w:sz w:val="20"/>
          <w:szCs w:val="20"/>
          <w:lang w:eastAsia="sl-SI"/>
        </w:rPr>
        <w:lastRenderedPageBreak/>
        <w:drawing>
          <wp:inline distT="0" distB="0" distL="0" distR="0" wp14:anchorId="7469A26C" wp14:editId="1388EC25">
            <wp:extent cx="5713088" cy="389751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621" cy="3908111"/>
                    </a:xfrm>
                    <a:prstGeom prst="rect">
                      <a:avLst/>
                    </a:prstGeom>
                    <a:noFill/>
                  </pic:spPr>
                </pic:pic>
              </a:graphicData>
            </a:graphic>
          </wp:inline>
        </w:drawing>
      </w:r>
    </w:p>
    <w:p w14:paraId="261A8A62" w14:textId="77777777" w:rsidR="00A04D64" w:rsidRDefault="00A04D64" w:rsidP="00A2110D">
      <w:pPr>
        <w:pStyle w:val="FURSnaslov2"/>
        <w:rPr>
          <w:sz w:val="20"/>
          <w:szCs w:val="20"/>
          <w:lang w:val="sl-SI"/>
        </w:rPr>
      </w:pPr>
      <w:bookmarkStart w:id="20" w:name="_Toc157425313"/>
      <w:r w:rsidRPr="00E10900">
        <w:rPr>
          <w:sz w:val="20"/>
          <w:szCs w:val="20"/>
          <w:lang w:val="sl-SI"/>
        </w:rPr>
        <w:t>3.6. Pretočni subjekti (transparentni subjekt, obratni hibrid)</w:t>
      </w:r>
      <w:r w:rsidR="001305E7">
        <w:rPr>
          <w:sz w:val="20"/>
          <w:szCs w:val="20"/>
          <w:lang w:val="sl-SI"/>
        </w:rPr>
        <w:t xml:space="preserve"> (15. točka 7. člena ZMD)</w:t>
      </w:r>
      <w:bookmarkEnd w:id="20"/>
    </w:p>
    <w:p w14:paraId="633B8766" w14:textId="77777777" w:rsidR="0041002F" w:rsidRPr="00B750A7" w:rsidRDefault="0041002F" w:rsidP="0011317E">
      <w:pPr>
        <w:spacing w:after="120" w:line="260" w:lineRule="atLeast"/>
        <w:jc w:val="both"/>
        <w:rPr>
          <w:rFonts w:ascii="Arial" w:hAnsi="Arial" w:cs="Arial"/>
          <w:sz w:val="20"/>
          <w:szCs w:val="20"/>
        </w:rPr>
      </w:pPr>
      <w:r w:rsidRPr="00B750A7">
        <w:rPr>
          <w:rFonts w:ascii="Arial" w:hAnsi="Arial" w:cs="Arial"/>
          <w:sz w:val="20"/>
          <w:szCs w:val="20"/>
        </w:rPr>
        <w:t xml:space="preserve">Pretočni subjekti v okviru ZMD so relativna posebnost </w:t>
      </w:r>
      <w:r w:rsidR="002F6CE9" w:rsidRPr="00B750A7">
        <w:rPr>
          <w:rFonts w:ascii="Arial" w:hAnsi="Arial" w:cs="Arial"/>
          <w:sz w:val="20"/>
          <w:szCs w:val="20"/>
        </w:rPr>
        <w:t>v slovenski davčni zakonodaji.</w:t>
      </w:r>
      <w:r w:rsidR="004F5215" w:rsidRPr="00B750A7">
        <w:rPr>
          <w:rFonts w:ascii="Arial" w:hAnsi="Arial" w:cs="Arial"/>
          <w:sz w:val="20"/>
          <w:szCs w:val="20"/>
        </w:rPr>
        <w:t xml:space="preserve"> Z vidika davčnega sistema jih</w:t>
      </w:r>
      <w:r w:rsidR="002F6CE9" w:rsidRPr="00B750A7">
        <w:rPr>
          <w:rFonts w:ascii="Arial" w:hAnsi="Arial" w:cs="Arial"/>
          <w:sz w:val="20"/>
          <w:szCs w:val="20"/>
        </w:rPr>
        <w:t xml:space="preserve"> </w:t>
      </w:r>
      <w:r w:rsidR="004F5215" w:rsidRPr="00B750A7">
        <w:rPr>
          <w:rFonts w:ascii="Arial" w:hAnsi="Arial" w:cs="Arial"/>
          <w:sz w:val="20"/>
          <w:szCs w:val="20"/>
        </w:rPr>
        <w:t>obravnava</w:t>
      </w:r>
      <w:r w:rsidR="002F6CE9" w:rsidRPr="00B750A7">
        <w:rPr>
          <w:rFonts w:ascii="Arial" w:hAnsi="Arial" w:cs="Arial"/>
          <w:sz w:val="20"/>
          <w:szCs w:val="20"/>
        </w:rPr>
        <w:t xml:space="preserve"> Zakon o davku o dohodki pravnih oseb</w:t>
      </w:r>
      <w:r w:rsidR="004F5215" w:rsidRPr="00B750A7">
        <w:rPr>
          <w:rFonts w:ascii="Arial" w:hAnsi="Arial" w:cs="Arial"/>
          <w:sz w:val="20"/>
          <w:szCs w:val="20"/>
        </w:rPr>
        <w:t xml:space="preserve"> v okviru davčne obravnave hibridnih neskladij.</w:t>
      </w:r>
    </w:p>
    <w:p w14:paraId="7DC63DED" w14:textId="77777777" w:rsidR="007B4358" w:rsidRDefault="00D02BC7" w:rsidP="0011317E">
      <w:pPr>
        <w:spacing w:after="120" w:line="260" w:lineRule="atLeast"/>
        <w:jc w:val="both"/>
        <w:rPr>
          <w:rFonts w:ascii="Arial" w:hAnsi="Arial" w:cs="Arial"/>
          <w:sz w:val="20"/>
          <w:szCs w:val="20"/>
        </w:rPr>
      </w:pPr>
      <w:r w:rsidRPr="00B750A7">
        <w:rPr>
          <w:rFonts w:ascii="Arial" w:hAnsi="Arial" w:cs="Arial"/>
          <w:sz w:val="20"/>
          <w:szCs w:val="20"/>
        </w:rPr>
        <w:t>„Pretočni subjekt“</w:t>
      </w:r>
      <w:r w:rsidR="00356C7A">
        <w:rPr>
          <w:rFonts w:ascii="Arial" w:hAnsi="Arial" w:cs="Arial"/>
          <w:sz w:val="20"/>
          <w:szCs w:val="20"/>
        </w:rPr>
        <w:t xml:space="preserve"> po ZMD</w:t>
      </w:r>
      <w:r w:rsidRPr="00B750A7">
        <w:rPr>
          <w:rFonts w:ascii="Arial" w:hAnsi="Arial" w:cs="Arial"/>
          <w:sz w:val="20"/>
          <w:szCs w:val="20"/>
        </w:rPr>
        <w:t xml:space="preserve"> pomeni subjekt, kolikor je davčno transparenten glede na svoje dohodke, odhodke, dobiček ali izgubo v jurisdikciji, v kateri je bil ustanovljen, razen če je davčni rezident in je zavezan k plačilu zajetega davka na svoj dohodek ali dobiček v drugi jurisdikciji. Šteje se, da je pretočni subjekt: </w:t>
      </w:r>
    </w:p>
    <w:p w14:paraId="3942A030" w14:textId="77777777" w:rsidR="00A416D7" w:rsidRPr="00B750A7" w:rsidRDefault="00D02BC7" w:rsidP="0011317E">
      <w:pPr>
        <w:spacing w:after="120" w:line="260" w:lineRule="atLeast"/>
        <w:jc w:val="both"/>
        <w:rPr>
          <w:rFonts w:ascii="Arial" w:hAnsi="Arial" w:cs="Arial"/>
          <w:sz w:val="20"/>
          <w:szCs w:val="20"/>
        </w:rPr>
      </w:pPr>
      <w:r w:rsidRPr="00B750A7">
        <w:rPr>
          <w:rFonts w:ascii="Arial" w:hAnsi="Arial" w:cs="Arial"/>
          <w:sz w:val="20"/>
          <w:szCs w:val="20"/>
        </w:rPr>
        <w:t>a) davčno transparentni subjekt glede na svoje dohodke, odhodke, dobiček ali izgubo, kolikor je fiskalno transparenten v jurisdikciji, v kateri se nahaja njegov lastnik;</w:t>
      </w:r>
    </w:p>
    <w:p w14:paraId="4C082B47" w14:textId="77777777" w:rsidR="00D02BC7" w:rsidRPr="00B750A7" w:rsidRDefault="00D02BC7" w:rsidP="0011317E">
      <w:pPr>
        <w:spacing w:after="120" w:line="260" w:lineRule="atLeast"/>
        <w:jc w:val="both"/>
        <w:rPr>
          <w:rFonts w:ascii="Arial" w:hAnsi="Arial" w:cs="Arial"/>
          <w:sz w:val="20"/>
          <w:szCs w:val="20"/>
        </w:rPr>
      </w:pPr>
      <w:r w:rsidRPr="00B750A7">
        <w:rPr>
          <w:rFonts w:ascii="Arial" w:hAnsi="Arial" w:cs="Arial"/>
          <w:sz w:val="20"/>
          <w:szCs w:val="20"/>
        </w:rPr>
        <w:t xml:space="preserve">b) obratni hibridni subjekt glede na svoje dohodke, odhodke, dobiček ali izgubo, kolikor ni fiskalno transparenten v jurisdikciji, v kateri se nahaja njegov lastnik; </w:t>
      </w:r>
    </w:p>
    <w:p w14:paraId="70711476" w14:textId="77777777" w:rsidR="00D02BC7" w:rsidRPr="00B750A7" w:rsidRDefault="00D02BC7" w:rsidP="0011317E">
      <w:pPr>
        <w:spacing w:after="120" w:line="260" w:lineRule="atLeast"/>
        <w:jc w:val="both"/>
        <w:rPr>
          <w:rFonts w:ascii="Arial" w:hAnsi="Arial" w:cs="Arial"/>
          <w:sz w:val="20"/>
          <w:szCs w:val="20"/>
        </w:rPr>
      </w:pPr>
      <w:r w:rsidRPr="00B750A7">
        <w:rPr>
          <w:rFonts w:ascii="Arial" w:hAnsi="Arial" w:cs="Arial"/>
          <w:sz w:val="20"/>
          <w:szCs w:val="20"/>
        </w:rPr>
        <w:t xml:space="preserve">c) za namene te opredelitve se fiskalno transparentni subjekt šteje kot subjekt, katerega dohodke, odhodke, dobiček ali izgubo pravo jurisdikcije obravnava, kot če bi jih neposredno ustvaril ali imel lastnik tega subjekta v sorazmerju z njegovim deležem v tem subjektu; </w:t>
      </w:r>
    </w:p>
    <w:p w14:paraId="3D2AF29F" w14:textId="77777777" w:rsidR="00D02BC7" w:rsidRPr="00B750A7" w:rsidRDefault="00D02BC7" w:rsidP="0011317E">
      <w:pPr>
        <w:spacing w:after="120" w:line="260" w:lineRule="atLeast"/>
        <w:jc w:val="both"/>
        <w:rPr>
          <w:rFonts w:ascii="Arial" w:hAnsi="Arial" w:cs="Arial"/>
          <w:sz w:val="20"/>
          <w:szCs w:val="20"/>
        </w:rPr>
      </w:pPr>
      <w:r w:rsidRPr="00B750A7">
        <w:rPr>
          <w:rFonts w:ascii="Arial" w:hAnsi="Arial" w:cs="Arial"/>
          <w:sz w:val="20"/>
          <w:szCs w:val="20"/>
        </w:rPr>
        <w:t xml:space="preserve">č) za namene te opredelitve se lastniški delež v subjektu ali stalni poslovni enoti, ki je subjekt v sestavi, obravnava, kot da se poseduje prek davčno transparentne strukture, če se poseduje posredno prek verige davčno transparentnih subjektov; </w:t>
      </w:r>
    </w:p>
    <w:p w14:paraId="33AA8C10" w14:textId="77777777" w:rsidR="00D02BC7" w:rsidRPr="00B750A7" w:rsidRDefault="00D02BC7" w:rsidP="0011317E">
      <w:pPr>
        <w:spacing w:after="0" w:line="260" w:lineRule="atLeast"/>
        <w:jc w:val="both"/>
        <w:rPr>
          <w:rFonts w:ascii="Arial" w:hAnsi="Arial" w:cs="Arial"/>
          <w:sz w:val="20"/>
          <w:szCs w:val="20"/>
        </w:rPr>
      </w:pPr>
      <w:r w:rsidRPr="00B750A7">
        <w:rPr>
          <w:rFonts w:ascii="Arial" w:hAnsi="Arial" w:cs="Arial"/>
          <w:sz w:val="20"/>
          <w:szCs w:val="20"/>
        </w:rPr>
        <w:t xml:space="preserve">d) za namene te opredelitve se subjekt v sestavi, ki na podlagi kraja z njegovim sedežem uprave, kraja ustanovitve ali podobnih meril ni davčni rezident in ni zavezan k plačilu zajetega davka ali kvalificiranega domačega povrhnjega davka, obravnava kot pretočni subjekt v zvezi z njegovimi dohodki, odhodki, dobičkom ali izgubo, kolikor: </w:t>
      </w:r>
    </w:p>
    <w:p w14:paraId="30CC1489" w14:textId="77777777" w:rsidR="00D02BC7" w:rsidRPr="00B750A7" w:rsidRDefault="00D02BC7" w:rsidP="0011317E">
      <w:pPr>
        <w:spacing w:after="0" w:line="260" w:lineRule="atLeast"/>
        <w:jc w:val="both"/>
        <w:rPr>
          <w:rFonts w:ascii="Arial" w:hAnsi="Arial" w:cs="Arial"/>
          <w:sz w:val="20"/>
          <w:szCs w:val="20"/>
        </w:rPr>
      </w:pPr>
      <w:r w:rsidRPr="00B750A7">
        <w:rPr>
          <w:rFonts w:ascii="Arial" w:hAnsi="Arial" w:cs="Arial"/>
          <w:sz w:val="20"/>
          <w:szCs w:val="20"/>
        </w:rPr>
        <w:t xml:space="preserve">– se njegovi lastniki nahajajo v jurisdikciji, ki subjekt obravnava kot fiskalno transparenten; </w:t>
      </w:r>
    </w:p>
    <w:p w14:paraId="203C93A1" w14:textId="77777777" w:rsidR="00D02BC7" w:rsidRPr="00B750A7" w:rsidRDefault="00D02BC7" w:rsidP="0011317E">
      <w:pPr>
        <w:spacing w:after="0" w:line="260" w:lineRule="atLeast"/>
        <w:jc w:val="both"/>
        <w:rPr>
          <w:rFonts w:ascii="Arial" w:hAnsi="Arial" w:cs="Arial"/>
          <w:sz w:val="20"/>
          <w:szCs w:val="20"/>
        </w:rPr>
      </w:pPr>
      <w:r w:rsidRPr="00B750A7">
        <w:rPr>
          <w:rFonts w:ascii="Arial" w:hAnsi="Arial" w:cs="Arial"/>
          <w:sz w:val="20"/>
          <w:szCs w:val="20"/>
        </w:rPr>
        <w:t xml:space="preserve">– nima poslovne enote v jurisdikciji, v kateri je bil ustanovljen, ter </w:t>
      </w:r>
    </w:p>
    <w:p w14:paraId="4EF84262" w14:textId="21D3A481" w:rsidR="00D02BC7" w:rsidRDefault="00D02BC7" w:rsidP="0011317E">
      <w:pPr>
        <w:spacing w:after="120" w:line="260" w:lineRule="atLeast"/>
        <w:jc w:val="both"/>
        <w:rPr>
          <w:rFonts w:ascii="Arial" w:hAnsi="Arial" w:cs="Arial"/>
          <w:sz w:val="20"/>
          <w:szCs w:val="20"/>
        </w:rPr>
      </w:pPr>
      <w:r w:rsidRPr="00B750A7">
        <w:rPr>
          <w:rFonts w:ascii="Arial" w:hAnsi="Arial" w:cs="Arial"/>
          <w:sz w:val="20"/>
          <w:szCs w:val="20"/>
        </w:rPr>
        <w:t>– dohodkov, odhodkov, dobička ali izgube ni mogoče pripisati stalni poslovni enot</w:t>
      </w:r>
      <w:r w:rsidR="009D1465">
        <w:rPr>
          <w:rFonts w:ascii="Arial" w:hAnsi="Arial" w:cs="Arial"/>
          <w:sz w:val="20"/>
          <w:szCs w:val="20"/>
        </w:rPr>
        <w:t>i</w:t>
      </w:r>
      <w:r w:rsidR="007B4358">
        <w:rPr>
          <w:rFonts w:ascii="Arial" w:hAnsi="Arial" w:cs="Arial"/>
          <w:sz w:val="20"/>
          <w:szCs w:val="20"/>
        </w:rPr>
        <w:t>.</w:t>
      </w:r>
    </w:p>
    <w:p w14:paraId="25177A9A" w14:textId="77777777" w:rsidR="007B4358" w:rsidRPr="00B750A7" w:rsidRDefault="007B4358" w:rsidP="0011317E">
      <w:pPr>
        <w:spacing w:after="120" w:line="260" w:lineRule="atLeast"/>
        <w:jc w:val="both"/>
        <w:rPr>
          <w:rFonts w:ascii="Arial" w:hAnsi="Arial" w:cs="Arial"/>
          <w:sz w:val="20"/>
          <w:szCs w:val="20"/>
        </w:rPr>
      </w:pPr>
      <w:r>
        <w:rPr>
          <w:rFonts w:ascii="Arial" w:hAnsi="Arial" w:cs="Arial"/>
          <w:sz w:val="20"/>
          <w:szCs w:val="20"/>
        </w:rPr>
        <w:lastRenderedPageBreak/>
        <w:t xml:space="preserve">Za namene dodelitve zajetih davkov </w:t>
      </w:r>
      <w:r w:rsidRPr="007B4358">
        <w:rPr>
          <w:rFonts w:ascii="Arial" w:hAnsi="Arial" w:cs="Arial"/>
          <w:sz w:val="20"/>
          <w:szCs w:val="20"/>
        </w:rPr>
        <w:t>„hibridni subjekt“ pomeni subjekt, ki se v jurisdikciji, v kateri se nahaja, obravnava kot ločena oseba za namene davka od dohodkov, v jurisdikciji, v kateri se nahaja njegov lastnik, pa kot fiskalno transparenti subjekt.</w:t>
      </w:r>
    </w:p>
    <w:p w14:paraId="10C726FC" w14:textId="77777777" w:rsidR="00A416D7" w:rsidRPr="00B750A7" w:rsidRDefault="00A416D7" w:rsidP="00B750A7">
      <w:pPr>
        <w:spacing w:after="0" w:line="260" w:lineRule="atLeast"/>
        <w:jc w:val="both"/>
        <w:rPr>
          <w:rFonts w:ascii="Arial" w:hAnsi="Arial" w:cs="Arial"/>
          <w:sz w:val="20"/>
          <w:szCs w:val="20"/>
        </w:rPr>
      </w:pPr>
      <w:r w:rsidRPr="00B750A7">
        <w:rPr>
          <w:rFonts w:ascii="Arial" w:hAnsi="Arial" w:cs="Arial"/>
          <w:sz w:val="20"/>
          <w:szCs w:val="20"/>
        </w:rPr>
        <w:t>Za potrebe ZMD so določbe o pretočnih subjektih pomembne</w:t>
      </w:r>
      <w:r w:rsidR="00D34F3A" w:rsidRPr="00B750A7">
        <w:rPr>
          <w:rFonts w:ascii="Arial" w:hAnsi="Arial" w:cs="Arial"/>
          <w:sz w:val="20"/>
          <w:szCs w:val="20"/>
        </w:rPr>
        <w:t xml:space="preserve"> predvsem</w:t>
      </w:r>
      <w:r w:rsidRPr="00B750A7">
        <w:rPr>
          <w:rFonts w:ascii="Arial" w:hAnsi="Arial" w:cs="Arial"/>
          <w:sz w:val="20"/>
          <w:szCs w:val="20"/>
        </w:rPr>
        <w:t xml:space="preserve"> z vidika:</w:t>
      </w:r>
    </w:p>
    <w:p w14:paraId="432F5E80" w14:textId="77777777" w:rsidR="00A416D7" w:rsidRPr="00B750A7" w:rsidRDefault="00A416D7" w:rsidP="00B750A7">
      <w:pPr>
        <w:spacing w:after="0" w:line="260" w:lineRule="atLeast"/>
        <w:jc w:val="both"/>
        <w:rPr>
          <w:rFonts w:ascii="Arial" w:hAnsi="Arial" w:cs="Arial"/>
          <w:sz w:val="20"/>
          <w:szCs w:val="20"/>
        </w:rPr>
      </w:pPr>
      <w:r w:rsidRPr="00B750A7">
        <w:rPr>
          <w:rFonts w:ascii="Arial" w:hAnsi="Arial" w:cs="Arial"/>
          <w:sz w:val="20"/>
          <w:szCs w:val="20"/>
        </w:rPr>
        <w:t>- določitve lokacije subjekta (8. člen ZMD);</w:t>
      </w:r>
    </w:p>
    <w:p w14:paraId="0B491CE2" w14:textId="77777777" w:rsidR="00A416D7" w:rsidRPr="00B750A7" w:rsidRDefault="00A416D7" w:rsidP="00B750A7">
      <w:pPr>
        <w:spacing w:after="0" w:line="260" w:lineRule="atLeast"/>
        <w:jc w:val="both"/>
        <w:rPr>
          <w:rFonts w:ascii="Arial" w:hAnsi="Arial" w:cs="Arial"/>
          <w:sz w:val="20"/>
          <w:szCs w:val="20"/>
        </w:rPr>
      </w:pPr>
      <w:r w:rsidRPr="00B750A7">
        <w:rPr>
          <w:rFonts w:ascii="Arial" w:hAnsi="Arial" w:cs="Arial"/>
          <w:sz w:val="20"/>
          <w:szCs w:val="20"/>
        </w:rPr>
        <w:t xml:space="preserve">- dodeljevanja kvalificiranega dohodka in zajetih davkov (25. člen in 31. člen ZMD); </w:t>
      </w:r>
    </w:p>
    <w:p w14:paraId="0EE5CF6A" w14:textId="77777777" w:rsidR="00A416D7" w:rsidRPr="00B750A7" w:rsidRDefault="00A416D7" w:rsidP="00B750A7">
      <w:pPr>
        <w:spacing w:after="0" w:line="260" w:lineRule="atLeast"/>
        <w:jc w:val="both"/>
        <w:rPr>
          <w:rFonts w:ascii="Arial" w:hAnsi="Arial" w:cs="Arial"/>
          <w:sz w:val="20"/>
          <w:szCs w:val="20"/>
        </w:rPr>
      </w:pPr>
      <w:r w:rsidRPr="00B750A7">
        <w:rPr>
          <w:rFonts w:ascii="Arial" w:hAnsi="Arial" w:cs="Arial"/>
          <w:sz w:val="20"/>
          <w:szCs w:val="20"/>
        </w:rPr>
        <w:t>- izračunu vsebinske izključitve dohodka v posebnih primerih (38. člen ZMD);</w:t>
      </w:r>
    </w:p>
    <w:p w14:paraId="2152C9A9" w14:textId="77777777" w:rsidR="00A416D7" w:rsidRPr="00B750A7" w:rsidRDefault="00A416D7" w:rsidP="0011317E">
      <w:pPr>
        <w:spacing w:after="120" w:line="260" w:lineRule="atLeast"/>
        <w:jc w:val="both"/>
        <w:rPr>
          <w:rFonts w:ascii="Arial" w:hAnsi="Arial" w:cs="Arial"/>
          <w:sz w:val="20"/>
          <w:szCs w:val="20"/>
        </w:rPr>
      </w:pPr>
      <w:r w:rsidRPr="00B750A7">
        <w:rPr>
          <w:rFonts w:ascii="Arial" w:hAnsi="Arial" w:cs="Arial"/>
          <w:sz w:val="20"/>
          <w:szCs w:val="20"/>
        </w:rPr>
        <w:t>- opredelitve kvalificiranega dohodka krovnega matičnega subjekta, ki je pretočni subjekt (49. člen ZMD).</w:t>
      </w:r>
    </w:p>
    <w:p w14:paraId="000F1C0F" w14:textId="77777777" w:rsidR="00A04D64" w:rsidRDefault="00A04D64" w:rsidP="00A2110D">
      <w:pPr>
        <w:pStyle w:val="FURSnaslov2"/>
        <w:rPr>
          <w:sz w:val="20"/>
          <w:szCs w:val="20"/>
          <w:lang w:val="sl-SI"/>
        </w:rPr>
      </w:pPr>
      <w:bookmarkStart w:id="21" w:name="_Toc157425314"/>
      <w:r w:rsidRPr="00CC009A">
        <w:rPr>
          <w:sz w:val="20"/>
          <w:szCs w:val="20"/>
          <w:lang w:val="sl-SI"/>
        </w:rPr>
        <w:t xml:space="preserve">3.7. Subjekti v manjšinski lasti </w:t>
      </w:r>
      <w:r w:rsidR="00577E47">
        <w:rPr>
          <w:sz w:val="20"/>
          <w:szCs w:val="20"/>
          <w:lang w:val="sl-SI"/>
        </w:rPr>
        <w:t>(42. člen ZMD)</w:t>
      </w:r>
      <w:bookmarkEnd w:id="21"/>
    </w:p>
    <w:p w14:paraId="5EB41FBF" w14:textId="77777777" w:rsidR="00710042" w:rsidRPr="00B750A7" w:rsidRDefault="00710042" w:rsidP="00B750A7">
      <w:pPr>
        <w:jc w:val="both"/>
        <w:rPr>
          <w:rFonts w:ascii="Arial" w:hAnsi="Arial" w:cs="Arial"/>
          <w:sz w:val="20"/>
          <w:szCs w:val="20"/>
        </w:rPr>
      </w:pPr>
      <w:r w:rsidRPr="00B750A7">
        <w:rPr>
          <w:rFonts w:ascii="Arial" w:hAnsi="Arial" w:cs="Arial"/>
          <w:sz w:val="20"/>
          <w:szCs w:val="20"/>
        </w:rPr>
        <w:t>42. člen ZMD določa posebna pravila za izračun dejanske davčne stopnje (ETR) in dodatnega davka za subjekte v sestavi v manjšinski lasti. Subjekt v sestavi v manjšinski lasti je subjekt v sestavi skupine, kjer ima krovni matični subjekt (UPE) neposredno ali posredno v lasti 30 % ali manj lastniških deležev. Ti subjekti se kljub majhnemu lastniškemu deležu štejejo za subjekte v sestavi, ker jih UPE nadzoruje.</w:t>
      </w:r>
    </w:p>
    <w:p w14:paraId="3F32DA59" w14:textId="77777777" w:rsidR="00710042" w:rsidRPr="00B750A7" w:rsidRDefault="00710042" w:rsidP="00B750A7">
      <w:pPr>
        <w:jc w:val="both"/>
        <w:rPr>
          <w:rFonts w:ascii="Arial" w:hAnsi="Arial" w:cs="Arial"/>
          <w:sz w:val="20"/>
          <w:szCs w:val="20"/>
        </w:rPr>
      </w:pPr>
      <w:r w:rsidRPr="00B750A7">
        <w:rPr>
          <w:rFonts w:ascii="Arial" w:hAnsi="Arial" w:cs="Arial"/>
          <w:sz w:val="20"/>
          <w:szCs w:val="20"/>
        </w:rPr>
        <w:t>Posebna pravila za subjekte v sestavi v manjšinski lasti so potrebna, ker ima lahko UPE več subjektov v sestavi v manjšinski lasti z dejavnostmi v isti jurisdikciji, vendar z različnimi skupinami lastnikov, ki niso subjekti v sestavi. Če bi se dohodki in davki teh različnih subjektov v sestavi pomešali pri izračunih jurisdikcijske ETR, bi lahko nizki zajeti davki enega subjekta privedle do povrhnjega davka za jurisdikcijo, ki bi ga v delu nosili lastniki drugega subjekta v sestavi, ki ni del iste skupine.</w:t>
      </w:r>
    </w:p>
    <w:p w14:paraId="1CEF6864" w14:textId="77777777" w:rsidR="00ED4863" w:rsidRPr="00B750A7" w:rsidRDefault="004E02E3" w:rsidP="00B750A7">
      <w:pPr>
        <w:jc w:val="both"/>
        <w:rPr>
          <w:rFonts w:ascii="Arial" w:hAnsi="Arial" w:cs="Arial"/>
          <w:sz w:val="20"/>
          <w:szCs w:val="20"/>
        </w:rPr>
      </w:pPr>
      <w:r w:rsidRPr="00B750A7">
        <w:rPr>
          <w:rFonts w:ascii="Arial" w:hAnsi="Arial" w:cs="Arial"/>
          <w:sz w:val="20"/>
          <w:szCs w:val="20"/>
        </w:rPr>
        <w:t>Pri tem je treba izpostaviti, da niso vsi subjekti v sestavi, katerih obvladujoče deleže ima matični subjekt z manjšinskim lastništvom, subjekti v sestavi v manjšinski lasti in član skupine s subjekti z manjšinskim lastništvom.</w:t>
      </w:r>
      <w:r w:rsidR="00ED4863" w:rsidRPr="00B750A7">
        <w:rPr>
          <w:rFonts w:ascii="Arial" w:hAnsi="Arial" w:cs="Arial"/>
          <w:sz w:val="20"/>
          <w:szCs w:val="20"/>
        </w:rPr>
        <w:t xml:space="preserve"> Upoštevati je treba naslednje definicije:</w:t>
      </w:r>
    </w:p>
    <w:p w14:paraId="278498ED" w14:textId="77777777" w:rsidR="00ED4863" w:rsidRPr="00B750A7" w:rsidRDefault="00ED4863" w:rsidP="00B750A7">
      <w:pPr>
        <w:pStyle w:val="Odstavekseznama"/>
        <w:numPr>
          <w:ilvl w:val="0"/>
          <w:numId w:val="46"/>
        </w:numPr>
        <w:jc w:val="both"/>
        <w:rPr>
          <w:rFonts w:ascii="Arial" w:hAnsi="Arial" w:cs="Arial"/>
          <w:sz w:val="20"/>
          <w:szCs w:val="20"/>
        </w:rPr>
      </w:pPr>
      <w:r w:rsidRPr="00B750A7">
        <w:rPr>
          <w:rFonts w:ascii="Arial" w:hAnsi="Arial" w:cs="Arial"/>
          <w:sz w:val="20"/>
          <w:szCs w:val="20"/>
        </w:rPr>
        <w:t>„subjekt v sestavi v manjšinski lasti“ je subjekt v sestavi, v katerem ima krovni matični subjekt neposredno ali posredno v lasti lastniški delež v višini največ 30 %; in</w:t>
      </w:r>
    </w:p>
    <w:p w14:paraId="24EB7259" w14:textId="77777777" w:rsidR="00ED4863" w:rsidRPr="00B750A7" w:rsidRDefault="00ED4863" w:rsidP="00B750A7">
      <w:pPr>
        <w:pStyle w:val="Odstavekseznama"/>
        <w:numPr>
          <w:ilvl w:val="0"/>
          <w:numId w:val="46"/>
        </w:numPr>
        <w:jc w:val="both"/>
        <w:rPr>
          <w:rFonts w:ascii="Arial" w:hAnsi="Arial" w:cs="Arial"/>
          <w:sz w:val="20"/>
          <w:szCs w:val="20"/>
        </w:rPr>
      </w:pPr>
      <w:r w:rsidRPr="00B750A7">
        <w:rPr>
          <w:rFonts w:ascii="Arial" w:hAnsi="Arial" w:cs="Arial"/>
          <w:sz w:val="20"/>
          <w:szCs w:val="20"/>
        </w:rPr>
        <w:t>„matični subjekt v manjšinski lasti“ je subjekt v sestavi v manjšinski lasti, ki ima neposredno ali posredno v lasti nadzorujoče deleže v drugem subjektu v sestavi v manjšinski lasti, razen če so nadzorujoči deleži prvega subjekta neposredno ali posredno v lasti drugega subjekta v sestavi v manjšinski lasti;</w:t>
      </w:r>
    </w:p>
    <w:p w14:paraId="778E8749" w14:textId="22BBC3E5" w:rsidR="00ED4863" w:rsidRPr="00B750A7" w:rsidRDefault="00ED4863" w:rsidP="00B750A7">
      <w:pPr>
        <w:pStyle w:val="Odstavekseznama"/>
        <w:numPr>
          <w:ilvl w:val="0"/>
          <w:numId w:val="46"/>
        </w:numPr>
        <w:jc w:val="both"/>
        <w:rPr>
          <w:rFonts w:ascii="Arial" w:hAnsi="Arial" w:cs="Arial"/>
          <w:sz w:val="20"/>
          <w:szCs w:val="20"/>
        </w:rPr>
      </w:pPr>
      <w:r w:rsidRPr="00B750A7">
        <w:rPr>
          <w:rFonts w:ascii="Arial" w:hAnsi="Arial" w:cs="Arial"/>
          <w:sz w:val="20"/>
          <w:szCs w:val="20"/>
        </w:rPr>
        <w:t>„podskupina v manjšinski lasti“ je matični subjekt v manjšinski lasti in njegov</w:t>
      </w:r>
      <w:r w:rsidR="009D1465">
        <w:rPr>
          <w:rFonts w:ascii="Arial" w:hAnsi="Arial" w:cs="Arial"/>
          <w:sz w:val="20"/>
          <w:szCs w:val="20"/>
        </w:rPr>
        <w:t>i</w:t>
      </w:r>
      <w:r w:rsidRPr="00B750A7">
        <w:rPr>
          <w:rFonts w:ascii="Arial" w:hAnsi="Arial" w:cs="Arial"/>
          <w:sz w:val="20"/>
          <w:szCs w:val="20"/>
        </w:rPr>
        <w:t xml:space="preserve"> odvisn</w:t>
      </w:r>
      <w:r w:rsidR="009D1465">
        <w:rPr>
          <w:rFonts w:ascii="Arial" w:hAnsi="Arial" w:cs="Arial"/>
          <w:sz w:val="20"/>
          <w:szCs w:val="20"/>
        </w:rPr>
        <w:t>i</w:t>
      </w:r>
      <w:r w:rsidRPr="00B750A7">
        <w:rPr>
          <w:rFonts w:ascii="Arial" w:hAnsi="Arial" w:cs="Arial"/>
          <w:sz w:val="20"/>
          <w:szCs w:val="20"/>
        </w:rPr>
        <w:t xml:space="preserve"> subjekt</w:t>
      </w:r>
      <w:r w:rsidR="009D1465">
        <w:rPr>
          <w:rFonts w:ascii="Arial" w:hAnsi="Arial" w:cs="Arial"/>
          <w:sz w:val="20"/>
          <w:szCs w:val="20"/>
        </w:rPr>
        <w:t>i</w:t>
      </w:r>
      <w:r w:rsidRPr="00B750A7">
        <w:rPr>
          <w:rFonts w:ascii="Arial" w:hAnsi="Arial" w:cs="Arial"/>
          <w:sz w:val="20"/>
          <w:szCs w:val="20"/>
        </w:rPr>
        <w:t xml:space="preserve"> v manjšinski lasti; in</w:t>
      </w:r>
    </w:p>
    <w:p w14:paraId="31E8FC3F" w14:textId="77777777" w:rsidR="00ED4863" w:rsidRPr="00B750A7" w:rsidRDefault="00ED4863" w:rsidP="00B750A7">
      <w:pPr>
        <w:pStyle w:val="Odstavekseznama"/>
        <w:numPr>
          <w:ilvl w:val="0"/>
          <w:numId w:val="46"/>
        </w:numPr>
        <w:jc w:val="both"/>
        <w:rPr>
          <w:rFonts w:ascii="Arial" w:hAnsi="Arial" w:cs="Arial"/>
          <w:sz w:val="20"/>
          <w:szCs w:val="20"/>
        </w:rPr>
      </w:pPr>
      <w:r w:rsidRPr="00B750A7">
        <w:rPr>
          <w:rFonts w:ascii="Arial" w:hAnsi="Arial" w:cs="Arial"/>
          <w:sz w:val="20"/>
          <w:szCs w:val="20"/>
        </w:rPr>
        <w:t>„odvisno podjetje v manjšinski lasti“ je subjekt v sestavi v manjšinski lasti, katerega nadzorujoči deleži so neposredno ali posredno v lasti matičnega subjekta v manjšinski lasti.</w:t>
      </w:r>
    </w:p>
    <w:p w14:paraId="5221D91F" w14:textId="77777777" w:rsidR="00710042" w:rsidRPr="00B750A7" w:rsidRDefault="004E02E3" w:rsidP="00B750A7">
      <w:pPr>
        <w:jc w:val="both"/>
        <w:rPr>
          <w:rFonts w:ascii="Arial" w:hAnsi="Arial" w:cs="Arial"/>
          <w:sz w:val="20"/>
          <w:szCs w:val="20"/>
        </w:rPr>
      </w:pPr>
      <w:r w:rsidRPr="00B750A7">
        <w:rPr>
          <w:rFonts w:ascii="Arial" w:hAnsi="Arial" w:cs="Arial"/>
          <w:sz w:val="20"/>
          <w:szCs w:val="20"/>
        </w:rPr>
        <w:t xml:space="preserve">Na primer, če ima krovni matični subjekt (UPE) 60% lastniških deležev družbe B Co, vendar so </w:t>
      </w:r>
      <w:r w:rsidR="00ED4863" w:rsidRPr="00B750A7">
        <w:rPr>
          <w:rFonts w:ascii="Arial" w:hAnsi="Arial" w:cs="Arial"/>
          <w:sz w:val="20"/>
          <w:szCs w:val="20"/>
        </w:rPr>
        <w:t>nadzorujoči</w:t>
      </w:r>
      <w:r w:rsidRPr="00B750A7">
        <w:rPr>
          <w:rFonts w:ascii="Arial" w:hAnsi="Arial" w:cs="Arial"/>
          <w:sz w:val="20"/>
          <w:szCs w:val="20"/>
        </w:rPr>
        <w:t xml:space="preserve"> deleži B Co v lasti prek družbe A Co, subjekta v sestavi, ki je nadrejen</w:t>
      </w:r>
      <w:r w:rsidR="00ED4863" w:rsidRPr="00B750A7">
        <w:rPr>
          <w:rFonts w:ascii="Arial" w:hAnsi="Arial" w:cs="Arial"/>
          <w:sz w:val="20"/>
          <w:szCs w:val="20"/>
        </w:rPr>
        <w:t xml:space="preserve"> subjekt v sestavi z manjšinskim lastništvom</w:t>
      </w:r>
      <w:r w:rsidRPr="00B750A7">
        <w:rPr>
          <w:rFonts w:ascii="Arial" w:hAnsi="Arial" w:cs="Arial"/>
          <w:sz w:val="20"/>
          <w:szCs w:val="20"/>
        </w:rPr>
        <w:t xml:space="preserve">. V tem primeru B Co ne izpolnjuje pogojev, da bi bil subjekt v sestavi z manjšinskim lastništvom, ker UPE ima več kot 30% svojih lastniških deležev. Dejstvo, da so obvladujoči deleži v lasti prek nadrejene pravne entitete z manjšinskim lastništvom, ga ne naredi za </w:t>
      </w:r>
      <w:r w:rsidR="00356C7A">
        <w:rPr>
          <w:rFonts w:ascii="Arial" w:hAnsi="Arial" w:cs="Arial"/>
          <w:sz w:val="20"/>
          <w:szCs w:val="20"/>
        </w:rPr>
        <w:t>subjekt v manjšinski lasti</w:t>
      </w:r>
      <w:r w:rsidRPr="00B750A7">
        <w:rPr>
          <w:rFonts w:ascii="Arial" w:hAnsi="Arial" w:cs="Arial"/>
          <w:sz w:val="20"/>
          <w:szCs w:val="20"/>
        </w:rPr>
        <w:t xml:space="preserve"> in člana skupine s subjekti z manjšinskim lastništvom.</w:t>
      </w:r>
    </w:p>
    <w:p w14:paraId="77936B1A" w14:textId="77777777" w:rsidR="00577E47" w:rsidRDefault="00577E47" w:rsidP="00B750A7">
      <w:pPr>
        <w:jc w:val="both"/>
        <w:rPr>
          <w:b/>
          <w:bCs/>
          <w:sz w:val="20"/>
          <w:szCs w:val="20"/>
        </w:rPr>
      </w:pPr>
      <w:r w:rsidRPr="00B750A7">
        <w:rPr>
          <w:rFonts w:ascii="Arial" w:hAnsi="Arial" w:cs="Arial"/>
          <w:sz w:val="20"/>
          <w:szCs w:val="20"/>
        </w:rPr>
        <w:t>Učinek določitve subjektov v manjšinski lasti je v tem, da se izračun dejanske davčne stopnje in povrhnjega davka za jurisdikcijo v zvezi s člani podskupine v manjšinski lasti uporablja ob predpostavki, da je vsaka podskupina v manjšinski lasti ločena mednarodna skupina podjetij ali velika domača skupina. Pri tem se prilagojeni zajeti davki in kvalificirani dohodek ali izguba članov podskupine v manjšinski lasti izključijo iz določitve preostalega zneska dejanske davčne stopnje mednarodne skupine podjetij ali velike domače skupine, ki se izračuna v skladu s prvim odstavkom 33. člena tega zakona, in iz neto kvalificiranega dohodka, izračunanega v skladu z drugim odstavkom 33. člena tega zakona. Smiselno enako velja tudi za subjekt v sestavi, ki je v manjšinski lasti in ni član podskupine v manjšinski lasti, pri čemer se dejanska davčna stopnja in povrhnji davek izračunata na osnovi subjekta.</w:t>
      </w:r>
      <w:r w:rsidRPr="00B750A7">
        <w:rPr>
          <w:rFonts w:ascii="Arial" w:hAnsi="Arial" w:cs="Arial"/>
          <w:b/>
          <w:bCs/>
          <w:sz w:val="20"/>
          <w:szCs w:val="20"/>
        </w:rPr>
        <w:t xml:space="preserve"> </w:t>
      </w:r>
    </w:p>
    <w:p w14:paraId="6D80B369" w14:textId="77777777" w:rsidR="00A04D64" w:rsidRDefault="00A04D64" w:rsidP="00577E47">
      <w:pPr>
        <w:pStyle w:val="FURSnaslov2"/>
        <w:jc w:val="both"/>
        <w:rPr>
          <w:sz w:val="20"/>
          <w:szCs w:val="20"/>
          <w:lang w:val="sl-SI"/>
        </w:rPr>
      </w:pPr>
      <w:bookmarkStart w:id="22" w:name="_Toc157425315"/>
      <w:r w:rsidRPr="00CC009A">
        <w:rPr>
          <w:sz w:val="20"/>
          <w:szCs w:val="20"/>
          <w:lang w:val="sl-SI"/>
        </w:rPr>
        <w:t>3.</w:t>
      </w:r>
      <w:r w:rsidR="00CC009A" w:rsidRPr="00CC009A">
        <w:rPr>
          <w:sz w:val="20"/>
          <w:szCs w:val="20"/>
          <w:lang w:val="sl-SI"/>
        </w:rPr>
        <w:t>8</w:t>
      </w:r>
      <w:r w:rsidRPr="00CC009A">
        <w:rPr>
          <w:sz w:val="20"/>
          <w:szCs w:val="20"/>
          <w:lang w:val="sl-SI"/>
        </w:rPr>
        <w:t>. Investicijski subjekt</w:t>
      </w:r>
      <w:r w:rsidR="00577E47">
        <w:rPr>
          <w:sz w:val="20"/>
          <w:szCs w:val="20"/>
          <w:lang w:val="sl-SI"/>
        </w:rPr>
        <w:t xml:space="preserve"> (52. člen, 53. člen in 54. člen ZMD)</w:t>
      </w:r>
      <w:bookmarkEnd w:id="22"/>
    </w:p>
    <w:p w14:paraId="7D6FC3CB" w14:textId="77777777" w:rsidR="0081691E" w:rsidRPr="00B750A7" w:rsidRDefault="0081691E" w:rsidP="00B750A7">
      <w:pPr>
        <w:jc w:val="both"/>
        <w:rPr>
          <w:rFonts w:ascii="Arial" w:hAnsi="Arial" w:cs="Arial"/>
          <w:sz w:val="20"/>
          <w:szCs w:val="20"/>
        </w:rPr>
      </w:pPr>
      <w:r w:rsidRPr="00B750A7">
        <w:rPr>
          <w:rFonts w:ascii="Arial" w:hAnsi="Arial" w:cs="Arial"/>
          <w:sz w:val="20"/>
          <w:szCs w:val="20"/>
        </w:rPr>
        <w:t xml:space="preserve">Investicijski subjekti, ki so krovni matični subjekti (UPE), so izključeni iz uporabe pravil povrhnjega davka, ker niso subjekti v sestavi skupine. Vendar pa se dohodek nadzorovanega investicijskega </w:t>
      </w:r>
      <w:r w:rsidRPr="00B750A7">
        <w:rPr>
          <w:rFonts w:ascii="Arial" w:hAnsi="Arial" w:cs="Arial"/>
          <w:sz w:val="20"/>
          <w:szCs w:val="20"/>
        </w:rPr>
        <w:lastRenderedPageBreak/>
        <w:t>subjekta konsolidira s skupino in vključi v pravila povrhnjega davka. 52. člen in 53. člen ZMD določata posebna pravila, ki veljajo za nadzorovane investicijske subjekte in zavarovalne investicijske subjekte, 54. člen ZMD pa zagotavlja posebno pravilo, ki velja za nadzorovane investicijske subjekte.</w:t>
      </w:r>
      <w:r w:rsidR="000B4ECF">
        <w:rPr>
          <w:rFonts w:ascii="Arial" w:hAnsi="Arial" w:cs="Arial"/>
          <w:sz w:val="20"/>
          <w:szCs w:val="20"/>
        </w:rPr>
        <w:t xml:space="preserve"> Investicijski subjekt se ne more šteti za vmesni matični subjekt ali matični subjekt v delni lasti (enako velja za </w:t>
      </w:r>
      <w:r w:rsidR="000B4ECF" w:rsidRPr="000B4ECF">
        <w:rPr>
          <w:rFonts w:ascii="Arial" w:hAnsi="Arial" w:cs="Arial"/>
          <w:sz w:val="20"/>
          <w:szCs w:val="20"/>
        </w:rPr>
        <w:t>zavarovalni investicijski subjekt</w:t>
      </w:r>
      <w:r w:rsidR="000B4ECF">
        <w:rPr>
          <w:rFonts w:ascii="Arial" w:hAnsi="Arial" w:cs="Arial"/>
          <w:sz w:val="20"/>
          <w:szCs w:val="20"/>
        </w:rPr>
        <w:t xml:space="preserve">). </w:t>
      </w:r>
    </w:p>
    <w:p w14:paraId="43B73E4E" w14:textId="77777777" w:rsidR="00C46A5C" w:rsidRPr="00B750A7" w:rsidRDefault="00C46A5C" w:rsidP="00B750A7">
      <w:pPr>
        <w:jc w:val="both"/>
        <w:rPr>
          <w:rFonts w:ascii="Arial" w:hAnsi="Arial" w:cs="Arial"/>
          <w:sz w:val="20"/>
          <w:szCs w:val="20"/>
        </w:rPr>
      </w:pPr>
      <w:r w:rsidRPr="00B750A7">
        <w:rPr>
          <w:rFonts w:ascii="Arial" w:hAnsi="Arial" w:cs="Arial"/>
          <w:sz w:val="20"/>
          <w:szCs w:val="20"/>
        </w:rPr>
        <w:t>Investicijski subjekt je opredeljen v 31. točki 7. člena ZMD kot:</w:t>
      </w:r>
    </w:p>
    <w:p w14:paraId="67DDFE0A" w14:textId="77777777" w:rsidR="00C46A5C" w:rsidRPr="00B750A7" w:rsidRDefault="00C46A5C" w:rsidP="00B750A7">
      <w:pPr>
        <w:jc w:val="both"/>
        <w:rPr>
          <w:rFonts w:ascii="Arial" w:hAnsi="Arial" w:cs="Arial"/>
          <w:sz w:val="20"/>
          <w:szCs w:val="20"/>
        </w:rPr>
      </w:pPr>
      <w:r w:rsidRPr="00B750A7">
        <w:rPr>
          <w:rFonts w:ascii="Arial" w:hAnsi="Arial" w:cs="Arial"/>
          <w:sz w:val="20"/>
          <w:szCs w:val="20"/>
        </w:rPr>
        <w:t>a) investicijski sklad ali nosilec nepremičninske investicije;</w:t>
      </w:r>
    </w:p>
    <w:p w14:paraId="4A67BF51" w14:textId="77777777" w:rsidR="00C46A5C" w:rsidRPr="00B750A7" w:rsidRDefault="00C46A5C" w:rsidP="00B750A7">
      <w:pPr>
        <w:jc w:val="both"/>
        <w:rPr>
          <w:rFonts w:ascii="Arial" w:hAnsi="Arial" w:cs="Arial"/>
          <w:sz w:val="20"/>
          <w:szCs w:val="20"/>
        </w:rPr>
      </w:pPr>
      <w:r w:rsidRPr="00B750A7">
        <w:rPr>
          <w:rFonts w:ascii="Arial" w:hAnsi="Arial" w:cs="Arial"/>
          <w:sz w:val="20"/>
          <w:szCs w:val="20"/>
        </w:rPr>
        <w:t>b) subjekt, ki je v vsaj 95-odstotni lasti neposredno subjekta iz točke a) ali prek verige takih subjektov in ki posluje izključno ali skoraj izključno za namene posedovanja ali vlaganja sredstev v njihovo korist, ali</w:t>
      </w:r>
    </w:p>
    <w:p w14:paraId="09235FAB" w14:textId="77777777" w:rsidR="00C46A5C" w:rsidRPr="00B750A7" w:rsidRDefault="00C46A5C" w:rsidP="00B750A7">
      <w:pPr>
        <w:jc w:val="both"/>
        <w:rPr>
          <w:rFonts w:ascii="Arial" w:hAnsi="Arial" w:cs="Arial"/>
          <w:sz w:val="20"/>
          <w:szCs w:val="20"/>
        </w:rPr>
      </w:pPr>
      <w:r w:rsidRPr="00B750A7">
        <w:rPr>
          <w:rFonts w:ascii="Arial" w:hAnsi="Arial" w:cs="Arial"/>
          <w:sz w:val="20"/>
          <w:szCs w:val="20"/>
        </w:rPr>
        <w:t>c) subjekt, katerega najmanj 85 % vrednosti je v lasti subjekta iz točke a) te točke, če skoraj</w:t>
      </w:r>
      <w:r w:rsidRPr="00B750A7">
        <w:rPr>
          <w:rFonts w:ascii="Arial" w:hAnsi="Arial" w:cs="Arial"/>
          <w:sz w:val="20"/>
          <w:szCs w:val="20"/>
        </w:rPr>
        <w:br/>
        <w:t>ves njegov dohodek izhaja iz dividend ali dobičkov ali izgub iz lastniškega kapitala, ki so</w:t>
      </w:r>
      <w:r w:rsidRPr="00B750A7">
        <w:rPr>
          <w:rFonts w:ascii="Arial" w:hAnsi="Arial" w:cs="Arial"/>
          <w:sz w:val="20"/>
          <w:szCs w:val="20"/>
        </w:rPr>
        <w:br/>
        <w:t>za namene te direktive izključeni iz izračuna kvalificiranega dohodka ali izgube.</w:t>
      </w:r>
    </w:p>
    <w:p w14:paraId="2D19E369" w14:textId="77777777" w:rsidR="0081691E" w:rsidRPr="00B750A7" w:rsidRDefault="0081691E" w:rsidP="00B750A7">
      <w:pPr>
        <w:jc w:val="both"/>
        <w:rPr>
          <w:rFonts w:ascii="Arial" w:hAnsi="Arial" w:cs="Arial"/>
          <w:sz w:val="20"/>
          <w:szCs w:val="20"/>
        </w:rPr>
      </w:pPr>
      <w:r w:rsidRPr="00B750A7">
        <w:rPr>
          <w:rFonts w:ascii="Arial" w:hAnsi="Arial" w:cs="Arial"/>
          <w:sz w:val="20"/>
          <w:szCs w:val="20"/>
        </w:rPr>
        <w:t xml:space="preserve">52. člen ZMD določa pravila za izračun efektivne davčne stopnje (ETR) nadzorovanega investicijskega subjekta ali zavarovalnega investicijskega subjekta, ki ni izbral opcij po 53. členu ali 54. členu. Dohodek investicijskih subjektov in zavarovalnih investicijskih subjektov je pogosto nizko obdavčen na nivoju subjekta. Zato 52. člen ZMD določa, da se ETR in </w:t>
      </w:r>
      <w:r w:rsidR="00FA29CB" w:rsidRPr="00B750A7">
        <w:rPr>
          <w:rFonts w:ascii="Arial" w:hAnsi="Arial" w:cs="Arial"/>
          <w:sz w:val="20"/>
          <w:szCs w:val="20"/>
        </w:rPr>
        <w:t>povrhnji davek</w:t>
      </w:r>
      <w:r w:rsidRPr="00B750A7">
        <w:rPr>
          <w:rFonts w:ascii="Arial" w:hAnsi="Arial" w:cs="Arial"/>
          <w:sz w:val="20"/>
          <w:szCs w:val="20"/>
        </w:rPr>
        <w:t xml:space="preserve"> teh </w:t>
      </w:r>
      <w:r w:rsidR="00FA29CB" w:rsidRPr="00B750A7">
        <w:rPr>
          <w:rFonts w:ascii="Arial" w:hAnsi="Arial" w:cs="Arial"/>
          <w:sz w:val="20"/>
          <w:szCs w:val="20"/>
        </w:rPr>
        <w:t>subjektov izračunava</w:t>
      </w:r>
      <w:r w:rsidRPr="00B750A7">
        <w:rPr>
          <w:rFonts w:ascii="Arial" w:hAnsi="Arial" w:cs="Arial"/>
          <w:sz w:val="20"/>
          <w:szCs w:val="20"/>
        </w:rPr>
        <w:t xml:space="preserve"> na samostojni osnovi</w:t>
      </w:r>
      <w:r w:rsidR="00FA29CB" w:rsidRPr="00B750A7">
        <w:rPr>
          <w:rFonts w:ascii="Arial" w:hAnsi="Arial" w:cs="Arial"/>
          <w:sz w:val="20"/>
          <w:szCs w:val="20"/>
        </w:rPr>
        <w:t>. Cilj tega je,</w:t>
      </w:r>
      <w:r w:rsidRPr="00B750A7">
        <w:rPr>
          <w:rFonts w:ascii="Arial" w:hAnsi="Arial" w:cs="Arial"/>
          <w:sz w:val="20"/>
          <w:szCs w:val="20"/>
        </w:rPr>
        <w:t xml:space="preserve"> da</w:t>
      </w:r>
      <w:r w:rsidR="00FA29CB" w:rsidRPr="00B750A7">
        <w:rPr>
          <w:rFonts w:ascii="Arial" w:hAnsi="Arial" w:cs="Arial"/>
          <w:sz w:val="20"/>
          <w:szCs w:val="20"/>
        </w:rPr>
        <w:t xml:space="preserve"> se</w:t>
      </w:r>
      <w:r w:rsidRPr="00B750A7">
        <w:rPr>
          <w:rFonts w:ascii="Arial" w:hAnsi="Arial" w:cs="Arial"/>
          <w:sz w:val="20"/>
          <w:szCs w:val="20"/>
        </w:rPr>
        <w:t xml:space="preserve"> prepreči, da bi skupina mešala ta nizko obdavčen dohodek z dohodkom drugih </w:t>
      </w:r>
      <w:r w:rsidR="00FA29CB" w:rsidRPr="00B750A7">
        <w:rPr>
          <w:rFonts w:ascii="Arial" w:hAnsi="Arial" w:cs="Arial"/>
          <w:sz w:val="20"/>
          <w:szCs w:val="20"/>
        </w:rPr>
        <w:t>subjektov v sestavi skupine</w:t>
      </w:r>
      <w:r w:rsidRPr="00B750A7">
        <w:rPr>
          <w:rFonts w:ascii="Arial" w:hAnsi="Arial" w:cs="Arial"/>
          <w:sz w:val="20"/>
          <w:szCs w:val="20"/>
        </w:rPr>
        <w:t xml:space="preserve">. </w:t>
      </w:r>
      <w:r w:rsidR="00FA29CB" w:rsidRPr="00B750A7">
        <w:rPr>
          <w:rFonts w:ascii="Arial" w:hAnsi="Arial" w:cs="Arial"/>
          <w:sz w:val="20"/>
          <w:szCs w:val="20"/>
        </w:rPr>
        <w:t xml:space="preserve">52. člen ZMD </w:t>
      </w:r>
      <w:r w:rsidRPr="00B750A7">
        <w:rPr>
          <w:rFonts w:ascii="Arial" w:hAnsi="Arial" w:cs="Arial"/>
          <w:sz w:val="20"/>
          <w:szCs w:val="20"/>
        </w:rPr>
        <w:t xml:space="preserve">prav tako skuša zagotoviti, da manjšinski vlagatelji niso predmet </w:t>
      </w:r>
      <w:r w:rsidR="00FA29CB" w:rsidRPr="00B750A7">
        <w:rPr>
          <w:rFonts w:ascii="Arial" w:hAnsi="Arial" w:cs="Arial"/>
          <w:sz w:val="20"/>
          <w:szCs w:val="20"/>
        </w:rPr>
        <w:t>povrhnjega</w:t>
      </w:r>
      <w:r w:rsidRPr="00B750A7">
        <w:rPr>
          <w:rFonts w:ascii="Arial" w:hAnsi="Arial" w:cs="Arial"/>
          <w:sz w:val="20"/>
          <w:szCs w:val="20"/>
        </w:rPr>
        <w:t xml:space="preserve"> davka na njihov delež v nizko obdavčen</w:t>
      </w:r>
      <w:r w:rsidR="00FA29CB" w:rsidRPr="00B750A7">
        <w:rPr>
          <w:rFonts w:ascii="Arial" w:hAnsi="Arial" w:cs="Arial"/>
          <w:sz w:val="20"/>
          <w:szCs w:val="20"/>
        </w:rPr>
        <w:t>em investicijskem subjektu</w:t>
      </w:r>
      <w:r w:rsidRPr="00B750A7">
        <w:rPr>
          <w:rFonts w:ascii="Arial" w:hAnsi="Arial" w:cs="Arial"/>
          <w:sz w:val="20"/>
          <w:szCs w:val="20"/>
        </w:rPr>
        <w:t>, ki jo nadzoruje skupina. To doseže tako, da</w:t>
      </w:r>
      <w:r w:rsidR="00FA29CB" w:rsidRPr="00B750A7">
        <w:rPr>
          <w:rFonts w:ascii="Arial" w:hAnsi="Arial" w:cs="Arial"/>
          <w:sz w:val="20"/>
          <w:szCs w:val="20"/>
        </w:rPr>
        <w:t xml:space="preserve"> se</w:t>
      </w:r>
      <w:r w:rsidRPr="00B750A7">
        <w:rPr>
          <w:rFonts w:ascii="Arial" w:hAnsi="Arial" w:cs="Arial"/>
          <w:sz w:val="20"/>
          <w:szCs w:val="20"/>
        </w:rPr>
        <w:t xml:space="preserve"> ETR in </w:t>
      </w:r>
      <w:r w:rsidR="00FA29CB" w:rsidRPr="00B750A7">
        <w:rPr>
          <w:rFonts w:ascii="Arial" w:hAnsi="Arial" w:cs="Arial"/>
          <w:sz w:val="20"/>
          <w:szCs w:val="20"/>
        </w:rPr>
        <w:t>povrhnji</w:t>
      </w:r>
      <w:r w:rsidRPr="00B750A7">
        <w:rPr>
          <w:rFonts w:ascii="Arial" w:hAnsi="Arial" w:cs="Arial"/>
          <w:sz w:val="20"/>
          <w:szCs w:val="20"/>
        </w:rPr>
        <w:t xml:space="preserve"> davek nadzorovane</w:t>
      </w:r>
      <w:r w:rsidR="00FA29CB" w:rsidRPr="00B750A7">
        <w:rPr>
          <w:rFonts w:ascii="Arial" w:hAnsi="Arial" w:cs="Arial"/>
          <w:sz w:val="20"/>
          <w:szCs w:val="20"/>
        </w:rPr>
        <w:t>ga investicijskega subjekta</w:t>
      </w:r>
      <w:r w:rsidRPr="00B750A7">
        <w:rPr>
          <w:rFonts w:ascii="Arial" w:hAnsi="Arial" w:cs="Arial"/>
          <w:sz w:val="20"/>
          <w:szCs w:val="20"/>
        </w:rPr>
        <w:t xml:space="preserve"> </w:t>
      </w:r>
      <w:r w:rsidR="00FA29CB" w:rsidRPr="00B750A7">
        <w:rPr>
          <w:rFonts w:ascii="Arial" w:hAnsi="Arial" w:cs="Arial"/>
          <w:sz w:val="20"/>
          <w:szCs w:val="20"/>
        </w:rPr>
        <w:t xml:space="preserve">izračuna </w:t>
      </w:r>
      <w:r w:rsidRPr="00B750A7">
        <w:rPr>
          <w:rFonts w:ascii="Arial" w:hAnsi="Arial" w:cs="Arial"/>
          <w:sz w:val="20"/>
          <w:szCs w:val="20"/>
        </w:rPr>
        <w:t>samo v obsegu, ki je pripisan skupini.</w:t>
      </w:r>
    </w:p>
    <w:p w14:paraId="55360723" w14:textId="77777777" w:rsidR="0081691E" w:rsidRPr="00B750A7" w:rsidRDefault="00FA29CB" w:rsidP="00B750A7">
      <w:pPr>
        <w:jc w:val="both"/>
        <w:rPr>
          <w:rFonts w:ascii="Arial" w:hAnsi="Arial" w:cs="Arial"/>
          <w:sz w:val="20"/>
          <w:szCs w:val="20"/>
        </w:rPr>
      </w:pPr>
      <w:r w:rsidRPr="00B750A7">
        <w:rPr>
          <w:rFonts w:ascii="Arial" w:hAnsi="Arial" w:cs="Arial"/>
          <w:sz w:val="20"/>
          <w:szCs w:val="20"/>
        </w:rPr>
        <w:t>53. člen ZMD</w:t>
      </w:r>
      <w:r w:rsidR="0081691E" w:rsidRPr="00B750A7">
        <w:rPr>
          <w:rFonts w:ascii="Arial" w:hAnsi="Arial" w:cs="Arial"/>
          <w:sz w:val="20"/>
          <w:szCs w:val="20"/>
        </w:rPr>
        <w:t xml:space="preserve"> omogoča </w:t>
      </w:r>
      <w:r w:rsidRPr="00B750A7">
        <w:rPr>
          <w:rFonts w:ascii="Arial" w:hAnsi="Arial" w:cs="Arial"/>
          <w:sz w:val="20"/>
          <w:szCs w:val="20"/>
        </w:rPr>
        <w:t>opcijo</w:t>
      </w:r>
      <w:r w:rsidR="0081691E" w:rsidRPr="00B750A7">
        <w:rPr>
          <w:rFonts w:ascii="Arial" w:hAnsi="Arial" w:cs="Arial"/>
          <w:sz w:val="20"/>
          <w:szCs w:val="20"/>
        </w:rPr>
        <w:t>, d</w:t>
      </w:r>
      <w:r w:rsidRPr="00B750A7">
        <w:rPr>
          <w:rFonts w:ascii="Arial" w:hAnsi="Arial" w:cs="Arial"/>
          <w:sz w:val="20"/>
          <w:szCs w:val="20"/>
        </w:rPr>
        <w:t xml:space="preserve">a se investicijski subjekt ali zavarovalni investicijski subjekt </w:t>
      </w:r>
      <w:r w:rsidR="0081691E" w:rsidRPr="00B750A7">
        <w:rPr>
          <w:rFonts w:ascii="Arial" w:hAnsi="Arial" w:cs="Arial"/>
          <w:sz w:val="20"/>
          <w:szCs w:val="20"/>
        </w:rPr>
        <w:t>obravnava kot davčno transparentn</w:t>
      </w:r>
      <w:r w:rsidRPr="00B750A7">
        <w:rPr>
          <w:rFonts w:ascii="Arial" w:hAnsi="Arial" w:cs="Arial"/>
          <w:sz w:val="20"/>
          <w:szCs w:val="20"/>
        </w:rPr>
        <w:t>i subjekt</w:t>
      </w:r>
      <w:r w:rsidR="0081691E" w:rsidRPr="00B750A7">
        <w:rPr>
          <w:rFonts w:ascii="Arial" w:hAnsi="Arial" w:cs="Arial"/>
          <w:sz w:val="20"/>
          <w:szCs w:val="20"/>
        </w:rPr>
        <w:t xml:space="preserve">. </w:t>
      </w:r>
      <w:r w:rsidRPr="00B750A7">
        <w:rPr>
          <w:rFonts w:ascii="Arial" w:hAnsi="Arial" w:cs="Arial"/>
          <w:sz w:val="20"/>
          <w:szCs w:val="20"/>
        </w:rPr>
        <w:t>Investicijski subjekt ali zavarovalni investicijski subjekt</w:t>
      </w:r>
      <w:r w:rsidR="0081691E" w:rsidRPr="00B750A7">
        <w:rPr>
          <w:rFonts w:ascii="Arial" w:hAnsi="Arial" w:cs="Arial"/>
          <w:sz w:val="20"/>
          <w:szCs w:val="20"/>
        </w:rPr>
        <w:t>, ki izpolnjujejo definicijo davčno transparentne</w:t>
      </w:r>
      <w:r w:rsidRPr="00B750A7">
        <w:rPr>
          <w:rFonts w:ascii="Arial" w:hAnsi="Arial" w:cs="Arial"/>
          <w:sz w:val="20"/>
          <w:szCs w:val="20"/>
        </w:rPr>
        <w:t>ga subjekta</w:t>
      </w:r>
      <w:r w:rsidR="0081691E" w:rsidRPr="00B750A7">
        <w:rPr>
          <w:rFonts w:ascii="Arial" w:hAnsi="Arial" w:cs="Arial"/>
          <w:sz w:val="20"/>
          <w:szCs w:val="20"/>
        </w:rPr>
        <w:t xml:space="preserve"> v </w:t>
      </w:r>
      <w:r w:rsidRPr="00B750A7">
        <w:rPr>
          <w:rFonts w:ascii="Arial" w:hAnsi="Arial" w:cs="Arial"/>
          <w:sz w:val="20"/>
          <w:szCs w:val="20"/>
        </w:rPr>
        <w:t xml:space="preserve">7. </w:t>
      </w:r>
      <w:r w:rsidR="0081691E" w:rsidRPr="00B750A7">
        <w:rPr>
          <w:rFonts w:ascii="Arial" w:hAnsi="Arial" w:cs="Arial"/>
          <w:sz w:val="20"/>
          <w:szCs w:val="20"/>
        </w:rPr>
        <w:t>členu, ne potrebujejo</w:t>
      </w:r>
      <w:r w:rsidRPr="00B750A7">
        <w:rPr>
          <w:rFonts w:ascii="Arial" w:hAnsi="Arial" w:cs="Arial"/>
          <w:sz w:val="20"/>
          <w:szCs w:val="20"/>
        </w:rPr>
        <w:t xml:space="preserve"> uporabiti opcije</w:t>
      </w:r>
      <w:r w:rsidR="0081691E" w:rsidRPr="00B750A7">
        <w:rPr>
          <w:rFonts w:ascii="Arial" w:hAnsi="Arial" w:cs="Arial"/>
          <w:sz w:val="20"/>
          <w:szCs w:val="20"/>
        </w:rPr>
        <w:t xml:space="preserve">. V okviru </w:t>
      </w:r>
      <w:r w:rsidR="00C46A5C" w:rsidRPr="00B750A7">
        <w:rPr>
          <w:rFonts w:ascii="Arial" w:hAnsi="Arial" w:cs="Arial"/>
          <w:sz w:val="20"/>
          <w:szCs w:val="20"/>
        </w:rPr>
        <w:t xml:space="preserve">te petletne </w:t>
      </w:r>
      <w:r w:rsidRPr="00B750A7">
        <w:rPr>
          <w:rFonts w:ascii="Arial" w:hAnsi="Arial" w:cs="Arial"/>
          <w:sz w:val="20"/>
          <w:szCs w:val="20"/>
        </w:rPr>
        <w:t>opcije se</w:t>
      </w:r>
      <w:r w:rsidR="0081691E" w:rsidRPr="00B750A7">
        <w:rPr>
          <w:rFonts w:ascii="Arial" w:hAnsi="Arial" w:cs="Arial"/>
          <w:sz w:val="20"/>
          <w:szCs w:val="20"/>
        </w:rPr>
        <w:t xml:space="preserve"> dohodek in </w:t>
      </w:r>
      <w:r w:rsidRPr="00B750A7">
        <w:rPr>
          <w:rFonts w:ascii="Arial" w:hAnsi="Arial" w:cs="Arial"/>
          <w:sz w:val="20"/>
          <w:szCs w:val="20"/>
        </w:rPr>
        <w:t>zajeti</w:t>
      </w:r>
      <w:r w:rsidR="0081691E" w:rsidRPr="00B750A7">
        <w:rPr>
          <w:rFonts w:ascii="Arial" w:hAnsi="Arial" w:cs="Arial"/>
          <w:sz w:val="20"/>
          <w:szCs w:val="20"/>
        </w:rPr>
        <w:t xml:space="preserve"> davki </w:t>
      </w:r>
      <w:r w:rsidRPr="00B750A7">
        <w:rPr>
          <w:rFonts w:ascii="Arial" w:hAnsi="Arial" w:cs="Arial"/>
          <w:sz w:val="20"/>
          <w:szCs w:val="20"/>
        </w:rPr>
        <w:t>investicijski subjekt ali zavarovalni investicijski subjekt pripišejo</w:t>
      </w:r>
      <w:r w:rsidR="0081691E" w:rsidRPr="00B750A7">
        <w:rPr>
          <w:rFonts w:ascii="Arial" w:hAnsi="Arial" w:cs="Arial"/>
          <w:sz w:val="20"/>
          <w:szCs w:val="20"/>
        </w:rPr>
        <w:t xml:space="preserve"> </w:t>
      </w:r>
      <w:r w:rsidRPr="00B750A7">
        <w:rPr>
          <w:rFonts w:ascii="Arial" w:hAnsi="Arial" w:cs="Arial"/>
          <w:sz w:val="20"/>
          <w:szCs w:val="20"/>
        </w:rPr>
        <w:t>l</w:t>
      </w:r>
      <w:r w:rsidR="0081691E" w:rsidRPr="00B750A7">
        <w:rPr>
          <w:rFonts w:ascii="Arial" w:hAnsi="Arial" w:cs="Arial"/>
          <w:sz w:val="20"/>
          <w:szCs w:val="20"/>
        </w:rPr>
        <w:t>astni</w:t>
      </w:r>
      <w:r w:rsidRPr="00B750A7">
        <w:rPr>
          <w:rFonts w:ascii="Arial" w:hAnsi="Arial" w:cs="Arial"/>
          <w:sz w:val="20"/>
          <w:szCs w:val="20"/>
        </w:rPr>
        <w:t>ku subjekta v sestavi</w:t>
      </w:r>
      <w:r w:rsidR="0081691E" w:rsidRPr="00B750A7">
        <w:rPr>
          <w:rFonts w:ascii="Arial" w:hAnsi="Arial" w:cs="Arial"/>
          <w:sz w:val="20"/>
          <w:szCs w:val="20"/>
        </w:rPr>
        <w:t>, in zato posebna pravila v</w:t>
      </w:r>
      <w:r w:rsidRPr="00B750A7">
        <w:rPr>
          <w:rFonts w:ascii="Arial" w:hAnsi="Arial" w:cs="Arial"/>
          <w:sz w:val="20"/>
          <w:szCs w:val="20"/>
        </w:rPr>
        <w:t xml:space="preserve"> 52.</w:t>
      </w:r>
      <w:r w:rsidR="0081691E" w:rsidRPr="00B750A7">
        <w:rPr>
          <w:rFonts w:ascii="Arial" w:hAnsi="Arial" w:cs="Arial"/>
          <w:sz w:val="20"/>
          <w:szCs w:val="20"/>
        </w:rPr>
        <w:t xml:space="preserve"> členu niso potrebna za izračun efektivne davčne stopnje </w:t>
      </w:r>
      <w:r w:rsidRPr="00B750A7">
        <w:rPr>
          <w:rFonts w:ascii="Arial" w:hAnsi="Arial" w:cs="Arial"/>
          <w:sz w:val="20"/>
          <w:szCs w:val="20"/>
        </w:rPr>
        <w:t>investicijskega subjekta</w:t>
      </w:r>
      <w:r w:rsidR="0081691E" w:rsidRPr="00B750A7">
        <w:rPr>
          <w:rFonts w:ascii="Arial" w:hAnsi="Arial" w:cs="Arial"/>
          <w:sz w:val="20"/>
          <w:szCs w:val="20"/>
        </w:rPr>
        <w:t xml:space="preserve">. </w:t>
      </w:r>
    </w:p>
    <w:p w14:paraId="14BCBB4F" w14:textId="77777777" w:rsidR="00577E47" w:rsidRPr="00B750A7" w:rsidRDefault="0081691E" w:rsidP="00B750A7">
      <w:pPr>
        <w:jc w:val="both"/>
        <w:rPr>
          <w:rFonts w:ascii="Arial" w:hAnsi="Arial" w:cs="Arial"/>
          <w:sz w:val="20"/>
          <w:szCs w:val="20"/>
        </w:rPr>
      </w:pPr>
      <w:r w:rsidRPr="00B750A7">
        <w:rPr>
          <w:rFonts w:ascii="Arial" w:hAnsi="Arial" w:cs="Arial"/>
          <w:sz w:val="20"/>
          <w:szCs w:val="20"/>
        </w:rPr>
        <w:t>Nazadnje,</w:t>
      </w:r>
      <w:r w:rsidR="00D8106B" w:rsidRPr="00B750A7">
        <w:rPr>
          <w:rFonts w:ascii="Arial" w:hAnsi="Arial" w:cs="Arial"/>
          <w:sz w:val="20"/>
          <w:szCs w:val="20"/>
        </w:rPr>
        <w:t xml:space="preserve"> 54.</w:t>
      </w:r>
      <w:r w:rsidRPr="00B750A7">
        <w:rPr>
          <w:rFonts w:ascii="Arial" w:hAnsi="Arial" w:cs="Arial"/>
          <w:sz w:val="20"/>
          <w:szCs w:val="20"/>
        </w:rPr>
        <w:t xml:space="preserve"> člen omogoča </w:t>
      </w:r>
      <w:r w:rsidR="00C46A5C" w:rsidRPr="00B750A7">
        <w:rPr>
          <w:rFonts w:ascii="Arial" w:hAnsi="Arial" w:cs="Arial"/>
          <w:sz w:val="20"/>
          <w:szCs w:val="20"/>
        </w:rPr>
        <w:t xml:space="preserve">petletno </w:t>
      </w:r>
      <w:r w:rsidR="00D8106B" w:rsidRPr="00B750A7">
        <w:rPr>
          <w:rFonts w:ascii="Arial" w:hAnsi="Arial" w:cs="Arial"/>
          <w:sz w:val="20"/>
          <w:szCs w:val="20"/>
        </w:rPr>
        <w:t>opcijo</w:t>
      </w:r>
      <w:r w:rsidRPr="00B750A7">
        <w:rPr>
          <w:rFonts w:ascii="Arial" w:hAnsi="Arial" w:cs="Arial"/>
          <w:sz w:val="20"/>
          <w:szCs w:val="20"/>
        </w:rPr>
        <w:t xml:space="preserve"> lastniku </w:t>
      </w:r>
      <w:r w:rsidR="00D8106B" w:rsidRPr="00B750A7">
        <w:rPr>
          <w:rFonts w:ascii="Arial" w:hAnsi="Arial" w:cs="Arial"/>
          <w:sz w:val="20"/>
          <w:szCs w:val="20"/>
        </w:rPr>
        <w:t>investicijskega subjekta v sestavi</w:t>
      </w:r>
      <w:r w:rsidR="00C46A5C" w:rsidRPr="00B750A7">
        <w:rPr>
          <w:rFonts w:ascii="Arial" w:hAnsi="Arial" w:cs="Arial"/>
          <w:sz w:val="20"/>
          <w:szCs w:val="20"/>
        </w:rPr>
        <w:t>, v okviru katere</w:t>
      </w:r>
      <w:r w:rsidRPr="00B750A7">
        <w:rPr>
          <w:rFonts w:ascii="Arial" w:hAnsi="Arial" w:cs="Arial"/>
          <w:sz w:val="20"/>
          <w:szCs w:val="20"/>
        </w:rPr>
        <w:t xml:space="preserve"> lastnik </w:t>
      </w:r>
      <w:r w:rsidR="00D8106B" w:rsidRPr="00B750A7">
        <w:rPr>
          <w:rFonts w:ascii="Arial" w:hAnsi="Arial" w:cs="Arial"/>
          <w:sz w:val="20"/>
          <w:szCs w:val="20"/>
        </w:rPr>
        <w:t>subjekta v sestavi</w:t>
      </w:r>
      <w:r w:rsidRPr="00B750A7">
        <w:rPr>
          <w:rFonts w:ascii="Arial" w:hAnsi="Arial" w:cs="Arial"/>
          <w:sz w:val="20"/>
          <w:szCs w:val="20"/>
        </w:rPr>
        <w:t xml:space="preserve"> vključuje prejet </w:t>
      </w:r>
      <w:r w:rsidR="00D8106B" w:rsidRPr="00B750A7">
        <w:rPr>
          <w:rFonts w:ascii="Arial" w:hAnsi="Arial" w:cs="Arial"/>
          <w:sz w:val="20"/>
          <w:szCs w:val="20"/>
        </w:rPr>
        <w:t>razdeljen dobiček</w:t>
      </w:r>
      <w:r w:rsidRPr="00B750A7">
        <w:rPr>
          <w:rFonts w:ascii="Arial" w:hAnsi="Arial" w:cs="Arial"/>
          <w:sz w:val="20"/>
          <w:szCs w:val="20"/>
        </w:rPr>
        <w:t xml:space="preserve"> iz</w:t>
      </w:r>
      <w:r w:rsidR="00C46A5C" w:rsidRPr="00B750A7">
        <w:rPr>
          <w:rFonts w:ascii="Arial" w:hAnsi="Arial" w:cs="Arial"/>
          <w:sz w:val="20"/>
          <w:szCs w:val="20"/>
        </w:rPr>
        <w:t xml:space="preserve"> investicijskega</w:t>
      </w:r>
      <w:r w:rsidRPr="00B750A7">
        <w:rPr>
          <w:rFonts w:ascii="Arial" w:hAnsi="Arial" w:cs="Arial"/>
          <w:sz w:val="20"/>
          <w:szCs w:val="20"/>
        </w:rPr>
        <w:t xml:space="preserve"> </w:t>
      </w:r>
      <w:r w:rsidR="00D8106B" w:rsidRPr="00B750A7">
        <w:rPr>
          <w:rFonts w:ascii="Arial" w:hAnsi="Arial" w:cs="Arial"/>
          <w:sz w:val="20"/>
          <w:szCs w:val="20"/>
        </w:rPr>
        <w:t>subjekta</w:t>
      </w:r>
      <w:r w:rsidRPr="00B750A7">
        <w:rPr>
          <w:rFonts w:ascii="Arial" w:hAnsi="Arial" w:cs="Arial"/>
          <w:sz w:val="20"/>
          <w:szCs w:val="20"/>
        </w:rPr>
        <w:t xml:space="preserve"> v izračun svojega </w:t>
      </w:r>
      <w:r w:rsidR="00D8106B" w:rsidRPr="00B750A7">
        <w:rPr>
          <w:rFonts w:ascii="Arial" w:hAnsi="Arial" w:cs="Arial"/>
          <w:sz w:val="20"/>
          <w:szCs w:val="20"/>
        </w:rPr>
        <w:t xml:space="preserve">kvalificiranega </w:t>
      </w:r>
      <w:r w:rsidRPr="00B750A7">
        <w:rPr>
          <w:rFonts w:ascii="Arial" w:hAnsi="Arial" w:cs="Arial"/>
          <w:sz w:val="20"/>
          <w:szCs w:val="20"/>
        </w:rPr>
        <w:t>dohodka ali izgube.</w:t>
      </w:r>
      <w:r w:rsidR="00C46A5C" w:rsidRPr="00B750A7">
        <w:rPr>
          <w:rFonts w:ascii="Arial" w:hAnsi="Arial" w:cs="Arial"/>
          <w:sz w:val="20"/>
          <w:szCs w:val="20"/>
        </w:rPr>
        <w:t xml:space="preserve"> Navedeno opcijo za metodo obdavčljive distribucije v zvezi s svojim lastniškim deležem v investicijskem subjektu lahko uporabi lastnik investicijskega subjekta, če subjekt v sestavi, ki je lastnik, ni investicijski subjekt in se lahko razumno pričakuje, da bo zavezan plačilu davka na distribucijo investicijskega subjekta po davčni stopnji, ki je enaka minimalni davčni stopnji ali višja od nje.</w:t>
      </w:r>
      <w:r w:rsidRPr="00B750A7">
        <w:rPr>
          <w:rFonts w:ascii="Arial" w:hAnsi="Arial" w:cs="Arial"/>
          <w:sz w:val="20"/>
          <w:szCs w:val="20"/>
        </w:rPr>
        <w:t xml:space="preserve"> </w:t>
      </w:r>
      <w:r w:rsidR="00D8106B" w:rsidRPr="00B750A7">
        <w:rPr>
          <w:rFonts w:ascii="Arial" w:hAnsi="Arial" w:cs="Arial"/>
          <w:sz w:val="20"/>
          <w:szCs w:val="20"/>
        </w:rPr>
        <w:t>Kvalificirani dohodek ali izguba investicijskega subjekta in prilagojeni zajeti davki, ki se lahko pripišejo takemu dohodku v poslovnem letu, se izključijo iz izračuna povrhnjega davka tega investicijskega subjekta. Delež, ki ga ima subjekt v sestavi, ki je lastnik, v nerazdeljenem neto kvalificiranem dohodku investicijskega subjekta iz tretjega odstavka tega člena, nastalem v tretjem letu pred poslovnim letom</w:t>
      </w:r>
      <w:r w:rsidR="00C46A5C" w:rsidRPr="00B750A7">
        <w:rPr>
          <w:rFonts w:ascii="Arial" w:hAnsi="Arial" w:cs="Arial"/>
          <w:sz w:val="20"/>
          <w:szCs w:val="20"/>
        </w:rPr>
        <w:t>,</w:t>
      </w:r>
      <w:r w:rsidR="00D8106B" w:rsidRPr="00B750A7">
        <w:rPr>
          <w:rFonts w:ascii="Arial" w:hAnsi="Arial" w:cs="Arial"/>
          <w:sz w:val="20"/>
          <w:szCs w:val="20"/>
        </w:rPr>
        <w:t xml:space="preserve"> se obravnava kot kvalificirani dohodek tega investicijskega subjekta za poslovno leto.</w:t>
      </w:r>
    </w:p>
    <w:p w14:paraId="276A8743" w14:textId="77777777" w:rsidR="00A04D64" w:rsidRDefault="00A04D64" w:rsidP="00A2110D">
      <w:pPr>
        <w:pStyle w:val="FURSnaslov2"/>
        <w:rPr>
          <w:sz w:val="20"/>
          <w:szCs w:val="20"/>
          <w:lang w:val="sl-SI"/>
        </w:rPr>
      </w:pPr>
      <w:bookmarkStart w:id="23" w:name="_Toc157425316"/>
      <w:r w:rsidRPr="00CC009A">
        <w:rPr>
          <w:sz w:val="20"/>
          <w:szCs w:val="20"/>
          <w:lang w:val="sl-SI"/>
        </w:rPr>
        <w:t>3.</w:t>
      </w:r>
      <w:r w:rsidR="00CC009A" w:rsidRPr="00CC009A">
        <w:rPr>
          <w:sz w:val="20"/>
          <w:szCs w:val="20"/>
          <w:lang w:val="sl-SI"/>
        </w:rPr>
        <w:t>9</w:t>
      </w:r>
      <w:r w:rsidRPr="00CC009A">
        <w:rPr>
          <w:sz w:val="20"/>
          <w:szCs w:val="20"/>
          <w:lang w:val="sl-SI"/>
        </w:rPr>
        <w:t>. Skupni podvig (</w:t>
      </w:r>
      <w:r w:rsidR="003F0A36">
        <w:rPr>
          <w:sz w:val="20"/>
          <w:szCs w:val="20"/>
          <w:lang w:val="sl-SI"/>
        </w:rPr>
        <w:t>47. člen ZMD)</w:t>
      </w:r>
      <w:bookmarkEnd w:id="23"/>
    </w:p>
    <w:p w14:paraId="3CD3ECB5" w14:textId="77777777" w:rsidR="001457A7" w:rsidRPr="00B750A7" w:rsidRDefault="001457A7" w:rsidP="00B750A7">
      <w:pPr>
        <w:spacing w:line="240" w:lineRule="atLeast"/>
        <w:jc w:val="both"/>
        <w:rPr>
          <w:rFonts w:ascii="Arial" w:hAnsi="Arial" w:cs="Arial"/>
          <w:sz w:val="20"/>
          <w:szCs w:val="20"/>
        </w:rPr>
      </w:pPr>
      <w:r w:rsidRPr="00B750A7">
        <w:rPr>
          <w:rFonts w:ascii="Arial" w:hAnsi="Arial" w:cs="Arial"/>
          <w:sz w:val="20"/>
          <w:szCs w:val="20"/>
        </w:rPr>
        <w:t>Skupni podvigi niso subjekti v sestavi skupine MNE, ker se po standardih računovodskega poročanja njihovi dohodki, odhodki, sredstva in obveznosti ne konsolidirajo s preostalimi subjekti v sestavi skupine po posameznih postavkah. Kljub temu bo nizko obdavčeni dohodek skupnega pod</w:t>
      </w:r>
      <w:r w:rsidR="003F0A36" w:rsidRPr="00B750A7">
        <w:rPr>
          <w:rFonts w:ascii="Arial" w:hAnsi="Arial" w:cs="Arial"/>
          <w:sz w:val="20"/>
          <w:szCs w:val="20"/>
        </w:rPr>
        <w:t>vig</w:t>
      </w:r>
      <w:r w:rsidRPr="00B750A7">
        <w:rPr>
          <w:rFonts w:ascii="Arial" w:hAnsi="Arial" w:cs="Arial"/>
          <w:sz w:val="20"/>
          <w:szCs w:val="20"/>
        </w:rPr>
        <w:t xml:space="preserve">a, kot je opredeljen za računovodske namene, vključen v obseg pravil povrhnjega davka v skladu s </w:t>
      </w:r>
      <w:r w:rsidR="003F0A36" w:rsidRPr="00B750A7">
        <w:rPr>
          <w:rFonts w:ascii="Arial" w:hAnsi="Arial" w:cs="Arial"/>
          <w:sz w:val="20"/>
          <w:szCs w:val="20"/>
        </w:rPr>
        <w:t>47.</w:t>
      </w:r>
      <w:r w:rsidRPr="00B750A7">
        <w:rPr>
          <w:rFonts w:ascii="Arial" w:hAnsi="Arial" w:cs="Arial"/>
          <w:sz w:val="20"/>
          <w:szCs w:val="20"/>
        </w:rPr>
        <w:t xml:space="preserve"> členom, če</w:t>
      </w:r>
      <w:r w:rsidR="003F0A36" w:rsidRPr="00B750A7">
        <w:rPr>
          <w:rFonts w:ascii="Arial" w:hAnsi="Arial" w:cs="Arial"/>
          <w:sz w:val="20"/>
          <w:szCs w:val="20"/>
        </w:rPr>
        <w:t xml:space="preserve"> skupni podvig</w:t>
      </w:r>
      <w:r w:rsidRPr="00B750A7">
        <w:rPr>
          <w:rFonts w:ascii="Arial" w:hAnsi="Arial" w:cs="Arial"/>
          <w:sz w:val="20"/>
          <w:szCs w:val="20"/>
        </w:rPr>
        <w:t xml:space="preserve"> izpolnjuje naslednjo </w:t>
      </w:r>
      <w:r w:rsidR="003F0A36" w:rsidRPr="00B750A7">
        <w:rPr>
          <w:rFonts w:ascii="Arial" w:hAnsi="Arial" w:cs="Arial"/>
          <w:sz w:val="20"/>
          <w:szCs w:val="20"/>
        </w:rPr>
        <w:t>opredelitev</w:t>
      </w:r>
      <w:r w:rsidRPr="00B750A7">
        <w:rPr>
          <w:rFonts w:ascii="Arial" w:hAnsi="Arial" w:cs="Arial"/>
          <w:sz w:val="20"/>
          <w:szCs w:val="20"/>
        </w:rPr>
        <w:t>:</w:t>
      </w:r>
    </w:p>
    <w:p w14:paraId="292CADA7" w14:textId="77777777" w:rsidR="001457A7" w:rsidRPr="00B750A7" w:rsidRDefault="001457A7" w:rsidP="00B750A7">
      <w:pPr>
        <w:spacing w:line="240" w:lineRule="atLeast"/>
        <w:jc w:val="both"/>
        <w:rPr>
          <w:rFonts w:ascii="Arial" w:hAnsi="Arial" w:cs="Arial"/>
          <w:sz w:val="20"/>
          <w:szCs w:val="20"/>
        </w:rPr>
      </w:pPr>
      <w:r w:rsidRPr="00B750A7">
        <w:rPr>
          <w:rFonts w:ascii="Arial" w:hAnsi="Arial" w:cs="Arial"/>
          <w:sz w:val="20"/>
          <w:szCs w:val="20"/>
        </w:rPr>
        <w:t>Skupn</w:t>
      </w:r>
      <w:r w:rsidR="003F0A36" w:rsidRPr="00B750A7">
        <w:rPr>
          <w:rFonts w:ascii="Arial" w:hAnsi="Arial" w:cs="Arial"/>
          <w:sz w:val="20"/>
          <w:szCs w:val="20"/>
        </w:rPr>
        <w:t>i podvig</w:t>
      </w:r>
      <w:r w:rsidRPr="00B750A7">
        <w:rPr>
          <w:rFonts w:ascii="Arial" w:hAnsi="Arial" w:cs="Arial"/>
          <w:sz w:val="20"/>
          <w:szCs w:val="20"/>
        </w:rPr>
        <w:t xml:space="preserve"> pomeni </w:t>
      </w:r>
      <w:r w:rsidR="003F0A36" w:rsidRPr="00B750A7">
        <w:rPr>
          <w:rFonts w:ascii="Arial" w:hAnsi="Arial" w:cs="Arial"/>
          <w:sz w:val="20"/>
          <w:szCs w:val="20"/>
        </w:rPr>
        <w:t>subjekt</w:t>
      </w:r>
      <w:r w:rsidRPr="00B750A7">
        <w:rPr>
          <w:rFonts w:ascii="Arial" w:hAnsi="Arial" w:cs="Arial"/>
          <w:sz w:val="20"/>
          <w:szCs w:val="20"/>
        </w:rPr>
        <w:t xml:space="preserve">, </w:t>
      </w:r>
      <w:r w:rsidR="003F0A36" w:rsidRPr="00B750A7">
        <w:rPr>
          <w:rFonts w:ascii="Arial" w:hAnsi="Arial" w:cs="Arial"/>
          <w:sz w:val="20"/>
          <w:szCs w:val="20"/>
        </w:rPr>
        <w:t>katerega finančni rezultati se poročajo po kapitalski metodi v konsolidiranih računovodskih izkazih krovnega matičnega subjekta, če krovni matični subjekt neposredno ali posredno poseduje vsaj 50 % njegovega lastniškega deleža.</w:t>
      </w:r>
    </w:p>
    <w:p w14:paraId="320EA79A"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Skupni podvig ne vključuje:</w:t>
      </w:r>
    </w:p>
    <w:p w14:paraId="774080CE"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lastRenderedPageBreak/>
        <w:t>a) krovnega matičnega subjekta mednarodne skupine podjetij ali velike domače skupine, ki mora uporabljati pravilo o vključitvi dohodkov;</w:t>
      </w:r>
    </w:p>
    <w:p w14:paraId="009A5214"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b) izključenega subjekta, kot je opredeljen v tretjem odstavku 6. člena tega zakona;</w:t>
      </w:r>
    </w:p>
    <w:p w14:paraId="3B4B8AD4"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c) subjekta, katerega lastniški deleži, ki jih poseduje mednarodna skupina podjetij ali velika domača skupina, so v neposredni posesti prek izključenega subjekta iz tretjega odstavka 6. člena tega zakona in ki izpolnjuje naslednje pogoje:</w:t>
      </w:r>
    </w:p>
    <w:p w14:paraId="5C19BE62"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 posluje izključno ali skoraj izključno zaradi posedovanja ali vlaganja sredstev v korist svojih vlagateljev;</w:t>
      </w:r>
    </w:p>
    <w:p w14:paraId="62A992F6"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 opravlja dejavnosti, ki so pomožne tistim, ki jih opravlja izključeni subjekt, ali</w:t>
      </w:r>
    </w:p>
    <w:p w14:paraId="1E77CDA6"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 skoraj ves njegov dohodek je izključen iz izračuna kvalificiranega dohodka ali izgube v skladu z drugo in tretjo točko prvega odstavka 20. člena tega zakona;</w:t>
      </w:r>
    </w:p>
    <w:p w14:paraId="75190A74"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 xml:space="preserve">č) subjekta, ki je v posesti mednarodne skupine podjetij ali velike domače skupine, sestavljene izključno iz izključenih subjektov, ali </w:t>
      </w:r>
    </w:p>
    <w:p w14:paraId="5CB30A56" w14:textId="77777777" w:rsidR="003F0A36"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d) povezanega subjekta skupnega podviga;</w:t>
      </w:r>
    </w:p>
    <w:p w14:paraId="5BA06B5E" w14:textId="77777777" w:rsidR="001457A7" w:rsidRPr="00B750A7" w:rsidRDefault="001457A7" w:rsidP="00B750A7">
      <w:pPr>
        <w:spacing w:line="240" w:lineRule="atLeast"/>
        <w:jc w:val="both"/>
        <w:rPr>
          <w:rFonts w:ascii="Arial" w:hAnsi="Arial" w:cs="Arial"/>
          <w:sz w:val="20"/>
          <w:szCs w:val="20"/>
        </w:rPr>
      </w:pPr>
      <w:r w:rsidRPr="00B750A7">
        <w:rPr>
          <w:rFonts w:ascii="Arial" w:hAnsi="Arial" w:cs="Arial"/>
          <w:sz w:val="20"/>
          <w:szCs w:val="20"/>
        </w:rPr>
        <w:t xml:space="preserve">Po različnih sprejemljivih in </w:t>
      </w:r>
      <w:r w:rsidR="003F0A36" w:rsidRPr="00B750A7">
        <w:rPr>
          <w:rFonts w:ascii="Arial" w:hAnsi="Arial" w:cs="Arial"/>
          <w:sz w:val="20"/>
          <w:szCs w:val="20"/>
        </w:rPr>
        <w:t>odobrenih</w:t>
      </w:r>
      <w:r w:rsidRPr="00B750A7">
        <w:rPr>
          <w:rFonts w:ascii="Arial" w:hAnsi="Arial" w:cs="Arial"/>
          <w:sz w:val="20"/>
          <w:szCs w:val="20"/>
        </w:rPr>
        <w:t xml:space="preserve"> standardih</w:t>
      </w:r>
      <w:r w:rsidR="003F0A36" w:rsidRPr="00B750A7">
        <w:rPr>
          <w:rFonts w:ascii="Arial" w:hAnsi="Arial" w:cs="Arial"/>
          <w:sz w:val="20"/>
          <w:szCs w:val="20"/>
        </w:rPr>
        <w:t xml:space="preserve"> finančnega </w:t>
      </w:r>
      <w:proofErr w:type="spellStart"/>
      <w:r w:rsidR="003F0A36" w:rsidRPr="00B750A7">
        <w:rPr>
          <w:rFonts w:ascii="Arial" w:hAnsi="Arial" w:cs="Arial"/>
          <w:sz w:val="20"/>
          <w:szCs w:val="20"/>
        </w:rPr>
        <w:t>računovodenja</w:t>
      </w:r>
      <w:proofErr w:type="spellEnd"/>
      <w:r w:rsidRPr="00B750A7">
        <w:rPr>
          <w:rFonts w:ascii="Arial" w:hAnsi="Arial" w:cs="Arial"/>
          <w:sz w:val="20"/>
          <w:szCs w:val="20"/>
        </w:rPr>
        <w:t xml:space="preserve"> </w:t>
      </w:r>
      <w:r w:rsidR="003F0A36" w:rsidRPr="00B750A7">
        <w:rPr>
          <w:rFonts w:ascii="Arial" w:hAnsi="Arial" w:cs="Arial"/>
          <w:sz w:val="20"/>
          <w:szCs w:val="20"/>
        </w:rPr>
        <w:t>opredelitev</w:t>
      </w:r>
      <w:r w:rsidRPr="00B750A7">
        <w:rPr>
          <w:rFonts w:ascii="Arial" w:hAnsi="Arial" w:cs="Arial"/>
          <w:sz w:val="20"/>
          <w:szCs w:val="20"/>
        </w:rPr>
        <w:t xml:space="preserve"> skupnega pod</w:t>
      </w:r>
      <w:r w:rsidR="003F0A36" w:rsidRPr="00B750A7">
        <w:rPr>
          <w:rFonts w:ascii="Arial" w:hAnsi="Arial" w:cs="Arial"/>
          <w:sz w:val="20"/>
          <w:szCs w:val="20"/>
        </w:rPr>
        <w:t>viga</w:t>
      </w:r>
      <w:r w:rsidRPr="00B750A7">
        <w:rPr>
          <w:rFonts w:ascii="Arial" w:hAnsi="Arial" w:cs="Arial"/>
          <w:sz w:val="20"/>
          <w:szCs w:val="20"/>
        </w:rPr>
        <w:t xml:space="preserve"> vključuje </w:t>
      </w:r>
      <w:r w:rsidR="003F0A36" w:rsidRPr="00B750A7">
        <w:rPr>
          <w:rFonts w:ascii="Arial" w:hAnsi="Arial" w:cs="Arial"/>
          <w:sz w:val="20"/>
          <w:szCs w:val="20"/>
        </w:rPr>
        <w:t>subjekte</w:t>
      </w:r>
      <w:r w:rsidRPr="00B750A7">
        <w:rPr>
          <w:rFonts w:ascii="Arial" w:hAnsi="Arial" w:cs="Arial"/>
          <w:sz w:val="20"/>
          <w:szCs w:val="20"/>
        </w:rPr>
        <w:t xml:space="preserve">, v katerih ima soudeleženec manj kot 50% svojih lastniških deležev, pod pogojem da ima soudeleženec skupni nadzor nad </w:t>
      </w:r>
      <w:r w:rsidR="003F0A36" w:rsidRPr="00B750A7">
        <w:rPr>
          <w:rFonts w:ascii="Arial" w:hAnsi="Arial" w:cs="Arial"/>
          <w:sz w:val="20"/>
          <w:szCs w:val="20"/>
        </w:rPr>
        <w:t>subjektom</w:t>
      </w:r>
      <w:r w:rsidRPr="00B750A7">
        <w:rPr>
          <w:rFonts w:ascii="Arial" w:hAnsi="Arial" w:cs="Arial"/>
          <w:sz w:val="20"/>
          <w:szCs w:val="20"/>
        </w:rPr>
        <w:t xml:space="preserve">. Vendar pa v skladu s pravili </w:t>
      </w:r>
      <w:r w:rsidR="003F0A36" w:rsidRPr="00B750A7">
        <w:rPr>
          <w:rFonts w:ascii="Arial" w:hAnsi="Arial" w:cs="Arial"/>
          <w:sz w:val="20"/>
          <w:szCs w:val="20"/>
        </w:rPr>
        <w:t>povrhnjega davka</w:t>
      </w:r>
      <w:r w:rsidRPr="00B750A7">
        <w:rPr>
          <w:rFonts w:ascii="Arial" w:hAnsi="Arial" w:cs="Arial"/>
          <w:sz w:val="20"/>
          <w:szCs w:val="20"/>
        </w:rPr>
        <w:t xml:space="preserve"> definicija skupnega </w:t>
      </w:r>
      <w:r w:rsidR="003F0A36" w:rsidRPr="00B750A7">
        <w:rPr>
          <w:rFonts w:ascii="Arial" w:hAnsi="Arial" w:cs="Arial"/>
          <w:sz w:val="20"/>
          <w:szCs w:val="20"/>
        </w:rPr>
        <w:t>podviga</w:t>
      </w:r>
      <w:r w:rsidRPr="00B750A7">
        <w:rPr>
          <w:rFonts w:ascii="Arial" w:hAnsi="Arial" w:cs="Arial"/>
          <w:sz w:val="20"/>
          <w:szCs w:val="20"/>
        </w:rPr>
        <w:t xml:space="preserve"> vključuje le tiste </w:t>
      </w:r>
      <w:r w:rsidR="003F0A36" w:rsidRPr="00B750A7">
        <w:rPr>
          <w:rFonts w:ascii="Arial" w:hAnsi="Arial" w:cs="Arial"/>
          <w:sz w:val="20"/>
          <w:szCs w:val="20"/>
        </w:rPr>
        <w:t>subjekte</w:t>
      </w:r>
      <w:r w:rsidRPr="00B750A7">
        <w:rPr>
          <w:rFonts w:ascii="Arial" w:hAnsi="Arial" w:cs="Arial"/>
          <w:sz w:val="20"/>
          <w:szCs w:val="20"/>
        </w:rPr>
        <w:t>, v katerih nadrejen</w:t>
      </w:r>
      <w:r w:rsidR="003F0A36" w:rsidRPr="00B750A7">
        <w:rPr>
          <w:rFonts w:ascii="Arial" w:hAnsi="Arial" w:cs="Arial"/>
          <w:sz w:val="20"/>
          <w:szCs w:val="20"/>
        </w:rPr>
        <w:t>i pravni subjekt</w:t>
      </w:r>
      <w:r w:rsidRPr="00B750A7">
        <w:rPr>
          <w:rFonts w:ascii="Arial" w:hAnsi="Arial" w:cs="Arial"/>
          <w:sz w:val="20"/>
          <w:szCs w:val="20"/>
        </w:rPr>
        <w:t xml:space="preserve"> neposredno ali posredno obvladuje vsaj 50% lastniških deležev v skupnem po</w:t>
      </w:r>
      <w:r w:rsidR="003F0A36" w:rsidRPr="00B750A7">
        <w:rPr>
          <w:rFonts w:ascii="Arial" w:hAnsi="Arial" w:cs="Arial"/>
          <w:sz w:val="20"/>
          <w:szCs w:val="20"/>
        </w:rPr>
        <w:t>dvigu</w:t>
      </w:r>
      <w:r w:rsidRPr="00B750A7">
        <w:rPr>
          <w:rFonts w:ascii="Arial" w:hAnsi="Arial" w:cs="Arial"/>
          <w:sz w:val="20"/>
          <w:szCs w:val="20"/>
        </w:rPr>
        <w:t xml:space="preserve">. Na primer, definicija v pravilih </w:t>
      </w:r>
      <w:r w:rsidR="003F0A36" w:rsidRPr="00B750A7">
        <w:rPr>
          <w:rFonts w:ascii="Arial" w:hAnsi="Arial" w:cs="Arial"/>
          <w:sz w:val="20"/>
          <w:szCs w:val="20"/>
        </w:rPr>
        <w:t>ZMD</w:t>
      </w:r>
      <w:r w:rsidRPr="00B750A7">
        <w:rPr>
          <w:rFonts w:ascii="Arial" w:hAnsi="Arial" w:cs="Arial"/>
          <w:sz w:val="20"/>
          <w:szCs w:val="20"/>
        </w:rPr>
        <w:t xml:space="preserve"> bi se lahko nanašala na lastniško naložbo, ki jo ima subjekt v sestavi v skupnem po</w:t>
      </w:r>
      <w:r w:rsidR="003F0A36" w:rsidRPr="00B750A7">
        <w:rPr>
          <w:rFonts w:ascii="Arial" w:hAnsi="Arial" w:cs="Arial"/>
          <w:sz w:val="20"/>
          <w:szCs w:val="20"/>
        </w:rPr>
        <w:t>dvigu</w:t>
      </w:r>
      <w:r w:rsidRPr="00B750A7">
        <w:rPr>
          <w:rFonts w:ascii="Arial" w:hAnsi="Arial" w:cs="Arial"/>
          <w:sz w:val="20"/>
          <w:szCs w:val="20"/>
        </w:rPr>
        <w:t xml:space="preserve">, kjer pogoji te naložbe </w:t>
      </w:r>
      <w:r w:rsidR="003F0A36" w:rsidRPr="00B750A7">
        <w:rPr>
          <w:rFonts w:ascii="Arial" w:hAnsi="Arial" w:cs="Arial"/>
          <w:sz w:val="20"/>
          <w:szCs w:val="20"/>
        </w:rPr>
        <w:t>dajejo</w:t>
      </w:r>
      <w:r w:rsidRPr="00B750A7">
        <w:rPr>
          <w:rFonts w:ascii="Arial" w:hAnsi="Arial" w:cs="Arial"/>
          <w:sz w:val="20"/>
          <w:szCs w:val="20"/>
        </w:rPr>
        <w:t xml:space="preserve"> investitorj</w:t>
      </w:r>
      <w:r w:rsidR="003F0A36" w:rsidRPr="00B750A7">
        <w:rPr>
          <w:rFonts w:ascii="Arial" w:hAnsi="Arial" w:cs="Arial"/>
          <w:sz w:val="20"/>
          <w:szCs w:val="20"/>
        </w:rPr>
        <w:t>u pravico</w:t>
      </w:r>
      <w:r w:rsidRPr="00B750A7">
        <w:rPr>
          <w:rFonts w:ascii="Arial" w:hAnsi="Arial" w:cs="Arial"/>
          <w:sz w:val="20"/>
          <w:szCs w:val="20"/>
        </w:rPr>
        <w:t xml:space="preserve"> do 50% ali več dobička, kapitala ali rezerv (ustrezni preizkus za namene </w:t>
      </w:r>
      <w:r w:rsidR="003F0A36" w:rsidRPr="00B750A7">
        <w:rPr>
          <w:rFonts w:ascii="Arial" w:hAnsi="Arial" w:cs="Arial"/>
          <w:sz w:val="20"/>
          <w:szCs w:val="20"/>
        </w:rPr>
        <w:t>povrhnjega davka</w:t>
      </w:r>
      <w:r w:rsidRPr="00B750A7">
        <w:rPr>
          <w:rFonts w:ascii="Arial" w:hAnsi="Arial" w:cs="Arial"/>
          <w:sz w:val="20"/>
          <w:szCs w:val="20"/>
        </w:rPr>
        <w:t>), vendar le do 50% glasovalnih pravic (ustrezni preizkus za namene računovodskega poročanja).</w:t>
      </w:r>
    </w:p>
    <w:p w14:paraId="3443E518" w14:textId="77777777" w:rsidR="006B315B" w:rsidRPr="00B750A7" w:rsidRDefault="003F0A36" w:rsidP="00B750A7">
      <w:pPr>
        <w:spacing w:line="240" w:lineRule="atLeast"/>
        <w:jc w:val="both"/>
        <w:rPr>
          <w:rFonts w:ascii="Arial" w:hAnsi="Arial" w:cs="Arial"/>
          <w:sz w:val="20"/>
          <w:szCs w:val="20"/>
        </w:rPr>
      </w:pPr>
      <w:r w:rsidRPr="00B750A7">
        <w:rPr>
          <w:rFonts w:ascii="Arial" w:hAnsi="Arial" w:cs="Arial"/>
          <w:sz w:val="20"/>
          <w:szCs w:val="20"/>
        </w:rPr>
        <w:t xml:space="preserve">Po posebnih pravilih za skupne podvige, ki so zajeti s 47. členom ZMD se </w:t>
      </w:r>
      <w:r w:rsidR="006B315B" w:rsidRPr="00B750A7">
        <w:rPr>
          <w:rFonts w:ascii="Arial" w:hAnsi="Arial" w:cs="Arial"/>
          <w:sz w:val="20"/>
          <w:szCs w:val="20"/>
        </w:rPr>
        <w:t xml:space="preserve">povrhnji davek skupnega podviga in njegovih povezanih subjektov </w:t>
      </w:r>
      <w:r w:rsidR="00F36A75" w:rsidRPr="00B750A7">
        <w:rPr>
          <w:rFonts w:ascii="Arial" w:hAnsi="Arial" w:cs="Arial"/>
          <w:sz w:val="20"/>
          <w:szCs w:val="20"/>
        </w:rPr>
        <w:t>(</w:t>
      </w:r>
      <w:r w:rsidR="006B315B" w:rsidRPr="00B750A7">
        <w:rPr>
          <w:rFonts w:ascii="Arial" w:hAnsi="Arial" w:cs="Arial"/>
          <w:sz w:val="20"/>
          <w:szCs w:val="20"/>
        </w:rPr>
        <w:t>to je skupina skupnega podviga) izračuna v skladu z ZMD kot če bi bili subjekti v sestavi ločene skupine in bi bil skupni podvig krovni matični subjekt te skupine.</w:t>
      </w:r>
    </w:p>
    <w:p w14:paraId="2BB88B6F" w14:textId="77777777" w:rsidR="006B315B" w:rsidRPr="00B750A7" w:rsidRDefault="006B315B" w:rsidP="00B750A7">
      <w:pPr>
        <w:spacing w:line="240" w:lineRule="atLeast"/>
        <w:jc w:val="both"/>
        <w:rPr>
          <w:rFonts w:ascii="Arial" w:hAnsi="Arial" w:cs="Arial"/>
          <w:sz w:val="20"/>
          <w:szCs w:val="20"/>
        </w:rPr>
      </w:pPr>
      <w:r w:rsidRPr="00B750A7">
        <w:rPr>
          <w:rFonts w:ascii="Arial" w:hAnsi="Arial" w:cs="Arial"/>
          <w:sz w:val="20"/>
          <w:szCs w:val="20"/>
        </w:rPr>
        <w:t xml:space="preserve">To pomeni, da se vse določbe ZMD, ki se nanašajo na izračun povrhnjega davka, uporabljajo za člane skupine skupnega podviga, vključno </w:t>
      </w:r>
      <w:r w:rsidR="00B123A6">
        <w:rPr>
          <w:rFonts w:ascii="Arial" w:hAnsi="Arial" w:cs="Arial"/>
          <w:sz w:val="20"/>
          <w:szCs w:val="20"/>
        </w:rPr>
        <w:t>z</w:t>
      </w:r>
      <w:r w:rsidRPr="00B750A7">
        <w:rPr>
          <w:rFonts w:ascii="Arial" w:hAnsi="Arial" w:cs="Arial"/>
          <w:sz w:val="20"/>
          <w:szCs w:val="20"/>
        </w:rPr>
        <w:t xml:space="preserve"> določbami o vsebinski izključitvi dobička ter varnimi pristani. Vendar pa se izračun povrhnjega davka za skupino skupnega podviga izvede, kot da je skupn</w:t>
      </w:r>
      <w:r w:rsidR="00F36A75" w:rsidRPr="00B750A7">
        <w:rPr>
          <w:rFonts w:ascii="Arial" w:hAnsi="Arial" w:cs="Arial"/>
          <w:sz w:val="20"/>
          <w:szCs w:val="20"/>
        </w:rPr>
        <w:t>i</w:t>
      </w:r>
      <w:r w:rsidRPr="00B750A7">
        <w:rPr>
          <w:rFonts w:ascii="Arial" w:hAnsi="Arial" w:cs="Arial"/>
          <w:sz w:val="20"/>
          <w:szCs w:val="20"/>
        </w:rPr>
        <w:t xml:space="preserve"> podvig</w:t>
      </w:r>
      <w:r w:rsidR="00F36A75" w:rsidRPr="00B750A7">
        <w:rPr>
          <w:rFonts w:ascii="Arial" w:hAnsi="Arial" w:cs="Arial"/>
          <w:sz w:val="20"/>
          <w:szCs w:val="20"/>
        </w:rPr>
        <w:t xml:space="preserve"> krovni matični subjekt</w:t>
      </w:r>
      <w:r w:rsidRPr="00B750A7">
        <w:rPr>
          <w:rFonts w:ascii="Arial" w:hAnsi="Arial" w:cs="Arial"/>
          <w:sz w:val="20"/>
          <w:szCs w:val="20"/>
        </w:rPr>
        <w:t xml:space="preserve"> (UPE) ločene skupine MNE. Zato na primer računovodski standard, uporabljen pri pripravi konsolidiranih finančnih izkazov skupine</w:t>
      </w:r>
      <w:r w:rsidR="00F36A75" w:rsidRPr="00B750A7">
        <w:rPr>
          <w:rFonts w:ascii="Arial" w:hAnsi="Arial" w:cs="Arial"/>
          <w:sz w:val="20"/>
          <w:szCs w:val="20"/>
        </w:rPr>
        <w:t xml:space="preserve"> skupnega podviga</w:t>
      </w:r>
      <w:r w:rsidRPr="00B750A7">
        <w:rPr>
          <w:rFonts w:ascii="Arial" w:hAnsi="Arial" w:cs="Arial"/>
          <w:sz w:val="20"/>
          <w:szCs w:val="20"/>
        </w:rPr>
        <w:t>, predstavlja računovodski standard skupine</w:t>
      </w:r>
      <w:r w:rsidR="00F36A75" w:rsidRPr="00B750A7">
        <w:rPr>
          <w:rFonts w:ascii="Arial" w:hAnsi="Arial" w:cs="Arial"/>
          <w:sz w:val="20"/>
          <w:szCs w:val="20"/>
        </w:rPr>
        <w:t xml:space="preserve"> skupnega podviga in ne dejanske</w:t>
      </w:r>
      <w:r w:rsidRPr="00B750A7">
        <w:rPr>
          <w:rFonts w:ascii="Arial" w:hAnsi="Arial" w:cs="Arial"/>
          <w:sz w:val="20"/>
          <w:szCs w:val="20"/>
        </w:rPr>
        <w:t xml:space="preserve"> UPE in </w:t>
      </w:r>
      <w:r w:rsidR="00F36A75" w:rsidRPr="00B750A7">
        <w:rPr>
          <w:rFonts w:ascii="Arial" w:hAnsi="Arial" w:cs="Arial"/>
          <w:sz w:val="20"/>
          <w:szCs w:val="20"/>
        </w:rPr>
        <w:t>kvalificirani</w:t>
      </w:r>
      <w:r w:rsidRPr="00B750A7">
        <w:rPr>
          <w:rFonts w:ascii="Arial" w:hAnsi="Arial" w:cs="Arial"/>
          <w:sz w:val="20"/>
          <w:szCs w:val="20"/>
        </w:rPr>
        <w:t xml:space="preserve"> dohodek ali izguba ter </w:t>
      </w:r>
      <w:r w:rsidR="00F36A75" w:rsidRPr="00B750A7">
        <w:rPr>
          <w:rFonts w:ascii="Arial" w:hAnsi="Arial" w:cs="Arial"/>
          <w:sz w:val="20"/>
          <w:szCs w:val="20"/>
        </w:rPr>
        <w:t>zajeti</w:t>
      </w:r>
      <w:r w:rsidRPr="00B750A7">
        <w:rPr>
          <w:rFonts w:ascii="Arial" w:hAnsi="Arial" w:cs="Arial"/>
          <w:sz w:val="20"/>
          <w:szCs w:val="20"/>
        </w:rPr>
        <w:t xml:space="preserve"> davki skupine </w:t>
      </w:r>
      <w:r w:rsidR="00F36A75" w:rsidRPr="00B750A7">
        <w:rPr>
          <w:rFonts w:ascii="Arial" w:hAnsi="Arial" w:cs="Arial"/>
          <w:sz w:val="20"/>
          <w:szCs w:val="20"/>
        </w:rPr>
        <w:t>skupnega podviga</w:t>
      </w:r>
      <w:r w:rsidRPr="00B750A7">
        <w:rPr>
          <w:rFonts w:ascii="Arial" w:hAnsi="Arial" w:cs="Arial"/>
          <w:sz w:val="20"/>
          <w:szCs w:val="20"/>
        </w:rPr>
        <w:t xml:space="preserve"> in njenih podružnic se ne mešajo s </w:t>
      </w:r>
      <w:r w:rsidR="00F36A75" w:rsidRPr="00B750A7">
        <w:rPr>
          <w:rFonts w:ascii="Arial" w:hAnsi="Arial" w:cs="Arial"/>
          <w:sz w:val="20"/>
          <w:szCs w:val="20"/>
        </w:rPr>
        <w:t>subjekti v sestavi</w:t>
      </w:r>
      <w:r w:rsidRPr="00B750A7">
        <w:rPr>
          <w:rFonts w:ascii="Arial" w:hAnsi="Arial" w:cs="Arial"/>
          <w:sz w:val="20"/>
          <w:szCs w:val="20"/>
        </w:rPr>
        <w:t xml:space="preserve"> širše skupine. </w:t>
      </w:r>
    </w:p>
    <w:p w14:paraId="61C9E043" w14:textId="77777777" w:rsidR="003F0A36" w:rsidRPr="00B750A7" w:rsidRDefault="006B315B" w:rsidP="00B750A7">
      <w:pPr>
        <w:spacing w:line="240" w:lineRule="atLeast"/>
        <w:jc w:val="both"/>
        <w:rPr>
          <w:rFonts w:ascii="Arial" w:hAnsi="Arial" w:cs="Arial"/>
          <w:sz w:val="20"/>
          <w:szCs w:val="20"/>
        </w:rPr>
      </w:pPr>
      <w:r w:rsidRPr="00B750A7">
        <w:rPr>
          <w:rFonts w:ascii="Arial" w:hAnsi="Arial" w:cs="Arial"/>
          <w:sz w:val="20"/>
          <w:szCs w:val="20"/>
        </w:rPr>
        <w:t xml:space="preserve">Povrhnji davek, ki ga mora plačati skupina skupnega podviga, se zmanjša za </w:t>
      </w:r>
      <w:proofErr w:type="spellStart"/>
      <w:r w:rsidRPr="00B750A7">
        <w:rPr>
          <w:rFonts w:ascii="Arial" w:hAnsi="Arial" w:cs="Arial"/>
          <w:sz w:val="20"/>
          <w:szCs w:val="20"/>
        </w:rPr>
        <w:t>dodeljivi</w:t>
      </w:r>
      <w:proofErr w:type="spellEnd"/>
      <w:r w:rsidRPr="00B750A7">
        <w:rPr>
          <w:rFonts w:ascii="Arial" w:hAnsi="Arial" w:cs="Arial"/>
          <w:sz w:val="20"/>
          <w:szCs w:val="20"/>
        </w:rPr>
        <w:t xml:space="preserve"> delež vsakega matičnega subjekta v povrhnjem davku vsakega člana skupine skupnega podviga kot to določa tretji odstavek 47. člena ZMD. </w:t>
      </w:r>
      <w:r w:rsidR="00F36A75" w:rsidRPr="00B750A7">
        <w:rPr>
          <w:rFonts w:ascii="Arial" w:hAnsi="Arial" w:cs="Arial"/>
          <w:sz w:val="20"/>
          <w:szCs w:val="20"/>
        </w:rPr>
        <w:t xml:space="preserve">Krovni matični subjekt (UPE) ali kateri koli drugi nadrejen subjekt v sestavi, ki uporablja pravilo o vključitvi dohodkov (IIR), mora razporediti povrhnji davek skupnega podviga na podlagi njenega deleža razporejanja dodatnega davka. Na primer, predpostavimo, da ima </w:t>
      </w:r>
      <w:proofErr w:type="spellStart"/>
      <w:r w:rsidR="00F36A75" w:rsidRPr="00B750A7">
        <w:rPr>
          <w:rFonts w:ascii="Arial" w:hAnsi="Arial" w:cs="Arial"/>
          <w:sz w:val="20"/>
          <w:szCs w:val="20"/>
        </w:rPr>
        <w:t>Hold</w:t>
      </w:r>
      <w:proofErr w:type="spellEnd"/>
      <w:r w:rsidR="00F36A75" w:rsidRPr="00B750A7">
        <w:rPr>
          <w:rFonts w:ascii="Arial" w:hAnsi="Arial" w:cs="Arial"/>
          <w:sz w:val="20"/>
          <w:szCs w:val="20"/>
        </w:rPr>
        <w:t xml:space="preserve"> Co 50% lastniških deležev družbe JV Co, skupnega podviga, kot je opredeljeno v 47. členu ZMD. JV Co ima 80% lastniških deležev družbe Sub Co (</w:t>
      </w:r>
      <w:r w:rsidR="00D00AAF">
        <w:rPr>
          <w:rFonts w:ascii="Arial" w:hAnsi="Arial" w:cs="Arial"/>
          <w:sz w:val="20"/>
          <w:szCs w:val="20"/>
        </w:rPr>
        <w:t>hčerinska družba</w:t>
      </w:r>
      <w:r w:rsidR="00F36A75" w:rsidRPr="00B750A7">
        <w:rPr>
          <w:rFonts w:ascii="Arial" w:hAnsi="Arial" w:cs="Arial"/>
          <w:sz w:val="20"/>
          <w:szCs w:val="20"/>
        </w:rPr>
        <w:t xml:space="preserve"> JV). JV Co in Sub Co sta obe nizko obdavčena subjekta (LTCE), vsaki se izračuna povrhnji davek v višini 100. </w:t>
      </w:r>
      <w:proofErr w:type="spellStart"/>
      <w:r w:rsidR="00F36A75" w:rsidRPr="00B750A7">
        <w:rPr>
          <w:rFonts w:ascii="Arial" w:hAnsi="Arial" w:cs="Arial"/>
          <w:sz w:val="20"/>
          <w:szCs w:val="20"/>
        </w:rPr>
        <w:t>Dodelitveni</w:t>
      </w:r>
      <w:proofErr w:type="spellEnd"/>
      <w:r w:rsidR="00F36A75" w:rsidRPr="00B750A7">
        <w:rPr>
          <w:rFonts w:ascii="Arial" w:hAnsi="Arial" w:cs="Arial"/>
          <w:sz w:val="20"/>
          <w:szCs w:val="20"/>
        </w:rPr>
        <w:t xml:space="preserve"> delež UPE za povrhnji davek JV Co znaša 50 (100 x 50%). </w:t>
      </w:r>
      <w:proofErr w:type="spellStart"/>
      <w:r w:rsidR="00F36A75" w:rsidRPr="00B750A7">
        <w:rPr>
          <w:rFonts w:ascii="Arial" w:hAnsi="Arial" w:cs="Arial"/>
          <w:sz w:val="20"/>
          <w:szCs w:val="20"/>
        </w:rPr>
        <w:t>Dodelitveni</w:t>
      </w:r>
      <w:proofErr w:type="spellEnd"/>
      <w:r w:rsidR="00F36A75" w:rsidRPr="00B750A7">
        <w:rPr>
          <w:rFonts w:ascii="Arial" w:hAnsi="Arial" w:cs="Arial"/>
          <w:sz w:val="20"/>
          <w:szCs w:val="20"/>
        </w:rPr>
        <w:t xml:space="preserve"> delež UPE za povrhnji davek za Sub Co znaša 40 (100 x 50% x 80%).</w:t>
      </w:r>
    </w:p>
    <w:p w14:paraId="18AD5A5C" w14:textId="77777777" w:rsidR="00B5167D" w:rsidRDefault="00507550" w:rsidP="00A2110D">
      <w:pPr>
        <w:pStyle w:val="FURSnaslov2"/>
        <w:rPr>
          <w:sz w:val="20"/>
          <w:szCs w:val="20"/>
          <w:lang w:val="sl-SI"/>
        </w:rPr>
      </w:pPr>
      <w:bookmarkStart w:id="24" w:name="_Toc157425317"/>
      <w:r w:rsidRPr="00A2110D">
        <w:rPr>
          <w:sz w:val="20"/>
          <w:szCs w:val="20"/>
          <w:lang w:val="sl-SI"/>
        </w:rPr>
        <w:t>3.</w:t>
      </w:r>
      <w:r w:rsidR="00A2110D" w:rsidRPr="00A2110D">
        <w:rPr>
          <w:sz w:val="20"/>
          <w:szCs w:val="20"/>
          <w:lang w:val="sl-SI"/>
        </w:rPr>
        <w:t>1</w:t>
      </w:r>
      <w:r w:rsidR="001D32AE">
        <w:rPr>
          <w:sz w:val="20"/>
          <w:szCs w:val="20"/>
          <w:lang w:val="sl-SI"/>
        </w:rPr>
        <w:t>0</w:t>
      </w:r>
      <w:r w:rsidRPr="00A2110D">
        <w:rPr>
          <w:sz w:val="20"/>
          <w:szCs w:val="20"/>
          <w:lang w:val="sl-SI"/>
        </w:rPr>
        <w:t>.</w:t>
      </w:r>
      <w:r w:rsidR="00E273E2" w:rsidRPr="00A2110D">
        <w:rPr>
          <w:sz w:val="20"/>
          <w:szCs w:val="20"/>
          <w:lang w:val="sl-SI"/>
        </w:rPr>
        <w:t xml:space="preserve"> </w:t>
      </w:r>
      <w:r w:rsidR="00B5167D">
        <w:rPr>
          <w:sz w:val="20"/>
          <w:szCs w:val="20"/>
          <w:lang w:val="sl-SI"/>
        </w:rPr>
        <w:t>Lokacija subjektov v sestavi</w:t>
      </w:r>
      <w:r w:rsidR="00CA6AB0">
        <w:rPr>
          <w:sz w:val="20"/>
          <w:szCs w:val="20"/>
          <w:lang w:val="sl-SI"/>
        </w:rPr>
        <w:t xml:space="preserve"> (8. člen ZMD)</w:t>
      </w:r>
      <w:bookmarkEnd w:id="24"/>
    </w:p>
    <w:p w14:paraId="4D70441A" w14:textId="77777777" w:rsidR="00B5167D" w:rsidRDefault="00B5167D" w:rsidP="00B5167D">
      <w:pPr>
        <w:jc w:val="both"/>
        <w:rPr>
          <w:rFonts w:ascii="Arial" w:hAnsi="Arial" w:cs="Arial"/>
          <w:sz w:val="20"/>
          <w:szCs w:val="20"/>
        </w:rPr>
      </w:pPr>
      <w:r w:rsidRPr="008F3623">
        <w:rPr>
          <w:rFonts w:ascii="Arial" w:hAnsi="Arial" w:cs="Arial"/>
          <w:sz w:val="20"/>
          <w:szCs w:val="20"/>
        </w:rPr>
        <w:t>V tem delu je podan kratek opis pravil, ki določajo lokacijo subjekta in stalne poslovne enote (PE) za namene pravil povrhnjega davka. Določitev lokacije subjekta in PE je pomembna za jurisdikcijsko kombiniranje dohodkov in določanje, v kateri jurisdikciji je treba plačati povrhnji davek</w:t>
      </w:r>
      <w:r>
        <w:rPr>
          <w:rFonts w:ascii="Arial" w:hAnsi="Arial" w:cs="Arial"/>
          <w:sz w:val="20"/>
          <w:szCs w:val="20"/>
        </w:rPr>
        <w:t xml:space="preserve"> (kateri jurisdikciji se pripiše kvalificirani dohodek in zajeti davki, ki jih obravnavamo v naslednjih dveh poglavjih)</w:t>
      </w:r>
      <w:r w:rsidRPr="008F3623">
        <w:rPr>
          <w:rFonts w:ascii="Arial" w:hAnsi="Arial" w:cs="Arial"/>
          <w:sz w:val="20"/>
          <w:szCs w:val="20"/>
        </w:rPr>
        <w:t>. Ta pravila ne vplivajo na domače in pogodbene določbe, kot na primer tiste, ki se nanašajo na davčno rezidentstvo in obdavčitev dohodka na viru.</w:t>
      </w:r>
    </w:p>
    <w:p w14:paraId="66F17AA0" w14:textId="77777777" w:rsidR="00B5167D" w:rsidRDefault="00B5167D" w:rsidP="00F8572F">
      <w:pPr>
        <w:spacing w:after="120"/>
        <w:jc w:val="both"/>
        <w:rPr>
          <w:rFonts w:ascii="Arial" w:hAnsi="Arial" w:cs="Arial"/>
          <w:sz w:val="20"/>
          <w:szCs w:val="20"/>
        </w:rPr>
      </w:pPr>
      <w:r>
        <w:rPr>
          <w:rFonts w:ascii="Arial" w:hAnsi="Arial" w:cs="Arial"/>
          <w:sz w:val="20"/>
          <w:szCs w:val="20"/>
        </w:rPr>
        <w:lastRenderedPageBreak/>
        <w:t xml:space="preserve">ZMD </w:t>
      </w:r>
      <w:r w:rsidR="00CA6AB0">
        <w:rPr>
          <w:rFonts w:ascii="Arial" w:hAnsi="Arial" w:cs="Arial"/>
          <w:sz w:val="20"/>
          <w:szCs w:val="20"/>
        </w:rPr>
        <w:t>določa lokacijo naslednjih kategorij subjektov:</w:t>
      </w:r>
    </w:p>
    <w:p w14:paraId="58FA3C84" w14:textId="77777777" w:rsidR="00CA6AB0" w:rsidRDefault="00CA6AB0" w:rsidP="00F8572F">
      <w:pPr>
        <w:pStyle w:val="Odstavekseznama"/>
        <w:numPr>
          <w:ilvl w:val="0"/>
          <w:numId w:val="47"/>
        </w:numPr>
        <w:spacing w:after="0" w:line="240" w:lineRule="auto"/>
        <w:ind w:left="714" w:hanging="357"/>
        <w:rPr>
          <w:rFonts w:ascii="Arial" w:hAnsi="Arial" w:cs="Arial"/>
          <w:sz w:val="20"/>
          <w:szCs w:val="20"/>
        </w:rPr>
      </w:pPr>
      <w:r w:rsidRPr="00CA6AB0">
        <w:rPr>
          <w:rFonts w:ascii="Arial" w:hAnsi="Arial" w:cs="Arial"/>
          <w:sz w:val="20"/>
          <w:szCs w:val="20"/>
        </w:rPr>
        <w:t>Subjekt, ki ni pretočni subjekt, se šteje za rezidenta v jurisdikciji, kjer ima sedež uprave ali je bil ustanovljen</w:t>
      </w:r>
      <w:r>
        <w:rPr>
          <w:rFonts w:ascii="Arial" w:hAnsi="Arial" w:cs="Arial"/>
          <w:sz w:val="20"/>
          <w:szCs w:val="20"/>
        </w:rPr>
        <w:t>;</w:t>
      </w:r>
    </w:p>
    <w:p w14:paraId="12F07F7A" w14:textId="77777777" w:rsidR="00CA6AB0" w:rsidRPr="00CA6AB0" w:rsidRDefault="00CA6AB0" w:rsidP="00CA6AB0">
      <w:pPr>
        <w:pStyle w:val="Odstavekseznama"/>
        <w:numPr>
          <w:ilvl w:val="0"/>
          <w:numId w:val="47"/>
        </w:numPr>
        <w:spacing w:before="100" w:beforeAutospacing="1" w:after="100" w:afterAutospacing="1" w:line="240" w:lineRule="auto"/>
        <w:rPr>
          <w:rFonts w:ascii="Arial" w:hAnsi="Arial" w:cs="Arial"/>
          <w:sz w:val="20"/>
          <w:szCs w:val="20"/>
        </w:rPr>
      </w:pPr>
      <w:r w:rsidRPr="00CA6AB0">
        <w:rPr>
          <w:rFonts w:ascii="Arial" w:hAnsi="Arial" w:cs="Arial"/>
          <w:sz w:val="20"/>
          <w:szCs w:val="20"/>
        </w:rPr>
        <w:t>Pretočni subjekt</w:t>
      </w:r>
      <w:r>
        <w:rPr>
          <w:rFonts w:ascii="Arial" w:hAnsi="Arial" w:cs="Arial"/>
          <w:sz w:val="20"/>
          <w:szCs w:val="20"/>
        </w:rPr>
        <w:t>;</w:t>
      </w:r>
    </w:p>
    <w:p w14:paraId="2F5737E6" w14:textId="77777777" w:rsidR="00CA6AB0" w:rsidRPr="00CA6AB0" w:rsidRDefault="00CA6AB0" w:rsidP="00CA6AB0">
      <w:pPr>
        <w:numPr>
          <w:ilvl w:val="0"/>
          <w:numId w:val="47"/>
        </w:numPr>
        <w:spacing w:before="100" w:beforeAutospacing="1" w:after="100" w:afterAutospacing="1" w:line="240" w:lineRule="auto"/>
        <w:rPr>
          <w:rFonts w:ascii="Arial" w:hAnsi="Arial" w:cs="Arial"/>
          <w:sz w:val="20"/>
          <w:szCs w:val="20"/>
        </w:rPr>
      </w:pPr>
      <w:r w:rsidRPr="00CA6AB0">
        <w:rPr>
          <w:rFonts w:ascii="Arial" w:hAnsi="Arial" w:cs="Arial"/>
          <w:sz w:val="20"/>
          <w:szCs w:val="20"/>
        </w:rPr>
        <w:t>Stalna poslovna enota</w:t>
      </w:r>
      <w:r>
        <w:rPr>
          <w:rFonts w:ascii="Arial" w:hAnsi="Arial" w:cs="Arial"/>
          <w:sz w:val="20"/>
          <w:szCs w:val="20"/>
        </w:rPr>
        <w:t>;</w:t>
      </w:r>
    </w:p>
    <w:p w14:paraId="40083E75" w14:textId="77777777" w:rsidR="00CA6AB0" w:rsidRPr="00CA6AB0" w:rsidRDefault="00CA6AB0" w:rsidP="00CA6AB0">
      <w:pPr>
        <w:numPr>
          <w:ilvl w:val="0"/>
          <w:numId w:val="47"/>
        </w:numPr>
        <w:spacing w:before="100" w:beforeAutospacing="1" w:after="100" w:afterAutospacing="1" w:line="240" w:lineRule="auto"/>
        <w:rPr>
          <w:rFonts w:ascii="Arial" w:hAnsi="Arial" w:cs="Arial"/>
          <w:sz w:val="20"/>
          <w:szCs w:val="20"/>
        </w:rPr>
      </w:pPr>
      <w:r>
        <w:rPr>
          <w:rFonts w:ascii="Arial" w:hAnsi="Arial" w:cs="Arial"/>
          <w:sz w:val="20"/>
          <w:szCs w:val="20"/>
        </w:rPr>
        <w:t>Subjekti z d</w:t>
      </w:r>
      <w:r w:rsidRPr="00CA6AB0">
        <w:rPr>
          <w:rFonts w:ascii="Arial" w:hAnsi="Arial" w:cs="Arial"/>
          <w:sz w:val="20"/>
          <w:szCs w:val="20"/>
        </w:rPr>
        <w:t>vojn</w:t>
      </w:r>
      <w:r>
        <w:rPr>
          <w:rFonts w:ascii="Arial" w:hAnsi="Arial" w:cs="Arial"/>
          <w:sz w:val="20"/>
          <w:szCs w:val="20"/>
        </w:rPr>
        <w:t>im</w:t>
      </w:r>
      <w:r w:rsidRPr="00CA6AB0">
        <w:rPr>
          <w:rFonts w:ascii="Arial" w:hAnsi="Arial" w:cs="Arial"/>
          <w:sz w:val="20"/>
          <w:szCs w:val="20"/>
        </w:rPr>
        <w:t xml:space="preserve"> rezident</w:t>
      </w:r>
      <w:r>
        <w:rPr>
          <w:rFonts w:ascii="Arial" w:hAnsi="Arial" w:cs="Arial"/>
          <w:sz w:val="20"/>
          <w:szCs w:val="20"/>
        </w:rPr>
        <w:t>stvom (posebno pravilo za matične subjekte);</w:t>
      </w:r>
    </w:p>
    <w:p w14:paraId="1750E86C" w14:textId="77777777" w:rsidR="00CA6AB0" w:rsidRPr="00CA6AB0" w:rsidRDefault="00CA6AB0" w:rsidP="00CA6AB0">
      <w:pPr>
        <w:numPr>
          <w:ilvl w:val="0"/>
          <w:numId w:val="47"/>
        </w:numPr>
        <w:spacing w:before="100" w:beforeAutospacing="1" w:after="100" w:afterAutospacing="1" w:line="240" w:lineRule="auto"/>
        <w:rPr>
          <w:rFonts w:ascii="Arial" w:hAnsi="Arial" w:cs="Arial"/>
          <w:sz w:val="20"/>
          <w:szCs w:val="20"/>
        </w:rPr>
      </w:pPr>
      <w:r>
        <w:rPr>
          <w:rFonts w:ascii="Arial" w:hAnsi="Arial" w:cs="Arial"/>
          <w:sz w:val="20"/>
          <w:szCs w:val="20"/>
        </w:rPr>
        <w:t>S</w:t>
      </w:r>
      <w:r w:rsidRPr="00CA6AB0">
        <w:rPr>
          <w:rFonts w:ascii="Arial" w:hAnsi="Arial" w:cs="Arial"/>
          <w:sz w:val="20"/>
          <w:szCs w:val="20"/>
        </w:rPr>
        <w:t>ubjekt</w:t>
      </w:r>
      <w:r>
        <w:rPr>
          <w:rFonts w:ascii="Arial" w:hAnsi="Arial" w:cs="Arial"/>
          <w:sz w:val="20"/>
          <w:szCs w:val="20"/>
        </w:rPr>
        <w:t>i v sestavi, ki spremenijo svojo lokacijo.</w:t>
      </w:r>
    </w:p>
    <w:p w14:paraId="15F12984" w14:textId="77777777" w:rsidR="00B5167D" w:rsidRPr="008F3623" w:rsidRDefault="00B5167D" w:rsidP="00B5167D">
      <w:pPr>
        <w:jc w:val="both"/>
        <w:rPr>
          <w:rFonts w:ascii="Arial" w:hAnsi="Arial" w:cs="Arial"/>
          <w:sz w:val="20"/>
          <w:szCs w:val="20"/>
        </w:rPr>
      </w:pPr>
      <w:r w:rsidRPr="008F3623">
        <w:rPr>
          <w:rFonts w:ascii="Arial" w:hAnsi="Arial" w:cs="Arial"/>
          <w:sz w:val="20"/>
          <w:szCs w:val="20"/>
        </w:rPr>
        <w:t>Določanje lokacije subjektov vsebuje dva tipa določb:</w:t>
      </w:r>
    </w:p>
    <w:p w14:paraId="5FD25BDB" w14:textId="77777777" w:rsidR="00B5167D" w:rsidRPr="008F3623" w:rsidRDefault="00B5167D" w:rsidP="00B5167D">
      <w:pPr>
        <w:jc w:val="both"/>
        <w:rPr>
          <w:rFonts w:ascii="Arial" w:hAnsi="Arial" w:cs="Arial"/>
          <w:sz w:val="20"/>
          <w:szCs w:val="20"/>
        </w:rPr>
      </w:pPr>
      <w:r w:rsidRPr="008F3623">
        <w:rPr>
          <w:rFonts w:ascii="Arial" w:hAnsi="Arial" w:cs="Arial"/>
          <w:sz w:val="20"/>
          <w:szCs w:val="20"/>
        </w:rPr>
        <w:t xml:space="preserve">    a. Prvi tip določa pravila, kje je subjekt lociran za namene povrhnjega davka;</w:t>
      </w:r>
    </w:p>
    <w:p w14:paraId="241AD586" w14:textId="77777777" w:rsidR="00B5167D" w:rsidRDefault="00B5167D" w:rsidP="00B5167D">
      <w:pPr>
        <w:jc w:val="both"/>
        <w:rPr>
          <w:rFonts w:ascii="Arial" w:hAnsi="Arial" w:cs="Arial"/>
          <w:sz w:val="20"/>
          <w:szCs w:val="20"/>
        </w:rPr>
      </w:pPr>
      <w:r w:rsidRPr="008F3623">
        <w:rPr>
          <w:rFonts w:ascii="Arial" w:hAnsi="Arial" w:cs="Arial"/>
          <w:sz w:val="20"/>
          <w:szCs w:val="20"/>
        </w:rPr>
        <w:t xml:space="preserve">    b. Drugi tip določa pravila za razreševanje sporov v primeru, ko se subjekt v sestavi šteje za lociran v več kot eni jurisdikciji. </w:t>
      </w:r>
    </w:p>
    <w:p w14:paraId="347E3DE9" w14:textId="77777777" w:rsidR="00B5167D" w:rsidRPr="008F3623" w:rsidRDefault="00B5167D" w:rsidP="00B5167D">
      <w:pPr>
        <w:jc w:val="both"/>
        <w:rPr>
          <w:rFonts w:ascii="Arial" w:hAnsi="Arial" w:cs="Arial"/>
          <w:sz w:val="20"/>
          <w:szCs w:val="20"/>
        </w:rPr>
      </w:pPr>
      <w:r>
        <w:rPr>
          <w:rFonts w:ascii="Arial" w:hAnsi="Arial" w:cs="Arial"/>
          <w:sz w:val="20"/>
          <w:szCs w:val="20"/>
        </w:rPr>
        <w:t>Pravilo določanja lokacije za s</w:t>
      </w:r>
      <w:r w:rsidRPr="00F13C19">
        <w:rPr>
          <w:rFonts w:ascii="Arial" w:hAnsi="Arial" w:cs="Arial"/>
          <w:sz w:val="20"/>
          <w:szCs w:val="20"/>
        </w:rPr>
        <w:t>ubjekt, ki ni pretočni subjekt,</w:t>
      </w:r>
      <w:r>
        <w:rPr>
          <w:rFonts w:ascii="Arial" w:hAnsi="Arial" w:cs="Arial"/>
          <w:sz w:val="20"/>
          <w:szCs w:val="20"/>
        </w:rPr>
        <w:t xml:space="preserve"> določa, da</w:t>
      </w:r>
      <w:r w:rsidRPr="00F13C19">
        <w:rPr>
          <w:rFonts w:ascii="Arial" w:hAnsi="Arial" w:cs="Arial"/>
          <w:sz w:val="20"/>
          <w:szCs w:val="20"/>
        </w:rPr>
        <w:t xml:space="preserve"> se nahaja v jurisdikciji, v kateri se šteje za rezidenta za</w:t>
      </w:r>
      <w:r>
        <w:rPr>
          <w:rFonts w:ascii="Arial" w:hAnsi="Arial" w:cs="Arial"/>
          <w:sz w:val="20"/>
          <w:szCs w:val="20"/>
        </w:rPr>
        <w:t xml:space="preserve"> </w:t>
      </w:r>
      <w:r w:rsidRPr="00F13C19">
        <w:rPr>
          <w:rFonts w:ascii="Arial" w:hAnsi="Arial" w:cs="Arial"/>
          <w:sz w:val="20"/>
          <w:szCs w:val="20"/>
        </w:rPr>
        <w:t>davčne namene na podlagi njegovega sedeža uprave, njegovega kraja ustanovitve ali</w:t>
      </w:r>
      <w:r>
        <w:rPr>
          <w:rFonts w:ascii="Arial" w:hAnsi="Arial" w:cs="Arial"/>
          <w:sz w:val="20"/>
          <w:szCs w:val="20"/>
        </w:rPr>
        <w:t xml:space="preserve"> </w:t>
      </w:r>
      <w:r w:rsidRPr="00F13C19">
        <w:rPr>
          <w:rFonts w:ascii="Arial" w:hAnsi="Arial" w:cs="Arial"/>
          <w:sz w:val="20"/>
          <w:szCs w:val="20"/>
        </w:rPr>
        <w:t xml:space="preserve">podobnih meril, kot naslova, registracije. </w:t>
      </w:r>
      <w:r>
        <w:rPr>
          <w:rFonts w:ascii="Arial" w:hAnsi="Arial" w:cs="Arial"/>
          <w:sz w:val="20"/>
          <w:szCs w:val="20"/>
        </w:rPr>
        <w:t xml:space="preserve">V primeru sklenjenih </w:t>
      </w:r>
      <w:r w:rsidRPr="00F13C19">
        <w:rPr>
          <w:rFonts w:ascii="Arial" w:hAnsi="Arial" w:cs="Arial"/>
          <w:sz w:val="20"/>
          <w:szCs w:val="20"/>
        </w:rPr>
        <w:t>veljavni</w:t>
      </w:r>
      <w:r>
        <w:rPr>
          <w:rFonts w:ascii="Arial" w:hAnsi="Arial" w:cs="Arial"/>
          <w:sz w:val="20"/>
          <w:szCs w:val="20"/>
        </w:rPr>
        <w:t xml:space="preserve">h </w:t>
      </w:r>
      <w:r w:rsidRPr="00F13C19">
        <w:rPr>
          <w:rFonts w:ascii="Arial" w:hAnsi="Arial" w:cs="Arial"/>
          <w:sz w:val="20"/>
          <w:szCs w:val="20"/>
        </w:rPr>
        <w:t>davčni</w:t>
      </w:r>
      <w:r>
        <w:rPr>
          <w:rFonts w:ascii="Arial" w:hAnsi="Arial" w:cs="Arial"/>
          <w:sz w:val="20"/>
          <w:szCs w:val="20"/>
        </w:rPr>
        <w:t>h</w:t>
      </w:r>
      <w:r w:rsidRPr="00F13C19">
        <w:rPr>
          <w:rFonts w:ascii="Arial" w:hAnsi="Arial" w:cs="Arial"/>
          <w:sz w:val="20"/>
          <w:szCs w:val="20"/>
        </w:rPr>
        <w:t xml:space="preserve"> sporazum</w:t>
      </w:r>
      <w:r>
        <w:rPr>
          <w:rFonts w:ascii="Arial" w:hAnsi="Arial" w:cs="Arial"/>
          <w:sz w:val="20"/>
          <w:szCs w:val="20"/>
        </w:rPr>
        <w:t>ov, se uporabijo ti sporazumi za določanje davčnega rezidentstva kot to določa četrti odstavek 8. člena</w:t>
      </w:r>
      <w:r w:rsidR="00F8572F">
        <w:rPr>
          <w:rFonts w:ascii="Arial" w:hAnsi="Arial" w:cs="Arial"/>
          <w:sz w:val="20"/>
          <w:szCs w:val="20"/>
        </w:rPr>
        <w:t xml:space="preserve"> ZMD</w:t>
      </w:r>
      <w:r>
        <w:rPr>
          <w:rFonts w:ascii="Arial" w:hAnsi="Arial" w:cs="Arial"/>
          <w:sz w:val="20"/>
          <w:szCs w:val="20"/>
        </w:rPr>
        <w:t xml:space="preserve">. </w:t>
      </w:r>
      <w:r w:rsidRPr="00F13C19">
        <w:rPr>
          <w:rFonts w:ascii="Arial" w:hAnsi="Arial" w:cs="Arial"/>
          <w:sz w:val="20"/>
          <w:szCs w:val="20"/>
        </w:rPr>
        <w:t>Pri tem se, če lokacije subjekta, ki ni pretočni subjekt,</w:t>
      </w:r>
      <w:r>
        <w:rPr>
          <w:rFonts w:ascii="Arial" w:hAnsi="Arial" w:cs="Arial"/>
          <w:sz w:val="20"/>
          <w:szCs w:val="20"/>
        </w:rPr>
        <w:t xml:space="preserve"> </w:t>
      </w:r>
      <w:r w:rsidRPr="00F13C19">
        <w:rPr>
          <w:rFonts w:ascii="Arial" w:hAnsi="Arial" w:cs="Arial"/>
          <w:sz w:val="20"/>
          <w:szCs w:val="20"/>
        </w:rPr>
        <w:t>ni mogoče določiti, šteje, da se nahaja v jurisdikciji, v kateri je bil ustanovljen.</w:t>
      </w:r>
      <w:r>
        <w:rPr>
          <w:rFonts w:ascii="Arial" w:hAnsi="Arial" w:cs="Arial"/>
          <w:sz w:val="20"/>
          <w:szCs w:val="20"/>
        </w:rPr>
        <w:t xml:space="preserve"> </w:t>
      </w:r>
    </w:p>
    <w:p w14:paraId="6A19F161" w14:textId="77777777" w:rsidR="00B5167D" w:rsidRDefault="00B5167D" w:rsidP="00B5167D">
      <w:pPr>
        <w:jc w:val="both"/>
        <w:rPr>
          <w:rFonts w:ascii="Arial" w:hAnsi="Arial" w:cs="Arial"/>
          <w:sz w:val="20"/>
          <w:szCs w:val="20"/>
        </w:rPr>
      </w:pPr>
      <w:r w:rsidRPr="008F3623">
        <w:rPr>
          <w:rFonts w:ascii="Arial" w:hAnsi="Arial" w:cs="Arial"/>
          <w:sz w:val="20"/>
          <w:szCs w:val="20"/>
        </w:rPr>
        <w:t xml:space="preserve">Osnovno vodilo </w:t>
      </w:r>
      <w:r>
        <w:rPr>
          <w:rFonts w:ascii="Arial" w:hAnsi="Arial" w:cs="Arial"/>
          <w:sz w:val="20"/>
          <w:szCs w:val="20"/>
        </w:rPr>
        <w:t>pravila</w:t>
      </w:r>
      <w:r w:rsidRPr="008F3623">
        <w:rPr>
          <w:rFonts w:ascii="Arial" w:hAnsi="Arial" w:cs="Arial"/>
          <w:sz w:val="20"/>
          <w:szCs w:val="20"/>
        </w:rPr>
        <w:t xml:space="preserve"> je, da se sledi obravnavi v skladu z lokalnim pravom. Pravila dajejo prednost davčnemu rezidentstvu, kadar je to mogoče. V večini primerov bo subjekt davčni rezident v neki jurisdikciji in to bo njegova lokacija za namene pravil povrhnjega davka. V primeru, da ni davčnega rezidentstva, bo lokacija kraj ustanovitve. </w:t>
      </w:r>
    </w:p>
    <w:p w14:paraId="004DF8FF" w14:textId="77777777" w:rsidR="00B5167D" w:rsidRDefault="00B5167D" w:rsidP="00B5167D">
      <w:pPr>
        <w:jc w:val="both"/>
        <w:rPr>
          <w:rFonts w:ascii="Arial" w:hAnsi="Arial" w:cs="Arial"/>
          <w:sz w:val="20"/>
          <w:szCs w:val="20"/>
        </w:rPr>
      </w:pPr>
      <w:r w:rsidRPr="00F13C19">
        <w:rPr>
          <w:rFonts w:ascii="Arial" w:hAnsi="Arial" w:cs="Arial"/>
          <w:sz w:val="20"/>
          <w:szCs w:val="20"/>
        </w:rPr>
        <w:t>Pretočni subjekt se šteje za subjekt brez države, razen če je krovni matični subjekt</w:t>
      </w:r>
      <w:r>
        <w:rPr>
          <w:rFonts w:ascii="Arial" w:hAnsi="Arial" w:cs="Arial"/>
          <w:sz w:val="20"/>
          <w:szCs w:val="20"/>
        </w:rPr>
        <w:t xml:space="preserve"> </w:t>
      </w:r>
      <w:r w:rsidRPr="00F13C19">
        <w:rPr>
          <w:rFonts w:ascii="Arial" w:hAnsi="Arial" w:cs="Arial"/>
          <w:sz w:val="20"/>
          <w:szCs w:val="20"/>
        </w:rPr>
        <w:t>mednarodne skupine podjetij ali velike domače skupine ali če mora uporabiti pravilo o vključitvi</w:t>
      </w:r>
      <w:r>
        <w:rPr>
          <w:rFonts w:ascii="Arial" w:hAnsi="Arial" w:cs="Arial"/>
          <w:sz w:val="20"/>
          <w:szCs w:val="20"/>
        </w:rPr>
        <w:t xml:space="preserve"> </w:t>
      </w:r>
      <w:r w:rsidRPr="00F13C19">
        <w:rPr>
          <w:rFonts w:ascii="Arial" w:hAnsi="Arial" w:cs="Arial"/>
          <w:sz w:val="20"/>
          <w:szCs w:val="20"/>
        </w:rPr>
        <w:t xml:space="preserve">dohodkov v skladu z 9., 10., 11. in 12. členom </w:t>
      </w:r>
      <w:r w:rsidR="00F8572F">
        <w:rPr>
          <w:rFonts w:ascii="Arial" w:hAnsi="Arial" w:cs="Arial"/>
          <w:sz w:val="20"/>
          <w:szCs w:val="20"/>
        </w:rPr>
        <w:t>ZMD</w:t>
      </w:r>
      <w:r w:rsidRPr="00F13C19">
        <w:rPr>
          <w:rFonts w:ascii="Arial" w:hAnsi="Arial" w:cs="Arial"/>
          <w:sz w:val="20"/>
          <w:szCs w:val="20"/>
        </w:rPr>
        <w:t>; v tem primeru se šteje, da se</w:t>
      </w:r>
      <w:r>
        <w:rPr>
          <w:rFonts w:ascii="Arial" w:hAnsi="Arial" w:cs="Arial"/>
          <w:sz w:val="20"/>
          <w:szCs w:val="20"/>
        </w:rPr>
        <w:t xml:space="preserve"> </w:t>
      </w:r>
      <w:r w:rsidRPr="00F13C19">
        <w:rPr>
          <w:rFonts w:ascii="Arial" w:hAnsi="Arial" w:cs="Arial"/>
          <w:sz w:val="20"/>
          <w:szCs w:val="20"/>
        </w:rPr>
        <w:t>pretočni subjekt nahaja v jurisdikciji, v kateri je bil ustanovljen.</w:t>
      </w:r>
      <w:r>
        <w:rPr>
          <w:rFonts w:ascii="Arial" w:hAnsi="Arial" w:cs="Arial"/>
          <w:sz w:val="20"/>
          <w:szCs w:val="20"/>
        </w:rPr>
        <w:t xml:space="preserve"> </w:t>
      </w:r>
      <w:r w:rsidRPr="008F3623">
        <w:rPr>
          <w:rFonts w:ascii="Arial" w:hAnsi="Arial" w:cs="Arial"/>
          <w:sz w:val="20"/>
          <w:szCs w:val="20"/>
        </w:rPr>
        <w:t xml:space="preserve">V primeru pretočnih subjektov, se šteje, da so locirani v jurisdikciji, kjer so ustanovljeni, če so krovni matični subjekt oziroma dolžni uporabiti pravilo o vključitvi dohodkov. V vseh drugih primerih se pretočni subjekti štejejo za subjekte brez države. </w:t>
      </w:r>
    </w:p>
    <w:p w14:paraId="4A56118C" w14:textId="77777777" w:rsidR="00B5167D" w:rsidRDefault="00B5167D" w:rsidP="00B5167D">
      <w:pPr>
        <w:jc w:val="both"/>
        <w:rPr>
          <w:rFonts w:ascii="Arial" w:hAnsi="Arial" w:cs="Arial"/>
          <w:sz w:val="20"/>
          <w:szCs w:val="20"/>
        </w:rPr>
      </w:pPr>
      <w:r w:rsidRPr="00F13C19">
        <w:rPr>
          <w:rFonts w:ascii="Arial" w:hAnsi="Arial" w:cs="Arial"/>
          <w:sz w:val="20"/>
          <w:szCs w:val="20"/>
        </w:rPr>
        <w:t xml:space="preserve">Stalna poslovna enota, kot je opredeljena v točki a) 16. točke 7. člena </w:t>
      </w:r>
      <w:r>
        <w:rPr>
          <w:rFonts w:ascii="Arial" w:hAnsi="Arial" w:cs="Arial"/>
          <w:sz w:val="20"/>
          <w:szCs w:val="20"/>
        </w:rPr>
        <w:t>ZMD</w:t>
      </w:r>
      <w:r w:rsidRPr="00F13C19">
        <w:rPr>
          <w:rFonts w:ascii="Arial" w:hAnsi="Arial" w:cs="Arial"/>
          <w:sz w:val="20"/>
          <w:szCs w:val="20"/>
        </w:rPr>
        <w:t>, se</w:t>
      </w:r>
      <w:r>
        <w:rPr>
          <w:rFonts w:ascii="Arial" w:hAnsi="Arial" w:cs="Arial"/>
          <w:sz w:val="20"/>
          <w:szCs w:val="20"/>
        </w:rPr>
        <w:t xml:space="preserve"> </w:t>
      </w:r>
      <w:r w:rsidRPr="00F13C19">
        <w:rPr>
          <w:rFonts w:ascii="Arial" w:hAnsi="Arial" w:cs="Arial"/>
          <w:sz w:val="20"/>
          <w:szCs w:val="20"/>
        </w:rPr>
        <w:t>nahaja v jurisdikciji, v kateri se obravnava kot stalna poslovna enota in je zavezana k plačilu</w:t>
      </w:r>
      <w:r>
        <w:rPr>
          <w:rFonts w:ascii="Arial" w:hAnsi="Arial" w:cs="Arial"/>
          <w:sz w:val="20"/>
          <w:szCs w:val="20"/>
        </w:rPr>
        <w:t xml:space="preserve"> </w:t>
      </w:r>
      <w:r w:rsidRPr="00F13C19">
        <w:rPr>
          <w:rFonts w:ascii="Arial" w:hAnsi="Arial" w:cs="Arial"/>
          <w:sz w:val="20"/>
          <w:szCs w:val="20"/>
        </w:rPr>
        <w:t>davka v skladu z veljavnim davčnim sporazumom. Stalna poslovna enota, kot je opredeljena</w:t>
      </w:r>
      <w:r>
        <w:rPr>
          <w:rFonts w:ascii="Arial" w:hAnsi="Arial" w:cs="Arial"/>
          <w:sz w:val="20"/>
          <w:szCs w:val="20"/>
        </w:rPr>
        <w:t xml:space="preserve"> </w:t>
      </w:r>
      <w:r w:rsidRPr="00F13C19">
        <w:rPr>
          <w:rFonts w:ascii="Arial" w:hAnsi="Arial" w:cs="Arial"/>
          <w:sz w:val="20"/>
          <w:szCs w:val="20"/>
        </w:rPr>
        <w:t xml:space="preserve">v točki b) 16. točke 7. člena </w:t>
      </w:r>
      <w:r>
        <w:rPr>
          <w:rFonts w:ascii="Arial" w:hAnsi="Arial" w:cs="Arial"/>
          <w:sz w:val="20"/>
          <w:szCs w:val="20"/>
        </w:rPr>
        <w:t>ZMD</w:t>
      </w:r>
      <w:r w:rsidRPr="00F13C19">
        <w:rPr>
          <w:rFonts w:ascii="Arial" w:hAnsi="Arial" w:cs="Arial"/>
          <w:sz w:val="20"/>
          <w:szCs w:val="20"/>
        </w:rPr>
        <w:t>, se nahaja v jurisdikciji, v kateri je obdavčena na neto</w:t>
      </w:r>
      <w:r>
        <w:rPr>
          <w:rFonts w:ascii="Arial" w:hAnsi="Arial" w:cs="Arial"/>
          <w:sz w:val="20"/>
          <w:szCs w:val="20"/>
        </w:rPr>
        <w:t xml:space="preserve"> </w:t>
      </w:r>
      <w:r w:rsidRPr="00F13C19">
        <w:rPr>
          <w:rFonts w:ascii="Arial" w:hAnsi="Arial" w:cs="Arial"/>
          <w:sz w:val="20"/>
          <w:szCs w:val="20"/>
        </w:rPr>
        <w:t>osnovi na podlagi njene poslovne prisotnosti. Stalna poslovna enota, kot je opredeljena v točki</w:t>
      </w:r>
      <w:r>
        <w:rPr>
          <w:rFonts w:ascii="Arial" w:hAnsi="Arial" w:cs="Arial"/>
          <w:sz w:val="20"/>
          <w:szCs w:val="20"/>
        </w:rPr>
        <w:t xml:space="preserve"> </w:t>
      </w:r>
      <w:r w:rsidRPr="00F13C19">
        <w:rPr>
          <w:rFonts w:ascii="Arial" w:hAnsi="Arial" w:cs="Arial"/>
          <w:sz w:val="20"/>
          <w:szCs w:val="20"/>
        </w:rPr>
        <w:t xml:space="preserve">c) 16. točke 7. člena </w:t>
      </w:r>
      <w:r>
        <w:rPr>
          <w:rFonts w:ascii="Arial" w:hAnsi="Arial" w:cs="Arial"/>
          <w:sz w:val="20"/>
          <w:szCs w:val="20"/>
        </w:rPr>
        <w:t>ZMD</w:t>
      </w:r>
      <w:r w:rsidRPr="00F13C19">
        <w:rPr>
          <w:rFonts w:ascii="Arial" w:hAnsi="Arial" w:cs="Arial"/>
          <w:sz w:val="20"/>
          <w:szCs w:val="20"/>
        </w:rPr>
        <w:t>, se nahaja v jurisdikciji, na ozemlju katere se dejansko</w:t>
      </w:r>
      <w:r>
        <w:rPr>
          <w:rFonts w:ascii="Arial" w:hAnsi="Arial" w:cs="Arial"/>
          <w:sz w:val="20"/>
          <w:szCs w:val="20"/>
        </w:rPr>
        <w:t xml:space="preserve"> </w:t>
      </w:r>
      <w:r w:rsidRPr="00F13C19">
        <w:rPr>
          <w:rFonts w:ascii="Arial" w:hAnsi="Arial" w:cs="Arial"/>
          <w:sz w:val="20"/>
          <w:szCs w:val="20"/>
        </w:rPr>
        <w:t xml:space="preserve">nahaja. Stalna poslovna enota, kot je opredeljena v točki č) 16. točke 7. člena </w:t>
      </w:r>
      <w:r>
        <w:rPr>
          <w:rFonts w:ascii="Arial" w:hAnsi="Arial" w:cs="Arial"/>
          <w:sz w:val="20"/>
          <w:szCs w:val="20"/>
        </w:rPr>
        <w:t>ZMD</w:t>
      </w:r>
      <w:r w:rsidRPr="00F13C19">
        <w:rPr>
          <w:rFonts w:ascii="Arial" w:hAnsi="Arial" w:cs="Arial"/>
          <w:sz w:val="20"/>
          <w:szCs w:val="20"/>
        </w:rPr>
        <w:t>, je</w:t>
      </w:r>
      <w:r>
        <w:rPr>
          <w:rFonts w:ascii="Arial" w:hAnsi="Arial" w:cs="Arial"/>
          <w:sz w:val="20"/>
          <w:szCs w:val="20"/>
        </w:rPr>
        <w:t xml:space="preserve"> </w:t>
      </w:r>
      <w:r w:rsidRPr="00F13C19">
        <w:rPr>
          <w:rFonts w:ascii="Arial" w:hAnsi="Arial" w:cs="Arial"/>
          <w:sz w:val="20"/>
          <w:szCs w:val="20"/>
        </w:rPr>
        <w:t>stalna poslovna enota brez države.</w:t>
      </w:r>
    </w:p>
    <w:p w14:paraId="62EC0991" w14:textId="77777777" w:rsidR="00B5167D" w:rsidRDefault="00B5167D" w:rsidP="00B5167D">
      <w:pPr>
        <w:jc w:val="both"/>
        <w:rPr>
          <w:rFonts w:ascii="Arial" w:hAnsi="Arial" w:cs="Arial"/>
          <w:sz w:val="20"/>
          <w:szCs w:val="20"/>
        </w:rPr>
      </w:pPr>
      <w:r w:rsidRPr="008F3623">
        <w:rPr>
          <w:rFonts w:ascii="Arial" w:hAnsi="Arial" w:cs="Arial"/>
          <w:sz w:val="20"/>
          <w:szCs w:val="20"/>
        </w:rPr>
        <w:t>V primeru stalne poslovne enote (PE) bo v večini primerov ta locirana na kraju poslovanja (kot določajo veljavne davčne pogodbe, domači davčni predpisi ali dejanska lokacija). V omejenih primerih se bo PE štela za subjekt brez države.</w:t>
      </w:r>
      <w:r>
        <w:rPr>
          <w:rFonts w:ascii="Arial" w:hAnsi="Arial" w:cs="Arial"/>
          <w:sz w:val="20"/>
          <w:szCs w:val="20"/>
        </w:rPr>
        <w:t xml:space="preserve"> </w:t>
      </w:r>
      <w:r w:rsidRPr="008F3623">
        <w:rPr>
          <w:rFonts w:ascii="Arial" w:hAnsi="Arial" w:cs="Arial"/>
          <w:sz w:val="20"/>
          <w:szCs w:val="20"/>
        </w:rPr>
        <w:t>Za subjekte brez države pravila povrhnjega davka predvidevajo posebno obravnavo. Ta pravila obravnavajo dohodek in davke, ki so dodeljeni subjektu, kot predmet samostojnega izračuna povrhnjega davka. Razlog za obdavčitev kvalificiranega dohodka, dodeljenega subjektu brez države, na samostojni osnovi, je, da bo ta dohodek običajno "dohodek brez države" (to pomeni, da ni obravnavan po zakonih nobene jurisdikcije kot dohodek davčnega zavezanca, ki je rezident te jurisdikcije</w:t>
      </w:r>
      <w:r>
        <w:rPr>
          <w:rFonts w:ascii="Arial" w:hAnsi="Arial" w:cs="Arial"/>
          <w:sz w:val="20"/>
          <w:szCs w:val="20"/>
        </w:rPr>
        <w:t>,</w:t>
      </w:r>
      <w:r w:rsidRPr="008F3623">
        <w:rPr>
          <w:rFonts w:ascii="Arial" w:hAnsi="Arial" w:cs="Arial"/>
          <w:sz w:val="20"/>
          <w:szCs w:val="20"/>
        </w:rPr>
        <w:t xml:space="preserve"> ali stalne poslovne enote).</w:t>
      </w:r>
    </w:p>
    <w:p w14:paraId="1437E282" w14:textId="77777777" w:rsidR="00461E24" w:rsidRDefault="00461E24">
      <w:pPr>
        <w:rPr>
          <w:rFonts w:ascii="Arial" w:hAnsi="Arial" w:cs="Arial"/>
          <w:sz w:val="20"/>
          <w:szCs w:val="20"/>
        </w:rPr>
      </w:pPr>
      <w:r>
        <w:rPr>
          <w:rFonts w:ascii="Arial" w:hAnsi="Arial" w:cs="Arial"/>
          <w:sz w:val="20"/>
          <w:szCs w:val="20"/>
        </w:rPr>
        <w:br w:type="page"/>
      </w:r>
    </w:p>
    <w:p w14:paraId="3EF95F1B" w14:textId="77777777" w:rsidR="00E273E2" w:rsidRPr="00B5167D" w:rsidRDefault="00B5167D" w:rsidP="00A2110D">
      <w:pPr>
        <w:pStyle w:val="FURSnaslov2"/>
        <w:rPr>
          <w:sz w:val="22"/>
          <w:szCs w:val="22"/>
          <w:lang w:val="sl-SI"/>
        </w:rPr>
      </w:pPr>
      <w:bookmarkStart w:id="25" w:name="_Toc157425318"/>
      <w:r w:rsidRPr="00B5167D">
        <w:rPr>
          <w:sz w:val="22"/>
          <w:szCs w:val="22"/>
          <w:lang w:val="sl-SI"/>
        </w:rPr>
        <w:lastRenderedPageBreak/>
        <w:t xml:space="preserve">4.0 </w:t>
      </w:r>
      <w:r w:rsidR="00E273E2" w:rsidRPr="00B5167D">
        <w:rPr>
          <w:sz w:val="22"/>
          <w:szCs w:val="22"/>
          <w:lang w:val="sl-SI"/>
        </w:rPr>
        <w:t>Varni pristani</w:t>
      </w:r>
      <w:r w:rsidR="00507550" w:rsidRPr="00B5167D">
        <w:rPr>
          <w:sz w:val="22"/>
          <w:szCs w:val="22"/>
          <w:lang w:val="sl-SI"/>
        </w:rPr>
        <w:t xml:space="preserve"> in ugodnosti</w:t>
      </w:r>
      <w:r w:rsidR="001305E7" w:rsidRPr="00B5167D">
        <w:rPr>
          <w:sz w:val="22"/>
          <w:szCs w:val="22"/>
          <w:lang w:val="sl-SI"/>
        </w:rPr>
        <w:t xml:space="preserve"> (43. člen ZMD)</w:t>
      </w:r>
      <w:bookmarkEnd w:id="25"/>
    </w:p>
    <w:p w14:paraId="7FC26C64" w14:textId="77777777" w:rsidR="00684474" w:rsidRPr="00CC009A" w:rsidRDefault="00741F42" w:rsidP="00356C7A">
      <w:pPr>
        <w:spacing w:after="0" w:line="240" w:lineRule="exact"/>
        <w:jc w:val="both"/>
        <w:rPr>
          <w:rFonts w:ascii="Arial" w:hAnsi="Arial" w:cs="Arial"/>
          <w:sz w:val="20"/>
          <w:szCs w:val="20"/>
        </w:rPr>
      </w:pPr>
      <w:r w:rsidRPr="00CC009A">
        <w:rPr>
          <w:rFonts w:ascii="Arial" w:hAnsi="Arial" w:cs="Arial"/>
          <w:sz w:val="20"/>
          <w:szCs w:val="20"/>
        </w:rPr>
        <w:t xml:space="preserve">Varni pristani so splošno urejeni v </w:t>
      </w:r>
      <w:r w:rsidR="00FD1603" w:rsidRPr="00CC009A">
        <w:rPr>
          <w:rFonts w:ascii="Arial" w:hAnsi="Arial" w:cs="Arial"/>
          <w:sz w:val="20"/>
          <w:szCs w:val="20"/>
        </w:rPr>
        <w:t>43</w:t>
      </w:r>
      <w:r w:rsidRPr="00CC009A">
        <w:rPr>
          <w:rFonts w:ascii="Arial" w:hAnsi="Arial" w:cs="Arial"/>
          <w:sz w:val="20"/>
          <w:szCs w:val="20"/>
        </w:rPr>
        <w:t xml:space="preserve">. </w:t>
      </w:r>
      <w:r w:rsidR="00C9275B" w:rsidRPr="00CC009A">
        <w:rPr>
          <w:rFonts w:ascii="Arial" w:hAnsi="Arial" w:cs="Arial"/>
          <w:sz w:val="20"/>
          <w:szCs w:val="20"/>
        </w:rPr>
        <w:t>č</w:t>
      </w:r>
      <w:r w:rsidRPr="00CC009A">
        <w:rPr>
          <w:rFonts w:ascii="Arial" w:hAnsi="Arial" w:cs="Arial"/>
          <w:sz w:val="20"/>
          <w:szCs w:val="20"/>
        </w:rPr>
        <w:t>lenu Zakona o minimalnem davku</w:t>
      </w:r>
      <w:r w:rsidR="00FD1603" w:rsidRPr="00CC009A">
        <w:rPr>
          <w:rFonts w:ascii="Arial" w:hAnsi="Arial" w:cs="Arial"/>
          <w:sz w:val="20"/>
          <w:szCs w:val="20"/>
        </w:rPr>
        <w:t xml:space="preserve"> (ZMD)</w:t>
      </w:r>
      <w:r w:rsidRPr="00CC009A">
        <w:rPr>
          <w:rFonts w:ascii="Arial" w:hAnsi="Arial" w:cs="Arial"/>
          <w:sz w:val="20"/>
          <w:szCs w:val="20"/>
        </w:rPr>
        <w:t>, pri čemer je vsebina posameznih varnih pristanov</w:t>
      </w:r>
      <w:r w:rsidR="00FD1603" w:rsidRPr="00CC009A">
        <w:rPr>
          <w:rFonts w:ascii="Arial" w:hAnsi="Arial" w:cs="Arial"/>
          <w:sz w:val="20"/>
          <w:szCs w:val="20"/>
        </w:rPr>
        <w:t xml:space="preserve"> podrobneje</w:t>
      </w:r>
      <w:r w:rsidRPr="00CC009A">
        <w:rPr>
          <w:rFonts w:ascii="Arial" w:hAnsi="Arial" w:cs="Arial"/>
          <w:sz w:val="20"/>
          <w:szCs w:val="20"/>
        </w:rPr>
        <w:t xml:space="preserve"> urejena v Administrativnih smernicah, ki so jih dogovorile države članice OECD in se tako te smernice štejejo za kvalificirani mednarodni sporazum o varnih pristanih. </w:t>
      </w:r>
      <w:r w:rsidR="00684474" w:rsidRPr="00CC009A">
        <w:rPr>
          <w:rFonts w:ascii="Arial" w:hAnsi="Arial" w:cs="Arial"/>
          <w:sz w:val="20"/>
          <w:szCs w:val="20"/>
        </w:rPr>
        <w:t>V primeru držav članic EU pomeni navedeni sporazum dogovor v okviru vključujočega okvira OECD, ki so ga podprle vse države članice, vključno Ciper. Pomemben varni pristan, ki je</w:t>
      </w:r>
      <w:r w:rsidR="00CC009A">
        <w:rPr>
          <w:rFonts w:ascii="Arial" w:hAnsi="Arial" w:cs="Arial"/>
          <w:sz w:val="20"/>
          <w:szCs w:val="20"/>
        </w:rPr>
        <w:t xml:space="preserve"> izrecno opredeljen</w:t>
      </w:r>
      <w:r w:rsidR="00684474" w:rsidRPr="00CC009A">
        <w:rPr>
          <w:rFonts w:ascii="Arial" w:hAnsi="Arial" w:cs="Arial"/>
          <w:sz w:val="20"/>
          <w:szCs w:val="20"/>
        </w:rPr>
        <w:t xml:space="preserve"> v </w:t>
      </w:r>
      <w:r w:rsidR="00CC009A">
        <w:rPr>
          <w:rFonts w:ascii="Arial" w:hAnsi="Arial" w:cs="Arial"/>
          <w:sz w:val="20"/>
          <w:szCs w:val="20"/>
        </w:rPr>
        <w:t>ZMD</w:t>
      </w:r>
      <w:r w:rsidR="00684474" w:rsidRPr="00CC009A">
        <w:rPr>
          <w:rFonts w:ascii="Arial" w:hAnsi="Arial" w:cs="Arial"/>
          <w:sz w:val="20"/>
          <w:szCs w:val="20"/>
        </w:rPr>
        <w:t xml:space="preserve">, je prehodni varni pristan </w:t>
      </w:r>
      <w:proofErr w:type="spellStart"/>
      <w:r w:rsidR="00684474" w:rsidRPr="00CC009A">
        <w:rPr>
          <w:rFonts w:ascii="Arial" w:hAnsi="Arial" w:cs="Arial"/>
          <w:sz w:val="20"/>
          <w:szCs w:val="20"/>
        </w:rPr>
        <w:t>CbCR</w:t>
      </w:r>
      <w:proofErr w:type="spellEnd"/>
      <w:r w:rsidR="00684474" w:rsidRPr="00CC009A">
        <w:rPr>
          <w:rFonts w:ascii="Arial" w:hAnsi="Arial" w:cs="Arial"/>
          <w:sz w:val="20"/>
          <w:szCs w:val="20"/>
        </w:rPr>
        <w:t xml:space="preserve">. </w:t>
      </w:r>
    </w:p>
    <w:p w14:paraId="60C53382" w14:textId="77777777" w:rsidR="002E0F2E" w:rsidRPr="008752B8" w:rsidRDefault="002E0F2E" w:rsidP="00356C7A">
      <w:pPr>
        <w:spacing w:after="0" w:line="240" w:lineRule="exact"/>
        <w:jc w:val="both"/>
        <w:rPr>
          <w:rFonts w:ascii="Arial" w:hAnsi="Arial" w:cs="Arial"/>
          <w:sz w:val="20"/>
          <w:szCs w:val="20"/>
        </w:rPr>
      </w:pPr>
    </w:p>
    <w:p w14:paraId="0855F3BF" w14:textId="77777777" w:rsidR="00741F42" w:rsidRPr="008752B8" w:rsidRDefault="00741F42" w:rsidP="00356C7A">
      <w:pPr>
        <w:spacing w:after="0" w:line="240" w:lineRule="exact"/>
        <w:jc w:val="both"/>
        <w:rPr>
          <w:rFonts w:ascii="Arial" w:hAnsi="Arial" w:cs="Arial"/>
          <w:sz w:val="20"/>
          <w:szCs w:val="20"/>
        </w:rPr>
      </w:pPr>
      <w:r w:rsidRPr="008752B8">
        <w:rPr>
          <w:rFonts w:ascii="Arial" w:hAnsi="Arial" w:cs="Arial"/>
          <w:sz w:val="20"/>
          <w:szCs w:val="20"/>
        </w:rPr>
        <w:t>Veljavni varni pristani</w:t>
      </w:r>
      <w:r w:rsidR="00813CC4" w:rsidRPr="008752B8">
        <w:rPr>
          <w:rFonts w:ascii="Arial" w:hAnsi="Arial" w:cs="Arial"/>
          <w:sz w:val="20"/>
          <w:szCs w:val="20"/>
        </w:rPr>
        <w:t>, ki so bili mednarodno dogovorjeni,</w:t>
      </w:r>
      <w:r w:rsidRPr="008752B8">
        <w:rPr>
          <w:rFonts w:ascii="Arial" w:hAnsi="Arial" w:cs="Arial"/>
          <w:sz w:val="20"/>
          <w:szCs w:val="20"/>
        </w:rPr>
        <w:t xml:space="preserve"> so naslednji:</w:t>
      </w:r>
    </w:p>
    <w:tbl>
      <w:tblPr>
        <w:tblStyle w:val="Tabelamrea"/>
        <w:tblW w:w="0" w:type="auto"/>
        <w:tblInd w:w="250" w:type="dxa"/>
        <w:tblLook w:val="04A0" w:firstRow="1" w:lastRow="0" w:firstColumn="1" w:lastColumn="0" w:noHBand="0" w:noVBand="1"/>
      </w:tblPr>
      <w:tblGrid>
        <w:gridCol w:w="8647"/>
      </w:tblGrid>
      <w:tr w:rsidR="00741F42" w:rsidRPr="008752B8" w14:paraId="695098AB" w14:textId="77777777" w:rsidTr="002B7251">
        <w:tc>
          <w:tcPr>
            <w:tcW w:w="864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6474A0FB" w14:textId="77777777" w:rsidR="00741F42" w:rsidRPr="008752B8" w:rsidRDefault="00741F42" w:rsidP="008752B8">
            <w:pPr>
              <w:jc w:val="both"/>
              <w:rPr>
                <w:rFonts w:ascii="Arial" w:hAnsi="Arial" w:cs="Arial"/>
                <w:color w:val="000000" w:themeColor="text1"/>
                <w:sz w:val="20"/>
                <w:szCs w:val="20"/>
              </w:rPr>
            </w:pPr>
            <w:r w:rsidRPr="008752B8">
              <w:rPr>
                <w:rFonts w:ascii="Arial" w:hAnsi="Arial" w:cs="Arial"/>
                <w:color w:val="000000" w:themeColor="text1"/>
                <w:sz w:val="20"/>
                <w:szCs w:val="20"/>
              </w:rPr>
              <w:t>Stalni varni pristani</w:t>
            </w:r>
          </w:p>
        </w:tc>
      </w:tr>
      <w:tr w:rsidR="00741F42" w:rsidRPr="008752B8" w14:paraId="4B21A82E" w14:textId="77777777" w:rsidTr="002B7251">
        <w:tc>
          <w:tcPr>
            <w:tcW w:w="8647" w:type="dxa"/>
            <w:tcBorders>
              <w:top w:val="double" w:sz="4" w:space="0" w:color="auto"/>
            </w:tcBorders>
          </w:tcPr>
          <w:p w14:paraId="53FDD001" w14:textId="77777777" w:rsidR="00741F42" w:rsidRPr="008752B8" w:rsidRDefault="005E1337" w:rsidP="008752B8">
            <w:pPr>
              <w:jc w:val="both"/>
              <w:rPr>
                <w:rFonts w:ascii="Arial" w:hAnsi="Arial" w:cs="Arial"/>
                <w:color w:val="000000" w:themeColor="text1"/>
                <w:sz w:val="20"/>
                <w:szCs w:val="20"/>
              </w:rPr>
            </w:pPr>
            <w:r w:rsidRPr="008752B8">
              <w:rPr>
                <w:rFonts w:ascii="Arial" w:hAnsi="Arial" w:cs="Arial"/>
                <w:color w:val="000000" w:themeColor="text1"/>
                <w:sz w:val="20"/>
                <w:szCs w:val="20"/>
              </w:rPr>
              <w:t xml:space="preserve">i) </w:t>
            </w:r>
            <w:r w:rsidR="00741F42" w:rsidRPr="008752B8">
              <w:rPr>
                <w:rFonts w:ascii="Arial" w:hAnsi="Arial" w:cs="Arial"/>
                <w:color w:val="000000" w:themeColor="text1"/>
                <w:sz w:val="20"/>
                <w:szCs w:val="20"/>
              </w:rPr>
              <w:t>Varni pristan domačega povrhnjega davka</w:t>
            </w:r>
          </w:p>
        </w:tc>
      </w:tr>
      <w:tr w:rsidR="00741F42" w:rsidRPr="008752B8" w14:paraId="0D7586B8" w14:textId="77777777" w:rsidTr="002B7251">
        <w:tc>
          <w:tcPr>
            <w:tcW w:w="8647" w:type="dxa"/>
          </w:tcPr>
          <w:p w14:paraId="653DC32D" w14:textId="77777777" w:rsidR="00741F42" w:rsidRPr="00A416D7" w:rsidRDefault="005E1337" w:rsidP="008752B8">
            <w:pPr>
              <w:jc w:val="both"/>
              <w:rPr>
                <w:rFonts w:ascii="Arial" w:hAnsi="Arial" w:cs="Arial"/>
                <w:color w:val="000000" w:themeColor="text1"/>
                <w:sz w:val="20"/>
                <w:szCs w:val="20"/>
              </w:rPr>
            </w:pPr>
            <w:r w:rsidRPr="00A416D7">
              <w:rPr>
                <w:rFonts w:ascii="Arial" w:hAnsi="Arial" w:cs="Arial"/>
                <w:color w:val="000000" w:themeColor="text1"/>
                <w:sz w:val="20"/>
                <w:szCs w:val="20"/>
              </w:rPr>
              <w:t xml:space="preserve">ii) </w:t>
            </w:r>
            <w:r w:rsidR="00813CC4" w:rsidRPr="00A416D7">
              <w:rPr>
                <w:rFonts w:ascii="Arial" w:hAnsi="Arial"/>
                <w:color w:val="000000" w:themeColor="text1"/>
                <w:sz w:val="20"/>
              </w:rPr>
              <w:t xml:space="preserve">Varni pristan v obliki poenostavljenih izračunov - </w:t>
            </w:r>
            <w:r w:rsidRPr="00A416D7">
              <w:rPr>
                <w:rFonts w:ascii="Arial" w:hAnsi="Arial" w:cs="Arial"/>
                <w:color w:val="000000" w:themeColor="text1"/>
                <w:sz w:val="20"/>
                <w:szCs w:val="20"/>
              </w:rPr>
              <w:t xml:space="preserve">Varni pristan v obliki poenostavljenih izračunov za </w:t>
            </w:r>
            <w:r w:rsidR="00F01208">
              <w:rPr>
                <w:rFonts w:ascii="Arial" w:hAnsi="Arial" w:cs="Arial"/>
                <w:color w:val="000000" w:themeColor="text1"/>
                <w:sz w:val="20"/>
                <w:szCs w:val="20"/>
              </w:rPr>
              <w:t>nepomembn</w:t>
            </w:r>
            <w:r w:rsidRPr="00A416D7">
              <w:rPr>
                <w:rFonts w:ascii="Arial" w:hAnsi="Arial" w:cs="Arial"/>
                <w:color w:val="000000" w:themeColor="text1"/>
                <w:sz w:val="20"/>
                <w:szCs w:val="20"/>
              </w:rPr>
              <w:t>e subjekte</w:t>
            </w:r>
          </w:p>
        </w:tc>
      </w:tr>
      <w:tr w:rsidR="00741F42" w:rsidRPr="008752B8" w14:paraId="414D2B3B" w14:textId="77777777" w:rsidTr="002B7251">
        <w:tc>
          <w:tcPr>
            <w:tcW w:w="864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70BDED80" w14:textId="77777777" w:rsidR="00741F42" w:rsidRPr="008752B8" w:rsidRDefault="00741F42" w:rsidP="008752B8">
            <w:pPr>
              <w:jc w:val="both"/>
              <w:rPr>
                <w:rFonts w:ascii="Arial" w:hAnsi="Arial" w:cs="Arial"/>
                <w:color w:val="000000" w:themeColor="text1"/>
                <w:sz w:val="20"/>
                <w:szCs w:val="20"/>
              </w:rPr>
            </w:pPr>
            <w:r w:rsidRPr="008752B8">
              <w:rPr>
                <w:rFonts w:ascii="Arial" w:hAnsi="Arial" w:cs="Arial"/>
                <w:color w:val="000000" w:themeColor="text1"/>
                <w:sz w:val="20"/>
                <w:szCs w:val="20"/>
              </w:rPr>
              <w:t>Časovno omejeni varni pristani</w:t>
            </w:r>
          </w:p>
        </w:tc>
      </w:tr>
      <w:tr w:rsidR="00507550" w:rsidRPr="008752B8" w14:paraId="7C3B6E9E" w14:textId="77777777" w:rsidTr="002B7251">
        <w:tc>
          <w:tcPr>
            <w:tcW w:w="8647" w:type="dxa"/>
            <w:tcBorders>
              <w:top w:val="double" w:sz="4" w:space="0" w:color="auto"/>
            </w:tcBorders>
          </w:tcPr>
          <w:p w14:paraId="48804748" w14:textId="77777777" w:rsidR="00507550" w:rsidRPr="008752B8" w:rsidRDefault="00507550" w:rsidP="00833CD8">
            <w:pPr>
              <w:jc w:val="both"/>
              <w:rPr>
                <w:rFonts w:ascii="Arial" w:hAnsi="Arial" w:cs="Arial"/>
                <w:color w:val="000000" w:themeColor="text1"/>
                <w:sz w:val="20"/>
                <w:szCs w:val="20"/>
              </w:rPr>
            </w:pPr>
            <w:r w:rsidRPr="008752B8">
              <w:rPr>
                <w:rFonts w:ascii="Arial" w:hAnsi="Arial" w:cs="Arial"/>
                <w:color w:val="000000" w:themeColor="text1"/>
                <w:sz w:val="20"/>
                <w:szCs w:val="20"/>
              </w:rPr>
              <w:t xml:space="preserve">iii) </w:t>
            </w:r>
            <w:proofErr w:type="spellStart"/>
            <w:r w:rsidRPr="008752B8">
              <w:rPr>
                <w:rFonts w:ascii="Arial" w:hAnsi="Arial" w:cs="Arial"/>
                <w:color w:val="000000" w:themeColor="text1"/>
                <w:sz w:val="20"/>
                <w:szCs w:val="20"/>
              </w:rPr>
              <w:t>C</w:t>
            </w:r>
            <w:r w:rsidR="00D00AAF">
              <w:rPr>
                <w:rFonts w:ascii="Arial" w:hAnsi="Arial" w:cs="Arial"/>
                <w:color w:val="000000" w:themeColor="text1"/>
                <w:sz w:val="20"/>
                <w:szCs w:val="20"/>
              </w:rPr>
              <w:t>b</w:t>
            </w:r>
            <w:r w:rsidRPr="008752B8">
              <w:rPr>
                <w:rFonts w:ascii="Arial" w:hAnsi="Arial" w:cs="Arial"/>
                <w:color w:val="000000" w:themeColor="text1"/>
                <w:sz w:val="20"/>
                <w:szCs w:val="20"/>
              </w:rPr>
              <w:t>C</w:t>
            </w:r>
            <w:r w:rsidR="00D00AAF">
              <w:rPr>
                <w:rFonts w:ascii="Arial" w:hAnsi="Arial" w:cs="Arial"/>
                <w:color w:val="000000" w:themeColor="text1"/>
                <w:sz w:val="20"/>
                <w:szCs w:val="20"/>
              </w:rPr>
              <w:t>R</w:t>
            </w:r>
            <w:proofErr w:type="spellEnd"/>
            <w:r w:rsidRPr="008752B8">
              <w:rPr>
                <w:rFonts w:ascii="Arial" w:hAnsi="Arial" w:cs="Arial"/>
                <w:color w:val="000000" w:themeColor="text1"/>
                <w:sz w:val="20"/>
                <w:szCs w:val="20"/>
              </w:rPr>
              <w:t xml:space="preserve"> varni pristan </w:t>
            </w:r>
          </w:p>
        </w:tc>
      </w:tr>
      <w:tr w:rsidR="00507550" w:rsidRPr="008752B8" w14:paraId="6551E4B5" w14:textId="77777777" w:rsidTr="002B7251">
        <w:tc>
          <w:tcPr>
            <w:tcW w:w="8647" w:type="dxa"/>
          </w:tcPr>
          <w:p w14:paraId="0F0F9EF5" w14:textId="77777777" w:rsidR="00507550" w:rsidRPr="008752B8" w:rsidRDefault="00507550" w:rsidP="00833CD8">
            <w:pPr>
              <w:jc w:val="both"/>
              <w:rPr>
                <w:rStyle w:val="fontstyle01"/>
                <w:rFonts w:ascii="Arial" w:hAnsi="Arial" w:cs="Arial"/>
                <w:color w:val="000000" w:themeColor="text1"/>
              </w:rPr>
            </w:pPr>
            <w:r w:rsidRPr="008752B8">
              <w:rPr>
                <w:rFonts w:ascii="Arial" w:hAnsi="Arial" w:cs="Arial"/>
                <w:color w:val="000000" w:themeColor="text1"/>
                <w:sz w:val="20"/>
                <w:szCs w:val="20"/>
              </w:rPr>
              <w:t>iv) UTPR varni pristan</w:t>
            </w:r>
          </w:p>
        </w:tc>
      </w:tr>
      <w:tr w:rsidR="00507550" w:rsidRPr="008752B8" w14:paraId="0B04BAEE" w14:textId="77777777" w:rsidTr="002B7251">
        <w:tc>
          <w:tcPr>
            <w:tcW w:w="864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1BFED71" w14:textId="77777777" w:rsidR="00507550" w:rsidRPr="008752B8" w:rsidRDefault="00507550" w:rsidP="008752B8">
            <w:pPr>
              <w:jc w:val="both"/>
              <w:rPr>
                <w:rFonts w:ascii="Arial" w:hAnsi="Arial" w:cs="Arial"/>
                <w:color w:val="000000" w:themeColor="text1"/>
                <w:sz w:val="20"/>
                <w:szCs w:val="20"/>
              </w:rPr>
            </w:pPr>
            <w:r>
              <w:rPr>
                <w:rFonts w:ascii="Arial" w:hAnsi="Arial" w:cs="Arial"/>
                <w:color w:val="000000" w:themeColor="text1"/>
                <w:sz w:val="20"/>
                <w:szCs w:val="20"/>
              </w:rPr>
              <w:t>Z</w:t>
            </w:r>
            <w:r w:rsidRPr="00507550">
              <w:rPr>
                <w:rFonts w:ascii="Arial" w:hAnsi="Arial" w:cs="Arial"/>
                <w:color w:val="000000" w:themeColor="text1"/>
                <w:sz w:val="20"/>
                <w:szCs w:val="20"/>
              </w:rPr>
              <w:t>manjšanje davka do vrednosti nič v prehodnem</w:t>
            </w:r>
            <w:r>
              <w:rPr>
                <w:rFonts w:ascii="Arial" w:hAnsi="Arial" w:cs="Arial"/>
                <w:color w:val="000000" w:themeColor="text1"/>
                <w:sz w:val="20"/>
                <w:szCs w:val="20"/>
              </w:rPr>
              <w:t xml:space="preserve"> 5 letnem</w:t>
            </w:r>
            <w:r w:rsidRPr="00507550">
              <w:rPr>
                <w:rFonts w:ascii="Arial" w:hAnsi="Arial" w:cs="Arial"/>
                <w:color w:val="000000" w:themeColor="text1"/>
                <w:sz w:val="20"/>
                <w:szCs w:val="20"/>
              </w:rPr>
              <w:t xml:space="preserve"> obdobju</w:t>
            </w:r>
          </w:p>
        </w:tc>
      </w:tr>
    </w:tbl>
    <w:p w14:paraId="4F83FCC0" w14:textId="77777777" w:rsidR="00741F42" w:rsidRPr="008752B8" w:rsidRDefault="00741F42" w:rsidP="008752B8">
      <w:pPr>
        <w:jc w:val="both"/>
        <w:rPr>
          <w:rFonts w:ascii="Arial" w:hAnsi="Arial" w:cs="Arial"/>
          <w:sz w:val="20"/>
          <w:szCs w:val="20"/>
        </w:rPr>
      </w:pPr>
    </w:p>
    <w:p w14:paraId="158425BF" w14:textId="77777777" w:rsidR="00813CC4" w:rsidRDefault="00CC009A" w:rsidP="00356C7A">
      <w:pPr>
        <w:spacing w:after="120" w:line="240" w:lineRule="exact"/>
        <w:jc w:val="both"/>
        <w:rPr>
          <w:rFonts w:ascii="Arial" w:hAnsi="Arial" w:cs="Arial"/>
          <w:sz w:val="20"/>
          <w:szCs w:val="20"/>
        </w:rPr>
      </w:pPr>
      <w:r>
        <w:rPr>
          <w:rFonts w:ascii="Arial" w:hAnsi="Arial" w:cs="Arial"/>
          <w:sz w:val="20"/>
          <w:szCs w:val="20"/>
        </w:rPr>
        <w:t>Varne p</w:t>
      </w:r>
      <w:r w:rsidR="00813CC4" w:rsidRPr="008752B8">
        <w:rPr>
          <w:rFonts w:ascii="Arial" w:hAnsi="Arial" w:cs="Arial"/>
          <w:sz w:val="20"/>
          <w:szCs w:val="20"/>
        </w:rPr>
        <w:t>ristane delimo na dve večji skupini, in sicer glede na njihovo trajanje uporabe v okviru sistema povrhnjega davka, in sicer na stalne in začasne (časovno omejene varne pristane). Stalni varni pristani so veljavni ves čas od uveljavitve sistema povrhnjega davka dalje, pri čemer se časovno omejeni varni pristani uporabljajo le v točno določenem časovnem obdobju, ki se opredeli kot prehodno obdobje in je definirano v posameznem varnem pristanu.</w:t>
      </w:r>
      <w:r w:rsidR="005052C6" w:rsidRPr="008752B8">
        <w:rPr>
          <w:rFonts w:ascii="Arial" w:hAnsi="Arial" w:cs="Arial"/>
          <w:sz w:val="20"/>
          <w:szCs w:val="20"/>
        </w:rPr>
        <w:t xml:space="preserve"> Možnost uporabe varnega pristana v posamezni jurisdikciji ne razveže zavezancev po tem zakonu od izpolnjevanja obveznosti po tem zakonu, kot so obveznosti za pripravo in predložitev svojega informativnega obrazca za obračun povrhnjega davka, obračuna povrhnjega davka oziroma obračuna domačega povrhnjega davka.</w:t>
      </w:r>
    </w:p>
    <w:p w14:paraId="09A8DB9E" w14:textId="77777777" w:rsidR="009C1626" w:rsidRDefault="009C1626" w:rsidP="00356C7A">
      <w:pPr>
        <w:spacing w:after="120" w:line="240" w:lineRule="exact"/>
        <w:jc w:val="both"/>
        <w:rPr>
          <w:rFonts w:ascii="Arial" w:hAnsi="Arial" w:cs="Arial"/>
          <w:sz w:val="20"/>
          <w:szCs w:val="20"/>
        </w:rPr>
      </w:pPr>
      <w:r>
        <w:rPr>
          <w:rFonts w:ascii="Arial" w:hAnsi="Arial" w:cs="Arial"/>
          <w:sz w:val="20"/>
          <w:szCs w:val="20"/>
        </w:rPr>
        <w:t>V zvezi s to vsebino so relevantne naslednje točke informativnega obrazca za obračun:</w:t>
      </w:r>
    </w:p>
    <w:tbl>
      <w:tblPr>
        <w:tblStyle w:val="Tabelamrea"/>
        <w:tblW w:w="9060" w:type="dxa"/>
        <w:tblLook w:val="04A0" w:firstRow="1" w:lastRow="0" w:firstColumn="1" w:lastColumn="0" w:noHBand="0" w:noVBand="1"/>
      </w:tblPr>
      <w:tblGrid>
        <w:gridCol w:w="1271"/>
        <w:gridCol w:w="1943"/>
        <w:gridCol w:w="5846"/>
      </w:tblGrid>
      <w:tr w:rsidR="009C1626" w:rsidRPr="009C1626" w14:paraId="4134D118" w14:textId="77777777" w:rsidTr="002426D1">
        <w:trPr>
          <w:trHeight w:val="300"/>
        </w:trPr>
        <w:tc>
          <w:tcPr>
            <w:tcW w:w="1271" w:type="dxa"/>
            <w:shd w:val="clear" w:color="auto" w:fill="D9D9D9" w:themeFill="background1" w:themeFillShade="D9"/>
            <w:noWrap/>
            <w:hideMark/>
          </w:tcPr>
          <w:p w14:paraId="2DFDFDF6"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2. </w:t>
            </w:r>
          </w:p>
        </w:tc>
        <w:tc>
          <w:tcPr>
            <w:tcW w:w="1943" w:type="dxa"/>
            <w:shd w:val="clear" w:color="auto" w:fill="D9D9D9" w:themeFill="background1" w:themeFillShade="D9"/>
            <w:noWrap/>
            <w:hideMark/>
          </w:tcPr>
          <w:p w14:paraId="04049DBD" w14:textId="77777777" w:rsidR="009C1626" w:rsidRPr="009C1626" w:rsidRDefault="009C1626" w:rsidP="009C1626">
            <w:pPr>
              <w:rPr>
                <w:rFonts w:ascii="Arial" w:hAnsi="Arial" w:cs="Arial"/>
                <w:sz w:val="18"/>
                <w:szCs w:val="18"/>
              </w:rPr>
            </w:pPr>
            <w:r w:rsidRPr="009C1626">
              <w:rPr>
                <w:rFonts w:ascii="Arial" w:hAnsi="Arial" w:cs="Arial"/>
                <w:sz w:val="18"/>
                <w:szCs w:val="18"/>
              </w:rPr>
              <w:t>VARNI PRISTANI IN IZKLJUČITVE</w:t>
            </w:r>
          </w:p>
        </w:tc>
        <w:tc>
          <w:tcPr>
            <w:tcW w:w="5846" w:type="dxa"/>
            <w:shd w:val="clear" w:color="auto" w:fill="D9D9D9" w:themeFill="background1" w:themeFillShade="D9"/>
            <w:noWrap/>
            <w:hideMark/>
          </w:tcPr>
          <w:p w14:paraId="40240732" w14:textId="77777777" w:rsidR="009C1626" w:rsidRPr="009C1626" w:rsidRDefault="009C1626" w:rsidP="009C1626">
            <w:pPr>
              <w:rPr>
                <w:rFonts w:ascii="Arial" w:hAnsi="Arial" w:cs="Arial"/>
                <w:sz w:val="18"/>
                <w:szCs w:val="18"/>
              </w:rPr>
            </w:pPr>
            <w:r w:rsidRPr="009C1626">
              <w:rPr>
                <w:rFonts w:ascii="Arial" w:hAnsi="Arial" w:cs="Arial"/>
                <w:sz w:val="18"/>
                <w:szCs w:val="18"/>
              </w:rPr>
              <w:t> </w:t>
            </w:r>
          </w:p>
        </w:tc>
      </w:tr>
      <w:tr w:rsidR="009C1626" w:rsidRPr="009C1626" w14:paraId="6C4DF853" w14:textId="77777777" w:rsidTr="002426D1">
        <w:trPr>
          <w:trHeight w:val="792"/>
        </w:trPr>
        <w:tc>
          <w:tcPr>
            <w:tcW w:w="1271" w:type="dxa"/>
            <w:noWrap/>
            <w:hideMark/>
          </w:tcPr>
          <w:p w14:paraId="22466DF2" w14:textId="77777777" w:rsidR="009C1626" w:rsidRPr="009C1626" w:rsidRDefault="009C1626" w:rsidP="009C1626">
            <w:pPr>
              <w:rPr>
                <w:rFonts w:ascii="Arial" w:hAnsi="Arial" w:cs="Arial"/>
                <w:sz w:val="18"/>
                <w:szCs w:val="18"/>
              </w:rPr>
            </w:pPr>
            <w:r w:rsidRPr="009C1626">
              <w:rPr>
                <w:rFonts w:ascii="Arial" w:hAnsi="Arial" w:cs="Arial"/>
                <w:sz w:val="18"/>
                <w:szCs w:val="18"/>
              </w:rPr>
              <w:t>2.1.</w:t>
            </w:r>
          </w:p>
        </w:tc>
        <w:tc>
          <w:tcPr>
            <w:tcW w:w="1943" w:type="dxa"/>
            <w:noWrap/>
            <w:hideMark/>
          </w:tcPr>
          <w:p w14:paraId="02F4A9CB" w14:textId="77777777" w:rsidR="009C1626" w:rsidRPr="009C1626" w:rsidRDefault="009C1626" w:rsidP="009C1626">
            <w:pPr>
              <w:rPr>
                <w:rFonts w:ascii="Arial" w:hAnsi="Arial" w:cs="Arial"/>
                <w:sz w:val="18"/>
                <w:szCs w:val="18"/>
              </w:rPr>
            </w:pPr>
            <w:r w:rsidRPr="009C1626">
              <w:rPr>
                <w:rFonts w:ascii="Arial" w:hAnsi="Arial" w:cs="Arial"/>
                <w:sz w:val="18"/>
                <w:szCs w:val="18"/>
              </w:rPr>
              <w:t>Značilnosti jurisdikcije</w:t>
            </w:r>
          </w:p>
        </w:tc>
        <w:tc>
          <w:tcPr>
            <w:tcW w:w="5846" w:type="dxa"/>
            <w:hideMark/>
          </w:tcPr>
          <w:p w14:paraId="7F229228"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podatke glede vsake jurisdikcije, v kateri ima skupina MNE Subjekte v sestavi ali v kateri so locirani člani skupin skupnega podv</w:t>
            </w:r>
            <w:r w:rsidR="008B7163">
              <w:rPr>
                <w:rFonts w:ascii="Arial" w:hAnsi="Arial" w:cs="Arial"/>
                <w:sz w:val="18"/>
                <w:szCs w:val="18"/>
              </w:rPr>
              <w:t>iga</w:t>
            </w:r>
            <w:r w:rsidRPr="009C1626">
              <w:rPr>
                <w:rFonts w:ascii="Arial" w:hAnsi="Arial" w:cs="Arial"/>
                <w:sz w:val="18"/>
                <w:szCs w:val="18"/>
              </w:rPr>
              <w:t xml:space="preserve"> (JV </w:t>
            </w:r>
            <w:proofErr w:type="spellStart"/>
            <w:r w:rsidRPr="009C1626">
              <w:rPr>
                <w:rFonts w:ascii="Arial" w:hAnsi="Arial" w:cs="Arial"/>
                <w:sz w:val="18"/>
                <w:szCs w:val="18"/>
              </w:rPr>
              <w:t>Groups</w:t>
            </w:r>
            <w:proofErr w:type="spellEnd"/>
            <w:r w:rsidRPr="009C1626">
              <w:rPr>
                <w:rFonts w:ascii="Arial" w:hAnsi="Arial" w:cs="Arial"/>
                <w:sz w:val="18"/>
                <w:szCs w:val="18"/>
              </w:rPr>
              <w:t>)</w:t>
            </w:r>
          </w:p>
        </w:tc>
      </w:tr>
      <w:tr w:rsidR="009C1626" w:rsidRPr="009C1626" w14:paraId="418BBEB7" w14:textId="77777777" w:rsidTr="002426D1">
        <w:trPr>
          <w:trHeight w:val="600"/>
        </w:trPr>
        <w:tc>
          <w:tcPr>
            <w:tcW w:w="1271" w:type="dxa"/>
            <w:hideMark/>
          </w:tcPr>
          <w:p w14:paraId="063C795F" w14:textId="77777777" w:rsidR="009C1626" w:rsidRPr="009C1626" w:rsidRDefault="009C1626" w:rsidP="009C1626">
            <w:pPr>
              <w:rPr>
                <w:rFonts w:ascii="Arial" w:hAnsi="Arial" w:cs="Arial"/>
                <w:sz w:val="18"/>
                <w:szCs w:val="18"/>
              </w:rPr>
            </w:pPr>
            <w:r w:rsidRPr="009C1626">
              <w:rPr>
                <w:rFonts w:ascii="Arial" w:hAnsi="Arial" w:cs="Arial"/>
                <w:sz w:val="18"/>
                <w:szCs w:val="18"/>
              </w:rPr>
              <w:t>2.1.1.</w:t>
            </w:r>
          </w:p>
        </w:tc>
        <w:tc>
          <w:tcPr>
            <w:tcW w:w="1943" w:type="dxa"/>
            <w:hideMark/>
          </w:tcPr>
          <w:p w14:paraId="5908F6AB" w14:textId="77777777" w:rsidR="009C1626" w:rsidRPr="009C1626" w:rsidRDefault="009C1626" w:rsidP="009C1626">
            <w:pPr>
              <w:rPr>
                <w:rFonts w:ascii="Arial" w:hAnsi="Arial" w:cs="Arial"/>
                <w:sz w:val="18"/>
                <w:szCs w:val="18"/>
              </w:rPr>
            </w:pPr>
            <w:r w:rsidRPr="009C1626">
              <w:rPr>
                <w:rFonts w:ascii="Arial" w:hAnsi="Arial" w:cs="Arial"/>
                <w:sz w:val="18"/>
                <w:szCs w:val="18"/>
              </w:rPr>
              <w:t>Naziv jurisdikcije</w:t>
            </w:r>
          </w:p>
        </w:tc>
        <w:tc>
          <w:tcPr>
            <w:tcW w:w="5846" w:type="dxa"/>
            <w:hideMark/>
          </w:tcPr>
          <w:p w14:paraId="47EBF110"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dvomestno alfabetično kodo države za jurisdikcijo na podlagi standarda ISO 3166-1 </w:t>
            </w:r>
            <w:proofErr w:type="spellStart"/>
            <w:r w:rsidRPr="009C1626">
              <w:rPr>
                <w:rFonts w:ascii="Arial" w:hAnsi="Arial" w:cs="Arial"/>
                <w:sz w:val="18"/>
                <w:szCs w:val="18"/>
              </w:rPr>
              <w:t>Alpha</w:t>
            </w:r>
            <w:proofErr w:type="spellEnd"/>
            <w:r w:rsidRPr="009C1626">
              <w:rPr>
                <w:rFonts w:ascii="Arial" w:hAnsi="Arial" w:cs="Arial"/>
                <w:sz w:val="18"/>
                <w:szCs w:val="18"/>
              </w:rPr>
              <w:t xml:space="preserve"> 2.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status "subjekt brez države" za vsak Subjekt v sestavi, za katerega se šteje, da je brez države.</w:t>
            </w:r>
          </w:p>
        </w:tc>
      </w:tr>
      <w:tr w:rsidR="009C1626" w:rsidRPr="009C1626" w14:paraId="1C487317" w14:textId="77777777" w:rsidTr="002426D1">
        <w:trPr>
          <w:trHeight w:val="5377"/>
        </w:trPr>
        <w:tc>
          <w:tcPr>
            <w:tcW w:w="1271" w:type="dxa"/>
            <w:hideMark/>
          </w:tcPr>
          <w:p w14:paraId="29204C65" w14:textId="77777777" w:rsidR="009C1626" w:rsidRPr="009C1626" w:rsidRDefault="009C1626" w:rsidP="009C1626">
            <w:pPr>
              <w:rPr>
                <w:rFonts w:ascii="Arial" w:hAnsi="Arial" w:cs="Arial"/>
                <w:sz w:val="18"/>
                <w:szCs w:val="18"/>
              </w:rPr>
            </w:pPr>
            <w:r w:rsidRPr="009C1626">
              <w:rPr>
                <w:rFonts w:ascii="Arial" w:hAnsi="Arial" w:cs="Arial"/>
                <w:sz w:val="18"/>
                <w:szCs w:val="18"/>
              </w:rPr>
              <w:lastRenderedPageBreak/>
              <w:t>2.1.2.</w:t>
            </w:r>
          </w:p>
        </w:tc>
        <w:tc>
          <w:tcPr>
            <w:tcW w:w="1943" w:type="dxa"/>
            <w:hideMark/>
          </w:tcPr>
          <w:p w14:paraId="571F9755" w14:textId="77777777" w:rsidR="009C1626" w:rsidRPr="009C1626" w:rsidRDefault="009C1626" w:rsidP="009C1626">
            <w:pPr>
              <w:rPr>
                <w:rFonts w:ascii="Arial" w:hAnsi="Arial" w:cs="Arial"/>
                <w:sz w:val="18"/>
                <w:szCs w:val="18"/>
              </w:rPr>
            </w:pPr>
            <w:r w:rsidRPr="009C1626">
              <w:rPr>
                <w:rFonts w:ascii="Arial" w:hAnsi="Arial" w:cs="Arial"/>
                <w:sz w:val="18"/>
                <w:szCs w:val="18"/>
              </w:rPr>
              <w:t>Vrsta podskupine</w:t>
            </w:r>
          </w:p>
        </w:tc>
        <w:tc>
          <w:tcPr>
            <w:tcW w:w="5846" w:type="dxa"/>
            <w:hideMark/>
          </w:tcPr>
          <w:p w14:paraId="71FD6D25" w14:textId="77777777" w:rsidR="00CC7C4C" w:rsidRDefault="009C1626" w:rsidP="009C1626">
            <w:pPr>
              <w:rPr>
                <w:rFonts w:ascii="Arial" w:hAnsi="Arial" w:cs="Arial"/>
                <w:sz w:val="18"/>
                <w:szCs w:val="18"/>
              </w:rPr>
            </w:pPr>
            <w:r w:rsidRPr="009C1626">
              <w:rPr>
                <w:rFonts w:ascii="Arial" w:hAnsi="Arial" w:cs="Arial"/>
                <w:sz w:val="18"/>
                <w:szCs w:val="18"/>
              </w:rPr>
              <w:t xml:space="preserve">V tem polju je mogoče identificirati več podskupin. Izbere se ustrezne možnosti: </w:t>
            </w:r>
            <w:r w:rsidRPr="009C1626">
              <w:rPr>
                <w:rFonts w:ascii="Arial" w:hAnsi="Arial" w:cs="Arial"/>
                <w:sz w:val="18"/>
                <w:szCs w:val="18"/>
              </w:rPr>
              <w:br/>
              <w:t>•</w:t>
            </w:r>
            <w:r w:rsidR="002426D1">
              <w:rPr>
                <w:rFonts w:ascii="Arial" w:hAnsi="Arial" w:cs="Arial"/>
                <w:sz w:val="18"/>
                <w:szCs w:val="18"/>
              </w:rPr>
              <w:t xml:space="preserve"> </w:t>
            </w:r>
            <w:r w:rsidRPr="009C1626">
              <w:rPr>
                <w:rFonts w:ascii="Arial" w:hAnsi="Arial" w:cs="Arial"/>
                <w:sz w:val="18"/>
                <w:szCs w:val="18"/>
              </w:rPr>
              <w:t xml:space="preserve">Subjekt v sestavi </w:t>
            </w:r>
            <w:r w:rsidRPr="009C1626">
              <w:rPr>
                <w:rFonts w:ascii="Arial" w:hAnsi="Arial" w:cs="Arial"/>
                <w:sz w:val="18"/>
                <w:szCs w:val="18"/>
              </w:rPr>
              <w:br/>
              <w:t>• Podskupina v manjšinski lasti (podrobneje določiti, katera podskupina v manjšinski lasti)</w:t>
            </w:r>
            <w:r w:rsidRPr="009C1626">
              <w:rPr>
                <w:rFonts w:ascii="Arial" w:hAnsi="Arial" w:cs="Arial"/>
                <w:sz w:val="18"/>
                <w:szCs w:val="18"/>
              </w:rPr>
              <w:br/>
              <w:t>• Samostojni Subjekt v sestavi v manjšinski lasti</w:t>
            </w:r>
            <w:r w:rsidRPr="009C1626">
              <w:rPr>
                <w:rFonts w:ascii="Arial" w:hAnsi="Arial" w:cs="Arial"/>
                <w:sz w:val="18"/>
                <w:szCs w:val="18"/>
              </w:rPr>
              <w:br/>
              <w:t xml:space="preserve">• Investicijski subjekt </w:t>
            </w:r>
            <w:r w:rsidRPr="009C1626">
              <w:rPr>
                <w:rFonts w:ascii="Arial" w:hAnsi="Arial" w:cs="Arial"/>
                <w:sz w:val="18"/>
                <w:szCs w:val="18"/>
              </w:rPr>
              <w:br/>
              <w:t>• Skupni podvig</w:t>
            </w:r>
            <w:r w:rsidRPr="009C1626">
              <w:rPr>
                <w:rFonts w:ascii="Arial" w:hAnsi="Arial" w:cs="Arial"/>
                <w:sz w:val="18"/>
                <w:szCs w:val="18"/>
              </w:rPr>
              <w:br/>
              <w:t xml:space="preserve">• </w:t>
            </w:r>
            <w:r w:rsidR="002426D1">
              <w:rPr>
                <w:rFonts w:ascii="Arial" w:hAnsi="Arial" w:cs="Arial"/>
                <w:sz w:val="18"/>
                <w:szCs w:val="18"/>
              </w:rPr>
              <w:t>S</w:t>
            </w:r>
            <w:r w:rsidRPr="009C1626">
              <w:rPr>
                <w:rFonts w:ascii="Arial" w:hAnsi="Arial" w:cs="Arial"/>
                <w:sz w:val="18"/>
                <w:szCs w:val="18"/>
              </w:rPr>
              <w:t>ubjekt v sestavi brez države</w:t>
            </w:r>
            <w:r w:rsidRPr="009C1626">
              <w:rPr>
                <w:rFonts w:ascii="Arial" w:hAnsi="Arial" w:cs="Arial"/>
                <w:sz w:val="18"/>
                <w:szCs w:val="18"/>
              </w:rPr>
              <w:br/>
              <w:t xml:space="preserve">• </w:t>
            </w:r>
            <w:r w:rsidR="002426D1">
              <w:rPr>
                <w:rFonts w:ascii="Arial" w:hAnsi="Arial" w:cs="Arial"/>
                <w:sz w:val="18"/>
                <w:szCs w:val="18"/>
              </w:rPr>
              <w:t>P</w:t>
            </w:r>
            <w:r w:rsidRPr="009C1626">
              <w:rPr>
                <w:rFonts w:ascii="Arial" w:hAnsi="Arial" w:cs="Arial"/>
                <w:sz w:val="18"/>
                <w:szCs w:val="18"/>
              </w:rPr>
              <w:t xml:space="preserve">rehodni </w:t>
            </w:r>
            <w:proofErr w:type="spellStart"/>
            <w:r w:rsidRPr="009C1626">
              <w:rPr>
                <w:rFonts w:ascii="Arial" w:hAnsi="Arial" w:cs="Arial"/>
                <w:sz w:val="18"/>
                <w:szCs w:val="18"/>
              </w:rPr>
              <w:t>CbCR</w:t>
            </w:r>
            <w:proofErr w:type="spellEnd"/>
            <w:r w:rsidRPr="009C1626">
              <w:rPr>
                <w:rFonts w:ascii="Arial" w:hAnsi="Arial" w:cs="Arial"/>
                <w:sz w:val="18"/>
                <w:szCs w:val="18"/>
              </w:rPr>
              <w:t xml:space="preserve"> Varni pristan</w:t>
            </w:r>
            <w:r w:rsidRPr="009C1626">
              <w:rPr>
                <w:rFonts w:ascii="Arial" w:hAnsi="Arial" w:cs="Arial"/>
                <w:sz w:val="18"/>
                <w:szCs w:val="18"/>
              </w:rPr>
              <w:br/>
            </w:r>
            <w:r w:rsidRPr="009C1626">
              <w:rPr>
                <w:rFonts w:ascii="Arial" w:hAnsi="Arial" w:cs="Arial"/>
                <w:sz w:val="18"/>
                <w:szCs w:val="18"/>
              </w:rPr>
              <w:br/>
              <w:t xml:space="preserve">Samostojni Subjekti v sestavi v manjšinski lasti (MOCE) so Subjekti v sestavi v manjšinski lasti, ki niso del nobene manjšinske lastniško obvladovane skupine. </w:t>
            </w:r>
          </w:p>
          <w:p w14:paraId="22511968" w14:textId="77777777" w:rsidR="009C1626" w:rsidRPr="009C1626" w:rsidRDefault="009C1626" w:rsidP="009C1626">
            <w:pPr>
              <w:rPr>
                <w:rFonts w:ascii="Arial" w:hAnsi="Arial" w:cs="Arial"/>
                <w:sz w:val="18"/>
                <w:szCs w:val="18"/>
              </w:rPr>
            </w:pPr>
            <w:r w:rsidRPr="009C1626">
              <w:rPr>
                <w:rFonts w:ascii="Arial" w:hAnsi="Arial" w:cs="Arial"/>
                <w:sz w:val="18"/>
                <w:szCs w:val="18"/>
              </w:rPr>
              <w:br/>
              <w:t>Investicijski subjekti vključujejo tudi skupne podjeme (</w:t>
            </w:r>
            <w:proofErr w:type="spellStart"/>
            <w:r w:rsidRPr="009C1626">
              <w:rPr>
                <w:rFonts w:ascii="Arial" w:hAnsi="Arial" w:cs="Arial"/>
                <w:sz w:val="18"/>
                <w:szCs w:val="18"/>
              </w:rPr>
              <w:t>JVs</w:t>
            </w:r>
            <w:proofErr w:type="spellEnd"/>
            <w:r w:rsidRPr="009C1626">
              <w:rPr>
                <w:rFonts w:ascii="Arial" w:hAnsi="Arial" w:cs="Arial"/>
                <w:sz w:val="18"/>
                <w:szCs w:val="18"/>
              </w:rPr>
              <w:t>) ali hčerinske družbe skupnih podjemov, ki izpolnjujejo pogoje v zvezi z Investicijskim subjektom, vendar ne vključujejo Investicijskih subjektov, za katere je izbrana možnost po</w:t>
            </w:r>
            <w:r w:rsidR="00CC7C4C">
              <w:rPr>
                <w:rFonts w:ascii="Arial" w:hAnsi="Arial" w:cs="Arial"/>
                <w:sz w:val="18"/>
                <w:szCs w:val="18"/>
              </w:rPr>
              <w:t xml:space="preserve"> 53. členu ZMD</w:t>
            </w:r>
            <w:r w:rsidRPr="009C1626">
              <w:rPr>
                <w:rFonts w:ascii="Arial" w:hAnsi="Arial" w:cs="Arial"/>
                <w:sz w:val="18"/>
                <w:szCs w:val="18"/>
              </w:rPr>
              <w:t xml:space="preserve"> </w:t>
            </w:r>
            <w:r w:rsidR="00CC7C4C">
              <w:rPr>
                <w:rFonts w:ascii="Arial" w:hAnsi="Arial" w:cs="Arial"/>
                <w:sz w:val="18"/>
                <w:szCs w:val="18"/>
              </w:rPr>
              <w:t>(</w:t>
            </w:r>
            <w:r w:rsidRPr="009C1626">
              <w:rPr>
                <w:rFonts w:ascii="Arial" w:hAnsi="Arial" w:cs="Arial"/>
                <w:sz w:val="18"/>
                <w:szCs w:val="18"/>
              </w:rPr>
              <w:t>člen 7.5.</w:t>
            </w:r>
            <w:r w:rsidR="00CC7C4C">
              <w:rPr>
                <w:rFonts w:ascii="Arial" w:hAnsi="Arial" w:cs="Arial"/>
                <w:sz w:val="18"/>
                <w:szCs w:val="18"/>
              </w:rPr>
              <w:t xml:space="preserve"> vzorčnih pravil)</w:t>
            </w:r>
            <w:r w:rsidRPr="009C1626">
              <w:rPr>
                <w:rFonts w:ascii="Arial" w:hAnsi="Arial" w:cs="Arial"/>
                <w:sz w:val="18"/>
                <w:szCs w:val="18"/>
              </w:rPr>
              <w:t xml:space="preserve"> </w:t>
            </w:r>
            <w:r w:rsidRPr="009C1626">
              <w:rPr>
                <w:rFonts w:ascii="Arial" w:hAnsi="Arial" w:cs="Arial"/>
                <w:sz w:val="18"/>
                <w:szCs w:val="18"/>
              </w:rPr>
              <w:br/>
            </w:r>
            <w:r w:rsidRPr="009C1626">
              <w:rPr>
                <w:rFonts w:ascii="Arial" w:hAnsi="Arial" w:cs="Arial"/>
                <w:sz w:val="18"/>
                <w:szCs w:val="18"/>
              </w:rPr>
              <w:br/>
              <w:t xml:space="preserve">Podskupine v manjšinski lasti so lahko sestavljene iz članov skupin skupnih podjemov (JV </w:t>
            </w:r>
            <w:proofErr w:type="spellStart"/>
            <w:r w:rsidRPr="009C1626">
              <w:rPr>
                <w:rFonts w:ascii="Arial" w:hAnsi="Arial" w:cs="Arial"/>
                <w:sz w:val="18"/>
                <w:szCs w:val="18"/>
              </w:rPr>
              <w:t>Groups</w:t>
            </w:r>
            <w:proofErr w:type="spellEnd"/>
            <w:r w:rsidRPr="009C1626">
              <w:rPr>
                <w:rFonts w:ascii="Arial" w:hAnsi="Arial" w:cs="Arial"/>
                <w:sz w:val="18"/>
                <w:szCs w:val="18"/>
              </w:rPr>
              <w:t xml:space="preserve">). </w:t>
            </w:r>
            <w:r w:rsidRPr="009C1626">
              <w:rPr>
                <w:rFonts w:ascii="Arial" w:hAnsi="Arial" w:cs="Arial"/>
                <w:sz w:val="18"/>
                <w:szCs w:val="18"/>
              </w:rPr>
              <w:br/>
              <w:t xml:space="preserve">Prehodni </w:t>
            </w:r>
            <w:proofErr w:type="spellStart"/>
            <w:r w:rsidRPr="009C1626">
              <w:rPr>
                <w:rFonts w:ascii="Arial" w:hAnsi="Arial" w:cs="Arial"/>
                <w:sz w:val="18"/>
                <w:szCs w:val="18"/>
              </w:rPr>
              <w:t>CbCR</w:t>
            </w:r>
            <w:proofErr w:type="spellEnd"/>
            <w:r w:rsidRPr="009C1626">
              <w:rPr>
                <w:rFonts w:ascii="Arial" w:hAnsi="Arial" w:cs="Arial"/>
                <w:sz w:val="18"/>
                <w:szCs w:val="18"/>
              </w:rPr>
              <w:t xml:space="preserve"> Varni pristan (</w:t>
            </w:r>
            <w:proofErr w:type="spellStart"/>
            <w:r w:rsidRPr="009C1626">
              <w:rPr>
                <w:rFonts w:ascii="Arial" w:hAnsi="Arial" w:cs="Arial"/>
                <w:sz w:val="18"/>
                <w:szCs w:val="18"/>
              </w:rPr>
              <w:t>Transitional</w:t>
            </w:r>
            <w:proofErr w:type="spellEnd"/>
            <w:r w:rsidRPr="009C1626">
              <w:rPr>
                <w:rFonts w:ascii="Arial" w:hAnsi="Arial" w:cs="Arial"/>
                <w:sz w:val="18"/>
                <w:szCs w:val="18"/>
              </w:rPr>
              <w:t xml:space="preserve"> </w:t>
            </w:r>
            <w:proofErr w:type="spellStart"/>
            <w:r w:rsidRPr="009C1626">
              <w:rPr>
                <w:rFonts w:ascii="Arial" w:hAnsi="Arial" w:cs="Arial"/>
                <w:sz w:val="18"/>
                <w:szCs w:val="18"/>
              </w:rPr>
              <w:t>CbCR</w:t>
            </w:r>
            <w:proofErr w:type="spellEnd"/>
            <w:r w:rsidRPr="009C1626">
              <w:rPr>
                <w:rFonts w:ascii="Arial" w:hAnsi="Arial" w:cs="Arial"/>
                <w:sz w:val="18"/>
                <w:szCs w:val="18"/>
              </w:rPr>
              <w:t xml:space="preserve"> </w:t>
            </w:r>
            <w:proofErr w:type="spellStart"/>
            <w:r w:rsidRPr="009C1626">
              <w:rPr>
                <w:rFonts w:ascii="Arial" w:hAnsi="Arial" w:cs="Arial"/>
                <w:sz w:val="18"/>
                <w:szCs w:val="18"/>
              </w:rPr>
              <w:t>Safe</w:t>
            </w:r>
            <w:proofErr w:type="spellEnd"/>
            <w:r w:rsidRPr="009C1626">
              <w:rPr>
                <w:rFonts w:ascii="Arial" w:hAnsi="Arial" w:cs="Arial"/>
                <w:sz w:val="18"/>
                <w:szCs w:val="18"/>
              </w:rPr>
              <w:t xml:space="preserve"> </w:t>
            </w:r>
            <w:proofErr w:type="spellStart"/>
            <w:r w:rsidRPr="009C1626">
              <w:rPr>
                <w:rFonts w:ascii="Arial" w:hAnsi="Arial" w:cs="Arial"/>
                <w:sz w:val="18"/>
                <w:szCs w:val="18"/>
              </w:rPr>
              <w:t>Harbour</w:t>
            </w:r>
            <w:proofErr w:type="spellEnd"/>
            <w:r w:rsidRPr="009C1626">
              <w:rPr>
                <w:rFonts w:ascii="Arial" w:hAnsi="Arial" w:cs="Arial"/>
                <w:sz w:val="18"/>
                <w:szCs w:val="18"/>
              </w:rPr>
              <w:t xml:space="preserve">) pomeni skupino Subjektov v sestavi, ki so zajete s prehodnim varnim pristanom. </w:t>
            </w:r>
            <w:r w:rsidRPr="009C1626">
              <w:rPr>
                <w:rFonts w:ascii="Arial" w:hAnsi="Arial" w:cs="Arial"/>
                <w:sz w:val="18"/>
                <w:szCs w:val="18"/>
              </w:rPr>
              <w:br/>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ustrezne informacije za vsako podskupino.</w:t>
            </w:r>
          </w:p>
        </w:tc>
      </w:tr>
      <w:tr w:rsidR="009C1626" w:rsidRPr="009C1626" w14:paraId="213FB12A" w14:textId="77777777" w:rsidTr="002426D1">
        <w:trPr>
          <w:trHeight w:val="600"/>
        </w:trPr>
        <w:tc>
          <w:tcPr>
            <w:tcW w:w="1271" w:type="dxa"/>
            <w:hideMark/>
          </w:tcPr>
          <w:p w14:paraId="2273F7B3" w14:textId="77777777" w:rsidR="009C1626" w:rsidRPr="009C1626" w:rsidRDefault="009C1626" w:rsidP="009C1626">
            <w:pPr>
              <w:rPr>
                <w:rFonts w:ascii="Arial" w:hAnsi="Arial" w:cs="Arial"/>
                <w:sz w:val="18"/>
                <w:szCs w:val="18"/>
              </w:rPr>
            </w:pPr>
            <w:r w:rsidRPr="009C1626">
              <w:rPr>
                <w:rFonts w:ascii="Arial" w:hAnsi="Arial" w:cs="Arial"/>
                <w:sz w:val="18"/>
                <w:szCs w:val="18"/>
              </w:rPr>
              <w:t>2.1.3.</w:t>
            </w:r>
          </w:p>
        </w:tc>
        <w:tc>
          <w:tcPr>
            <w:tcW w:w="1943" w:type="dxa"/>
            <w:hideMark/>
          </w:tcPr>
          <w:p w14:paraId="55F2464C" w14:textId="77777777" w:rsidR="009C1626" w:rsidRPr="009C1626" w:rsidRDefault="009C1626" w:rsidP="009C1626">
            <w:pPr>
              <w:rPr>
                <w:rFonts w:ascii="Arial" w:hAnsi="Arial" w:cs="Arial"/>
                <w:sz w:val="18"/>
                <w:szCs w:val="18"/>
              </w:rPr>
            </w:pPr>
            <w:r w:rsidRPr="009C1626">
              <w:rPr>
                <w:rFonts w:ascii="Arial" w:hAnsi="Arial" w:cs="Arial"/>
                <w:sz w:val="18"/>
                <w:szCs w:val="18"/>
              </w:rPr>
              <w:t>Identifikacijska podskupine</w:t>
            </w:r>
          </w:p>
        </w:tc>
        <w:tc>
          <w:tcPr>
            <w:tcW w:w="5846" w:type="dxa"/>
            <w:hideMark/>
          </w:tcPr>
          <w:p w14:paraId="4A7FBB42"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DŠ subjekta, ki je na vrhu </w:t>
            </w:r>
            <w:r w:rsidR="002426D1" w:rsidRPr="009C1626">
              <w:rPr>
                <w:rFonts w:ascii="Arial" w:hAnsi="Arial" w:cs="Arial"/>
                <w:sz w:val="18"/>
                <w:szCs w:val="18"/>
              </w:rPr>
              <w:t>lastniške</w:t>
            </w:r>
            <w:r w:rsidRPr="009C1626">
              <w:rPr>
                <w:rFonts w:ascii="Arial" w:hAnsi="Arial" w:cs="Arial"/>
                <w:sz w:val="18"/>
                <w:szCs w:val="18"/>
              </w:rPr>
              <w:t xml:space="preserve"> </w:t>
            </w:r>
            <w:r w:rsidR="002426D1" w:rsidRPr="009C1626">
              <w:rPr>
                <w:rFonts w:ascii="Arial" w:hAnsi="Arial" w:cs="Arial"/>
                <w:sz w:val="18"/>
                <w:szCs w:val="18"/>
              </w:rPr>
              <w:t>strukture</w:t>
            </w:r>
            <w:r w:rsidRPr="009C1626">
              <w:rPr>
                <w:rFonts w:ascii="Arial" w:hAnsi="Arial" w:cs="Arial"/>
                <w:sz w:val="18"/>
                <w:szCs w:val="18"/>
              </w:rPr>
              <w:t xml:space="preserve"> vsake podskupine iz polja 2.1.3.</w:t>
            </w:r>
          </w:p>
        </w:tc>
      </w:tr>
      <w:tr w:rsidR="009C1626" w:rsidRPr="009C1626" w14:paraId="7EE947E0" w14:textId="77777777" w:rsidTr="002426D1">
        <w:trPr>
          <w:trHeight w:val="1043"/>
        </w:trPr>
        <w:tc>
          <w:tcPr>
            <w:tcW w:w="1271" w:type="dxa"/>
            <w:hideMark/>
          </w:tcPr>
          <w:p w14:paraId="237C5819" w14:textId="77777777" w:rsidR="009C1626" w:rsidRPr="009C1626" w:rsidRDefault="009C1626" w:rsidP="009C1626">
            <w:pPr>
              <w:rPr>
                <w:rFonts w:ascii="Arial" w:hAnsi="Arial" w:cs="Arial"/>
                <w:sz w:val="18"/>
                <w:szCs w:val="18"/>
              </w:rPr>
            </w:pPr>
            <w:r w:rsidRPr="009C1626">
              <w:rPr>
                <w:rFonts w:ascii="Arial" w:hAnsi="Arial" w:cs="Arial"/>
                <w:sz w:val="18"/>
                <w:szCs w:val="18"/>
              </w:rPr>
              <w:t>2.2.</w:t>
            </w:r>
          </w:p>
        </w:tc>
        <w:tc>
          <w:tcPr>
            <w:tcW w:w="1943" w:type="dxa"/>
            <w:hideMark/>
          </w:tcPr>
          <w:p w14:paraId="744C87A1"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Jurisdikcijske izjeme, ki se </w:t>
            </w:r>
            <w:r w:rsidR="002426D1" w:rsidRPr="009C1626">
              <w:rPr>
                <w:rFonts w:ascii="Arial" w:hAnsi="Arial" w:cs="Arial"/>
                <w:sz w:val="18"/>
                <w:szCs w:val="18"/>
              </w:rPr>
              <w:t>uporabljajo</w:t>
            </w:r>
            <w:r w:rsidRPr="009C1626">
              <w:rPr>
                <w:rFonts w:ascii="Arial" w:hAnsi="Arial" w:cs="Arial"/>
                <w:sz w:val="18"/>
                <w:szCs w:val="18"/>
              </w:rPr>
              <w:t xml:space="preserve"> v zvezi z jurisdikcijo (povrhnji davek je zmanjšan na 0)</w:t>
            </w:r>
          </w:p>
        </w:tc>
        <w:tc>
          <w:tcPr>
            <w:tcW w:w="5846" w:type="dxa"/>
            <w:hideMark/>
          </w:tcPr>
          <w:p w14:paraId="36FC0F72" w14:textId="77777777" w:rsidR="009C1626" w:rsidRPr="009C1626" w:rsidRDefault="009C1626" w:rsidP="009C1626">
            <w:pPr>
              <w:rPr>
                <w:rFonts w:ascii="Arial" w:hAnsi="Arial" w:cs="Arial"/>
                <w:sz w:val="18"/>
                <w:szCs w:val="18"/>
              </w:rPr>
            </w:pPr>
            <w:r w:rsidRPr="009C1626">
              <w:rPr>
                <w:rFonts w:ascii="Arial" w:hAnsi="Arial" w:cs="Arial"/>
                <w:sz w:val="18"/>
                <w:szCs w:val="18"/>
              </w:rPr>
              <w:t> </w:t>
            </w:r>
          </w:p>
        </w:tc>
      </w:tr>
      <w:tr w:rsidR="009C1626" w:rsidRPr="009C1626" w14:paraId="636A5EA8" w14:textId="77777777" w:rsidTr="002426D1">
        <w:trPr>
          <w:trHeight w:val="702"/>
        </w:trPr>
        <w:tc>
          <w:tcPr>
            <w:tcW w:w="1271" w:type="dxa"/>
            <w:noWrap/>
            <w:hideMark/>
          </w:tcPr>
          <w:p w14:paraId="567756CF" w14:textId="77777777" w:rsidR="009C1626" w:rsidRPr="009C1626" w:rsidRDefault="009C1626" w:rsidP="009C1626">
            <w:pPr>
              <w:rPr>
                <w:rFonts w:ascii="Arial" w:hAnsi="Arial" w:cs="Arial"/>
                <w:sz w:val="18"/>
                <w:szCs w:val="18"/>
              </w:rPr>
            </w:pPr>
            <w:r w:rsidRPr="009C1626">
              <w:rPr>
                <w:rFonts w:ascii="Arial" w:hAnsi="Arial" w:cs="Arial"/>
                <w:sz w:val="18"/>
                <w:szCs w:val="18"/>
              </w:rPr>
              <w:t>2.2.1.</w:t>
            </w:r>
          </w:p>
        </w:tc>
        <w:tc>
          <w:tcPr>
            <w:tcW w:w="1943" w:type="dxa"/>
            <w:noWrap/>
            <w:hideMark/>
          </w:tcPr>
          <w:p w14:paraId="3B4A158C" w14:textId="77777777" w:rsidR="009C1626" w:rsidRPr="009C1626" w:rsidRDefault="009C1626" w:rsidP="009C1626">
            <w:pPr>
              <w:rPr>
                <w:rFonts w:ascii="Arial" w:hAnsi="Arial" w:cs="Arial"/>
                <w:sz w:val="18"/>
                <w:szCs w:val="18"/>
              </w:rPr>
            </w:pPr>
            <w:r w:rsidRPr="009C1626">
              <w:rPr>
                <w:rFonts w:ascii="Arial" w:hAnsi="Arial" w:cs="Arial"/>
                <w:sz w:val="18"/>
                <w:szCs w:val="18"/>
              </w:rPr>
              <w:t>Izbira varnega pristana</w:t>
            </w:r>
          </w:p>
        </w:tc>
        <w:tc>
          <w:tcPr>
            <w:tcW w:w="5846" w:type="dxa"/>
            <w:hideMark/>
          </w:tcPr>
          <w:p w14:paraId="2429673D"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Če varni pristan za Subjekte v sestavi ali člane skupnega podviga (JV) zmanjša povrhnji davek na 0,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v zvezi s temi Subjekti v sestavi ne izpolnjuje tabel v razdelku 3</w:t>
            </w:r>
          </w:p>
        </w:tc>
      </w:tr>
      <w:tr w:rsidR="009C1626" w:rsidRPr="009C1626" w14:paraId="27BF05C8" w14:textId="77777777" w:rsidTr="002426D1">
        <w:trPr>
          <w:trHeight w:val="300"/>
        </w:trPr>
        <w:tc>
          <w:tcPr>
            <w:tcW w:w="1271" w:type="dxa"/>
            <w:noWrap/>
            <w:hideMark/>
          </w:tcPr>
          <w:p w14:paraId="02BE4886" w14:textId="77777777" w:rsidR="009C1626" w:rsidRPr="009C1626" w:rsidRDefault="009C1626" w:rsidP="009C1626">
            <w:pPr>
              <w:rPr>
                <w:rFonts w:ascii="Arial" w:hAnsi="Arial" w:cs="Arial"/>
                <w:sz w:val="18"/>
                <w:szCs w:val="18"/>
              </w:rPr>
            </w:pPr>
            <w:r w:rsidRPr="009C1626">
              <w:rPr>
                <w:rFonts w:ascii="Arial" w:hAnsi="Arial" w:cs="Arial"/>
                <w:sz w:val="18"/>
                <w:szCs w:val="18"/>
              </w:rPr>
              <w:t>2.2.1.1.</w:t>
            </w:r>
          </w:p>
        </w:tc>
        <w:tc>
          <w:tcPr>
            <w:tcW w:w="1943" w:type="dxa"/>
            <w:noWrap/>
            <w:hideMark/>
          </w:tcPr>
          <w:p w14:paraId="58F0E8F6" w14:textId="77777777" w:rsidR="009C1626" w:rsidRPr="009C1626" w:rsidRDefault="009C1626" w:rsidP="009C1626">
            <w:pPr>
              <w:rPr>
                <w:rFonts w:ascii="Arial" w:hAnsi="Arial" w:cs="Arial"/>
                <w:sz w:val="18"/>
                <w:szCs w:val="18"/>
              </w:rPr>
            </w:pPr>
            <w:r w:rsidRPr="009C1626">
              <w:rPr>
                <w:rFonts w:ascii="Arial" w:hAnsi="Arial" w:cs="Arial"/>
                <w:sz w:val="18"/>
                <w:szCs w:val="18"/>
              </w:rPr>
              <w:t>Izbira varnega pristana</w:t>
            </w:r>
          </w:p>
        </w:tc>
        <w:tc>
          <w:tcPr>
            <w:tcW w:w="5846" w:type="dxa"/>
            <w:noWrap/>
            <w:hideMark/>
          </w:tcPr>
          <w:p w14:paraId="2D260C9F" w14:textId="77777777" w:rsidR="009C1626" w:rsidRPr="009C1626" w:rsidRDefault="009C1626" w:rsidP="009C1626">
            <w:pPr>
              <w:rPr>
                <w:rFonts w:ascii="Arial" w:hAnsi="Arial" w:cs="Arial"/>
                <w:sz w:val="18"/>
                <w:szCs w:val="18"/>
              </w:rPr>
            </w:pPr>
            <w:r w:rsidRPr="009C1626">
              <w:rPr>
                <w:rFonts w:ascii="Arial" w:hAnsi="Arial" w:cs="Arial"/>
                <w:sz w:val="18"/>
                <w:szCs w:val="18"/>
              </w:rPr>
              <w:t> </w:t>
            </w:r>
          </w:p>
        </w:tc>
      </w:tr>
      <w:tr w:rsidR="009C1626" w:rsidRPr="009C1626" w14:paraId="0E5D339C" w14:textId="77777777" w:rsidTr="00F01208">
        <w:trPr>
          <w:trHeight w:val="8078"/>
        </w:trPr>
        <w:tc>
          <w:tcPr>
            <w:tcW w:w="1271" w:type="dxa"/>
            <w:noWrap/>
            <w:hideMark/>
          </w:tcPr>
          <w:p w14:paraId="664D9136" w14:textId="77777777" w:rsidR="009C1626" w:rsidRPr="009C1626" w:rsidRDefault="009C1626" w:rsidP="009C1626">
            <w:pPr>
              <w:rPr>
                <w:rFonts w:ascii="Arial" w:hAnsi="Arial" w:cs="Arial"/>
                <w:sz w:val="18"/>
                <w:szCs w:val="18"/>
              </w:rPr>
            </w:pPr>
            <w:r w:rsidRPr="009C1626">
              <w:rPr>
                <w:rFonts w:ascii="Arial" w:hAnsi="Arial" w:cs="Arial"/>
                <w:sz w:val="18"/>
                <w:szCs w:val="18"/>
              </w:rPr>
              <w:lastRenderedPageBreak/>
              <w:t>2.2.1.1.1.</w:t>
            </w:r>
          </w:p>
        </w:tc>
        <w:tc>
          <w:tcPr>
            <w:tcW w:w="1943" w:type="dxa"/>
            <w:noWrap/>
            <w:hideMark/>
          </w:tcPr>
          <w:p w14:paraId="48C8B05D" w14:textId="77777777" w:rsidR="009C1626" w:rsidRPr="009C1626" w:rsidRDefault="009C1626" w:rsidP="009C1626">
            <w:pPr>
              <w:rPr>
                <w:rFonts w:ascii="Arial" w:hAnsi="Arial" w:cs="Arial"/>
                <w:sz w:val="18"/>
                <w:szCs w:val="18"/>
              </w:rPr>
            </w:pPr>
            <w:r w:rsidRPr="009C1626">
              <w:rPr>
                <w:rFonts w:ascii="Arial" w:hAnsi="Arial" w:cs="Arial"/>
                <w:sz w:val="18"/>
                <w:szCs w:val="18"/>
              </w:rPr>
              <w:t>Izbran varni pristan</w:t>
            </w:r>
          </w:p>
        </w:tc>
        <w:tc>
          <w:tcPr>
            <w:tcW w:w="5846" w:type="dxa"/>
            <w:hideMark/>
          </w:tcPr>
          <w:p w14:paraId="5622C144"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identificira test, ki ga izbere za uporabo za jurisdikcijo. MNE Skupina, ki se kvalificira za več kot en test, lahko izbira, kateri test bo uporabila za jurisdikcijo. </w:t>
            </w:r>
            <w:r w:rsidRPr="009C1626">
              <w:rPr>
                <w:rFonts w:ascii="Arial" w:hAnsi="Arial" w:cs="Arial"/>
                <w:sz w:val="18"/>
                <w:szCs w:val="18"/>
              </w:rPr>
              <w:br/>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izbere:</w:t>
            </w:r>
            <w:r w:rsidRPr="009C1626">
              <w:rPr>
                <w:rFonts w:ascii="Arial" w:hAnsi="Arial" w:cs="Arial"/>
                <w:sz w:val="18"/>
                <w:szCs w:val="18"/>
              </w:rPr>
              <w:br/>
              <w:t xml:space="preserve">(a) stalni varni pristan - test de </w:t>
            </w:r>
            <w:proofErr w:type="spellStart"/>
            <w:r w:rsidRPr="009C1626">
              <w:rPr>
                <w:rFonts w:ascii="Arial" w:hAnsi="Arial" w:cs="Arial"/>
                <w:sz w:val="18"/>
                <w:szCs w:val="18"/>
              </w:rPr>
              <w:t>minims</w:t>
            </w:r>
            <w:proofErr w:type="spellEnd"/>
            <w:r w:rsidRPr="009C1626">
              <w:rPr>
                <w:rFonts w:ascii="Arial" w:hAnsi="Arial" w:cs="Arial"/>
                <w:sz w:val="18"/>
                <w:szCs w:val="18"/>
              </w:rPr>
              <w:br/>
              <w:t>(b) stalni vrani pristan - test ETR</w:t>
            </w:r>
            <w:r w:rsidRPr="009C1626">
              <w:rPr>
                <w:rFonts w:ascii="Arial" w:hAnsi="Arial" w:cs="Arial"/>
                <w:sz w:val="18"/>
                <w:szCs w:val="18"/>
              </w:rPr>
              <w:br/>
              <w:t>(c) stalni varni pristan - rutinski test</w:t>
            </w:r>
            <w:r w:rsidRPr="009C1626">
              <w:rPr>
                <w:rFonts w:ascii="Arial" w:hAnsi="Arial" w:cs="Arial"/>
                <w:sz w:val="18"/>
                <w:szCs w:val="18"/>
              </w:rPr>
              <w:br/>
              <w:t xml:space="preserve">(d) QDMTT varni pristan </w:t>
            </w:r>
            <w:r w:rsidRPr="009C1626">
              <w:rPr>
                <w:rFonts w:ascii="Arial" w:hAnsi="Arial" w:cs="Arial"/>
                <w:sz w:val="18"/>
                <w:szCs w:val="18"/>
              </w:rPr>
              <w:br/>
              <w:t xml:space="preserve">(e) prehodni </w:t>
            </w:r>
            <w:proofErr w:type="spellStart"/>
            <w:r w:rsidRPr="009C1626">
              <w:rPr>
                <w:rFonts w:ascii="Arial" w:hAnsi="Arial" w:cs="Arial"/>
                <w:sz w:val="18"/>
                <w:szCs w:val="18"/>
              </w:rPr>
              <w:t>CbCR</w:t>
            </w:r>
            <w:proofErr w:type="spellEnd"/>
            <w:r w:rsidRPr="009C1626">
              <w:rPr>
                <w:rFonts w:ascii="Arial" w:hAnsi="Arial" w:cs="Arial"/>
                <w:sz w:val="18"/>
                <w:szCs w:val="18"/>
              </w:rPr>
              <w:t xml:space="preserve"> varni pristan - test de </w:t>
            </w:r>
            <w:proofErr w:type="spellStart"/>
            <w:r w:rsidRPr="009C1626">
              <w:rPr>
                <w:rFonts w:ascii="Arial" w:hAnsi="Arial" w:cs="Arial"/>
                <w:sz w:val="18"/>
                <w:szCs w:val="18"/>
              </w:rPr>
              <w:t>minimis</w:t>
            </w:r>
            <w:proofErr w:type="spellEnd"/>
            <w:r w:rsidRPr="009C1626">
              <w:rPr>
                <w:rFonts w:ascii="Arial" w:hAnsi="Arial" w:cs="Arial"/>
                <w:sz w:val="18"/>
                <w:szCs w:val="18"/>
              </w:rPr>
              <w:br/>
              <w:t xml:space="preserve">(f) </w:t>
            </w:r>
            <w:r w:rsidR="00D00AAF">
              <w:rPr>
                <w:rFonts w:ascii="Arial" w:hAnsi="Arial" w:cs="Arial"/>
                <w:sz w:val="18"/>
                <w:szCs w:val="18"/>
              </w:rPr>
              <w:t>p</w:t>
            </w:r>
            <w:r w:rsidRPr="009C1626">
              <w:rPr>
                <w:rFonts w:ascii="Arial" w:hAnsi="Arial" w:cs="Arial"/>
                <w:sz w:val="18"/>
                <w:szCs w:val="18"/>
              </w:rPr>
              <w:t xml:space="preserve">rehodni </w:t>
            </w:r>
            <w:proofErr w:type="spellStart"/>
            <w:r w:rsidRPr="009C1626">
              <w:rPr>
                <w:rFonts w:ascii="Arial" w:hAnsi="Arial" w:cs="Arial"/>
                <w:sz w:val="18"/>
                <w:szCs w:val="18"/>
              </w:rPr>
              <w:t>CbCR</w:t>
            </w:r>
            <w:proofErr w:type="spellEnd"/>
            <w:r w:rsidRPr="009C1626">
              <w:rPr>
                <w:rFonts w:ascii="Arial" w:hAnsi="Arial" w:cs="Arial"/>
                <w:sz w:val="18"/>
                <w:szCs w:val="18"/>
              </w:rPr>
              <w:t xml:space="preserve"> varni pristan - poenostavljen test ETR</w:t>
            </w:r>
            <w:r w:rsidRPr="009C1626">
              <w:rPr>
                <w:rFonts w:ascii="Arial" w:hAnsi="Arial" w:cs="Arial"/>
                <w:sz w:val="18"/>
                <w:szCs w:val="18"/>
              </w:rPr>
              <w:br/>
              <w:t xml:space="preserve">(g) prehodni </w:t>
            </w:r>
            <w:proofErr w:type="spellStart"/>
            <w:r w:rsidRPr="009C1626">
              <w:rPr>
                <w:rFonts w:ascii="Arial" w:hAnsi="Arial" w:cs="Arial"/>
                <w:sz w:val="18"/>
                <w:szCs w:val="18"/>
              </w:rPr>
              <w:t>CbCR</w:t>
            </w:r>
            <w:proofErr w:type="spellEnd"/>
            <w:r w:rsidRPr="009C1626">
              <w:rPr>
                <w:rFonts w:ascii="Arial" w:hAnsi="Arial" w:cs="Arial"/>
                <w:sz w:val="18"/>
                <w:szCs w:val="18"/>
              </w:rPr>
              <w:t xml:space="preserve"> varni pristan - rutinski test </w:t>
            </w:r>
            <w:r w:rsidRPr="009C1626">
              <w:rPr>
                <w:rFonts w:ascii="Arial" w:hAnsi="Arial" w:cs="Arial"/>
                <w:sz w:val="18"/>
                <w:szCs w:val="18"/>
              </w:rPr>
              <w:br/>
              <w:t>(h) prehodni UTPR varni pristan</w:t>
            </w:r>
            <w:r w:rsidRPr="009C1626">
              <w:rPr>
                <w:rFonts w:ascii="Arial" w:hAnsi="Arial" w:cs="Arial"/>
                <w:sz w:val="18"/>
                <w:szCs w:val="18"/>
              </w:rPr>
              <w:br/>
              <w:t xml:space="preserve">-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ne izbere opcije (e), (f) ali (g) za jurisdikcijo v poročevalskem letu, če ni izbral izbire varnega pristana ali izbral opcije druge kot (e), (f) ali (g) za predhodno poročevalsko leto. Opcija (h) se lahko izbere, če je jurisdikcija </w:t>
            </w:r>
            <w:proofErr w:type="spellStart"/>
            <w:r w:rsidRPr="009C1626">
              <w:rPr>
                <w:rFonts w:ascii="Arial" w:hAnsi="Arial" w:cs="Arial"/>
                <w:sz w:val="18"/>
                <w:szCs w:val="18"/>
              </w:rPr>
              <w:t>jurisdikcija</w:t>
            </w:r>
            <w:proofErr w:type="spellEnd"/>
            <w:r w:rsidRPr="009C1626">
              <w:rPr>
                <w:rFonts w:ascii="Arial" w:hAnsi="Arial" w:cs="Arial"/>
                <w:sz w:val="18"/>
                <w:szCs w:val="18"/>
              </w:rPr>
              <w:t xml:space="preserve"> krovnega matičnega subjekta (UPE), skladno z dogovorjenim varnim pristanom.</w:t>
            </w:r>
            <w:r w:rsidRPr="009C1626">
              <w:rPr>
                <w:rFonts w:ascii="Arial" w:hAnsi="Arial" w:cs="Arial"/>
                <w:sz w:val="18"/>
                <w:szCs w:val="18"/>
              </w:rPr>
              <w:br/>
              <w:t xml:space="preserve">- Če so izbrane opcije (a), (b) ali (c) in se poenostavljeni izračuni uporabljajo samo za del GLOBE izračuna,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izpolni tudi relevantne dele v razdelku 3, ki niso vključeni v poenostavljene izračune.</w:t>
            </w:r>
            <w:r w:rsidRPr="009C1626">
              <w:rPr>
                <w:rFonts w:ascii="Arial" w:hAnsi="Arial" w:cs="Arial"/>
                <w:sz w:val="18"/>
                <w:szCs w:val="18"/>
              </w:rPr>
              <w:br/>
              <w:t xml:space="preserve">- Če so izbrane opcije (a), (b) ali (c) in je samo del Subjektov v sestavi ali članov skupine Skupnega podviga v podskupini, identificirani v 2.1.3., zajet v poenostavljenih izračunih,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izpolni tudi razdelek 3 za vse Subjekte v sestavi ali člane skupine Skupnega podviga, ki so locirani v jurisdikciji varnega pristana.</w:t>
            </w:r>
            <w:r w:rsidRPr="009C1626">
              <w:rPr>
                <w:rFonts w:ascii="Arial" w:hAnsi="Arial" w:cs="Arial"/>
                <w:sz w:val="18"/>
                <w:szCs w:val="18"/>
              </w:rPr>
              <w:br/>
              <w:t xml:space="preserve">- Če so izbrane opcije (a), (b) ali (c),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dopolni tudi razdelek 3.3.3. (dodatni povrhnji davek) v zvezi z relevantnim subjektom  sestavi ali članom Skupine Skupnega podviga.</w:t>
            </w:r>
            <w:r w:rsidRPr="009C1626">
              <w:rPr>
                <w:rFonts w:ascii="Arial" w:hAnsi="Arial" w:cs="Arial"/>
                <w:sz w:val="18"/>
                <w:szCs w:val="18"/>
              </w:rPr>
              <w:br/>
              <w:t xml:space="preserve">- Če je izbrana opcija (d)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izpolni tudi razdelek 3 za vse Subjekte v sestavi ali člane skupin Skupnega podviga, ki so locirani v jurisdikciji varnega pristana z izračunom, ki je namenjen QDMTT. </w:t>
            </w:r>
            <w:r w:rsidR="00D00AAF">
              <w:rPr>
                <w:rFonts w:ascii="Arial" w:hAnsi="Arial" w:cs="Arial"/>
                <w:sz w:val="18"/>
                <w:szCs w:val="18"/>
              </w:rPr>
              <w:t>O</w:t>
            </w:r>
            <w:r w:rsidRPr="009C1626">
              <w:rPr>
                <w:rFonts w:ascii="Arial" w:hAnsi="Arial" w:cs="Arial"/>
                <w:sz w:val="18"/>
                <w:szCs w:val="18"/>
              </w:rPr>
              <w:t>pcija (d) se ne izbere, če se uporabi pravilo "</w:t>
            </w:r>
            <w:proofErr w:type="spellStart"/>
            <w:r w:rsidRPr="009C1626">
              <w:rPr>
                <w:rFonts w:ascii="Arial" w:hAnsi="Arial" w:cs="Arial"/>
                <w:sz w:val="18"/>
                <w:szCs w:val="18"/>
              </w:rPr>
              <w:t>switch</w:t>
            </w:r>
            <w:proofErr w:type="spellEnd"/>
            <w:r w:rsidRPr="009C1626">
              <w:rPr>
                <w:rFonts w:ascii="Arial" w:hAnsi="Arial" w:cs="Arial"/>
                <w:sz w:val="18"/>
                <w:szCs w:val="18"/>
              </w:rPr>
              <w:t xml:space="preserve"> </w:t>
            </w:r>
            <w:proofErr w:type="spellStart"/>
            <w:r w:rsidRPr="009C1626">
              <w:rPr>
                <w:rFonts w:ascii="Arial" w:hAnsi="Arial" w:cs="Arial"/>
                <w:sz w:val="18"/>
                <w:szCs w:val="18"/>
              </w:rPr>
              <w:t>off</w:t>
            </w:r>
            <w:proofErr w:type="spellEnd"/>
            <w:r w:rsidRPr="009C1626">
              <w:rPr>
                <w:rFonts w:ascii="Arial" w:hAnsi="Arial" w:cs="Arial"/>
                <w:sz w:val="18"/>
                <w:szCs w:val="18"/>
              </w:rPr>
              <w:t>" v zvezi z QDMTT varnim pristanom v jurisdikciji.</w:t>
            </w:r>
            <w:r w:rsidRPr="009C1626">
              <w:rPr>
                <w:rFonts w:ascii="Arial" w:hAnsi="Arial" w:cs="Arial"/>
                <w:sz w:val="18"/>
                <w:szCs w:val="18"/>
              </w:rPr>
              <w:br/>
              <w:t xml:space="preserve">- Če je izbrana opcija (c ) ali (g)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izpolni tudi razdelek 3.3.2. (v zvezi z vsebinsko izključitvijo dohodkov) glede relevantnih Subjektov v sestavi ali članov Skupin Skupnega podviga skladno z dogovorjenimi varnimi pristani.</w:t>
            </w:r>
          </w:p>
        </w:tc>
      </w:tr>
      <w:tr w:rsidR="009C1626" w:rsidRPr="009C1626" w14:paraId="3F51F6A9" w14:textId="77777777" w:rsidTr="002426D1">
        <w:trPr>
          <w:trHeight w:val="563"/>
        </w:trPr>
        <w:tc>
          <w:tcPr>
            <w:tcW w:w="1271" w:type="dxa"/>
            <w:noWrap/>
            <w:hideMark/>
          </w:tcPr>
          <w:p w14:paraId="28919C59" w14:textId="77777777" w:rsidR="009C1626" w:rsidRPr="009C1626" w:rsidRDefault="009C1626" w:rsidP="009C1626">
            <w:pPr>
              <w:rPr>
                <w:rFonts w:ascii="Arial" w:hAnsi="Arial" w:cs="Arial"/>
                <w:sz w:val="18"/>
                <w:szCs w:val="18"/>
              </w:rPr>
            </w:pPr>
            <w:r w:rsidRPr="009C1626">
              <w:rPr>
                <w:rFonts w:ascii="Arial" w:hAnsi="Arial" w:cs="Arial"/>
                <w:sz w:val="18"/>
                <w:szCs w:val="18"/>
              </w:rPr>
              <w:t>2.2.1.2.</w:t>
            </w:r>
          </w:p>
        </w:tc>
        <w:tc>
          <w:tcPr>
            <w:tcW w:w="1943" w:type="dxa"/>
            <w:noWrap/>
            <w:hideMark/>
          </w:tcPr>
          <w:p w14:paraId="7527D068" w14:textId="77777777" w:rsidR="009C1626" w:rsidRPr="009C1626" w:rsidRDefault="009C1626" w:rsidP="009C1626">
            <w:pPr>
              <w:rPr>
                <w:rFonts w:ascii="Arial" w:hAnsi="Arial" w:cs="Arial"/>
                <w:sz w:val="18"/>
                <w:szCs w:val="18"/>
              </w:rPr>
            </w:pPr>
            <w:r w:rsidRPr="009C1626">
              <w:rPr>
                <w:rFonts w:ascii="Arial" w:hAnsi="Arial" w:cs="Arial"/>
                <w:sz w:val="18"/>
                <w:szCs w:val="18"/>
              </w:rPr>
              <w:t>Stalni varni pristan</w:t>
            </w:r>
          </w:p>
        </w:tc>
        <w:tc>
          <w:tcPr>
            <w:tcW w:w="5846" w:type="dxa"/>
            <w:noWrap/>
            <w:hideMark/>
          </w:tcPr>
          <w:p w14:paraId="137309F7" w14:textId="77777777" w:rsidR="009C1626" w:rsidRPr="009C1626" w:rsidRDefault="009C1626" w:rsidP="009C1626">
            <w:pPr>
              <w:rPr>
                <w:rFonts w:ascii="Arial" w:hAnsi="Arial" w:cs="Arial"/>
                <w:sz w:val="18"/>
                <w:szCs w:val="18"/>
              </w:rPr>
            </w:pPr>
            <w:r w:rsidRPr="009C1626">
              <w:rPr>
                <w:rFonts w:ascii="Arial" w:hAnsi="Arial" w:cs="Arial"/>
                <w:sz w:val="18"/>
                <w:szCs w:val="18"/>
              </w:rPr>
              <w:t> </w:t>
            </w:r>
          </w:p>
        </w:tc>
      </w:tr>
      <w:tr w:rsidR="009C1626" w:rsidRPr="009C1626" w14:paraId="7D5E47A9" w14:textId="77777777" w:rsidTr="002426D1">
        <w:trPr>
          <w:trHeight w:val="600"/>
        </w:trPr>
        <w:tc>
          <w:tcPr>
            <w:tcW w:w="1271" w:type="dxa"/>
            <w:noWrap/>
            <w:hideMark/>
          </w:tcPr>
          <w:p w14:paraId="4670987F" w14:textId="77777777" w:rsidR="009C1626" w:rsidRPr="009C1626" w:rsidRDefault="009C1626" w:rsidP="009C1626">
            <w:pPr>
              <w:rPr>
                <w:rFonts w:ascii="Arial" w:hAnsi="Arial" w:cs="Arial"/>
                <w:sz w:val="18"/>
                <w:szCs w:val="18"/>
              </w:rPr>
            </w:pPr>
            <w:r w:rsidRPr="009C1626">
              <w:rPr>
                <w:rFonts w:ascii="Arial" w:hAnsi="Arial" w:cs="Arial"/>
                <w:sz w:val="18"/>
                <w:szCs w:val="18"/>
              </w:rPr>
              <w:t>2.2.1.2.(a)</w:t>
            </w:r>
          </w:p>
        </w:tc>
        <w:tc>
          <w:tcPr>
            <w:tcW w:w="1943" w:type="dxa"/>
            <w:noWrap/>
            <w:hideMark/>
          </w:tcPr>
          <w:p w14:paraId="68971793"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Poenostavljen izračun </w:t>
            </w:r>
            <w:r w:rsidR="00F01208">
              <w:rPr>
                <w:rFonts w:ascii="Arial" w:hAnsi="Arial" w:cs="Arial"/>
                <w:sz w:val="18"/>
                <w:szCs w:val="18"/>
              </w:rPr>
              <w:t>nepomembn</w:t>
            </w:r>
            <w:r w:rsidRPr="009C1626">
              <w:rPr>
                <w:rFonts w:ascii="Arial" w:hAnsi="Arial" w:cs="Arial"/>
                <w:sz w:val="18"/>
                <w:szCs w:val="18"/>
              </w:rPr>
              <w:t>ih Subjektov v sestavi</w:t>
            </w:r>
          </w:p>
        </w:tc>
        <w:tc>
          <w:tcPr>
            <w:tcW w:w="5846" w:type="dxa"/>
            <w:hideMark/>
          </w:tcPr>
          <w:p w14:paraId="077061A2" w14:textId="77777777" w:rsidR="009C1626" w:rsidRPr="009C1626" w:rsidRDefault="009C1626" w:rsidP="009C1626">
            <w:pPr>
              <w:rPr>
                <w:rFonts w:ascii="Arial" w:hAnsi="Arial" w:cs="Arial"/>
                <w:sz w:val="18"/>
                <w:szCs w:val="18"/>
              </w:rPr>
            </w:pPr>
            <w:r w:rsidRPr="009C1626">
              <w:rPr>
                <w:rFonts w:ascii="Arial" w:hAnsi="Arial" w:cs="Arial"/>
                <w:sz w:val="18"/>
                <w:szCs w:val="18"/>
              </w:rPr>
              <w:t> </w:t>
            </w:r>
          </w:p>
        </w:tc>
      </w:tr>
      <w:tr w:rsidR="009C1626" w:rsidRPr="009C1626" w14:paraId="7BF9ACB7" w14:textId="77777777" w:rsidTr="002426D1">
        <w:trPr>
          <w:trHeight w:val="1562"/>
        </w:trPr>
        <w:tc>
          <w:tcPr>
            <w:tcW w:w="1271" w:type="dxa"/>
            <w:noWrap/>
            <w:hideMark/>
          </w:tcPr>
          <w:p w14:paraId="24F006FF" w14:textId="77777777" w:rsidR="009C1626" w:rsidRPr="009C1626" w:rsidRDefault="009C1626" w:rsidP="009C1626">
            <w:pPr>
              <w:rPr>
                <w:rFonts w:ascii="Arial" w:hAnsi="Arial" w:cs="Arial"/>
                <w:sz w:val="18"/>
                <w:szCs w:val="18"/>
              </w:rPr>
            </w:pPr>
            <w:r w:rsidRPr="009C1626">
              <w:rPr>
                <w:rFonts w:ascii="Arial" w:hAnsi="Arial" w:cs="Arial"/>
                <w:sz w:val="18"/>
                <w:szCs w:val="18"/>
              </w:rPr>
              <w:t>2.2.1.2.(a)1</w:t>
            </w:r>
          </w:p>
        </w:tc>
        <w:tc>
          <w:tcPr>
            <w:tcW w:w="1943" w:type="dxa"/>
            <w:hideMark/>
          </w:tcPr>
          <w:p w14:paraId="27492DFE"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Skupni prihodki vseh </w:t>
            </w:r>
            <w:r w:rsidR="00F01208">
              <w:rPr>
                <w:rFonts w:ascii="Arial" w:hAnsi="Arial" w:cs="Arial"/>
                <w:sz w:val="18"/>
                <w:szCs w:val="18"/>
              </w:rPr>
              <w:t>nepomembn</w:t>
            </w:r>
            <w:r w:rsidRPr="009C1626">
              <w:rPr>
                <w:rFonts w:ascii="Arial" w:hAnsi="Arial" w:cs="Arial"/>
                <w:sz w:val="18"/>
                <w:szCs w:val="18"/>
              </w:rPr>
              <w:t>ih Subjektov v sestavi (</w:t>
            </w:r>
            <w:proofErr w:type="spellStart"/>
            <w:r w:rsidRPr="009C1626">
              <w:rPr>
                <w:rFonts w:ascii="Arial" w:hAnsi="Arial" w:cs="Arial"/>
                <w:sz w:val="18"/>
                <w:szCs w:val="18"/>
              </w:rPr>
              <w:t>NMCEs</w:t>
            </w:r>
            <w:proofErr w:type="spellEnd"/>
            <w:r w:rsidRPr="009C1626">
              <w:rPr>
                <w:rFonts w:ascii="Arial" w:hAnsi="Arial" w:cs="Arial"/>
                <w:sz w:val="18"/>
                <w:szCs w:val="18"/>
              </w:rPr>
              <w:t>) v jurisdikciji</w:t>
            </w:r>
          </w:p>
        </w:tc>
        <w:tc>
          <w:tcPr>
            <w:tcW w:w="5846" w:type="dxa"/>
            <w:hideMark/>
          </w:tcPr>
          <w:p w14:paraId="3D763C72"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Če je uporabljen poenostavljen izračun za </w:t>
            </w:r>
            <w:r w:rsidR="00F01208">
              <w:rPr>
                <w:rFonts w:ascii="Arial" w:hAnsi="Arial" w:cs="Arial"/>
                <w:sz w:val="18"/>
                <w:szCs w:val="18"/>
              </w:rPr>
              <w:t>nepomembn</w:t>
            </w:r>
            <w:r w:rsidRPr="009C1626">
              <w:rPr>
                <w:rFonts w:ascii="Arial" w:hAnsi="Arial" w:cs="Arial"/>
                <w:sz w:val="18"/>
                <w:szCs w:val="18"/>
              </w:rPr>
              <w:t>e subjekte v sestavi (</w:t>
            </w:r>
            <w:proofErr w:type="spellStart"/>
            <w:r w:rsidRPr="009C1626">
              <w:rPr>
                <w:rFonts w:ascii="Arial" w:hAnsi="Arial" w:cs="Arial"/>
                <w:sz w:val="18"/>
                <w:szCs w:val="18"/>
              </w:rPr>
              <w:t>NMCEs</w:t>
            </w:r>
            <w:proofErr w:type="spellEnd"/>
            <w:r w:rsidRPr="009C1626">
              <w:rPr>
                <w:rFonts w:ascii="Arial" w:hAnsi="Arial" w:cs="Arial"/>
                <w:sz w:val="18"/>
                <w:szCs w:val="18"/>
              </w:rPr>
              <w:t xml:space="preserve">) skladno z opcijo (a), (b) ali c) v 2.2.1.1.1.,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tudi skupne prihodke, kot so definirani v dokumentu v zvezi z varnimi pristani in kazenskimi odpustki, vseh </w:t>
            </w:r>
            <w:r w:rsidR="00F01208">
              <w:rPr>
                <w:rFonts w:ascii="Arial" w:hAnsi="Arial" w:cs="Arial"/>
                <w:sz w:val="18"/>
                <w:szCs w:val="18"/>
              </w:rPr>
              <w:t>nepomembn</w:t>
            </w:r>
            <w:r w:rsidRPr="009C1626">
              <w:rPr>
                <w:rFonts w:ascii="Arial" w:hAnsi="Arial" w:cs="Arial"/>
                <w:sz w:val="18"/>
                <w:szCs w:val="18"/>
              </w:rPr>
              <w:t>ih Subjektov v sestavi, ki so locirani v jurisdikciji za tekoče fiskalno leto, predhodno fiskalno leto (če obstaja) in drugo predhodno leto (če obstaja), kot tudi povprečje za tri fiskalna leta.</w:t>
            </w:r>
          </w:p>
        </w:tc>
      </w:tr>
      <w:tr w:rsidR="009C1626" w:rsidRPr="009C1626" w14:paraId="6C4A2054" w14:textId="77777777" w:rsidTr="002426D1">
        <w:trPr>
          <w:trHeight w:val="900"/>
        </w:trPr>
        <w:tc>
          <w:tcPr>
            <w:tcW w:w="1271" w:type="dxa"/>
            <w:noWrap/>
            <w:hideMark/>
          </w:tcPr>
          <w:p w14:paraId="3463D760" w14:textId="77777777" w:rsidR="009C1626" w:rsidRPr="009C1626" w:rsidRDefault="009C1626" w:rsidP="009C1626">
            <w:pPr>
              <w:rPr>
                <w:rFonts w:ascii="Arial" w:hAnsi="Arial" w:cs="Arial"/>
                <w:sz w:val="18"/>
                <w:szCs w:val="18"/>
              </w:rPr>
            </w:pPr>
            <w:r w:rsidRPr="009C1626">
              <w:rPr>
                <w:rFonts w:ascii="Arial" w:hAnsi="Arial" w:cs="Arial"/>
                <w:sz w:val="18"/>
                <w:szCs w:val="18"/>
              </w:rPr>
              <w:t>2.2.1.2.(a)2</w:t>
            </w:r>
          </w:p>
        </w:tc>
        <w:tc>
          <w:tcPr>
            <w:tcW w:w="1943" w:type="dxa"/>
            <w:noWrap/>
            <w:hideMark/>
          </w:tcPr>
          <w:p w14:paraId="754A511E"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Agregiran poenostavljen davek vseh </w:t>
            </w:r>
            <w:proofErr w:type="spellStart"/>
            <w:r w:rsidRPr="009C1626">
              <w:rPr>
                <w:rFonts w:ascii="Arial" w:hAnsi="Arial" w:cs="Arial"/>
                <w:sz w:val="18"/>
                <w:szCs w:val="18"/>
              </w:rPr>
              <w:t>NMCEs</w:t>
            </w:r>
            <w:proofErr w:type="spellEnd"/>
            <w:r w:rsidRPr="009C1626">
              <w:rPr>
                <w:rFonts w:ascii="Arial" w:hAnsi="Arial" w:cs="Arial"/>
                <w:sz w:val="18"/>
                <w:szCs w:val="18"/>
              </w:rPr>
              <w:t xml:space="preserve"> v jurisdikciji</w:t>
            </w:r>
          </w:p>
        </w:tc>
        <w:tc>
          <w:tcPr>
            <w:tcW w:w="5846" w:type="dxa"/>
            <w:hideMark/>
          </w:tcPr>
          <w:p w14:paraId="3F16E489"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Če je uporabljen poenostavljen izračun za </w:t>
            </w:r>
            <w:r w:rsidR="00F01208">
              <w:rPr>
                <w:rFonts w:ascii="Arial" w:hAnsi="Arial" w:cs="Arial"/>
                <w:sz w:val="18"/>
                <w:szCs w:val="18"/>
              </w:rPr>
              <w:t>nepomembn</w:t>
            </w:r>
            <w:r w:rsidRPr="009C1626">
              <w:rPr>
                <w:rFonts w:ascii="Arial" w:hAnsi="Arial" w:cs="Arial"/>
                <w:sz w:val="18"/>
                <w:szCs w:val="18"/>
              </w:rPr>
              <w:t>e subjekte v sestavi (</w:t>
            </w:r>
            <w:proofErr w:type="spellStart"/>
            <w:r w:rsidRPr="009C1626">
              <w:rPr>
                <w:rFonts w:ascii="Arial" w:hAnsi="Arial" w:cs="Arial"/>
                <w:sz w:val="18"/>
                <w:szCs w:val="18"/>
              </w:rPr>
              <w:t>NMCEs</w:t>
            </w:r>
            <w:proofErr w:type="spellEnd"/>
            <w:r w:rsidRPr="009C1626">
              <w:rPr>
                <w:rFonts w:ascii="Arial" w:hAnsi="Arial" w:cs="Arial"/>
                <w:sz w:val="18"/>
                <w:szCs w:val="18"/>
              </w:rPr>
              <w:t xml:space="preserve">) skladno z opcijo (b) v 2.2.1.1.1.,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agregirani poenostav</w:t>
            </w:r>
            <w:r w:rsidR="00304771">
              <w:rPr>
                <w:rFonts w:ascii="Arial" w:hAnsi="Arial" w:cs="Arial"/>
                <w:sz w:val="18"/>
                <w:szCs w:val="18"/>
              </w:rPr>
              <w:t>l</w:t>
            </w:r>
            <w:r w:rsidRPr="009C1626">
              <w:rPr>
                <w:rFonts w:ascii="Arial" w:hAnsi="Arial" w:cs="Arial"/>
                <w:sz w:val="18"/>
                <w:szCs w:val="18"/>
              </w:rPr>
              <w:t xml:space="preserve">jeni davek, kot je definiran v dokumentu o Varnih pristanih in kazenskih odpustkih, za vse </w:t>
            </w:r>
            <w:r w:rsidR="00F01208">
              <w:rPr>
                <w:rFonts w:ascii="Arial" w:hAnsi="Arial" w:cs="Arial"/>
                <w:sz w:val="18"/>
                <w:szCs w:val="18"/>
              </w:rPr>
              <w:t>nepomembn</w:t>
            </w:r>
            <w:r w:rsidRPr="009C1626">
              <w:rPr>
                <w:rFonts w:ascii="Arial" w:hAnsi="Arial" w:cs="Arial"/>
                <w:sz w:val="18"/>
                <w:szCs w:val="18"/>
              </w:rPr>
              <w:t>e Subjekte v sestavi, ki so locirani v jurisdikciji za poročan</w:t>
            </w:r>
            <w:r w:rsidR="00D00AAF">
              <w:rPr>
                <w:rFonts w:ascii="Arial" w:hAnsi="Arial" w:cs="Arial"/>
                <w:sz w:val="18"/>
                <w:szCs w:val="18"/>
              </w:rPr>
              <w:t>o</w:t>
            </w:r>
            <w:r w:rsidRPr="009C1626">
              <w:rPr>
                <w:rFonts w:ascii="Arial" w:hAnsi="Arial" w:cs="Arial"/>
                <w:sz w:val="18"/>
                <w:szCs w:val="18"/>
              </w:rPr>
              <w:t xml:space="preserve"> fiskalno leto.</w:t>
            </w:r>
          </w:p>
        </w:tc>
      </w:tr>
      <w:tr w:rsidR="009C1626" w:rsidRPr="009C1626" w14:paraId="081C9DEB" w14:textId="77777777" w:rsidTr="002426D1">
        <w:trPr>
          <w:trHeight w:val="300"/>
        </w:trPr>
        <w:tc>
          <w:tcPr>
            <w:tcW w:w="1271" w:type="dxa"/>
            <w:noWrap/>
            <w:hideMark/>
          </w:tcPr>
          <w:p w14:paraId="72C71812" w14:textId="77777777" w:rsidR="009C1626" w:rsidRPr="009C1626" w:rsidRDefault="009C1626" w:rsidP="009C1626">
            <w:pPr>
              <w:rPr>
                <w:rFonts w:ascii="Arial" w:hAnsi="Arial" w:cs="Arial"/>
                <w:sz w:val="18"/>
                <w:szCs w:val="18"/>
              </w:rPr>
            </w:pPr>
            <w:r w:rsidRPr="009C1626">
              <w:rPr>
                <w:rFonts w:ascii="Arial" w:hAnsi="Arial" w:cs="Arial"/>
                <w:sz w:val="18"/>
                <w:szCs w:val="18"/>
              </w:rPr>
              <w:t>a)</w:t>
            </w:r>
          </w:p>
        </w:tc>
        <w:tc>
          <w:tcPr>
            <w:tcW w:w="1943" w:type="dxa"/>
            <w:noWrap/>
            <w:hideMark/>
          </w:tcPr>
          <w:p w14:paraId="5AF3578F" w14:textId="77777777" w:rsidR="009C1626" w:rsidRPr="009C1626" w:rsidRDefault="009C1626" w:rsidP="009C1626">
            <w:pPr>
              <w:rPr>
                <w:rFonts w:ascii="Arial" w:hAnsi="Arial" w:cs="Arial"/>
                <w:sz w:val="18"/>
                <w:szCs w:val="18"/>
              </w:rPr>
            </w:pPr>
            <w:r w:rsidRPr="009C1626">
              <w:rPr>
                <w:rFonts w:ascii="Arial" w:hAnsi="Arial" w:cs="Arial"/>
                <w:sz w:val="18"/>
                <w:szCs w:val="18"/>
              </w:rPr>
              <w:t>Poročevalsko fiskalno leto</w:t>
            </w:r>
          </w:p>
        </w:tc>
        <w:tc>
          <w:tcPr>
            <w:tcW w:w="5846" w:type="dxa"/>
            <w:noWrap/>
            <w:hideMark/>
          </w:tcPr>
          <w:p w14:paraId="4472EDE1" w14:textId="77777777" w:rsidR="009C1626" w:rsidRPr="009C1626" w:rsidRDefault="009C1626" w:rsidP="009C1626">
            <w:pPr>
              <w:rPr>
                <w:rFonts w:ascii="Arial" w:hAnsi="Arial" w:cs="Arial"/>
                <w:sz w:val="18"/>
                <w:szCs w:val="18"/>
              </w:rPr>
            </w:pPr>
          </w:p>
        </w:tc>
      </w:tr>
      <w:tr w:rsidR="009C1626" w:rsidRPr="009C1626" w14:paraId="64AEF02A" w14:textId="77777777" w:rsidTr="002426D1">
        <w:trPr>
          <w:trHeight w:val="300"/>
        </w:trPr>
        <w:tc>
          <w:tcPr>
            <w:tcW w:w="1271" w:type="dxa"/>
            <w:noWrap/>
            <w:hideMark/>
          </w:tcPr>
          <w:p w14:paraId="4CE2F74B" w14:textId="77777777" w:rsidR="009C1626" w:rsidRPr="009C1626" w:rsidRDefault="009C1626" w:rsidP="009C1626">
            <w:pPr>
              <w:rPr>
                <w:rFonts w:ascii="Arial" w:hAnsi="Arial" w:cs="Arial"/>
                <w:sz w:val="18"/>
                <w:szCs w:val="18"/>
              </w:rPr>
            </w:pPr>
            <w:r w:rsidRPr="009C1626">
              <w:rPr>
                <w:rFonts w:ascii="Arial" w:hAnsi="Arial" w:cs="Arial"/>
                <w:sz w:val="18"/>
                <w:szCs w:val="18"/>
              </w:rPr>
              <w:t>b)</w:t>
            </w:r>
          </w:p>
        </w:tc>
        <w:tc>
          <w:tcPr>
            <w:tcW w:w="1943" w:type="dxa"/>
            <w:noWrap/>
            <w:hideMark/>
          </w:tcPr>
          <w:p w14:paraId="3A35D78E" w14:textId="77777777" w:rsidR="009C1626" w:rsidRPr="009C1626" w:rsidRDefault="009C1626" w:rsidP="009C1626">
            <w:pPr>
              <w:rPr>
                <w:rFonts w:ascii="Arial" w:hAnsi="Arial" w:cs="Arial"/>
                <w:sz w:val="18"/>
                <w:szCs w:val="18"/>
              </w:rPr>
            </w:pPr>
            <w:r w:rsidRPr="009C1626">
              <w:rPr>
                <w:rFonts w:ascii="Arial" w:hAnsi="Arial" w:cs="Arial"/>
                <w:sz w:val="18"/>
                <w:szCs w:val="18"/>
              </w:rPr>
              <w:t>Prvo predhodno leto</w:t>
            </w:r>
          </w:p>
        </w:tc>
        <w:tc>
          <w:tcPr>
            <w:tcW w:w="5846" w:type="dxa"/>
            <w:noWrap/>
            <w:hideMark/>
          </w:tcPr>
          <w:p w14:paraId="3E9B3E39" w14:textId="77777777" w:rsidR="009C1626" w:rsidRPr="009C1626" w:rsidRDefault="009C1626" w:rsidP="009C1626">
            <w:pPr>
              <w:rPr>
                <w:rFonts w:ascii="Arial" w:hAnsi="Arial" w:cs="Arial"/>
                <w:sz w:val="18"/>
                <w:szCs w:val="18"/>
              </w:rPr>
            </w:pPr>
          </w:p>
        </w:tc>
      </w:tr>
      <w:tr w:rsidR="009C1626" w:rsidRPr="009C1626" w14:paraId="5C1F37AB" w14:textId="77777777" w:rsidTr="002426D1">
        <w:trPr>
          <w:trHeight w:val="300"/>
        </w:trPr>
        <w:tc>
          <w:tcPr>
            <w:tcW w:w="1271" w:type="dxa"/>
            <w:noWrap/>
            <w:hideMark/>
          </w:tcPr>
          <w:p w14:paraId="264064D5" w14:textId="77777777" w:rsidR="009C1626" w:rsidRPr="009C1626" w:rsidRDefault="009C1626" w:rsidP="009C1626">
            <w:pPr>
              <w:rPr>
                <w:rFonts w:ascii="Arial" w:hAnsi="Arial" w:cs="Arial"/>
                <w:sz w:val="18"/>
                <w:szCs w:val="18"/>
              </w:rPr>
            </w:pPr>
            <w:r w:rsidRPr="009C1626">
              <w:rPr>
                <w:rFonts w:ascii="Arial" w:hAnsi="Arial" w:cs="Arial"/>
                <w:sz w:val="18"/>
                <w:szCs w:val="18"/>
              </w:rPr>
              <w:t>c)</w:t>
            </w:r>
          </w:p>
        </w:tc>
        <w:tc>
          <w:tcPr>
            <w:tcW w:w="1943" w:type="dxa"/>
            <w:noWrap/>
            <w:hideMark/>
          </w:tcPr>
          <w:p w14:paraId="0F691699" w14:textId="77777777" w:rsidR="009C1626" w:rsidRPr="009C1626" w:rsidRDefault="009C1626" w:rsidP="009C1626">
            <w:pPr>
              <w:rPr>
                <w:rFonts w:ascii="Arial" w:hAnsi="Arial" w:cs="Arial"/>
                <w:sz w:val="18"/>
                <w:szCs w:val="18"/>
              </w:rPr>
            </w:pPr>
            <w:r w:rsidRPr="009C1626">
              <w:rPr>
                <w:rFonts w:ascii="Arial" w:hAnsi="Arial" w:cs="Arial"/>
                <w:sz w:val="18"/>
                <w:szCs w:val="18"/>
              </w:rPr>
              <w:t>Drugo predhodno leto</w:t>
            </w:r>
          </w:p>
        </w:tc>
        <w:tc>
          <w:tcPr>
            <w:tcW w:w="5846" w:type="dxa"/>
            <w:noWrap/>
            <w:hideMark/>
          </w:tcPr>
          <w:p w14:paraId="4D94AF8B" w14:textId="77777777" w:rsidR="009C1626" w:rsidRPr="009C1626" w:rsidRDefault="009C1626" w:rsidP="009C1626">
            <w:pPr>
              <w:rPr>
                <w:rFonts w:ascii="Arial" w:hAnsi="Arial" w:cs="Arial"/>
                <w:sz w:val="18"/>
                <w:szCs w:val="18"/>
              </w:rPr>
            </w:pPr>
          </w:p>
        </w:tc>
      </w:tr>
      <w:tr w:rsidR="009C1626" w:rsidRPr="009C1626" w14:paraId="77D5B94E" w14:textId="77777777" w:rsidTr="002426D1">
        <w:trPr>
          <w:trHeight w:val="300"/>
        </w:trPr>
        <w:tc>
          <w:tcPr>
            <w:tcW w:w="1271" w:type="dxa"/>
            <w:noWrap/>
            <w:hideMark/>
          </w:tcPr>
          <w:p w14:paraId="34A78299" w14:textId="77777777" w:rsidR="009C1626" w:rsidRPr="009C1626" w:rsidRDefault="009C1626" w:rsidP="009C1626">
            <w:pPr>
              <w:rPr>
                <w:rFonts w:ascii="Arial" w:hAnsi="Arial" w:cs="Arial"/>
                <w:sz w:val="18"/>
                <w:szCs w:val="18"/>
              </w:rPr>
            </w:pPr>
            <w:r w:rsidRPr="009C1626">
              <w:rPr>
                <w:rFonts w:ascii="Arial" w:hAnsi="Arial" w:cs="Arial"/>
                <w:sz w:val="18"/>
                <w:szCs w:val="18"/>
              </w:rPr>
              <w:t>d)</w:t>
            </w:r>
          </w:p>
        </w:tc>
        <w:tc>
          <w:tcPr>
            <w:tcW w:w="1943" w:type="dxa"/>
            <w:noWrap/>
            <w:hideMark/>
          </w:tcPr>
          <w:p w14:paraId="1949FB81"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Povprečje treh fiskalnih let </w:t>
            </w:r>
          </w:p>
        </w:tc>
        <w:tc>
          <w:tcPr>
            <w:tcW w:w="5846" w:type="dxa"/>
            <w:noWrap/>
            <w:hideMark/>
          </w:tcPr>
          <w:p w14:paraId="4642481F" w14:textId="77777777" w:rsidR="009C1626" w:rsidRPr="009C1626" w:rsidRDefault="009C1626" w:rsidP="009C1626">
            <w:pPr>
              <w:rPr>
                <w:rFonts w:ascii="Arial" w:hAnsi="Arial" w:cs="Arial"/>
                <w:sz w:val="18"/>
                <w:szCs w:val="18"/>
              </w:rPr>
            </w:pPr>
          </w:p>
        </w:tc>
      </w:tr>
      <w:tr w:rsidR="009C1626" w:rsidRPr="009C1626" w14:paraId="0530097C" w14:textId="77777777" w:rsidTr="002426D1">
        <w:trPr>
          <w:trHeight w:val="649"/>
        </w:trPr>
        <w:tc>
          <w:tcPr>
            <w:tcW w:w="1271" w:type="dxa"/>
            <w:noWrap/>
            <w:hideMark/>
          </w:tcPr>
          <w:p w14:paraId="5D32E2B1" w14:textId="77777777" w:rsidR="009C1626" w:rsidRPr="009C1626" w:rsidRDefault="009C1626" w:rsidP="009C1626">
            <w:pPr>
              <w:rPr>
                <w:rFonts w:ascii="Arial" w:hAnsi="Arial" w:cs="Arial"/>
                <w:sz w:val="18"/>
                <w:szCs w:val="18"/>
              </w:rPr>
            </w:pPr>
            <w:r w:rsidRPr="009C1626">
              <w:rPr>
                <w:rFonts w:ascii="Arial" w:hAnsi="Arial" w:cs="Arial"/>
                <w:sz w:val="18"/>
                <w:szCs w:val="18"/>
              </w:rPr>
              <w:lastRenderedPageBreak/>
              <w:t>2.2.1.3.</w:t>
            </w:r>
          </w:p>
        </w:tc>
        <w:tc>
          <w:tcPr>
            <w:tcW w:w="1943" w:type="dxa"/>
            <w:noWrap/>
            <w:hideMark/>
          </w:tcPr>
          <w:p w14:paraId="042F75CC" w14:textId="77777777" w:rsidR="009C1626" w:rsidRPr="009C1626" w:rsidRDefault="009C1626" w:rsidP="009C1626">
            <w:pPr>
              <w:rPr>
                <w:rFonts w:ascii="Arial" w:hAnsi="Arial" w:cs="Arial"/>
                <w:sz w:val="18"/>
                <w:szCs w:val="18"/>
              </w:rPr>
            </w:pPr>
            <w:r w:rsidRPr="009C1626">
              <w:rPr>
                <w:rFonts w:ascii="Arial" w:hAnsi="Arial" w:cs="Arial"/>
                <w:sz w:val="18"/>
                <w:szCs w:val="18"/>
              </w:rPr>
              <w:t>Prehodni varni pristan</w:t>
            </w:r>
          </w:p>
        </w:tc>
        <w:tc>
          <w:tcPr>
            <w:tcW w:w="5846" w:type="dxa"/>
            <w:noWrap/>
            <w:hideMark/>
          </w:tcPr>
          <w:p w14:paraId="2BC6D041" w14:textId="77777777" w:rsidR="009C1626" w:rsidRPr="009C1626" w:rsidRDefault="009C1626" w:rsidP="009C1626">
            <w:pPr>
              <w:rPr>
                <w:rFonts w:ascii="Arial" w:hAnsi="Arial" w:cs="Arial"/>
                <w:sz w:val="18"/>
                <w:szCs w:val="18"/>
              </w:rPr>
            </w:pPr>
            <w:r w:rsidRPr="009C1626">
              <w:rPr>
                <w:rFonts w:ascii="Arial" w:hAnsi="Arial" w:cs="Arial"/>
                <w:sz w:val="18"/>
                <w:szCs w:val="18"/>
              </w:rPr>
              <w:t> </w:t>
            </w:r>
          </w:p>
        </w:tc>
      </w:tr>
      <w:tr w:rsidR="009C1626" w:rsidRPr="009C1626" w14:paraId="289204AF" w14:textId="77777777" w:rsidTr="002426D1">
        <w:trPr>
          <w:trHeight w:val="3872"/>
        </w:trPr>
        <w:tc>
          <w:tcPr>
            <w:tcW w:w="1271" w:type="dxa"/>
            <w:noWrap/>
            <w:hideMark/>
          </w:tcPr>
          <w:p w14:paraId="1EE8928C" w14:textId="77777777" w:rsidR="009C1626" w:rsidRPr="009C1626" w:rsidRDefault="009C1626" w:rsidP="009C1626">
            <w:pPr>
              <w:rPr>
                <w:rFonts w:ascii="Arial" w:hAnsi="Arial" w:cs="Arial"/>
                <w:sz w:val="18"/>
                <w:szCs w:val="18"/>
              </w:rPr>
            </w:pPr>
            <w:r w:rsidRPr="009C1626">
              <w:rPr>
                <w:rFonts w:ascii="Arial" w:hAnsi="Arial" w:cs="Arial"/>
                <w:sz w:val="18"/>
                <w:szCs w:val="18"/>
              </w:rPr>
              <w:t>2.2.1.3.(a)</w:t>
            </w:r>
          </w:p>
        </w:tc>
        <w:tc>
          <w:tcPr>
            <w:tcW w:w="1943" w:type="dxa"/>
            <w:noWrap/>
            <w:hideMark/>
          </w:tcPr>
          <w:p w14:paraId="5B4AB6AF"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Prehodni </w:t>
            </w:r>
            <w:proofErr w:type="spellStart"/>
            <w:r w:rsidRPr="009C1626">
              <w:rPr>
                <w:rFonts w:ascii="Arial" w:hAnsi="Arial" w:cs="Arial"/>
                <w:sz w:val="18"/>
                <w:szCs w:val="18"/>
              </w:rPr>
              <w:t>CbCR</w:t>
            </w:r>
            <w:proofErr w:type="spellEnd"/>
            <w:r w:rsidRPr="009C1626">
              <w:rPr>
                <w:rFonts w:ascii="Arial" w:hAnsi="Arial" w:cs="Arial"/>
                <w:sz w:val="18"/>
                <w:szCs w:val="18"/>
              </w:rPr>
              <w:t xml:space="preserve"> varni pristan</w:t>
            </w:r>
          </w:p>
        </w:tc>
        <w:tc>
          <w:tcPr>
            <w:tcW w:w="5846" w:type="dxa"/>
            <w:hideMark/>
          </w:tcPr>
          <w:p w14:paraId="5C4F4FC2" w14:textId="77777777" w:rsidR="00D00AAF" w:rsidRDefault="009C1626" w:rsidP="00D00AAF">
            <w:pPr>
              <w:jc w:val="both"/>
              <w:rPr>
                <w:rFonts w:ascii="Arial" w:hAnsi="Arial" w:cs="Arial"/>
                <w:sz w:val="18"/>
                <w:szCs w:val="18"/>
              </w:rPr>
            </w:pPr>
            <w:r w:rsidRPr="009C1626">
              <w:rPr>
                <w:rFonts w:ascii="Arial" w:hAnsi="Arial" w:cs="Arial"/>
                <w:sz w:val="18"/>
                <w:szCs w:val="18"/>
              </w:rPr>
              <w:t xml:space="preserve">Če so Kvalificirani računovodski izkazi, ki so uporabljeni za izpolnjevanje te tabele, ločeni računovodski izkazi Subjekta v sestavi ali člana skupine Skupnega podviga in temeljijo na računovodskem standardu, ki se razlikuje od računovodskega standarda, uporabljenega v Konsolidiranih </w:t>
            </w:r>
            <w:r w:rsidR="002426D1" w:rsidRPr="009C1626">
              <w:rPr>
                <w:rFonts w:ascii="Arial" w:hAnsi="Arial" w:cs="Arial"/>
                <w:sz w:val="18"/>
                <w:szCs w:val="18"/>
              </w:rPr>
              <w:t>računovodskih</w:t>
            </w:r>
            <w:r w:rsidRPr="009C1626">
              <w:rPr>
                <w:rFonts w:ascii="Arial" w:hAnsi="Arial" w:cs="Arial"/>
                <w:sz w:val="18"/>
                <w:szCs w:val="18"/>
              </w:rPr>
              <w:t xml:space="preserve"> izkazih krovnega matičnega subjekta, mora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izpolniti Tabelo 3.2.4.6.</w:t>
            </w:r>
            <w:r w:rsidR="00D00AAF">
              <w:rPr>
                <w:rFonts w:ascii="Arial" w:hAnsi="Arial" w:cs="Arial"/>
                <w:sz w:val="18"/>
                <w:szCs w:val="18"/>
              </w:rPr>
              <w:t xml:space="preserve"> </w:t>
            </w:r>
          </w:p>
          <w:p w14:paraId="69B3ACCD" w14:textId="77777777" w:rsidR="00D00AAF" w:rsidRDefault="00D00AAF" w:rsidP="00D00AAF">
            <w:pPr>
              <w:jc w:val="both"/>
              <w:rPr>
                <w:rFonts w:ascii="Arial" w:hAnsi="Arial" w:cs="Arial"/>
                <w:sz w:val="18"/>
                <w:szCs w:val="18"/>
              </w:rPr>
            </w:pPr>
          </w:p>
          <w:p w14:paraId="2CF920D2" w14:textId="77777777" w:rsidR="00D00AAF" w:rsidRDefault="009C1626" w:rsidP="00D00AAF">
            <w:pPr>
              <w:jc w:val="both"/>
              <w:rPr>
                <w:rFonts w:ascii="Arial" w:hAnsi="Arial" w:cs="Arial"/>
                <w:sz w:val="18"/>
                <w:szCs w:val="18"/>
              </w:rPr>
            </w:pPr>
            <w:r w:rsidRPr="009C1626">
              <w:rPr>
                <w:rFonts w:ascii="Arial" w:hAnsi="Arial" w:cs="Arial"/>
                <w:sz w:val="18"/>
                <w:szCs w:val="18"/>
              </w:rPr>
              <w:t>Med prehodnim obdobjem se povrhnji davek za jurisdikcijo za fiskalno leto  šteje, da je enak nič, če:</w:t>
            </w:r>
          </w:p>
          <w:p w14:paraId="6C6CE4CA" w14:textId="77777777" w:rsidR="009C1626" w:rsidRPr="009C1626" w:rsidRDefault="009C1626" w:rsidP="00D00AAF">
            <w:pPr>
              <w:jc w:val="both"/>
              <w:rPr>
                <w:rFonts w:ascii="Arial" w:hAnsi="Arial" w:cs="Arial"/>
                <w:sz w:val="18"/>
                <w:szCs w:val="18"/>
              </w:rPr>
            </w:pPr>
            <w:r w:rsidRPr="009C1626">
              <w:rPr>
                <w:rFonts w:ascii="Arial" w:hAnsi="Arial" w:cs="Arial"/>
                <w:sz w:val="18"/>
                <w:szCs w:val="18"/>
              </w:rPr>
              <w:t xml:space="preserve">a. MNE Skupina v Kvalificiranem poročilu </w:t>
            </w:r>
            <w:proofErr w:type="spellStart"/>
            <w:r w:rsidRPr="009C1626">
              <w:rPr>
                <w:rFonts w:ascii="Arial" w:hAnsi="Arial" w:cs="Arial"/>
                <w:sz w:val="18"/>
                <w:szCs w:val="18"/>
              </w:rPr>
              <w:t>CbC</w:t>
            </w:r>
            <w:proofErr w:type="spellEnd"/>
            <w:r w:rsidRPr="009C1626">
              <w:rPr>
                <w:rFonts w:ascii="Arial" w:hAnsi="Arial" w:cs="Arial"/>
                <w:sz w:val="18"/>
                <w:szCs w:val="18"/>
              </w:rPr>
              <w:t xml:space="preserve"> za fiskalno leto poroča o skupnih prihodkih, ki so manjši od 10 milijonov evrov in Dobičku (Izgubi) pred obdavčitvijo, ki je manjši od 1 milijon evrov v tej jurisdikciji; ali</w:t>
            </w:r>
            <w:r w:rsidRPr="009C1626">
              <w:rPr>
                <w:rFonts w:ascii="Arial" w:hAnsi="Arial" w:cs="Arial"/>
                <w:sz w:val="18"/>
                <w:szCs w:val="18"/>
              </w:rPr>
              <w:br/>
              <w:t>b. ima MNE Skupina poenostavljeno ETR, ki je enaka ali večja od prehodne stopnje v tej jurisdikciji za fiskalno leto; ali</w:t>
            </w:r>
            <w:r w:rsidRPr="009C1626">
              <w:rPr>
                <w:rFonts w:ascii="Arial" w:hAnsi="Arial" w:cs="Arial"/>
                <w:sz w:val="18"/>
                <w:szCs w:val="18"/>
              </w:rPr>
              <w:br/>
              <w:t xml:space="preserve">c. Dobiček (Izguba) pred obdavčitvijo MNE skupine v tej jurisdikciji je enak ali manjši od zneska vsebinske izključitve dohodka za Subjekte v sestavi v tej jurisdikciji v okviru </w:t>
            </w:r>
            <w:proofErr w:type="spellStart"/>
            <w:r w:rsidRPr="009C1626">
              <w:rPr>
                <w:rFonts w:ascii="Arial" w:hAnsi="Arial" w:cs="Arial"/>
                <w:sz w:val="18"/>
                <w:szCs w:val="18"/>
              </w:rPr>
              <w:t>CbCR</w:t>
            </w:r>
            <w:proofErr w:type="spellEnd"/>
            <w:r w:rsidRPr="009C1626">
              <w:rPr>
                <w:rFonts w:ascii="Arial" w:hAnsi="Arial" w:cs="Arial"/>
                <w:sz w:val="18"/>
                <w:szCs w:val="18"/>
              </w:rPr>
              <w:t xml:space="preserve">, kot je izračunano v skladu z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pravili.</w:t>
            </w:r>
          </w:p>
        </w:tc>
      </w:tr>
      <w:tr w:rsidR="009C1626" w:rsidRPr="009C1626" w14:paraId="5C5BD435" w14:textId="77777777" w:rsidTr="002426D1">
        <w:trPr>
          <w:trHeight w:val="1200"/>
        </w:trPr>
        <w:tc>
          <w:tcPr>
            <w:tcW w:w="1271" w:type="dxa"/>
            <w:noWrap/>
            <w:hideMark/>
          </w:tcPr>
          <w:p w14:paraId="04CA6540" w14:textId="77777777" w:rsidR="009C1626" w:rsidRPr="009C1626" w:rsidRDefault="009C1626" w:rsidP="009C1626">
            <w:pPr>
              <w:rPr>
                <w:rFonts w:ascii="Arial" w:hAnsi="Arial" w:cs="Arial"/>
                <w:sz w:val="18"/>
                <w:szCs w:val="18"/>
              </w:rPr>
            </w:pPr>
            <w:r w:rsidRPr="009C1626">
              <w:rPr>
                <w:rFonts w:ascii="Arial" w:hAnsi="Arial" w:cs="Arial"/>
                <w:sz w:val="18"/>
                <w:szCs w:val="18"/>
              </w:rPr>
              <w:t>2.2.1.3.(a) 1</w:t>
            </w:r>
          </w:p>
        </w:tc>
        <w:tc>
          <w:tcPr>
            <w:tcW w:w="1943" w:type="dxa"/>
            <w:noWrap/>
            <w:hideMark/>
          </w:tcPr>
          <w:p w14:paraId="639AFA27"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Skupni prihodki </w:t>
            </w:r>
          </w:p>
        </w:tc>
        <w:tc>
          <w:tcPr>
            <w:tcW w:w="5846" w:type="dxa"/>
            <w:hideMark/>
          </w:tcPr>
          <w:p w14:paraId="4B7B82F5"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Če je izbrana možnost (e) v rubriki 2.2.1.1.1, mora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poročati o skupnih prihodkih za to </w:t>
            </w:r>
            <w:r w:rsidR="002426D1" w:rsidRPr="009C1626">
              <w:rPr>
                <w:rFonts w:ascii="Arial" w:hAnsi="Arial" w:cs="Arial"/>
                <w:sz w:val="18"/>
                <w:szCs w:val="18"/>
              </w:rPr>
              <w:t>jurisdikcijo</w:t>
            </w:r>
            <w:r w:rsidRPr="009C1626">
              <w:rPr>
                <w:rFonts w:ascii="Arial" w:hAnsi="Arial" w:cs="Arial"/>
                <w:sz w:val="18"/>
                <w:szCs w:val="18"/>
              </w:rPr>
              <w:t xml:space="preserve">, kot so navedeni v Kvalificiranem poročilu </w:t>
            </w:r>
            <w:proofErr w:type="spellStart"/>
            <w:r w:rsidRPr="009C1626">
              <w:rPr>
                <w:rFonts w:ascii="Arial" w:hAnsi="Arial" w:cs="Arial"/>
                <w:sz w:val="18"/>
                <w:szCs w:val="18"/>
              </w:rPr>
              <w:t>CbC</w:t>
            </w:r>
            <w:proofErr w:type="spellEnd"/>
            <w:r w:rsidRPr="009C1626">
              <w:rPr>
                <w:rFonts w:ascii="Arial" w:hAnsi="Arial" w:cs="Arial"/>
                <w:sz w:val="18"/>
                <w:szCs w:val="18"/>
              </w:rPr>
              <w:t xml:space="preserve"> skupine MNE (ali Kvalificiranih računovodskih izkazih članov JV skupin) za poročevalsko davčno leto. Možnost (e) ni mogoče izbrati, če </w:t>
            </w:r>
            <w:r w:rsidR="00D00AAF">
              <w:rPr>
                <w:rFonts w:ascii="Arial" w:hAnsi="Arial" w:cs="Arial"/>
                <w:sz w:val="18"/>
                <w:szCs w:val="18"/>
              </w:rPr>
              <w:t>j</w:t>
            </w:r>
            <w:r w:rsidRPr="009C1626">
              <w:rPr>
                <w:rFonts w:ascii="Arial" w:hAnsi="Arial" w:cs="Arial"/>
                <w:sz w:val="18"/>
                <w:szCs w:val="18"/>
              </w:rPr>
              <w:t xml:space="preserve">e vsota skupnih prihodkov subjektov, ki so naprodaj, v kombinaciji s Skupnimi prihodki </w:t>
            </w:r>
            <w:proofErr w:type="spellStart"/>
            <w:r w:rsidRPr="009C1626">
              <w:rPr>
                <w:rFonts w:ascii="Arial" w:hAnsi="Arial" w:cs="Arial"/>
                <w:sz w:val="18"/>
                <w:szCs w:val="18"/>
              </w:rPr>
              <w:t>CbCR</w:t>
            </w:r>
            <w:proofErr w:type="spellEnd"/>
            <w:r w:rsidRPr="009C1626">
              <w:rPr>
                <w:rFonts w:ascii="Arial" w:hAnsi="Arial" w:cs="Arial"/>
                <w:sz w:val="18"/>
                <w:szCs w:val="18"/>
              </w:rPr>
              <w:t xml:space="preserve"> v tej jurisdikciji (kot so navedeni v Kvalificiranem poročilu </w:t>
            </w:r>
            <w:proofErr w:type="spellStart"/>
            <w:r w:rsidRPr="009C1626">
              <w:rPr>
                <w:rFonts w:ascii="Arial" w:hAnsi="Arial" w:cs="Arial"/>
                <w:sz w:val="18"/>
                <w:szCs w:val="18"/>
              </w:rPr>
              <w:t>CbC</w:t>
            </w:r>
            <w:proofErr w:type="spellEnd"/>
            <w:r w:rsidRPr="009C1626">
              <w:rPr>
                <w:rFonts w:ascii="Arial" w:hAnsi="Arial" w:cs="Arial"/>
                <w:sz w:val="18"/>
                <w:szCs w:val="18"/>
              </w:rPr>
              <w:t xml:space="preserve"> MNE), enak</w:t>
            </w:r>
            <w:r w:rsidR="00D00AAF">
              <w:rPr>
                <w:rFonts w:ascii="Arial" w:hAnsi="Arial" w:cs="Arial"/>
                <w:sz w:val="18"/>
                <w:szCs w:val="18"/>
              </w:rPr>
              <w:t>a</w:t>
            </w:r>
            <w:r w:rsidRPr="009C1626">
              <w:rPr>
                <w:rFonts w:ascii="Arial" w:hAnsi="Arial" w:cs="Arial"/>
                <w:sz w:val="18"/>
                <w:szCs w:val="18"/>
              </w:rPr>
              <w:t xml:space="preserve"> ali presega 10 milijonov evrov.</w:t>
            </w:r>
          </w:p>
        </w:tc>
      </w:tr>
      <w:tr w:rsidR="009C1626" w:rsidRPr="009C1626" w14:paraId="396AFA2B" w14:textId="77777777" w:rsidTr="002426D1">
        <w:trPr>
          <w:trHeight w:val="1800"/>
        </w:trPr>
        <w:tc>
          <w:tcPr>
            <w:tcW w:w="1271" w:type="dxa"/>
            <w:noWrap/>
            <w:hideMark/>
          </w:tcPr>
          <w:p w14:paraId="49E8E1F9" w14:textId="77777777" w:rsidR="009C1626" w:rsidRPr="009C1626" w:rsidRDefault="009C1626" w:rsidP="009C1626">
            <w:pPr>
              <w:rPr>
                <w:rFonts w:ascii="Arial" w:hAnsi="Arial" w:cs="Arial"/>
                <w:sz w:val="18"/>
                <w:szCs w:val="18"/>
              </w:rPr>
            </w:pPr>
            <w:r w:rsidRPr="009C1626">
              <w:rPr>
                <w:rFonts w:ascii="Arial" w:hAnsi="Arial" w:cs="Arial"/>
                <w:sz w:val="18"/>
                <w:szCs w:val="18"/>
              </w:rPr>
              <w:t>2.2.1.3.(a) 2</w:t>
            </w:r>
          </w:p>
        </w:tc>
        <w:tc>
          <w:tcPr>
            <w:tcW w:w="1943" w:type="dxa"/>
            <w:noWrap/>
            <w:hideMark/>
          </w:tcPr>
          <w:p w14:paraId="0631FCCE" w14:textId="77777777" w:rsidR="009C1626" w:rsidRPr="009C1626" w:rsidRDefault="009C1626" w:rsidP="009C1626">
            <w:pPr>
              <w:rPr>
                <w:rFonts w:ascii="Arial" w:hAnsi="Arial" w:cs="Arial"/>
                <w:sz w:val="18"/>
                <w:szCs w:val="18"/>
              </w:rPr>
            </w:pPr>
            <w:r w:rsidRPr="009C1626">
              <w:rPr>
                <w:rFonts w:ascii="Arial" w:hAnsi="Arial" w:cs="Arial"/>
                <w:sz w:val="18"/>
                <w:szCs w:val="18"/>
              </w:rPr>
              <w:t>Dobiček (Izguba) pred davkom</w:t>
            </w:r>
          </w:p>
        </w:tc>
        <w:tc>
          <w:tcPr>
            <w:tcW w:w="5846" w:type="dxa"/>
            <w:hideMark/>
          </w:tcPr>
          <w:p w14:paraId="46BC1B2A"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Če je izbrana možnost (e), (f) ali (g) v 2.2.1.1.1, mora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poročati o dobičku (izgubi) pred obdavčitvijo za to jurisdikcijo, kot je navedeno v Kvalificiranem poročilu </w:t>
            </w:r>
            <w:proofErr w:type="spellStart"/>
            <w:r w:rsidRPr="009C1626">
              <w:rPr>
                <w:rFonts w:ascii="Arial" w:hAnsi="Arial" w:cs="Arial"/>
                <w:sz w:val="18"/>
                <w:szCs w:val="18"/>
              </w:rPr>
              <w:t>CbC</w:t>
            </w:r>
            <w:proofErr w:type="spellEnd"/>
            <w:r w:rsidRPr="009C1626">
              <w:rPr>
                <w:rFonts w:ascii="Arial" w:hAnsi="Arial" w:cs="Arial"/>
                <w:sz w:val="18"/>
                <w:szCs w:val="18"/>
              </w:rPr>
              <w:t xml:space="preserve"> skupine MNE (ali Kvalificiranih računovodskih izkazov članov JV skupin) za poročevalsko davčno leto in v skladu z metodologijami, določenimi v dokumentu o varnih pristanih in dokumentu o olajšavah pri kaznovanju.</w:t>
            </w:r>
          </w:p>
        </w:tc>
      </w:tr>
      <w:tr w:rsidR="009C1626" w:rsidRPr="009C1626" w14:paraId="095FCB00" w14:textId="77777777" w:rsidTr="002426D1">
        <w:trPr>
          <w:trHeight w:val="1045"/>
        </w:trPr>
        <w:tc>
          <w:tcPr>
            <w:tcW w:w="1271" w:type="dxa"/>
            <w:noWrap/>
            <w:hideMark/>
          </w:tcPr>
          <w:p w14:paraId="580C0A47" w14:textId="77777777" w:rsidR="009C1626" w:rsidRPr="009C1626" w:rsidRDefault="009C1626" w:rsidP="009C1626">
            <w:pPr>
              <w:rPr>
                <w:rFonts w:ascii="Arial" w:hAnsi="Arial" w:cs="Arial"/>
                <w:sz w:val="18"/>
                <w:szCs w:val="18"/>
              </w:rPr>
            </w:pPr>
            <w:r w:rsidRPr="009C1626">
              <w:rPr>
                <w:rFonts w:ascii="Arial" w:hAnsi="Arial" w:cs="Arial"/>
                <w:sz w:val="18"/>
                <w:szCs w:val="18"/>
              </w:rPr>
              <w:t>2.2.1.3.(a) 3</w:t>
            </w:r>
          </w:p>
        </w:tc>
        <w:tc>
          <w:tcPr>
            <w:tcW w:w="1943" w:type="dxa"/>
            <w:noWrap/>
            <w:hideMark/>
          </w:tcPr>
          <w:p w14:paraId="60F32AA5" w14:textId="77777777" w:rsidR="009C1626" w:rsidRPr="009C1626" w:rsidRDefault="009C1626" w:rsidP="009C1626">
            <w:pPr>
              <w:rPr>
                <w:rFonts w:ascii="Arial" w:hAnsi="Arial" w:cs="Arial"/>
                <w:sz w:val="18"/>
                <w:szCs w:val="18"/>
              </w:rPr>
            </w:pPr>
            <w:r w:rsidRPr="009C1626">
              <w:rPr>
                <w:rFonts w:ascii="Arial" w:hAnsi="Arial" w:cs="Arial"/>
                <w:sz w:val="18"/>
                <w:szCs w:val="18"/>
              </w:rPr>
              <w:t>Poenostavljeni zajeti davki</w:t>
            </w:r>
          </w:p>
        </w:tc>
        <w:tc>
          <w:tcPr>
            <w:tcW w:w="5846" w:type="dxa"/>
            <w:hideMark/>
          </w:tcPr>
          <w:p w14:paraId="6BB7E883"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Če je izbrana možnost (f) v 2.2.1.1.1, mora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poročati o Poenostavljenih Zajetih davkih ustreznih Subjektov v sestavi ali članov skupin Skupnega podviga, kot je določeno v dokumentu o varnih pristanih in dokumentu o olajšavah pri kaznovanju, za poročevalsko davčno leto.</w:t>
            </w:r>
          </w:p>
        </w:tc>
      </w:tr>
      <w:tr w:rsidR="009C1626" w:rsidRPr="009C1626" w14:paraId="615915C5" w14:textId="77777777" w:rsidTr="002426D1">
        <w:trPr>
          <w:trHeight w:val="600"/>
        </w:trPr>
        <w:tc>
          <w:tcPr>
            <w:tcW w:w="1271" w:type="dxa"/>
            <w:noWrap/>
            <w:hideMark/>
          </w:tcPr>
          <w:p w14:paraId="3AFB7792" w14:textId="77777777" w:rsidR="009C1626" w:rsidRPr="009C1626" w:rsidRDefault="009C1626" w:rsidP="009C1626">
            <w:pPr>
              <w:rPr>
                <w:rFonts w:ascii="Arial" w:hAnsi="Arial" w:cs="Arial"/>
                <w:sz w:val="18"/>
                <w:szCs w:val="18"/>
              </w:rPr>
            </w:pPr>
            <w:r w:rsidRPr="009C1626">
              <w:rPr>
                <w:rFonts w:ascii="Arial" w:hAnsi="Arial" w:cs="Arial"/>
                <w:sz w:val="18"/>
                <w:szCs w:val="18"/>
              </w:rPr>
              <w:t>2.2.1.3.(b)</w:t>
            </w:r>
          </w:p>
        </w:tc>
        <w:tc>
          <w:tcPr>
            <w:tcW w:w="1943" w:type="dxa"/>
            <w:noWrap/>
            <w:hideMark/>
          </w:tcPr>
          <w:p w14:paraId="5C26FB32" w14:textId="77777777" w:rsidR="009C1626" w:rsidRPr="009C1626" w:rsidRDefault="009C1626" w:rsidP="009C1626">
            <w:pPr>
              <w:rPr>
                <w:rFonts w:ascii="Arial" w:hAnsi="Arial" w:cs="Arial"/>
                <w:sz w:val="18"/>
                <w:szCs w:val="18"/>
              </w:rPr>
            </w:pPr>
            <w:r w:rsidRPr="009C1626">
              <w:rPr>
                <w:rFonts w:ascii="Arial" w:hAnsi="Arial" w:cs="Arial"/>
                <w:sz w:val="18"/>
                <w:szCs w:val="18"/>
              </w:rPr>
              <w:t>Prehodni UTPR varni pristan</w:t>
            </w:r>
          </w:p>
        </w:tc>
        <w:tc>
          <w:tcPr>
            <w:tcW w:w="5846" w:type="dxa"/>
            <w:noWrap/>
            <w:hideMark/>
          </w:tcPr>
          <w:p w14:paraId="5E7FA13A" w14:textId="77777777" w:rsidR="009C1626" w:rsidRPr="009C1626" w:rsidRDefault="009C1626" w:rsidP="009C1626">
            <w:pPr>
              <w:rPr>
                <w:rFonts w:ascii="Arial" w:hAnsi="Arial" w:cs="Arial"/>
                <w:sz w:val="18"/>
                <w:szCs w:val="18"/>
              </w:rPr>
            </w:pPr>
            <w:r w:rsidRPr="009C1626">
              <w:rPr>
                <w:rFonts w:ascii="Arial" w:hAnsi="Arial" w:cs="Arial"/>
                <w:sz w:val="18"/>
                <w:szCs w:val="18"/>
              </w:rPr>
              <w:t> </w:t>
            </w:r>
          </w:p>
        </w:tc>
      </w:tr>
      <w:tr w:rsidR="009C1626" w:rsidRPr="009C1626" w14:paraId="000E2630" w14:textId="77777777" w:rsidTr="002426D1">
        <w:trPr>
          <w:trHeight w:val="600"/>
        </w:trPr>
        <w:tc>
          <w:tcPr>
            <w:tcW w:w="1271" w:type="dxa"/>
            <w:noWrap/>
            <w:hideMark/>
          </w:tcPr>
          <w:p w14:paraId="31A50F64" w14:textId="77777777" w:rsidR="009C1626" w:rsidRPr="009C1626" w:rsidRDefault="009C1626" w:rsidP="009C1626">
            <w:pPr>
              <w:rPr>
                <w:rFonts w:ascii="Arial" w:hAnsi="Arial" w:cs="Arial"/>
                <w:sz w:val="18"/>
                <w:szCs w:val="18"/>
              </w:rPr>
            </w:pPr>
            <w:r w:rsidRPr="009C1626">
              <w:rPr>
                <w:rFonts w:ascii="Arial" w:hAnsi="Arial" w:cs="Arial"/>
                <w:sz w:val="18"/>
                <w:szCs w:val="18"/>
              </w:rPr>
              <w:t>2.2.1.3.(b) 1</w:t>
            </w:r>
          </w:p>
        </w:tc>
        <w:tc>
          <w:tcPr>
            <w:tcW w:w="1943" w:type="dxa"/>
            <w:noWrap/>
            <w:hideMark/>
          </w:tcPr>
          <w:p w14:paraId="244C4D97" w14:textId="77777777" w:rsidR="009C1626" w:rsidRPr="009C1626" w:rsidRDefault="009C1626" w:rsidP="009C1626">
            <w:pPr>
              <w:rPr>
                <w:rFonts w:ascii="Arial" w:hAnsi="Arial" w:cs="Arial"/>
                <w:sz w:val="18"/>
                <w:szCs w:val="18"/>
              </w:rPr>
            </w:pPr>
            <w:r w:rsidRPr="009C1626">
              <w:rPr>
                <w:rFonts w:ascii="Arial" w:hAnsi="Arial" w:cs="Arial"/>
                <w:sz w:val="18"/>
                <w:szCs w:val="18"/>
              </w:rPr>
              <w:t>Davčna stopnja davka od dohodkov pravnih oseb</w:t>
            </w:r>
          </w:p>
        </w:tc>
        <w:tc>
          <w:tcPr>
            <w:tcW w:w="5846" w:type="dxa"/>
            <w:hideMark/>
          </w:tcPr>
          <w:p w14:paraId="1E4960AA"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Če je izbrana možnost (h) v 2.2.1.1.1, mora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poročati o stopnji davka od dobička pravne osebe v pristojnosti Krovnega matičnega subjekta (UPE) v skladu z dogovorjenim varnim pristanom.</w:t>
            </w:r>
          </w:p>
        </w:tc>
      </w:tr>
      <w:tr w:rsidR="009C1626" w:rsidRPr="009C1626" w14:paraId="09F29580" w14:textId="77777777" w:rsidTr="002426D1">
        <w:trPr>
          <w:trHeight w:val="2100"/>
        </w:trPr>
        <w:tc>
          <w:tcPr>
            <w:tcW w:w="1271" w:type="dxa"/>
            <w:noWrap/>
            <w:hideMark/>
          </w:tcPr>
          <w:p w14:paraId="39DBBD67" w14:textId="77777777" w:rsidR="009C1626" w:rsidRPr="009C1626" w:rsidRDefault="009C1626" w:rsidP="009C1626">
            <w:pPr>
              <w:rPr>
                <w:rFonts w:ascii="Arial" w:hAnsi="Arial" w:cs="Arial"/>
                <w:sz w:val="18"/>
                <w:szCs w:val="18"/>
              </w:rPr>
            </w:pPr>
            <w:r w:rsidRPr="009C1626">
              <w:rPr>
                <w:rFonts w:ascii="Arial" w:hAnsi="Arial" w:cs="Arial"/>
                <w:sz w:val="18"/>
                <w:szCs w:val="18"/>
              </w:rPr>
              <w:t>2.2.2.</w:t>
            </w:r>
          </w:p>
        </w:tc>
        <w:tc>
          <w:tcPr>
            <w:tcW w:w="1943" w:type="dxa"/>
            <w:noWrap/>
            <w:hideMark/>
          </w:tcPr>
          <w:p w14:paraId="3DFDFA93"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Izbira izključitve po načelu "de </w:t>
            </w:r>
            <w:proofErr w:type="spellStart"/>
            <w:r w:rsidRPr="009C1626">
              <w:rPr>
                <w:rFonts w:ascii="Arial" w:hAnsi="Arial" w:cs="Arial"/>
                <w:sz w:val="18"/>
                <w:szCs w:val="18"/>
              </w:rPr>
              <w:t>minimis</w:t>
            </w:r>
            <w:proofErr w:type="spellEnd"/>
            <w:r w:rsidRPr="009C1626">
              <w:rPr>
                <w:rFonts w:ascii="Arial" w:hAnsi="Arial" w:cs="Arial"/>
                <w:sz w:val="18"/>
                <w:szCs w:val="18"/>
              </w:rPr>
              <w:t>"</w:t>
            </w:r>
          </w:p>
        </w:tc>
        <w:tc>
          <w:tcPr>
            <w:tcW w:w="5846" w:type="dxa"/>
            <w:hideMark/>
          </w:tcPr>
          <w:p w14:paraId="5382BEEE" w14:textId="77777777" w:rsidR="00D00AAF" w:rsidRDefault="009C1626" w:rsidP="00D00AAF">
            <w:pPr>
              <w:jc w:val="both"/>
              <w:rPr>
                <w:rFonts w:ascii="Arial" w:hAnsi="Arial" w:cs="Arial"/>
                <w:sz w:val="18"/>
                <w:szCs w:val="18"/>
              </w:rPr>
            </w:pPr>
            <w:r w:rsidRPr="009C1626">
              <w:rPr>
                <w:rFonts w:ascii="Arial" w:hAnsi="Arial" w:cs="Arial"/>
                <w:sz w:val="18"/>
                <w:szCs w:val="18"/>
              </w:rPr>
              <w:t>Investicijski subjekti in Subjekti</w:t>
            </w:r>
            <w:r w:rsidR="002426D1">
              <w:rPr>
                <w:rFonts w:ascii="Arial" w:hAnsi="Arial" w:cs="Arial"/>
                <w:sz w:val="18"/>
                <w:szCs w:val="18"/>
              </w:rPr>
              <w:t xml:space="preserve"> </w:t>
            </w:r>
            <w:r w:rsidR="002426D1" w:rsidRPr="009C1626">
              <w:rPr>
                <w:rFonts w:ascii="Arial" w:hAnsi="Arial" w:cs="Arial"/>
                <w:sz w:val="18"/>
                <w:szCs w:val="18"/>
              </w:rPr>
              <w:t xml:space="preserve">v sestavi </w:t>
            </w:r>
            <w:r w:rsidR="002426D1">
              <w:rPr>
                <w:rFonts w:ascii="Arial" w:hAnsi="Arial" w:cs="Arial"/>
                <w:sz w:val="18"/>
                <w:szCs w:val="18"/>
              </w:rPr>
              <w:t>brez države</w:t>
            </w:r>
            <w:r w:rsidRPr="009C1626">
              <w:rPr>
                <w:rFonts w:ascii="Arial" w:hAnsi="Arial" w:cs="Arial"/>
                <w:sz w:val="18"/>
                <w:szCs w:val="18"/>
              </w:rPr>
              <w:t xml:space="preserve"> niso upravičeni do izjeme de </w:t>
            </w:r>
            <w:proofErr w:type="spellStart"/>
            <w:r w:rsidRPr="009C1626">
              <w:rPr>
                <w:rFonts w:ascii="Arial" w:hAnsi="Arial" w:cs="Arial"/>
                <w:sz w:val="18"/>
                <w:szCs w:val="18"/>
              </w:rPr>
              <w:t>minimis</w:t>
            </w:r>
            <w:proofErr w:type="spellEnd"/>
            <w:r w:rsidRPr="009C1626">
              <w:rPr>
                <w:rFonts w:ascii="Arial" w:hAnsi="Arial" w:cs="Arial"/>
                <w:sz w:val="18"/>
                <w:szCs w:val="18"/>
              </w:rPr>
              <w:t xml:space="preserve">.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prihodki in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dobiček ali izguba obeh vrst subjektov so </w:t>
            </w:r>
            <w:r w:rsidR="00CC7C4C">
              <w:rPr>
                <w:rFonts w:ascii="Arial" w:hAnsi="Arial" w:cs="Arial"/>
                <w:sz w:val="18"/>
                <w:szCs w:val="18"/>
              </w:rPr>
              <w:t>po šestem odstavku 41. člena ZMD</w:t>
            </w:r>
            <w:r w:rsidR="00CC7C4C" w:rsidRPr="009C1626">
              <w:rPr>
                <w:rFonts w:ascii="Arial" w:hAnsi="Arial" w:cs="Arial"/>
                <w:sz w:val="18"/>
                <w:szCs w:val="18"/>
              </w:rPr>
              <w:t xml:space="preserve"> </w:t>
            </w:r>
            <w:r w:rsidRPr="009C1626">
              <w:rPr>
                <w:rFonts w:ascii="Arial" w:hAnsi="Arial" w:cs="Arial"/>
                <w:sz w:val="18"/>
                <w:szCs w:val="18"/>
              </w:rPr>
              <w:t>izključeni iz izračuna</w:t>
            </w:r>
            <w:r w:rsidR="00CC7C4C">
              <w:rPr>
                <w:rFonts w:ascii="Arial" w:hAnsi="Arial" w:cs="Arial"/>
                <w:sz w:val="18"/>
                <w:szCs w:val="18"/>
              </w:rPr>
              <w:t xml:space="preserve"> po tretjem odstavku 41. člena ZMD</w:t>
            </w:r>
            <w:r w:rsidRPr="009C1626">
              <w:rPr>
                <w:rFonts w:ascii="Arial" w:hAnsi="Arial" w:cs="Arial"/>
                <w:sz w:val="18"/>
                <w:szCs w:val="18"/>
              </w:rPr>
              <w:t xml:space="preserve"> </w:t>
            </w:r>
            <w:r w:rsidR="00CC7C4C">
              <w:rPr>
                <w:rFonts w:ascii="Arial" w:hAnsi="Arial" w:cs="Arial"/>
                <w:sz w:val="18"/>
                <w:szCs w:val="18"/>
              </w:rPr>
              <w:t>(člen 5.5.3. vzorčnih pravil)</w:t>
            </w:r>
            <w:r w:rsidRPr="009C1626">
              <w:rPr>
                <w:rFonts w:ascii="Arial" w:hAnsi="Arial" w:cs="Arial"/>
                <w:sz w:val="18"/>
                <w:szCs w:val="18"/>
              </w:rPr>
              <w:t xml:space="preserve">. </w:t>
            </w:r>
          </w:p>
          <w:p w14:paraId="59E38F05" w14:textId="3D59DD13" w:rsidR="009C1626" w:rsidRPr="009C1626" w:rsidRDefault="009C1626" w:rsidP="00D00AAF">
            <w:pPr>
              <w:jc w:val="both"/>
              <w:rPr>
                <w:rFonts w:ascii="Arial" w:hAnsi="Arial" w:cs="Arial"/>
                <w:sz w:val="18"/>
                <w:szCs w:val="18"/>
              </w:rPr>
            </w:pPr>
            <w:proofErr w:type="spellStart"/>
            <w:r w:rsidRPr="009C1626">
              <w:rPr>
                <w:rFonts w:ascii="Arial" w:hAnsi="Arial" w:cs="Arial"/>
                <w:sz w:val="18"/>
                <w:szCs w:val="18"/>
              </w:rPr>
              <w:t>GloBE</w:t>
            </w:r>
            <w:proofErr w:type="spellEnd"/>
            <w:r w:rsidRPr="009C1626">
              <w:rPr>
                <w:rFonts w:ascii="Arial" w:hAnsi="Arial" w:cs="Arial"/>
                <w:sz w:val="18"/>
                <w:szCs w:val="18"/>
              </w:rPr>
              <w:t xml:space="preserve"> prihodki in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dobiček ali izguba Subjektov v sestavi v manjšinski </w:t>
            </w:r>
            <w:r w:rsidR="002426D1">
              <w:rPr>
                <w:rFonts w:ascii="Arial" w:hAnsi="Arial" w:cs="Arial"/>
                <w:sz w:val="18"/>
                <w:szCs w:val="18"/>
              </w:rPr>
              <w:t>lasti</w:t>
            </w:r>
            <w:r w:rsidRPr="009C1626">
              <w:rPr>
                <w:rFonts w:ascii="Arial" w:hAnsi="Arial" w:cs="Arial"/>
                <w:sz w:val="18"/>
                <w:szCs w:val="18"/>
              </w:rPr>
              <w:t xml:space="preserve"> se upoštevajo skupaj z drugimi Subjekti v sestavi za namene določanja povprečnih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prihodkov in povprečnega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dobička ali izgube </w:t>
            </w:r>
            <w:r w:rsidR="002426D1" w:rsidRPr="009C1626">
              <w:rPr>
                <w:rFonts w:ascii="Arial" w:hAnsi="Arial" w:cs="Arial"/>
                <w:sz w:val="18"/>
                <w:szCs w:val="18"/>
              </w:rPr>
              <w:t>jurisdikcije</w:t>
            </w:r>
            <w:r w:rsidRPr="009C1626">
              <w:rPr>
                <w:rFonts w:ascii="Arial" w:hAnsi="Arial" w:cs="Arial"/>
                <w:sz w:val="18"/>
                <w:szCs w:val="18"/>
              </w:rPr>
              <w:t xml:space="preserve">, v kateri se nahajajo. Če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izbere uporabo izključitve de </w:t>
            </w:r>
            <w:proofErr w:type="spellStart"/>
            <w:r w:rsidRPr="009C1626">
              <w:rPr>
                <w:rFonts w:ascii="Arial" w:hAnsi="Arial" w:cs="Arial"/>
                <w:sz w:val="18"/>
                <w:szCs w:val="18"/>
              </w:rPr>
              <w:t>minimis</w:t>
            </w:r>
            <w:proofErr w:type="spellEnd"/>
            <w:r w:rsidRPr="009C1626">
              <w:rPr>
                <w:rFonts w:ascii="Arial" w:hAnsi="Arial" w:cs="Arial"/>
                <w:sz w:val="18"/>
                <w:szCs w:val="18"/>
              </w:rPr>
              <w:t xml:space="preserve"> v zvezi z jurisdikcijo, mora izpolniti razdelek 3.2.4.6</w:t>
            </w:r>
            <w:r w:rsidR="009D1465">
              <w:rPr>
                <w:rFonts w:ascii="Arial" w:hAnsi="Arial" w:cs="Arial"/>
                <w:sz w:val="18"/>
                <w:szCs w:val="18"/>
              </w:rPr>
              <w:t xml:space="preserve"> Drugi računovodski standard</w:t>
            </w:r>
            <w:r w:rsidRPr="009C1626">
              <w:rPr>
                <w:rFonts w:ascii="Arial" w:hAnsi="Arial" w:cs="Arial"/>
                <w:sz w:val="18"/>
                <w:szCs w:val="18"/>
              </w:rPr>
              <w:t xml:space="preserve"> (če je uporabljivo) in razdelek 3.3.3 </w:t>
            </w:r>
            <w:r w:rsidR="009D1465">
              <w:rPr>
                <w:rFonts w:ascii="Arial" w:hAnsi="Arial" w:cs="Arial"/>
                <w:sz w:val="18"/>
                <w:szCs w:val="18"/>
              </w:rPr>
              <w:t>D</w:t>
            </w:r>
            <w:r w:rsidRPr="009C1626">
              <w:rPr>
                <w:rFonts w:ascii="Arial" w:hAnsi="Arial" w:cs="Arial"/>
                <w:sz w:val="18"/>
                <w:szCs w:val="18"/>
              </w:rPr>
              <w:t>odatni</w:t>
            </w:r>
            <w:r w:rsidR="009D1465">
              <w:rPr>
                <w:rFonts w:ascii="Arial" w:hAnsi="Arial" w:cs="Arial"/>
                <w:sz w:val="18"/>
                <w:szCs w:val="18"/>
              </w:rPr>
              <w:t xml:space="preserve"> tekoči</w:t>
            </w:r>
            <w:r w:rsidRPr="009C1626">
              <w:rPr>
                <w:rFonts w:ascii="Arial" w:hAnsi="Arial" w:cs="Arial"/>
                <w:sz w:val="18"/>
                <w:szCs w:val="18"/>
              </w:rPr>
              <w:t xml:space="preserve"> povrhnji davek za to jurisdikcijo.</w:t>
            </w:r>
          </w:p>
        </w:tc>
      </w:tr>
      <w:tr w:rsidR="009C1626" w:rsidRPr="009C1626" w14:paraId="0D140166" w14:textId="77777777" w:rsidTr="002426D1">
        <w:trPr>
          <w:trHeight w:val="600"/>
        </w:trPr>
        <w:tc>
          <w:tcPr>
            <w:tcW w:w="1271" w:type="dxa"/>
            <w:noWrap/>
            <w:hideMark/>
          </w:tcPr>
          <w:p w14:paraId="3A5E0B71" w14:textId="77777777" w:rsidR="009C1626" w:rsidRPr="009C1626" w:rsidRDefault="009C1626" w:rsidP="009C1626">
            <w:pPr>
              <w:rPr>
                <w:rFonts w:ascii="Arial" w:hAnsi="Arial" w:cs="Arial"/>
                <w:sz w:val="18"/>
                <w:szCs w:val="18"/>
              </w:rPr>
            </w:pPr>
            <w:r w:rsidRPr="009C1626">
              <w:rPr>
                <w:rFonts w:ascii="Arial" w:hAnsi="Arial" w:cs="Arial"/>
                <w:sz w:val="18"/>
                <w:szCs w:val="18"/>
              </w:rPr>
              <w:t>2.2.2.1.</w:t>
            </w:r>
          </w:p>
        </w:tc>
        <w:tc>
          <w:tcPr>
            <w:tcW w:w="1943" w:type="dxa"/>
            <w:noWrap/>
            <w:hideMark/>
          </w:tcPr>
          <w:p w14:paraId="44E9D3E1" w14:textId="77777777" w:rsidR="009C1626" w:rsidRPr="009C1626" w:rsidRDefault="009C1626" w:rsidP="009C1626">
            <w:pPr>
              <w:rPr>
                <w:rFonts w:ascii="Arial" w:hAnsi="Arial" w:cs="Arial"/>
                <w:sz w:val="18"/>
                <w:szCs w:val="18"/>
              </w:rPr>
            </w:pPr>
            <w:r w:rsidRPr="009C1626">
              <w:rPr>
                <w:rFonts w:ascii="Arial" w:hAnsi="Arial" w:cs="Arial"/>
                <w:sz w:val="18"/>
                <w:szCs w:val="18"/>
              </w:rPr>
              <w:t>Prihodki</w:t>
            </w:r>
          </w:p>
        </w:tc>
        <w:tc>
          <w:tcPr>
            <w:tcW w:w="5846" w:type="dxa"/>
            <w:hideMark/>
          </w:tcPr>
          <w:p w14:paraId="597232CE"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vsoto prihodkov Subjektov v sestavi ali članov skupin Skupnega podjema, ki se nahajajo v </w:t>
            </w:r>
            <w:r w:rsidR="002426D1" w:rsidRPr="009C1626">
              <w:rPr>
                <w:rFonts w:ascii="Arial" w:hAnsi="Arial" w:cs="Arial"/>
                <w:sz w:val="18"/>
                <w:szCs w:val="18"/>
              </w:rPr>
              <w:t>jurisdikciji</w:t>
            </w:r>
            <w:r w:rsidRPr="009C1626">
              <w:rPr>
                <w:rFonts w:ascii="Arial" w:hAnsi="Arial" w:cs="Arial"/>
                <w:sz w:val="18"/>
                <w:szCs w:val="18"/>
              </w:rPr>
              <w:t>, pred kakršnimi koli prilagoditvami v skladu s poglavjem 3.</w:t>
            </w:r>
          </w:p>
        </w:tc>
      </w:tr>
      <w:tr w:rsidR="009C1626" w:rsidRPr="009C1626" w14:paraId="4F7CE639" w14:textId="77777777" w:rsidTr="002426D1">
        <w:trPr>
          <w:trHeight w:val="600"/>
        </w:trPr>
        <w:tc>
          <w:tcPr>
            <w:tcW w:w="1271" w:type="dxa"/>
            <w:noWrap/>
            <w:hideMark/>
          </w:tcPr>
          <w:p w14:paraId="5386637F" w14:textId="77777777" w:rsidR="009C1626" w:rsidRPr="009C1626" w:rsidRDefault="009C1626" w:rsidP="009C1626">
            <w:pPr>
              <w:rPr>
                <w:rFonts w:ascii="Arial" w:hAnsi="Arial" w:cs="Arial"/>
                <w:sz w:val="18"/>
                <w:szCs w:val="18"/>
              </w:rPr>
            </w:pPr>
            <w:r w:rsidRPr="009C1626">
              <w:rPr>
                <w:rFonts w:ascii="Arial" w:hAnsi="Arial" w:cs="Arial"/>
                <w:sz w:val="18"/>
                <w:szCs w:val="18"/>
              </w:rPr>
              <w:lastRenderedPageBreak/>
              <w:t>2.2.2.2.</w:t>
            </w:r>
          </w:p>
        </w:tc>
        <w:tc>
          <w:tcPr>
            <w:tcW w:w="1943" w:type="dxa"/>
            <w:noWrap/>
            <w:hideMark/>
          </w:tcPr>
          <w:p w14:paraId="65A3D6E0"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Prihodki </w:t>
            </w:r>
            <w:proofErr w:type="spellStart"/>
            <w:r w:rsidRPr="009C1626">
              <w:rPr>
                <w:rFonts w:ascii="Arial" w:hAnsi="Arial" w:cs="Arial"/>
                <w:sz w:val="18"/>
                <w:szCs w:val="18"/>
              </w:rPr>
              <w:t>GloBE</w:t>
            </w:r>
            <w:proofErr w:type="spellEnd"/>
          </w:p>
        </w:tc>
        <w:tc>
          <w:tcPr>
            <w:tcW w:w="5846" w:type="dxa"/>
            <w:noWrap/>
            <w:hideMark/>
          </w:tcPr>
          <w:p w14:paraId="5977441D"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vsoto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prihodkov Subjektov v sestavi ali članov skupin Skupnega podjema, ki se nahajajo v </w:t>
            </w:r>
            <w:r w:rsidR="002426D1" w:rsidRPr="009C1626">
              <w:rPr>
                <w:rFonts w:ascii="Arial" w:hAnsi="Arial" w:cs="Arial"/>
                <w:sz w:val="18"/>
                <w:szCs w:val="18"/>
              </w:rPr>
              <w:t>jurisdikciji</w:t>
            </w:r>
            <w:r w:rsidR="00D00AAF">
              <w:rPr>
                <w:rFonts w:ascii="Arial" w:hAnsi="Arial" w:cs="Arial"/>
                <w:sz w:val="18"/>
                <w:szCs w:val="18"/>
              </w:rPr>
              <w:t>.</w:t>
            </w:r>
          </w:p>
        </w:tc>
      </w:tr>
      <w:tr w:rsidR="009C1626" w:rsidRPr="009C1626" w14:paraId="34BB5456" w14:textId="77777777" w:rsidTr="002426D1">
        <w:trPr>
          <w:trHeight w:val="600"/>
        </w:trPr>
        <w:tc>
          <w:tcPr>
            <w:tcW w:w="1271" w:type="dxa"/>
            <w:noWrap/>
            <w:hideMark/>
          </w:tcPr>
          <w:p w14:paraId="059902CF" w14:textId="77777777" w:rsidR="009C1626" w:rsidRPr="009C1626" w:rsidRDefault="009C1626" w:rsidP="009C1626">
            <w:pPr>
              <w:rPr>
                <w:rFonts w:ascii="Arial" w:hAnsi="Arial" w:cs="Arial"/>
                <w:sz w:val="18"/>
                <w:szCs w:val="18"/>
              </w:rPr>
            </w:pPr>
            <w:r w:rsidRPr="009C1626">
              <w:rPr>
                <w:rFonts w:ascii="Arial" w:hAnsi="Arial" w:cs="Arial"/>
                <w:sz w:val="18"/>
                <w:szCs w:val="18"/>
              </w:rPr>
              <w:t>2.2.2.3.</w:t>
            </w:r>
          </w:p>
        </w:tc>
        <w:tc>
          <w:tcPr>
            <w:tcW w:w="1943" w:type="dxa"/>
            <w:noWrap/>
            <w:hideMark/>
          </w:tcPr>
          <w:p w14:paraId="5A0D7A77" w14:textId="77777777" w:rsidR="009C1626" w:rsidRPr="009C1626" w:rsidRDefault="009C1626" w:rsidP="009C1626">
            <w:pPr>
              <w:rPr>
                <w:rFonts w:ascii="Arial" w:hAnsi="Arial" w:cs="Arial"/>
                <w:sz w:val="18"/>
                <w:szCs w:val="18"/>
              </w:rPr>
            </w:pPr>
            <w:r w:rsidRPr="009C1626">
              <w:rPr>
                <w:rFonts w:ascii="Arial" w:hAnsi="Arial" w:cs="Arial"/>
                <w:sz w:val="18"/>
                <w:szCs w:val="18"/>
              </w:rPr>
              <w:t>Neto dobiček po računovodskih standardih</w:t>
            </w:r>
          </w:p>
        </w:tc>
        <w:tc>
          <w:tcPr>
            <w:tcW w:w="5846" w:type="dxa"/>
            <w:noWrap/>
            <w:hideMark/>
          </w:tcPr>
          <w:p w14:paraId="52201B12"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skupni FANIL Subjektov v sestavi ali članov skupin Skupnega podjema, ki se nahajajo v </w:t>
            </w:r>
            <w:r w:rsidR="002426D1" w:rsidRPr="009C1626">
              <w:rPr>
                <w:rFonts w:ascii="Arial" w:hAnsi="Arial" w:cs="Arial"/>
                <w:sz w:val="18"/>
                <w:szCs w:val="18"/>
              </w:rPr>
              <w:t>jurisdikciji</w:t>
            </w:r>
            <w:r w:rsidR="00D00AAF">
              <w:rPr>
                <w:rFonts w:ascii="Arial" w:hAnsi="Arial" w:cs="Arial"/>
                <w:sz w:val="18"/>
                <w:szCs w:val="18"/>
              </w:rPr>
              <w:t>.</w:t>
            </w:r>
          </w:p>
        </w:tc>
      </w:tr>
      <w:tr w:rsidR="009C1626" w:rsidRPr="009C1626" w14:paraId="549EDB34" w14:textId="77777777" w:rsidTr="002426D1">
        <w:trPr>
          <w:trHeight w:val="600"/>
        </w:trPr>
        <w:tc>
          <w:tcPr>
            <w:tcW w:w="1271" w:type="dxa"/>
            <w:noWrap/>
            <w:hideMark/>
          </w:tcPr>
          <w:p w14:paraId="119F3612" w14:textId="77777777" w:rsidR="009C1626" w:rsidRPr="009C1626" w:rsidRDefault="009C1626" w:rsidP="009C1626">
            <w:pPr>
              <w:rPr>
                <w:rFonts w:ascii="Arial" w:hAnsi="Arial" w:cs="Arial"/>
                <w:sz w:val="18"/>
                <w:szCs w:val="18"/>
              </w:rPr>
            </w:pPr>
            <w:r w:rsidRPr="009C1626">
              <w:rPr>
                <w:rFonts w:ascii="Arial" w:hAnsi="Arial" w:cs="Arial"/>
                <w:sz w:val="18"/>
                <w:szCs w:val="18"/>
              </w:rPr>
              <w:t>2.2.2.4.</w:t>
            </w:r>
          </w:p>
        </w:tc>
        <w:tc>
          <w:tcPr>
            <w:tcW w:w="1943" w:type="dxa"/>
            <w:noWrap/>
            <w:hideMark/>
          </w:tcPr>
          <w:p w14:paraId="23EA0750"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Dobiček (izguba) </w:t>
            </w:r>
            <w:proofErr w:type="spellStart"/>
            <w:r w:rsidRPr="009C1626">
              <w:rPr>
                <w:rFonts w:ascii="Arial" w:hAnsi="Arial" w:cs="Arial"/>
                <w:sz w:val="18"/>
                <w:szCs w:val="18"/>
              </w:rPr>
              <w:t>GloBE</w:t>
            </w:r>
            <w:proofErr w:type="spellEnd"/>
          </w:p>
        </w:tc>
        <w:tc>
          <w:tcPr>
            <w:tcW w:w="5846" w:type="dxa"/>
            <w:hideMark/>
          </w:tcPr>
          <w:p w14:paraId="6427596F"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vsoto Globe dohodka ali izgube Subjektov v sestavi ali članov skupin Skupnega podjema, ki se nahajajo v </w:t>
            </w:r>
            <w:r w:rsidR="002426D1" w:rsidRPr="009C1626">
              <w:rPr>
                <w:rFonts w:ascii="Arial" w:hAnsi="Arial" w:cs="Arial"/>
                <w:sz w:val="18"/>
                <w:szCs w:val="18"/>
              </w:rPr>
              <w:t>jurisdikciji</w:t>
            </w:r>
            <w:r w:rsidR="00D00AAF">
              <w:rPr>
                <w:rFonts w:ascii="Arial" w:hAnsi="Arial" w:cs="Arial"/>
                <w:sz w:val="18"/>
                <w:szCs w:val="18"/>
              </w:rPr>
              <w:t>.</w:t>
            </w:r>
          </w:p>
        </w:tc>
      </w:tr>
      <w:tr w:rsidR="009C1626" w:rsidRPr="009C1626" w14:paraId="3E98934E" w14:textId="77777777" w:rsidTr="002426D1">
        <w:trPr>
          <w:trHeight w:val="768"/>
        </w:trPr>
        <w:tc>
          <w:tcPr>
            <w:tcW w:w="1271" w:type="dxa"/>
            <w:noWrap/>
            <w:hideMark/>
          </w:tcPr>
          <w:p w14:paraId="6D4C3899" w14:textId="77777777" w:rsidR="009C1626" w:rsidRPr="009C1626" w:rsidRDefault="009C1626" w:rsidP="009C1626">
            <w:pPr>
              <w:rPr>
                <w:rFonts w:ascii="Arial" w:hAnsi="Arial" w:cs="Arial"/>
                <w:sz w:val="18"/>
                <w:szCs w:val="18"/>
              </w:rPr>
            </w:pPr>
            <w:r w:rsidRPr="009C1626">
              <w:rPr>
                <w:rFonts w:ascii="Arial" w:hAnsi="Arial" w:cs="Arial"/>
                <w:sz w:val="18"/>
                <w:szCs w:val="18"/>
              </w:rPr>
              <w:t>2.2.2.a</w:t>
            </w:r>
          </w:p>
        </w:tc>
        <w:tc>
          <w:tcPr>
            <w:tcW w:w="1943" w:type="dxa"/>
            <w:noWrap/>
            <w:hideMark/>
          </w:tcPr>
          <w:p w14:paraId="20243634" w14:textId="77777777" w:rsidR="009C1626" w:rsidRPr="009C1626" w:rsidRDefault="009C1626" w:rsidP="009C1626">
            <w:pPr>
              <w:rPr>
                <w:rFonts w:ascii="Arial" w:hAnsi="Arial" w:cs="Arial"/>
                <w:sz w:val="18"/>
                <w:szCs w:val="18"/>
              </w:rPr>
            </w:pPr>
            <w:r w:rsidRPr="009C1626">
              <w:rPr>
                <w:rFonts w:ascii="Arial" w:hAnsi="Arial" w:cs="Arial"/>
                <w:sz w:val="18"/>
                <w:szCs w:val="18"/>
              </w:rPr>
              <w:t>Poročevalsko fiskalno leto</w:t>
            </w:r>
          </w:p>
        </w:tc>
        <w:tc>
          <w:tcPr>
            <w:tcW w:w="5846" w:type="dxa"/>
            <w:hideMark/>
          </w:tcPr>
          <w:p w14:paraId="28401CAB"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ustrezne zneske v zvezi s poročevalskim davčnim letom, prvim predhodnim davčnim letom (če je to ustrezno) in drugim predhodnim davčnim letom (če je to ustrezno), ločeno."</w:t>
            </w:r>
          </w:p>
        </w:tc>
      </w:tr>
      <w:tr w:rsidR="009C1626" w:rsidRPr="009C1626" w14:paraId="7D084BA7" w14:textId="77777777" w:rsidTr="002426D1">
        <w:trPr>
          <w:trHeight w:val="600"/>
        </w:trPr>
        <w:tc>
          <w:tcPr>
            <w:tcW w:w="1271" w:type="dxa"/>
            <w:noWrap/>
            <w:hideMark/>
          </w:tcPr>
          <w:p w14:paraId="7E57E03D" w14:textId="77777777" w:rsidR="009C1626" w:rsidRPr="009C1626" w:rsidRDefault="009C1626" w:rsidP="009C1626">
            <w:pPr>
              <w:rPr>
                <w:rFonts w:ascii="Arial" w:hAnsi="Arial" w:cs="Arial"/>
                <w:sz w:val="18"/>
                <w:szCs w:val="18"/>
              </w:rPr>
            </w:pPr>
            <w:r w:rsidRPr="009C1626">
              <w:rPr>
                <w:rFonts w:ascii="Arial" w:hAnsi="Arial" w:cs="Arial"/>
                <w:sz w:val="18"/>
                <w:szCs w:val="18"/>
              </w:rPr>
              <w:t>2.2.2.b</w:t>
            </w:r>
          </w:p>
        </w:tc>
        <w:tc>
          <w:tcPr>
            <w:tcW w:w="1943" w:type="dxa"/>
            <w:noWrap/>
            <w:hideMark/>
          </w:tcPr>
          <w:p w14:paraId="0C427A40" w14:textId="77777777" w:rsidR="009C1626" w:rsidRPr="009C1626" w:rsidRDefault="009C1626" w:rsidP="009C1626">
            <w:pPr>
              <w:rPr>
                <w:rFonts w:ascii="Arial" w:hAnsi="Arial" w:cs="Arial"/>
                <w:sz w:val="18"/>
                <w:szCs w:val="18"/>
              </w:rPr>
            </w:pPr>
            <w:r w:rsidRPr="009C1626">
              <w:rPr>
                <w:rFonts w:ascii="Arial" w:hAnsi="Arial" w:cs="Arial"/>
                <w:sz w:val="18"/>
                <w:szCs w:val="18"/>
              </w:rPr>
              <w:t>Prvo predhodno leto</w:t>
            </w:r>
          </w:p>
        </w:tc>
        <w:tc>
          <w:tcPr>
            <w:tcW w:w="5846" w:type="dxa"/>
            <w:hideMark/>
          </w:tcPr>
          <w:p w14:paraId="6D58A6EA"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ustrezne zneske v zvezi s poročevalskim davčnim letom, prvim predhodnim davčnim letom (če je to ustrezno) in drugim predhodnim davčnim letom (če je to ustrezno), ločeno."</w:t>
            </w:r>
          </w:p>
        </w:tc>
      </w:tr>
      <w:tr w:rsidR="009C1626" w:rsidRPr="009C1626" w14:paraId="571C3AC5" w14:textId="77777777" w:rsidTr="002426D1">
        <w:trPr>
          <w:trHeight w:val="600"/>
        </w:trPr>
        <w:tc>
          <w:tcPr>
            <w:tcW w:w="1271" w:type="dxa"/>
            <w:noWrap/>
            <w:hideMark/>
          </w:tcPr>
          <w:p w14:paraId="424B2E31" w14:textId="77777777" w:rsidR="009C1626" w:rsidRPr="009C1626" w:rsidRDefault="009C1626" w:rsidP="009C1626">
            <w:pPr>
              <w:rPr>
                <w:rFonts w:ascii="Arial" w:hAnsi="Arial" w:cs="Arial"/>
                <w:sz w:val="18"/>
                <w:szCs w:val="18"/>
              </w:rPr>
            </w:pPr>
            <w:r w:rsidRPr="009C1626">
              <w:rPr>
                <w:rFonts w:ascii="Arial" w:hAnsi="Arial" w:cs="Arial"/>
                <w:sz w:val="18"/>
                <w:szCs w:val="18"/>
              </w:rPr>
              <w:t>2.2.2.c</w:t>
            </w:r>
          </w:p>
        </w:tc>
        <w:tc>
          <w:tcPr>
            <w:tcW w:w="1943" w:type="dxa"/>
            <w:noWrap/>
            <w:hideMark/>
          </w:tcPr>
          <w:p w14:paraId="5937F6A0" w14:textId="77777777" w:rsidR="009C1626" w:rsidRPr="009C1626" w:rsidRDefault="009C1626" w:rsidP="009C1626">
            <w:pPr>
              <w:rPr>
                <w:rFonts w:ascii="Arial" w:hAnsi="Arial" w:cs="Arial"/>
                <w:sz w:val="18"/>
                <w:szCs w:val="18"/>
              </w:rPr>
            </w:pPr>
            <w:r w:rsidRPr="009C1626">
              <w:rPr>
                <w:rFonts w:ascii="Arial" w:hAnsi="Arial" w:cs="Arial"/>
                <w:sz w:val="18"/>
                <w:szCs w:val="18"/>
              </w:rPr>
              <w:t>Drugo predhodno leto</w:t>
            </w:r>
          </w:p>
        </w:tc>
        <w:tc>
          <w:tcPr>
            <w:tcW w:w="5846" w:type="dxa"/>
            <w:hideMark/>
          </w:tcPr>
          <w:p w14:paraId="52FD3662"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ustrezne zneske v zvezi s poročevalskim davčnim letom, prvim predhodnim davčnim letom (če je to ustrezno) in drugim predhodnim davčnim letom (če je to ustrezno), ločeno."</w:t>
            </w:r>
          </w:p>
        </w:tc>
      </w:tr>
      <w:tr w:rsidR="009C1626" w:rsidRPr="009C1626" w14:paraId="7EEAE605" w14:textId="77777777" w:rsidTr="002426D1">
        <w:trPr>
          <w:trHeight w:val="600"/>
        </w:trPr>
        <w:tc>
          <w:tcPr>
            <w:tcW w:w="1271" w:type="dxa"/>
            <w:noWrap/>
            <w:hideMark/>
          </w:tcPr>
          <w:p w14:paraId="71078A5B" w14:textId="77777777" w:rsidR="009C1626" w:rsidRPr="009C1626" w:rsidRDefault="009C1626" w:rsidP="009C1626">
            <w:pPr>
              <w:rPr>
                <w:rFonts w:ascii="Arial" w:hAnsi="Arial" w:cs="Arial"/>
                <w:sz w:val="18"/>
                <w:szCs w:val="18"/>
              </w:rPr>
            </w:pPr>
            <w:r w:rsidRPr="009C1626">
              <w:rPr>
                <w:rFonts w:ascii="Arial" w:hAnsi="Arial" w:cs="Arial"/>
                <w:sz w:val="18"/>
                <w:szCs w:val="18"/>
              </w:rPr>
              <w:t>2.2.2.d</w:t>
            </w:r>
          </w:p>
        </w:tc>
        <w:tc>
          <w:tcPr>
            <w:tcW w:w="1943" w:type="dxa"/>
            <w:noWrap/>
            <w:hideMark/>
          </w:tcPr>
          <w:p w14:paraId="4953A963"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Povprečje treh fiskalnih let </w:t>
            </w:r>
          </w:p>
        </w:tc>
        <w:tc>
          <w:tcPr>
            <w:tcW w:w="5846" w:type="dxa"/>
            <w:hideMark/>
          </w:tcPr>
          <w:p w14:paraId="29961D33" w14:textId="77777777" w:rsidR="009C1626" w:rsidRPr="009C1626" w:rsidRDefault="009C1626" w:rsidP="009C1626">
            <w:pPr>
              <w:rPr>
                <w:rFonts w:ascii="Arial" w:hAnsi="Arial" w:cs="Arial"/>
                <w:sz w:val="18"/>
                <w:szCs w:val="18"/>
              </w:rPr>
            </w:pPr>
            <w:r w:rsidRPr="009C1626">
              <w:rPr>
                <w:rFonts w:ascii="Arial" w:hAnsi="Arial" w:cs="Arial"/>
                <w:sz w:val="18"/>
                <w:szCs w:val="18"/>
              </w:rPr>
              <w:t>Če je primerno, se izračuna  povprečje treh davčnih let s prilagoditvijo prihodkov in dohodkov (ali izgube) glede na obdobje, zajeto v preteklem fiskalnem letu v primerjavi s koledarskim letom.</w:t>
            </w:r>
          </w:p>
        </w:tc>
      </w:tr>
      <w:tr w:rsidR="009C1626" w:rsidRPr="009C1626" w14:paraId="219C2F21" w14:textId="77777777" w:rsidTr="002426D1">
        <w:trPr>
          <w:trHeight w:val="958"/>
        </w:trPr>
        <w:tc>
          <w:tcPr>
            <w:tcW w:w="1271" w:type="dxa"/>
            <w:hideMark/>
          </w:tcPr>
          <w:p w14:paraId="14874C60" w14:textId="77777777" w:rsidR="009C1626" w:rsidRPr="009C1626" w:rsidRDefault="009C1626" w:rsidP="009C1626">
            <w:pPr>
              <w:rPr>
                <w:rFonts w:ascii="Arial" w:hAnsi="Arial" w:cs="Arial"/>
                <w:sz w:val="18"/>
                <w:szCs w:val="18"/>
              </w:rPr>
            </w:pPr>
            <w:r w:rsidRPr="009C1626">
              <w:rPr>
                <w:rFonts w:ascii="Arial" w:hAnsi="Arial" w:cs="Arial"/>
                <w:sz w:val="18"/>
                <w:szCs w:val="18"/>
              </w:rPr>
              <w:t>2.3.</w:t>
            </w:r>
          </w:p>
        </w:tc>
        <w:tc>
          <w:tcPr>
            <w:tcW w:w="1943" w:type="dxa"/>
            <w:hideMark/>
          </w:tcPr>
          <w:p w14:paraId="2589AA69" w14:textId="77777777" w:rsidR="009C1626" w:rsidRPr="009C1626" w:rsidRDefault="009C1626" w:rsidP="009C1626">
            <w:pPr>
              <w:rPr>
                <w:rFonts w:ascii="Arial" w:hAnsi="Arial" w:cs="Arial"/>
                <w:sz w:val="18"/>
                <w:szCs w:val="18"/>
              </w:rPr>
            </w:pPr>
            <w:r w:rsidRPr="009C1626">
              <w:rPr>
                <w:rFonts w:ascii="Arial" w:hAnsi="Arial" w:cs="Arial"/>
                <w:sz w:val="18"/>
                <w:szCs w:val="18"/>
              </w:rPr>
              <w:t>MNE Skupina v začetni fazi (če je uporabljivo)</w:t>
            </w:r>
          </w:p>
        </w:tc>
        <w:tc>
          <w:tcPr>
            <w:tcW w:w="5846" w:type="dxa"/>
            <w:hideMark/>
          </w:tcPr>
          <w:p w14:paraId="2D5B4614" w14:textId="77777777" w:rsidR="009C1626" w:rsidRPr="009C1626" w:rsidRDefault="009C1626" w:rsidP="009C1626">
            <w:pPr>
              <w:rPr>
                <w:rFonts w:ascii="Arial" w:hAnsi="Arial" w:cs="Arial"/>
                <w:sz w:val="18"/>
                <w:szCs w:val="18"/>
              </w:rPr>
            </w:pPr>
            <w:r w:rsidRPr="009C1626">
              <w:rPr>
                <w:rFonts w:ascii="Arial" w:hAnsi="Arial" w:cs="Arial"/>
                <w:sz w:val="18"/>
                <w:szCs w:val="18"/>
              </w:rPr>
              <w:t>Kadar se uporablja</w:t>
            </w:r>
            <w:r w:rsidR="00C34D44">
              <w:rPr>
                <w:rFonts w:ascii="Arial" w:hAnsi="Arial" w:cs="Arial"/>
                <w:sz w:val="18"/>
                <w:szCs w:val="18"/>
              </w:rPr>
              <w:t xml:space="preserve"> 17. člen</w:t>
            </w:r>
            <w:r w:rsidRPr="009C1626">
              <w:rPr>
                <w:rFonts w:ascii="Arial" w:hAnsi="Arial" w:cs="Arial"/>
                <w:sz w:val="18"/>
                <w:szCs w:val="18"/>
              </w:rPr>
              <w:t xml:space="preserve"> </w:t>
            </w:r>
            <w:r w:rsidR="00C34D44">
              <w:rPr>
                <w:rFonts w:ascii="Arial" w:hAnsi="Arial" w:cs="Arial"/>
                <w:sz w:val="18"/>
                <w:szCs w:val="18"/>
              </w:rPr>
              <w:t>(</w:t>
            </w:r>
            <w:r w:rsidRPr="009C1626">
              <w:rPr>
                <w:rFonts w:ascii="Arial" w:hAnsi="Arial" w:cs="Arial"/>
                <w:sz w:val="18"/>
                <w:szCs w:val="18"/>
              </w:rPr>
              <w:t>člen 9.3</w:t>
            </w:r>
            <w:r w:rsidR="00C34D44">
              <w:rPr>
                <w:rFonts w:ascii="Arial" w:hAnsi="Arial" w:cs="Arial"/>
                <w:sz w:val="18"/>
                <w:szCs w:val="18"/>
              </w:rPr>
              <w:t xml:space="preserve"> vzorčnih pravil)</w:t>
            </w:r>
            <w:r w:rsidRPr="009C1626">
              <w:rPr>
                <w:rFonts w:ascii="Arial" w:hAnsi="Arial" w:cs="Arial"/>
                <w:sz w:val="18"/>
                <w:szCs w:val="18"/>
              </w:rPr>
              <w:t xml:space="preserve"> in noben Subjekt skupine ni dolžan uporabljati pravila o vključitvi dohodka (IIR), </w:t>
            </w: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ni dolžan izpolnjevati razdelkov 2.1, 2.2 ali razdelka 3 za ustrezne jurisdikcije, za katere je povrhnji davek zmanjšan na nič v skladu s</w:t>
            </w:r>
            <w:r w:rsidR="00F01208">
              <w:rPr>
                <w:rFonts w:ascii="Arial" w:hAnsi="Arial" w:cs="Arial"/>
                <w:sz w:val="18"/>
                <w:szCs w:val="18"/>
              </w:rPr>
              <w:t xml:space="preserve"> 17. členom ZMD</w:t>
            </w:r>
            <w:r w:rsidRPr="009C1626">
              <w:rPr>
                <w:rFonts w:ascii="Arial" w:hAnsi="Arial" w:cs="Arial"/>
                <w:sz w:val="18"/>
                <w:szCs w:val="18"/>
              </w:rPr>
              <w:t xml:space="preserve"> </w:t>
            </w:r>
            <w:r w:rsidR="00F01208">
              <w:rPr>
                <w:rFonts w:ascii="Arial" w:hAnsi="Arial" w:cs="Arial"/>
                <w:sz w:val="18"/>
                <w:szCs w:val="18"/>
              </w:rPr>
              <w:t>(</w:t>
            </w:r>
            <w:r w:rsidRPr="009C1626">
              <w:rPr>
                <w:rFonts w:ascii="Arial" w:hAnsi="Arial" w:cs="Arial"/>
                <w:sz w:val="18"/>
                <w:szCs w:val="18"/>
              </w:rPr>
              <w:t>členom 9.3</w:t>
            </w:r>
            <w:r w:rsidR="00F01208">
              <w:rPr>
                <w:rFonts w:ascii="Arial" w:hAnsi="Arial" w:cs="Arial"/>
                <w:sz w:val="18"/>
                <w:szCs w:val="18"/>
              </w:rPr>
              <w:t>)</w:t>
            </w:r>
            <w:r w:rsidRPr="009C1626">
              <w:rPr>
                <w:rFonts w:ascii="Arial" w:hAnsi="Arial" w:cs="Arial"/>
                <w:sz w:val="18"/>
                <w:szCs w:val="18"/>
              </w:rPr>
              <w:t>.</w:t>
            </w:r>
          </w:p>
        </w:tc>
      </w:tr>
      <w:tr w:rsidR="009C1626" w:rsidRPr="009C1626" w14:paraId="215BE289" w14:textId="77777777" w:rsidTr="00101D1E">
        <w:trPr>
          <w:trHeight w:val="1529"/>
        </w:trPr>
        <w:tc>
          <w:tcPr>
            <w:tcW w:w="1271" w:type="dxa"/>
            <w:noWrap/>
            <w:hideMark/>
          </w:tcPr>
          <w:p w14:paraId="7FC8D1DC" w14:textId="77777777" w:rsidR="009C1626" w:rsidRPr="009C1626" w:rsidRDefault="009C1626" w:rsidP="009C1626">
            <w:pPr>
              <w:rPr>
                <w:rFonts w:ascii="Arial" w:hAnsi="Arial" w:cs="Arial"/>
                <w:sz w:val="18"/>
                <w:szCs w:val="18"/>
              </w:rPr>
            </w:pPr>
            <w:r w:rsidRPr="009C1626">
              <w:rPr>
                <w:rFonts w:ascii="Arial" w:hAnsi="Arial" w:cs="Arial"/>
                <w:sz w:val="18"/>
                <w:szCs w:val="18"/>
              </w:rPr>
              <w:t>2.3.1.</w:t>
            </w:r>
          </w:p>
        </w:tc>
        <w:tc>
          <w:tcPr>
            <w:tcW w:w="1943" w:type="dxa"/>
            <w:hideMark/>
          </w:tcPr>
          <w:p w14:paraId="5627F30F"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Prvi dan fiskalnega leta, v katerem je MNE Skupina izvorno podvržena pravilom </w:t>
            </w:r>
            <w:proofErr w:type="spellStart"/>
            <w:r w:rsidRPr="009C1626">
              <w:rPr>
                <w:rFonts w:ascii="Arial" w:hAnsi="Arial" w:cs="Arial"/>
                <w:sz w:val="18"/>
                <w:szCs w:val="18"/>
              </w:rPr>
              <w:t>GloBE</w:t>
            </w:r>
            <w:proofErr w:type="spellEnd"/>
          </w:p>
        </w:tc>
        <w:tc>
          <w:tcPr>
            <w:tcW w:w="5846" w:type="dxa"/>
            <w:hideMark/>
          </w:tcPr>
          <w:p w14:paraId="55A47651" w14:textId="77777777" w:rsidR="009C1626" w:rsidRPr="009C1626" w:rsidRDefault="00C34D44" w:rsidP="009C1626">
            <w:pPr>
              <w:rPr>
                <w:rFonts w:ascii="Arial" w:hAnsi="Arial" w:cs="Arial"/>
                <w:sz w:val="18"/>
                <w:szCs w:val="18"/>
              </w:rPr>
            </w:pPr>
            <w:r>
              <w:rPr>
                <w:rFonts w:ascii="Arial" w:hAnsi="Arial" w:cs="Arial"/>
                <w:sz w:val="18"/>
                <w:szCs w:val="18"/>
              </w:rPr>
              <w:t>17. člen ZMD (č</w:t>
            </w:r>
            <w:r w:rsidR="009C1626" w:rsidRPr="009C1626">
              <w:rPr>
                <w:rFonts w:ascii="Arial" w:hAnsi="Arial" w:cs="Arial"/>
                <w:sz w:val="18"/>
                <w:szCs w:val="18"/>
              </w:rPr>
              <w:t>len 9.3</w:t>
            </w:r>
            <w:r>
              <w:rPr>
                <w:rFonts w:ascii="Arial" w:hAnsi="Arial" w:cs="Arial"/>
                <w:sz w:val="18"/>
                <w:szCs w:val="18"/>
              </w:rPr>
              <w:t xml:space="preserve"> vzorčnih pravil)</w:t>
            </w:r>
            <w:r w:rsidR="009C1626" w:rsidRPr="009C1626">
              <w:rPr>
                <w:rFonts w:ascii="Arial" w:hAnsi="Arial" w:cs="Arial"/>
                <w:sz w:val="18"/>
                <w:szCs w:val="18"/>
              </w:rPr>
              <w:t xml:space="preserve"> se ne uporablja za fiskalna leta, ki se začnejo po preteku petih let po prvem dnevu finančnega leta, poročanega v 2.3.1. Za MNE skupine, ki so zajete z </w:t>
            </w:r>
            <w:proofErr w:type="spellStart"/>
            <w:r w:rsidR="009C1626" w:rsidRPr="009C1626">
              <w:rPr>
                <w:rFonts w:ascii="Arial" w:hAnsi="Arial" w:cs="Arial"/>
                <w:sz w:val="18"/>
                <w:szCs w:val="18"/>
              </w:rPr>
              <w:t>GloBE</w:t>
            </w:r>
            <w:proofErr w:type="spellEnd"/>
            <w:r w:rsidR="009C1626" w:rsidRPr="009C1626">
              <w:rPr>
                <w:rFonts w:ascii="Arial" w:hAnsi="Arial" w:cs="Arial"/>
                <w:sz w:val="18"/>
                <w:szCs w:val="18"/>
              </w:rPr>
              <w:t xml:space="preserve"> pravili, ko začnejo veljati, se datum, poročan v 2.3.1, nadomesti z datumom, ko začnejo veljati UTPR pravila. Opomba 2.3.2: Referenčna jurisdikcija je opredeljena v</w:t>
            </w:r>
            <w:r>
              <w:rPr>
                <w:rFonts w:ascii="Arial" w:hAnsi="Arial" w:cs="Arial"/>
                <w:sz w:val="18"/>
                <w:szCs w:val="18"/>
              </w:rPr>
              <w:t xml:space="preserve"> četrtem odstavku 17. člena ZMD</w:t>
            </w:r>
            <w:r w:rsidR="009C1626" w:rsidRPr="009C1626">
              <w:rPr>
                <w:rFonts w:ascii="Arial" w:hAnsi="Arial" w:cs="Arial"/>
                <w:sz w:val="18"/>
                <w:szCs w:val="18"/>
              </w:rPr>
              <w:t xml:space="preserve"> </w:t>
            </w:r>
            <w:r>
              <w:rPr>
                <w:rFonts w:ascii="Arial" w:hAnsi="Arial" w:cs="Arial"/>
                <w:sz w:val="18"/>
                <w:szCs w:val="18"/>
              </w:rPr>
              <w:t>(</w:t>
            </w:r>
            <w:r w:rsidR="009C1626" w:rsidRPr="009C1626">
              <w:rPr>
                <w:rFonts w:ascii="Arial" w:hAnsi="Arial" w:cs="Arial"/>
                <w:sz w:val="18"/>
                <w:szCs w:val="18"/>
              </w:rPr>
              <w:t>člen 9.3.3.</w:t>
            </w:r>
            <w:r>
              <w:rPr>
                <w:rFonts w:ascii="Arial" w:hAnsi="Arial" w:cs="Arial"/>
                <w:sz w:val="18"/>
                <w:szCs w:val="18"/>
              </w:rPr>
              <w:t xml:space="preserve"> vzorčnih pravil)</w:t>
            </w:r>
          </w:p>
        </w:tc>
      </w:tr>
      <w:tr w:rsidR="009C1626" w:rsidRPr="009C1626" w14:paraId="3EFC4802" w14:textId="77777777" w:rsidTr="002426D1">
        <w:trPr>
          <w:trHeight w:val="1200"/>
        </w:trPr>
        <w:tc>
          <w:tcPr>
            <w:tcW w:w="1271" w:type="dxa"/>
            <w:noWrap/>
            <w:hideMark/>
          </w:tcPr>
          <w:p w14:paraId="5D0E64D4" w14:textId="77777777" w:rsidR="009C1626" w:rsidRPr="009C1626" w:rsidRDefault="009C1626" w:rsidP="009C1626">
            <w:pPr>
              <w:rPr>
                <w:rFonts w:ascii="Arial" w:hAnsi="Arial" w:cs="Arial"/>
                <w:sz w:val="18"/>
                <w:szCs w:val="18"/>
              </w:rPr>
            </w:pPr>
            <w:r w:rsidRPr="009C1626">
              <w:rPr>
                <w:rFonts w:ascii="Arial" w:hAnsi="Arial" w:cs="Arial"/>
                <w:sz w:val="18"/>
                <w:szCs w:val="18"/>
              </w:rPr>
              <w:t>2.3.2.</w:t>
            </w:r>
          </w:p>
        </w:tc>
        <w:tc>
          <w:tcPr>
            <w:tcW w:w="1943" w:type="dxa"/>
            <w:noWrap/>
            <w:hideMark/>
          </w:tcPr>
          <w:p w14:paraId="0C3F08AA" w14:textId="77777777" w:rsidR="009C1626" w:rsidRPr="009C1626" w:rsidRDefault="009C1626" w:rsidP="009C1626">
            <w:pPr>
              <w:rPr>
                <w:rFonts w:ascii="Arial" w:hAnsi="Arial" w:cs="Arial"/>
                <w:sz w:val="18"/>
                <w:szCs w:val="18"/>
              </w:rPr>
            </w:pPr>
            <w:r w:rsidRPr="009C1626">
              <w:rPr>
                <w:rFonts w:ascii="Arial" w:hAnsi="Arial" w:cs="Arial"/>
                <w:sz w:val="18"/>
                <w:szCs w:val="18"/>
              </w:rPr>
              <w:t>Referenčna jurisdikcija</w:t>
            </w:r>
          </w:p>
        </w:tc>
        <w:tc>
          <w:tcPr>
            <w:tcW w:w="5846" w:type="dxa"/>
            <w:hideMark/>
          </w:tcPr>
          <w:p w14:paraId="693C0798" w14:textId="77777777" w:rsidR="009C1626" w:rsidRPr="009C1626" w:rsidRDefault="009C1626" w:rsidP="009C1626">
            <w:pPr>
              <w:rPr>
                <w:rFonts w:ascii="Arial" w:hAnsi="Arial" w:cs="Arial"/>
                <w:sz w:val="18"/>
                <w:szCs w:val="18"/>
              </w:rPr>
            </w:pPr>
            <w:r w:rsidRPr="009C1626">
              <w:rPr>
                <w:rFonts w:ascii="Arial" w:hAnsi="Arial" w:cs="Arial"/>
                <w:sz w:val="18"/>
                <w:szCs w:val="18"/>
              </w:rPr>
              <w:t>Referenčna jurisdikcija je definirana v</w:t>
            </w:r>
            <w:r w:rsidR="00C34D44">
              <w:rPr>
                <w:rFonts w:ascii="Arial" w:hAnsi="Arial" w:cs="Arial"/>
                <w:sz w:val="18"/>
                <w:szCs w:val="18"/>
              </w:rPr>
              <w:t xml:space="preserve"> četrtem odstavku 17. člena ZMD</w:t>
            </w:r>
            <w:r w:rsidRPr="009C1626">
              <w:rPr>
                <w:rFonts w:ascii="Arial" w:hAnsi="Arial" w:cs="Arial"/>
                <w:sz w:val="18"/>
                <w:szCs w:val="18"/>
              </w:rPr>
              <w:t xml:space="preserve"> </w:t>
            </w:r>
            <w:r w:rsidR="00C34D44">
              <w:rPr>
                <w:rFonts w:ascii="Arial" w:hAnsi="Arial" w:cs="Arial"/>
                <w:sz w:val="18"/>
                <w:szCs w:val="18"/>
              </w:rPr>
              <w:t>(</w:t>
            </w:r>
            <w:r w:rsidRPr="009C1626">
              <w:rPr>
                <w:rFonts w:ascii="Arial" w:hAnsi="Arial" w:cs="Arial"/>
                <w:sz w:val="18"/>
                <w:szCs w:val="18"/>
              </w:rPr>
              <w:t>členu 9.3.3</w:t>
            </w:r>
            <w:r w:rsidR="00C34D44">
              <w:rPr>
                <w:rFonts w:ascii="Arial" w:hAnsi="Arial" w:cs="Arial"/>
                <w:sz w:val="18"/>
                <w:szCs w:val="18"/>
              </w:rPr>
              <w:t xml:space="preserve"> vzorčnih pravil)</w:t>
            </w:r>
            <w:r w:rsidRPr="009C1626">
              <w:rPr>
                <w:rFonts w:ascii="Arial" w:hAnsi="Arial" w:cs="Arial"/>
                <w:sz w:val="18"/>
                <w:szCs w:val="18"/>
              </w:rPr>
              <w:t>. Za namene</w:t>
            </w:r>
            <w:r w:rsidR="00C34D44">
              <w:rPr>
                <w:rFonts w:ascii="Arial" w:hAnsi="Arial" w:cs="Arial"/>
                <w:sz w:val="18"/>
                <w:szCs w:val="18"/>
              </w:rPr>
              <w:t xml:space="preserve"> tretjega odstavka 17. člena ZMD</w:t>
            </w:r>
            <w:r w:rsidRPr="009C1626">
              <w:rPr>
                <w:rFonts w:ascii="Arial" w:hAnsi="Arial" w:cs="Arial"/>
                <w:sz w:val="18"/>
                <w:szCs w:val="18"/>
              </w:rPr>
              <w:t xml:space="preserve"> </w:t>
            </w:r>
            <w:r w:rsidR="00C34D44">
              <w:rPr>
                <w:rFonts w:ascii="Arial" w:hAnsi="Arial" w:cs="Arial"/>
                <w:sz w:val="18"/>
                <w:szCs w:val="18"/>
              </w:rPr>
              <w:t>(</w:t>
            </w:r>
            <w:r w:rsidRPr="009C1626">
              <w:rPr>
                <w:rFonts w:ascii="Arial" w:hAnsi="Arial" w:cs="Arial"/>
                <w:sz w:val="18"/>
                <w:szCs w:val="18"/>
              </w:rPr>
              <w:t>člena 9.3.2</w:t>
            </w:r>
            <w:r w:rsidR="00C34D44">
              <w:rPr>
                <w:rFonts w:ascii="Arial" w:hAnsi="Arial" w:cs="Arial"/>
                <w:sz w:val="18"/>
                <w:szCs w:val="18"/>
              </w:rPr>
              <w:t xml:space="preserve"> vzorčnih pravil)</w:t>
            </w:r>
            <w:r w:rsidRPr="009C1626">
              <w:rPr>
                <w:rFonts w:ascii="Arial" w:hAnsi="Arial" w:cs="Arial"/>
                <w:sz w:val="18"/>
                <w:szCs w:val="18"/>
              </w:rPr>
              <w:t xml:space="preserve"> je Referenčna jurisdikcija MNE skupine jurisdikcija, v kateri ima MNE skupina v finančnem letu, v katerem prvič postane zajeta z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pravili, najvišjo skupno vrednost opredmetenih sredstev. Skupna vrednost opredmetenih sredstev v jurisdikciji je vsota knjigovodskih vrednosti vseh opredmetenih sredstev vseh</w:t>
            </w:r>
            <w:r w:rsidR="00895EC3">
              <w:rPr>
                <w:rFonts w:ascii="Arial" w:hAnsi="Arial" w:cs="Arial"/>
                <w:sz w:val="18"/>
                <w:szCs w:val="18"/>
              </w:rPr>
              <w:t xml:space="preserve"> </w:t>
            </w:r>
            <w:r w:rsidRPr="009C1626">
              <w:rPr>
                <w:rFonts w:ascii="Arial" w:hAnsi="Arial" w:cs="Arial"/>
                <w:sz w:val="18"/>
                <w:szCs w:val="18"/>
              </w:rPr>
              <w:t>Subjektov v sestavi MNE skupine, ki se nahajajo v tej pristojnosti</w:t>
            </w:r>
          </w:p>
        </w:tc>
      </w:tr>
      <w:tr w:rsidR="009C1626" w:rsidRPr="009C1626" w14:paraId="1BADDC53" w14:textId="77777777" w:rsidTr="002426D1">
        <w:trPr>
          <w:trHeight w:val="900"/>
        </w:trPr>
        <w:tc>
          <w:tcPr>
            <w:tcW w:w="1271" w:type="dxa"/>
            <w:noWrap/>
            <w:hideMark/>
          </w:tcPr>
          <w:p w14:paraId="6F633CE1" w14:textId="77777777" w:rsidR="009C1626" w:rsidRPr="009C1626" w:rsidRDefault="009C1626" w:rsidP="009C1626">
            <w:pPr>
              <w:rPr>
                <w:rFonts w:ascii="Arial" w:hAnsi="Arial" w:cs="Arial"/>
                <w:sz w:val="18"/>
                <w:szCs w:val="18"/>
              </w:rPr>
            </w:pPr>
            <w:r w:rsidRPr="009C1626">
              <w:rPr>
                <w:rFonts w:ascii="Arial" w:hAnsi="Arial" w:cs="Arial"/>
                <w:sz w:val="18"/>
                <w:szCs w:val="18"/>
              </w:rPr>
              <w:t>2.3.3.</w:t>
            </w:r>
          </w:p>
        </w:tc>
        <w:tc>
          <w:tcPr>
            <w:tcW w:w="1943" w:type="dxa"/>
            <w:hideMark/>
          </w:tcPr>
          <w:p w14:paraId="4D2380DE"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Neto knjigovodska vrednost opredmetenih sredstev v referenčni jurisdikciji za fiskalno leto, v katerem MNE Skupina prvič postane podvržena pravilom </w:t>
            </w:r>
            <w:proofErr w:type="spellStart"/>
            <w:r w:rsidRPr="009C1626">
              <w:rPr>
                <w:rFonts w:ascii="Arial" w:hAnsi="Arial" w:cs="Arial"/>
                <w:sz w:val="18"/>
                <w:szCs w:val="18"/>
              </w:rPr>
              <w:t>GloBE</w:t>
            </w:r>
            <w:proofErr w:type="spellEnd"/>
          </w:p>
        </w:tc>
        <w:tc>
          <w:tcPr>
            <w:tcW w:w="5846" w:type="dxa"/>
            <w:hideMark/>
          </w:tcPr>
          <w:p w14:paraId="6613ABAC"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o knjigovodskih vrednostih opredmetenih sredstev vseh Subjektov v sestavi, ki se nahajajo v jurisdikciji, za fiskalno leto, v katerem MNE skupina prvič postane podvržena pravil</w:t>
            </w:r>
            <w:r w:rsidR="00C34D44">
              <w:rPr>
                <w:rFonts w:ascii="Arial" w:hAnsi="Arial" w:cs="Arial"/>
                <w:sz w:val="18"/>
                <w:szCs w:val="18"/>
              </w:rPr>
              <w:t>om povrhnjega davka</w:t>
            </w:r>
            <w:r w:rsidRPr="009C1626">
              <w:rPr>
                <w:rFonts w:ascii="Arial" w:hAnsi="Arial" w:cs="Arial"/>
                <w:sz w:val="18"/>
                <w:szCs w:val="18"/>
              </w:rPr>
              <w:t>.</w:t>
            </w:r>
          </w:p>
        </w:tc>
      </w:tr>
      <w:tr w:rsidR="009C1626" w:rsidRPr="009C1626" w14:paraId="022D7A44" w14:textId="77777777" w:rsidTr="002426D1">
        <w:trPr>
          <w:trHeight w:val="1500"/>
        </w:trPr>
        <w:tc>
          <w:tcPr>
            <w:tcW w:w="1271" w:type="dxa"/>
            <w:noWrap/>
            <w:hideMark/>
          </w:tcPr>
          <w:p w14:paraId="77EA12C6" w14:textId="77777777" w:rsidR="009C1626" w:rsidRPr="009C1626" w:rsidRDefault="009C1626" w:rsidP="009C1626">
            <w:pPr>
              <w:rPr>
                <w:rFonts w:ascii="Arial" w:hAnsi="Arial" w:cs="Arial"/>
                <w:sz w:val="18"/>
                <w:szCs w:val="18"/>
              </w:rPr>
            </w:pPr>
            <w:r w:rsidRPr="009C1626">
              <w:rPr>
                <w:rFonts w:ascii="Arial" w:hAnsi="Arial" w:cs="Arial"/>
                <w:sz w:val="18"/>
                <w:szCs w:val="18"/>
              </w:rPr>
              <w:t>2.3.4.</w:t>
            </w:r>
          </w:p>
        </w:tc>
        <w:tc>
          <w:tcPr>
            <w:tcW w:w="1943" w:type="dxa"/>
            <w:hideMark/>
          </w:tcPr>
          <w:p w14:paraId="69DF1FBA"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Število jurisdikcij, v katerih ima Skupina MNE Subjekte v sestavi (CE) za poročevalsko fiskalno leto, v katerem MNE Skupina prvič postane podvržena pravilom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w:t>
            </w:r>
          </w:p>
        </w:tc>
        <w:tc>
          <w:tcPr>
            <w:tcW w:w="5846" w:type="dxa"/>
            <w:hideMark/>
          </w:tcPr>
          <w:p w14:paraId="2FD10EB1"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Lokacija Skupnih podvigov in </w:t>
            </w:r>
            <w:r w:rsidR="00D00AAF">
              <w:rPr>
                <w:rFonts w:ascii="Arial" w:hAnsi="Arial" w:cs="Arial"/>
                <w:sz w:val="18"/>
                <w:szCs w:val="18"/>
              </w:rPr>
              <w:t>hčerinskih družb</w:t>
            </w:r>
            <w:r w:rsidRPr="009C1626">
              <w:rPr>
                <w:rFonts w:ascii="Arial" w:hAnsi="Arial" w:cs="Arial"/>
                <w:sz w:val="18"/>
                <w:szCs w:val="18"/>
              </w:rPr>
              <w:t xml:space="preserve"> Skupnih podvigov oziroma Investicijskih subjektov, ki niso Izključeni subjekti, se ne upošteva pri določanju števila jurisdikcij, v katerih ima Skupina MNE Subjekte v sestavi.</w:t>
            </w:r>
          </w:p>
        </w:tc>
      </w:tr>
      <w:tr w:rsidR="009C1626" w:rsidRPr="009C1626" w14:paraId="587AFBAE" w14:textId="77777777" w:rsidTr="002426D1">
        <w:trPr>
          <w:trHeight w:val="1200"/>
        </w:trPr>
        <w:tc>
          <w:tcPr>
            <w:tcW w:w="1271" w:type="dxa"/>
            <w:noWrap/>
            <w:hideMark/>
          </w:tcPr>
          <w:p w14:paraId="25B82DA4" w14:textId="77777777" w:rsidR="009C1626" w:rsidRPr="009C1626" w:rsidRDefault="009C1626" w:rsidP="009C1626">
            <w:pPr>
              <w:rPr>
                <w:rFonts w:ascii="Arial" w:hAnsi="Arial" w:cs="Arial"/>
                <w:sz w:val="18"/>
                <w:szCs w:val="18"/>
              </w:rPr>
            </w:pPr>
            <w:r w:rsidRPr="009C1626">
              <w:rPr>
                <w:rFonts w:ascii="Arial" w:hAnsi="Arial" w:cs="Arial"/>
                <w:sz w:val="18"/>
                <w:szCs w:val="18"/>
              </w:rPr>
              <w:t>2.3.5.</w:t>
            </w:r>
          </w:p>
        </w:tc>
        <w:tc>
          <w:tcPr>
            <w:tcW w:w="1943" w:type="dxa"/>
            <w:hideMark/>
          </w:tcPr>
          <w:p w14:paraId="25BBA321" w14:textId="77777777" w:rsidR="009C1626" w:rsidRPr="009C1626" w:rsidRDefault="009C1626" w:rsidP="009C1626">
            <w:pPr>
              <w:rPr>
                <w:rFonts w:ascii="Arial" w:hAnsi="Arial" w:cs="Arial"/>
                <w:sz w:val="18"/>
                <w:szCs w:val="18"/>
              </w:rPr>
            </w:pPr>
            <w:r w:rsidRPr="009C1626">
              <w:rPr>
                <w:rFonts w:ascii="Arial" w:hAnsi="Arial" w:cs="Arial"/>
                <w:sz w:val="18"/>
                <w:szCs w:val="18"/>
              </w:rPr>
              <w:t xml:space="preserve">Opredmetena sredstva Subjektov v sestavi, ki so locirana izven referenčne jurisdikcije za </w:t>
            </w:r>
            <w:r w:rsidRPr="009C1626">
              <w:rPr>
                <w:rFonts w:ascii="Arial" w:hAnsi="Arial" w:cs="Arial"/>
                <w:sz w:val="18"/>
                <w:szCs w:val="18"/>
              </w:rPr>
              <w:lastRenderedPageBreak/>
              <w:t xml:space="preserve">fiskalno leto, v katerem MNE skupina prvič postane podvržena pravilom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w:t>
            </w:r>
          </w:p>
        </w:tc>
        <w:tc>
          <w:tcPr>
            <w:tcW w:w="5846" w:type="dxa"/>
            <w:noWrap/>
            <w:hideMark/>
          </w:tcPr>
          <w:p w14:paraId="2A6DFC76" w14:textId="77777777" w:rsidR="009C1626" w:rsidRPr="009C1626" w:rsidRDefault="009C1626" w:rsidP="009C1626">
            <w:pPr>
              <w:rPr>
                <w:rFonts w:ascii="Arial" w:hAnsi="Arial" w:cs="Arial"/>
                <w:sz w:val="18"/>
                <w:szCs w:val="18"/>
              </w:rPr>
            </w:pPr>
          </w:p>
        </w:tc>
      </w:tr>
      <w:tr w:rsidR="009C1626" w:rsidRPr="009C1626" w14:paraId="256C17B0" w14:textId="77777777" w:rsidTr="002426D1">
        <w:trPr>
          <w:trHeight w:val="1231"/>
        </w:trPr>
        <w:tc>
          <w:tcPr>
            <w:tcW w:w="1271" w:type="dxa"/>
            <w:noWrap/>
            <w:hideMark/>
          </w:tcPr>
          <w:p w14:paraId="011620A0" w14:textId="77777777" w:rsidR="009C1626" w:rsidRPr="009C1626" w:rsidRDefault="009C1626" w:rsidP="009C1626">
            <w:pPr>
              <w:rPr>
                <w:rFonts w:ascii="Arial" w:hAnsi="Arial" w:cs="Arial"/>
                <w:sz w:val="18"/>
                <w:szCs w:val="18"/>
              </w:rPr>
            </w:pPr>
            <w:r w:rsidRPr="009C1626">
              <w:rPr>
                <w:rFonts w:ascii="Arial" w:hAnsi="Arial" w:cs="Arial"/>
                <w:sz w:val="18"/>
                <w:szCs w:val="18"/>
              </w:rPr>
              <w:t>2.3.5.a</w:t>
            </w:r>
          </w:p>
        </w:tc>
        <w:tc>
          <w:tcPr>
            <w:tcW w:w="1943" w:type="dxa"/>
            <w:hideMark/>
          </w:tcPr>
          <w:p w14:paraId="48EE4881" w14:textId="77777777" w:rsidR="009C1626" w:rsidRPr="009C1626" w:rsidRDefault="009C1626" w:rsidP="009C1626">
            <w:pPr>
              <w:rPr>
                <w:rFonts w:ascii="Arial" w:hAnsi="Arial" w:cs="Arial"/>
                <w:sz w:val="18"/>
                <w:szCs w:val="18"/>
              </w:rPr>
            </w:pPr>
            <w:r w:rsidRPr="009C1626">
              <w:rPr>
                <w:rFonts w:ascii="Arial" w:hAnsi="Arial" w:cs="Arial"/>
                <w:sz w:val="18"/>
                <w:szCs w:val="18"/>
              </w:rPr>
              <w:t>Jurisdikcija</w:t>
            </w:r>
          </w:p>
        </w:tc>
        <w:tc>
          <w:tcPr>
            <w:tcW w:w="5846" w:type="dxa"/>
            <w:hideMark/>
          </w:tcPr>
          <w:p w14:paraId="78606769"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w:t>
            </w:r>
            <w:proofErr w:type="spellStart"/>
            <w:r w:rsidRPr="009C1626">
              <w:rPr>
                <w:rFonts w:ascii="Arial" w:hAnsi="Arial" w:cs="Arial"/>
                <w:sz w:val="18"/>
                <w:szCs w:val="18"/>
              </w:rPr>
              <w:t>dvoznakovno</w:t>
            </w:r>
            <w:proofErr w:type="spellEnd"/>
            <w:r w:rsidRPr="009C1626">
              <w:rPr>
                <w:rFonts w:ascii="Arial" w:hAnsi="Arial" w:cs="Arial"/>
                <w:sz w:val="18"/>
                <w:szCs w:val="18"/>
              </w:rPr>
              <w:t xml:space="preserve"> črkovno kodo države na podlagi standarda ISO 3166–1 </w:t>
            </w:r>
            <w:proofErr w:type="spellStart"/>
            <w:r w:rsidRPr="009C1626">
              <w:rPr>
                <w:rFonts w:ascii="Arial" w:hAnsi="Arial" w:cs="Arial"/>
                <w:sz w:val="18"/>
                <w:szCs w:val="18"/>
              </w:rPr>
              <w:t>Alpha</w:t>
            </w:r>
            <w:proofErr w:type="spellEnd"/>
            <w:r w:rsidRPr="009C1626">
              <w:rPr>
                <w:rFonts w:ascii="Arial" w:hAnsi="Arial" w:cs="Arial"/>
                <w:sz w:val="18"/>
                <w:szCs w:val="18"/>
              </w:rPr>
              <w:t xml:space="preserve"> 2 za vsako jurisdikcijo, ki ni referenčna jurisdikcija, v kateri so locirani Subjekti v sestavi za fiskalno leto, v katerem </w:t>
            </w:r>
            <w:r w:rsidR="00D00AAF">
              <w:rPr>
                <w:rFonts w:ascii="Arial" w:hAnsi="Arial" w:cs="Arial"/>
                <w:sz w:val="18"/>
                <w:szCs w:val="18"/>
              </w:rPr>
              <w:t>j</w:t>
            </w:r>
            <w:r w:rsidRPr="009C1626">
              <w:rPr>
                <w:rFonts w:ascii="Arial" w:hAnsi="Arial" w:cs="Arial"/>
                <w:sz w:val="18"/>
                <w:szCs w:val="18"/>
              </w:rPr>
              <w:t xml:space="preserve">e MNE skupina izvorno podvržena pravilom </w:t>
            </w:r>
            <w:proofErr w:type="spellStart"/>
            <w:r w:rsidRPr="009C1626">
              <w:rPr>
                <w:rFonts w:ascii="Arial" w:hAnsi="Arial" w:cs="Arial"/>
                <w:sz w:val="18"/>
                <w:szCs w:val="18"/>
              </w:rPr>
              <w:t>GloBE</w:t>
            </w:r>
            <w:proofErr w:type="spellEnd"/>
            <w:r w:rsidRPr="009C1626">
              <w:rPr>
                <w:rFonts w:ascii="Arial" w:hAnsi="Arial" w:cs="Arial"/>
                <w:sz w:val="18"/>
                <w:szCs w:val="18"/>
              </w:rPr>
              <w:t>. Število jurisdikcij</w:t>
            </w:r>
            <w:r w:rsidR="00F01208">
              <w:rPr>
                <w:rFonts w:ascii="Arial" w:hAnsi="Arial" w:cs="Arial"/>
                <w:sz w:val="18"/>
                <w:szCs w:val="18"/>
              </w:rPr>
              <w:t>, brez upoštevanja referenčne jurisdikcije,</w:t>
            </w:r>
            <w:r w:rsidRPr="009C1626">
              <w:rPr>
                <w:rFonts w:ascii="Arial" w:hAnsi="Arial" w:cs="Arial"/>
                <w:sz w:val="18"/>
                <w:szCs w:val="18"/>
              </w:rPr>
              <w:t xml:space="preserve"> ne sme biti večje od 5 (pogoj</w:t>
            </w:r>
            <w:r w:rsidR="00F01208">
              <w:rPr>
                <w:rFonts w:ascii="Arial" w:hAnsi="Arial" w:cs="Arial"/>
                <w:sz w:val="18"/>
                <w:szCs w:val="18"/>
              </w:rPr>
              <w:t xml:space="preserve"> po 1. točki tretjega odstavka 17. člena ZMD</w:t>
            </w:r>
            <w:r w:rsidRPr="009C1626">
              <w:rPr>
                <w:rFonts w:ascii="Arial" w:hAnsi="Arial" w:cs="Arial"/>
                <w:sz w:val="18"/>
                <w:szCs w:val="18"/>
              </w:rPr>
              <w:t xml:space="preserve"> </w:t>
            </w:r>
            <w:r w:rsidR="00F01208">
              <w:rPr>
                <w:rFonts w:ascii="Arial" w:hAnsi="Arial" w:cs="Arial"/>
                <w:sz w:val="18"/>
                <w:szCs w:val="18"/>
              </w:rPr>
              <w:t xml:space="preserve">(člen </w:t>
            </w:r>
            <w:r w:rsidRPr="009C1626">
              <w:rPr>
                <w:rFonts w:ascii="Arial" w:hAnsi="Arial" w:cs="Arial"/>
                <w:sz w:val="18"/>
                <w:szCs w:val="18"/>
              </w:rPr>
              <w:t>9.3.2.a</w:t>
            </w:r>
            <w:r w:rsidR="00F01208">
              <w:rPr>
                <w:rFonts w:ascii="Arial" w:hAnsi="Arial" w:cs="Arial"/>
                <w:sz w:val="18"/>
                <w:szCs w:val="18"/>
              </w:rPr>
              <w:t xml:space="preserve"> vzorčnih pravil</w:t>
            </w:r>
            <w:r w:rsidRPr="009C1626">
              <w:rPr>
                <w:rFonts w:ascii="Arial" w:hAnsi="Arial" w:cs="Arial"/>
                <w:sz w:val="18"/>
                <w:szCs w:val="18"/>
              </w:rPr>
              <w:t>)</w:t>
            </w:r>
          </w:p>
        </w:tc>
      </w:tr>
      <w:tr w:rsidR="009C1626" w:rsidRPr="009C1626" w14:paraId="3E5E09A5" w14:textId="77777777" w:rsidTr="002426D1">
        <w:trPr>
          <w:trHeight w:val="2923"/>
        </w:trPr>
        <w:tc>
          <w:tcPr>
            <w:tcW w:w="1271" w:type="dxa"/>
            <w:noWrap/>
            <w:hideMark/>
          </w:tcPr>
          <w:p w14:paraId="3ED58E2F" w14:textId="77777777" w:rsidR="009C1626" w:rsidRPr="009C1626" w:rsidRDefault="009C1626" w:rsidP="009C1626">
            <w:pPr>
              <w:rPr>
                <w:rFonts w:ascii="Arial" w:hAnsi="Arial" w:cs="Arial"/>
                <w:sz w:val="18"/>
                <w:szCs w:val="18"/>
              </w:rPr>
            </w:pPr>
            <w:r w:rsidRPr="009C1626">
              <w:rPr>
                <w:rFonts w:ascii="Arial" w:hAnsi="Arial" w:cs="Arial"/>
                <w:sz w:val="18"/>
                <w:szCs w:val="18"/>
              </w:rPr>
              <w:t>2.3.5.b</w:t>
            </w:r>
          </w:p>
        </w:tc>
        <w:tc>
          <w:tcPr>
            <w:tcW w:w="1943" w:type="dxa"/>
            <w:hideMark/>
          </w:tcPr>
          <w:p w14:paraId="21BC7359" w14:textId="77777777" w:rsidR="009C1626" w:rsidRPr="009C1626" w:rsidRDefault="009C1626" w:rsidP="009C1626">
            <w:pPr>
              <w:rPr>
                <w:rFonts w:ascii="Arial" w:hAnsi="Arial" w:cs="Arial"/>
                <w:sz w:val="18"/>
                <w:szCs w:val="18"/>
              </w:rPr>
            </w:pPr>
            <w:r w:rsidRPr="009C1626">
              <w:rPr>
                <w:rFonts w:ascii="Arial" w:hAnsi="Arial" w:cs="Arial"/>
                <w:sz w:val="18"/>
                <w:szCs w:val="18"/>
              </w:rPr>
              <w:t>Neto knjigovodska vrednost opredmetenih sredstev vseh CE, ki so locirane v vsaki jurisdikciji</w:t>
            </w:r>
          </w:p>
        </w:tc>
        <w:tc>
          <w:tcPr>
            <w:tcW w:w="5846" w:type="dxa"/>
            <w:hideMark/>
          </w:tcPr>
          <w:p w14:paraId="55A1E1BE"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za vsako jurisdikcijo o knjigovodskih vrednostih opredmetenih sredstev vseh Subjektov v sestavi, ki se nahajajo v vsaki jurisdikciji, razen v Referenčni jurisdikciji, za finančno leto, v katerem MNE skupina prvič postane podvržena pravilom </w:t>
            </w:r>
            <w:proofErr w:type="spellStart"/>
            <w:r w:rsidRPr="009C1626">
              <w:rPr>
                <w:rFonts w:ascii="Arial" w:hAnsi="Arial" w:cs="Arial"/>
                <w:sz w:val="18"/>
                <w:szCs w:val="18"/>
              </w:rPr>
              <w:t>GloBE</w:t>
            </w:r>
            <w:proofErr w:type="spellEnd"/>
            <w:r w:rsidRPr="009C1626">
              <w:rPr>
                <w:rFonts w:ascii="Arial" w:hAnsi="Arial" w:cs="Arial"/>
                <w:sz w:val="18"/>
                <w:szCs w:val="18"/>
              </w:rPr>
              <w:t>. Opredmetena sredstva Subjektov v sestavi</w:t>
            </w:r>
            <w:r w:rsidR="00C34D44">
              <w:rPr>
                <w:rFonts w:ascii="Arial" w:hAnsi="Arial" w:cs="Arial"/>
                <w:sz w:val="18"/>
                <w:szCs w:val="18"/>
              </w:rPr>
              <w:t xml:space="preserve"> brez države</w:t>
            </w:r>
            <w:r w:rsidRPr="009C1626">
              <w:rPr>
                <w:rFonts w:ascii="Arial" w:hAnsi="Arial" w:cs="Arial"/>
                <w:sz w:val="18"/>
                <w:szCs w:val="18"/>
              </w:rPr>
              <w:t xml:space="preserve"> se štejejo za last Subjektov v sestavi, ki se nahajajo v jurisdikciji, razen v Referenčni jurisdikciji, razen če MNE skupina dokaže, da so ta opredmetena sredstva fizično locirana v Referenčni jurisdikciji. Opredmetena sredstva Skupnih podvigov in </w:t>
            </w:r>
            <w:r w:rsidR="00D00AAF">
              <w:rPr>
                <w:rFonts w:ascii="Arial" w:hAnsi="Arial" w:cs="Arial"/>
                <w:sz w:val="18"/>
                <w:szCs w:val="18"/>
              </w:rPr>
              <w:t xml:space="preserve">hčerinskih družb </w:t>
            </w:r>
            <w:r w:rsidRPr="009C1626">
              <w:rPr>
                <w:rFonts w:ascii="Arial" w:hAnsi="Arial" w:cs="Arial"/>
                <w:sz w:val="18"/>
                <w:szCs w:val="18"/>
              </w:rPr>
              <w:t>Skupnih podvigov ali Investicijskih subjektov, ki niso Izključeni subjekti, se ne upoštevajo pri določanju vsote knjigovodskih vrednosti opredmetenih sredstev vseh Subjektov v sestavi, ki se nahajajo v drugih jurisdikcijah kot Referenčna jurisdikcija.</w:t>
            </w:r>
          </w:p>
        </w:tc>
      </w:tr>
      <w:tr w:rsidR="009C1626" w:rsidRPr="009C1626" w14:paraId="5F7B597F" w14:textId="77777777" w:rsidTr="005933A6">
        <w:trPr>
          <w:trHeight w:val="1339"/>
        </w:trPr>
        <w:tc>
          <w:tcPr>
            <w:tcW w:w="1271" w:type="dxa"/>
            <w:noWrap/>
            <w:hideMark/>
          </w:tcPr>
          <w:p w14:paraId="38A4CDB1" w14:textId="77777777" w:rsidR="009C1626" w:rsidRPr="009C1626" w:rsidRDefault="009C1626" w:rsidP="009C1626">
            <w:pPr>
              <w:rPr>
                <w:rFonts w:ascii="Arial" w:hAnsi="Arial" w:cs="Arial"/>
                <w:sz w:val="18"/>
                <w:szCs w:val="18"/>
              </w:rPr>
            </w:pPr>
            <w:r w:rsidRPr="009C1626">
              <w:rPr>
                <w:rFonts w:ascii="Arial" w:hAnsi="Arial" w:cs="Arial"/>
                <w:sz w:val="18"/>
                <w:szCs w:val="18"/>
              </w:rPr>
              <w:t>2.3.6.</w:t>
            </w:r>
          </w:p>
        </w:tc>
        <w:tc>
          <w:tcPr>
            <w:tcW w:w="1943" w:type="dxa"/>
            <w:hideMark/>
          </w:tcPr>
          <w:p w14:paraId="2573D578" w14:textId="77777777" w:rsidR="009C1626" w:rsidRPr="009C1626" w:rsidRDefault="009C1626" w:rsidP="009C1626">
            <w:pPr>
              <w:rPr>
                <w:rFonts w:ascii="Arial" w:hAnsi="Arial" w:cs="Arial"/>
                <w:sz w:val="18"/>
                <w:szCs w:val="18"/>
              </w:rPr>
            </w:pPr>
            <w:r w:rsidRPr="009C1626">
              <w:rPr>
                <w:rFonts w:ascii="Arial" w:hAnsi="Arial" w:cs="Arial"/>
                <w:sz w:val="18"/>
                <w:szCs w:val="18"/>
              </w:rPr>
              <w:t>Število jurisdikcij, v katerih ima Skupina MNE Subjekte v sestavi (CE) med poročevalskim finančnim letom</w:t>
            </w:r>
          </w:p>
        </w:tc>
        <w:tc>
          <w:tcPr>
            <w:tcW w:w="5846" w:type="dxa"/>
            <w:hideMark/>
          </w:tcPr>
          <w:p w14:paraId="67D13216"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število jurisdikcij, v katerih ima MNE skupina Subjekte v sestavi med poročevalskim finančnim letom. Če je poročevalsko finančno leto finančno leto, v katerem je MNE skupina prvič podvržena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pravilom, te informacije ni treba poročati, saj se lahko izpelje iz informacij, poročanih v okviru točke 2.3.4.</w:t>
            </w:r>
          </w:p>
        </w:tc>
      </w:tr>
      <w:tr w:rsidR="009C1626" w:rsidRPr="009C1626" w14:paraId="654BB531" w14:textId="77777777" w:rsidTr="002426D1">
        <w:trPr>
          <w:trHeight w:val="1841"/>
        </w:trPr>
        <w:tc>
          <w:tcPr>
            <w:tcW w:w="1271" w:type="dxa"/>
            <w:noWrap/>
            <w:hideMark/>
          </w:tcPr>
          <w:p w14:paraId="1A253F5F" w14:textId="77777777" w:rsidR="009C1626" w:rsidRPr="009C1626" w:rsidRDefault="009C1626" w:rsidP="009C1626">
            <w:pPr>
              <w:rPr>
                <w:rFonts w:ascii="Arial" w:hAnsi="Arial" w:cs="Arial"/>
                <w:sz w:val="18"/>
                <w:szCs w:val="18"/>
              </w:rPr>
            </w:pPr>
            <w:r w:rsidRPr="009C1626">
              <w:rPr>
                <w:rFonts w:ascii="Arial" w:hAnsi="Arial" w:cs="Arial"/>
                <w:sz w:val="18"/>
                <w:szCs w:val="18"/>
              </w:rPr>
              <w:t>2.3.7.</w:t>
            </w:r>
          </w:p>
        </w:tc>
        <w:tc>
          <w:tcPr>
            <w:tcW w:w="1943" w:type="dxa"/>
            <w:hideMark/>
          </w:tcPr>
          <w:p w14:paraId="21FCD803" w14:textId="77777777" w:rsidR="009C1626" w:rsidRPr="009C1626" w:rsidRDefault="009C1626" w:rsidP="009C1626">
            <w:pPr>
              <w:rPr>
                <w:rFonts w:ascii="Arial" w:hAnsi="Arial" w:cs="Arial"/>
                <w:sz w:val="18"/>
                <w:szCs w:val="18"/>
              </w:rPr>
            </w:pPr>
            <w:r w:rsidRPr="009C1626">
              <w:rPr>
                <w:rFonts w:ascii="Arial" w:hAnsi="Arial" w:cs="Arial"/>
                <w:sz w:val="18"/>
                <w:szCs w:val="18"/>
              </w:rPr>
              <w:t>Vsota neto knjigovodske vrednosti opredmetenih sredstev vseh CE, ki so locirane v jurisdikciji, ki ni referenčna jurisdikcija med poročevalskim finančnim letom</w:t>
            </w:r>
          </w:p>
        </w:tc>
        <w:tc>
          <w:tcPr>
            <w:tcW w:w="5846" w:type="dxa"/>
            <w:hideMark/>
          </w:tcPr>
          <w:p w14:paraId="7BF79CEA" w14:textId="77777777" w:rsidR="009C1626" w:rsidRPr="009C1626" w:rsidRDefault="009C1626" w:rsidP="009C1626">
            <w:pPr>
              <w:rPr>
                <w:rFonts w:ascii="Arial" w:hAnsi="Arial" w:cs="Arial"/>
                <w:sz w:val="18"/>
                <w:szCs w:val="18"/>
              </w:rPr>
            </w:pPr>
            <w:proofErr w:type="spellStart"/>
            <w:r w:rsidRPr="009C1626">
              <w:rPr>
                <w:rFonts w:ascii="Arial" w:hAnsi="Arial" w:cs="Arial"/>
                <w:sz w:val="18"/>
                <w:szCs w:val="18"/>
              </w:rPr>
              <w:t>Vložniški</w:t>
            </w:r>
            <w:proofErr w:type="spellEnd"/>
            <w:r w:rsidRPr="009C1626">
              <w:rPr>
                <w:rFonts w:ascii="Arial" w:hAnsi="Arial" w:cs="Arial"/>
                <w:sz w:val="18"/>
                <w:szCs w:val="18"/>
              </w:rPr>
              <w:t xml:space="preserve"> subjekt poroča neto knjigovodsko vrednost opredmetenih sredstev vseh Subjektov v sestavi, lociranih v vseh jurisdikcijah, ki niso referenčna jurisdikcija med poročevalskim finančnim letom. Če je poročevalsko finančno leto finančno leto, v katerem je MNE skupina prvič podvržena </w:t>
            </w:r>
            <w:proofErr w:type="spellStart"/>
            <w:r w:rsidRPr="009C1626">
              <w:rPr>
                <w:rFonts w:ascii="Arial" w:hAnsi="Arial" w:cs="Arial"/>
                <w:sz w:val="18"/>
                <w:szCs w:val="18"/>
              </w:rPr>
              <w:t>GloBE</w:t>
            </w:r>
            <w:proofErr w:type="spellEnd"/>
            <w:r w:rsidRPr="009C1626">
              <w:rPr>
                <w:rFonts w:ascii="Arial" w:hAnsi="Arial" w:cs="Arial"/>
                <w:sz w:val="18"/>
                <w:szCs w:val="18"/>
              </w:rPr>
              <w:t xml:space="preserve"> pravilom, te informacije ni treba poročati, saj se lahko izpelje iz informacij, poročanih v okviru točke 2.3.5.</w:t>
            </w:r>
          </w:p>
        </w:tc>
      </w:tr>
    </w:tbl>
    <w:p w14:paraId="24730021" w14:textId="77777777" w:rsidR="009C1626" w:rsidRPr="008752B8" w:rsidRDefault="009C1626" w:rsidP="00356C7A">
      <w:pPr>
        <w:spacing w:after="120" w:line="240" w:lineRule="exact"/>
        <w:jc w:val="both"/>
        <w:rPr>
          <w:rFonts w:ascii="Arial" w:hAnsi="Arial" w:cs="Arial"/>
          <w:sz w:val="20"/>
          <w:szCs w:val="20"/>
        </w:rPr>
      </w:pPr>
    </w:p>
    <w:p w14:paraId="6AD8B7F8" w14:textId="77777777" w:rsidR="00C9275B" w:rsidRPr="009C49FB" w:rsidRDefault="009C49FB" w:rsidP="00356C7A">
      <w:pPr>
        <w:pStyle w:val="FURSnaslov2"/>
        <w:spacing w:line="240" w:lineRule="exact"/>
        <w:rPr>
          <w:sz w:val="20"/>
          <w:szCs w:val="20"/>
        </w:rPr>
      </w:pPr>
      <w:bookmarkStart w:id="26" w:name="_Toc157425319"/>
      <w:r w:rsidRPr="009C49FB">
        <w:rPr>
          <w:sz w:val="20"/>
          <w:szCs w:val="20"/>
        </w:rPr>
        <w:t>4</w:t>
      </w:r>
      <w:r w:rsidR="00077CBF" w:rsidRPr="009C49FB">
        <w:rPr>
          <w:sz w:val="20"/>
          <w:szCs w:val="20"/>
        </w:rPr>
        <w:t xml:space="preserve">.1. </w:t>
      </w:r>
      <w:proofErr w:type="spellStart"/>
      <w:r w:rsidR="00C9275B" w:rsidRPr="009C49FB">
        <w:rPr>
          <w:sz w:val="20"/>
          <w:szCs w:val="20"/>
        </w:rPr>
        <w:t>Stalni</w:t>
      </w:r>
      <w:proofErr w:type="spellEnd"/>
      <w:r w:rsidR="00C9275B" w:rsidRPr="009C49FB">
        <w:rPr>
          <w:sz w:val="20"/>
          <w:szCs w:val="20"/>
        </w:rPr>
        <w:t xml:space="preserve"> </w:t>
      </w:r>
      <w:proofErr w:type="spellStart"/>
      <w:r w:rsidR="00C9275B" w:rsidRPr="009C49FB">
        <w:rPr>
          <w:sz w:val="20"/>
          <w:szCs w:val="20"/>
        </w:rPr>
        <w:t>varni</w:t>
      </w:r>
      <w:proofErr w:type="spellEnd"/>
      <w:r w:rsidR="00C9275B" w:rsidRPr="009C49FB">
        <w:rPr>
          <w:sz w:val="20"/>
          <w:szCs w:val="20"/>
        </w:rPr>
        <w:t xml:space="preserve"> </w:t>
      </w:r>
      <w:proofErr w:type="spellStart"/>
      <w:r w:rsidR="00C9275B" w:rsidRPr="009C49FB">
        <w:rPr>
          <w:sz w:val="20"/>
          <w:szCs w:val="20"/>
        </w:rPr>
        <w:t>pristani</w:t>
      </w:r>
      <w:bookmarkEnd w:id="26"/>
      <w:proofErr w:type="spellEnd"/>
    </w:p>
    <w:p w14:paraId="171697F6" w14:textId="77777777" w:rsidR="00813CC4" w:rsidRPr="009C49FB" w:rsidRDefault="00C9275B" w:rsidP="00356C7A">
      <w:pPr>
        <w:pStyle w:val="FURSnaslov2"/>
        <w:tabs>
          <w:tab w:val="clear" w:pos="3402"/>
          <w:tab w:val="left" w:pos="142"/>
        </w:tabs>
        <w:spacing w:line="240" w:lineRule="exact"/>
        <w:rPr>
          <w:sz w:val="20"/>
          <w:szCs w:val="20"/>
        </w:rPr>
      </w:pPr>
      <w:r w:rsidRPr="009C49FB">
        <w:rPr>
          <w:sz w:val="20"/>
          <w:szCs w:val="20"/>
        </w:rPr>
        <w:tab/>
      </w:r>
      <w:bookmarkStart w:id="27" w:name="_Toc157425320"/>
      <w:r w:rsidR="009C49FB" w:rsidRPr="009C49FB">
        <w:rPr>
          <w:sz w:val="20"/>
          <w:szCs w:val="20"/>
        </w:rPr>
        <w:t>4</w:t>
      </w:r>
      <w:r w:rsidR="00077CBF" w:rsidRPr="009C49FB">
        <w:rPr>
          <w:sz w:val="20"/>
          <w:szCs w:val="20"/>
        </w:rPr>
        <w:t>.1.1</w:t>
      </w:r>
      <w:r w:rsidRPr="009C49FB">
        <w:rPr>
          <w:sz w:val="20"/>
          <w:szCs w:val="20"/>
        </w:rPr>
        <w:t xml:space="preserve"> </w:t>
      </w:r>
      <w:proofErr w:type="spellStart"/>
      <w:r w:rsidRPr="009C49FB">
        <w:rPr>
          <w:sz w:val="20"/>
          <w:szCs w:val="20"/>
        </w:rPr>
        <w:t>Varni</w:t>
      </w:r>
      <w:proofErr w:type="spellEnd"/>
      <w:r w:rsidRPr="009C49FB">
        <w:rPr>
          <w:sz w:val="20"/>
          <w:szCs w:val="20"/>
        </w:rPr>
        <w:t xml:space="preserve"> </w:t>
      </w:r>
      <w:proofErr w:type="spellStart"/>
      <w:r w:rsidRPr="009C49FB">
        <w:rPr>
          <w:sz w:val="20"/>
          <w:szCs w:val="20"/>
        </w:rPr>
        <w:t>pristan</w:t>
      </w:r>
      <w:proofErr w:type="spellEnd"/>
      <w:r w:rsidRPr="009C49FB">
        <w:rPr>
          <w:sz w:val="20"/>
          <w:szCs w:val="20"/>
        </w:rPr>
        <w:t xml:space="preserve"> </w:t>
      </w:r>
      <w:proofErr w:type="spellStart"/>
      <w:r w:rsidRPr="009C49FB">
        <w:rPr>
          <w:sz w:val="20"/>
          <w:szCs w:val="20"/>
        </w:rPr>
        <w:t>domačega</w:t>
      </w:r>
      <w:proofErr w:type="spellEnd"/>
      <w:r w:rsidRPr="009C49FB">
        <w:rPr>
          <w:sz w:val="20"/>
          <w:szCs w:val="20"/>
        </w:rPr>
        <w:t xml:space="preserve"> </w:t>
      </w:r>
      <w:proofErr w:type="spellStart"/>
      <w:r w:rsidRPr="009C49FB">
        <w:rPr>
          <w:sz w:val="20"/>
          <w:szCs w:val="20"/>
        </w:rPr>
        <w:t>povrhnjega</w:t>
      </w:r>
      <w:proofErr w:type="spellEnd"/>
      <w:r w:rsidRPr="009C49FB">
        <w:rPr>
          <w:sz w:val="20"/>
          <w:szCs w:val="20"/>
        </w:rPr>
        <w:t xml:space="preserve"> </w:t>
      </w:r>
      <w:proofErr w:type="spellStart"/>
      <w:r w:rsidRPr="009C49FB">
        <w:rPr>
          <w:sz w:val="20"/>
          <w:szCs w:val="20"/>
        </w:rPr>
        <w:t>davka</w:t>
      </w:r>
      <w:proofErr w:type="spellEnd"/>
      <w:r w:rsidRPr="009C49FB">
        <w:rPr>
          <w:sz w:val="20"/>
          <w:szCs w:val="20"/>
        </w:rPr>
        <w:t xml:space="preserve"> </w:t>
      </w:r>
      <w:r w:rsidR="004539CB" w:rsidRPr="009C49FB">
        <w:rPr>
          <w:sz w:val="20"/>
          <w:szCs w:val="20"/>
        </w:rPr>
        <w:t xml:space="preserve">(QDMTT </w:t>
      </w:r>
      <w:proofErr w:type="spellStart"/>
      <w:r w:rsidR="004539CB" w:rsidRPr="009C49FB">
        <w:rPr>
          <w:sz w:val="20"/>
          <w:szCs w:val="20"/>
        </w:rPr>
        <w:t>varni</w:t>
      </w:r>
      <w:proofErr w:type="spellEnd"/>
      <w:r w:rsidR="004539CB" w:rsidRPr="009C49FB">
        <w:rPr>
          <w:sz w:val="20"/>
          <w:szCs w:val="20"/>
        </w:rPr>
        <w:t xml:space="preserve"> </w:t>
      </w:r>
      <w:proofErr w:type="spellStart"/>
      <w:r w:rsidR="004539CB" w:rsidRPr="009C49FB">
        <w:rPr>
          <w:sz w:val="20"/>
          <w:szCs w:val="20"/>
        </w:rPr>
        <w:t>pristan</w:t>
      </w:r>
      <w:proofErr w:type="spellEnd"/>
      <w:r w:rsidR="004539CB" w:rsidRPr="009C49FB">
        <w:rPr>
          <w:sz w:val="20"/>
          <w:szCs w:val="20"/>
        </w:rPr>
        <w:t>)</w:t>
      </w:r>
      <w:bookmarkEnd w:id="27"/>
    </w:p>
    <w:p w14:paraId="58D07D60" w14:textId="77777777" w:rsidR="00C9275B" w:rsidRPr="008752B8" w:rsidRDefault="00C9275B" w:rsidP="00356C7A">
      <w:pPr>
        <w:spacing w:after="120" w:line="240" w:lineRule="exact"/>
        <w:jc w:val="both"/>
        <w:rPr>
          <w:rFonts w:ascii="Arial" w:hAnsi="Arial" w:cs="Arial"/>
          <w:sz w:val="20"/>
          <w:szCs w:val="20"/>
        </w:rPr>
      </w:pPr>
      <w:r w:rsidRPr="008752B8">
        <w:rPr>
          <w:rFonts w:ascii="Arial" w:hAnsi="Arial" w:cs="Arial"/>
          <w:sz w:val="20"/>
          <w:szCs w:val="20"/>
        </w:rPr>
        <w:t xml:space="preserve">Kvalificiran domači minimalni dodatni davek (QDMTT) je domači </w:t>
      </w:r>
      <w:r w:rsidR="00B314F8" w:rsidRPr="008752B8">
        <w:rPr>
          <w:rFonts w:ascii="Arial" w:hAnsi="Arial" w:cs="Arial"/>
          <w:sz w:val="20"/>
          <w:szCs w:val="20"/>
        </w:rPr>
        <w:t xml:space="preserve">povrhnji </w:t>
      </w:r>
      <w:r w:rsidRPr="008752B8">
        <w:rPr>
          <w:rFonts w:ascii="Arial" w:hAnsi="Arial" w:cs="Arial"/>
          <w:sz w:val="20"/>
          <w:szCs w:val="20"/>
        </w:rPr>
        <w:t xml:space="preserve">davek, ki ga </w:t>
      </w:r>
      <w:r w:rsidR="00901ED8">
        <w:rPr>
          <w:rFonts w:ascii="Arial" w:hAnsi="Arial" w:cs="Arial"/>
          <w:sz w:val="20"/>
          <w:szCs w:val="20"/>
        </w:rPr>
        <w:t>jurisdikcija</w:t>
      </w:r>
      <w:r w:rsidRPr="008752B8">
        <w:rPr>
          <w:rFonts w:ascii="Arial" w:hAnsi="Arial" w:cs="Arial"/>
          <w:sz w:val="20"/>
          <w:szCs w:val="20"/>
        </w:rPr>
        <w:t xml:space="preserve"> </w:t>
      </w:r>
      <w:r w:rsidR="00B314F8" w:rsidRPr="008752B8">
        <w:rPr>
          <w:rFonts w:ascii="Arial" w:hAnsi="Arial" w:cs="Arial"/>
          <w:sz w:val="20"/>
          <w:szCs w:val="20"/>
        </w:rPr>
        <w:t>uvede</w:t>
      </w:r>
      <w:r w:rsidRPr="008752B8">
        <w:rPr>
          <w:rFonts w:ascii="Arial" w:hAnsi="Arial" w:cs="Arial"/>
          <w:sz w:val="20"/>
          <w:szCs w:val="20"/>
        </w:rPr>
        <w:t xml:space="preserve"> za tiste subjekte</w:t>
      </w:r>
      <w:r w:rsidR="00B314F8" w:rsidRPr="008752B8">
        <w:rPr>
          <w:rFonts w:ascii="Arial" w:hAnsi="Arial" w:cs="Arial"/>
          <w:sz w:val="20"/>
          <w:szCs w:val="20"/>
        </w:rPr>
        <w:t xml:space="preserve"> v sestavi</w:t>
      </w:r>
      <w:r w:rsidRPr="008752B8">
        <w:rPr>
          <w:rFonts w:ascii="Arial" w:hAnsi="Arial" w:cs="Arial"/>
          <w:sz w:val="20"/>
          <w:szCs w:val="20"/>
        </w:rPr>
        <w:t>, ki s</w:t>
      </w:r>
      <w:r w:rsidR="00B314F8" w:rsidRPr="008752B8">
        <w:rPr>
          <w:rFonts w:ascii="Arial" w:hAnsi="Arial" w:cs="Arial"/>
          <w:sz w:val="20"/>
          <w:szCs w:val="20"/>
        </w:rPr>
        <w:t>e nahajajo</w:t>
      </w:r>
      <w:r w:rsidRPr="008752B8">
        <w:rPr>
          <w:rFonts w:ascii="Arial" w:hAnsi="Arial" w:cs="Arial"/>
          <w:sz w:val="20"/>
          <w:szCs w:val="20"/>
        </w:rPr>
        <w:t xml:space="preserve"> </w:t>
      </w:r>
      <w:r w:rsidR="00B314F8" w:rsidRPr="008752B8">
        <w:rPr>
          <w:rFonts w:ascii="Arial" w:hAnsi="Arial" w:cs="Arial"/>
          <w:sz w:val="20"/>
          <w:szCs w:val="20"/>
        </w:rPr>
        <w:t>v</w:t>
      </w:r>
      <w:r w:rsidRPr="008752B8">
        <w:rPr>
          <w:rFonts w:ascii="Arial" w:hAnsi="Arial" w:cs="Arial"/>
          <w:sz w:val="20"/>
          <w:szCs w:val="20"/>
        </w:rPr>
        <w:t xml:space="preserve"> te</w:t>
      </w:r>
      <w:r w:rsidR="00B314F8" w:rsidRPr="008752B8">
        <w:rPr>
          <w:rFonts w:ascii="Arial" w:hAnsi="Arial" w:cs="Arial"/>
          <w:sz w:val="20"/>
          <w:szCs w:val="20"/>
        </w:rPr>
        <w:t>j</w:t>
      </w:r>
      <w:r w:rsidRPr="008752B8">
        <w:rPr>
          <w:rFonts w:ascii="Arial" w:hAnsi="Arial" w:cs="Arial"/>
          <w:sz w:val="20"/>
          <w:szCs w:val="20"/>
        </w:rPr>
        <w:t xml:space="preserve"> </w:t>
      </w:r>
      <w:r w:rsidR="00B314F8" w:rsidRPr="008752B8">
        <w:rPr>
          <w:rFonts w:ascii="Arial" w:hAnsi="Arial" w:cs="Arial"/>
          <w:sz w:val="20"/>
          <w:szCs w:val="20"/>
        </w:rPr>
        <w:t>jurisdikciji</w:t>
      </w:r>
      <w:r w:rsidRPr="008752B8">
        <w:rPr>
          <w:rFonts w:ascii="Arial" w:hAnsi="Arial" w:cs="Arial"/>
          <w:sz w:val="20"/>
          <w:szCs w:val="20"/>
        </w:rPr>
        <w:t>.</w:t>
      </w:r>
      <w:r w:rsidR="00B314F8" w:rsidRPr="008752B8">
        <w:rPr>
          <w:rFonts w:ascii="Arial" w:hAnsi="Arial" w:cs="Arial"/>
          <w:sz w:val="20"/>
          <w:szCs w:val="20"/>
        </w:rPr>
        <w:t xml:space="preserve"> </w:t>
      </w:r>
      <w:r w:rsidR="004539CB" w:rsidRPr="008752B8">
        <w:rPr>
          <w:rFonts w:ascii="Arial" w:hAnsi="Arial" w:cs="Arial"/>
          <w:sz w:val="20"/>
          <w:szCs w:val="20"/>
        </w:rPr>
        <w:t>Slovenija</w:t>
      </w:r>
      <w:r w:rsidR="00B314F8" w:rsidRPr="008752B8">
        <w:rPr>
          <w:rFonts w:ascii="Arial" w:hAnsi="Arial" w:cs="Arial"/>
          <w:sz w:val="20"/>
          <w:szCs w:val="20"/>
        </w:rPr>
        <w:t xml:space="preserve"> j</w:t>
      </w:r>
      <w:r w:rsidR="004539CB" w:rsidRPr="008752B8">
        <w:rPr>
          <w:rFonts w:ascii="Arial" w:hAnsi="Arial" w:cs="Arial"/>
          <w:sz w:val="20"/>
          <w:szCs w:val="20"/>
        </w:rPr>
        <w:t>e</w:t>
      </w:r>
      <w:r w:rsidR="00B314F8" w:rsidRPr="008752B8">
        <w:rPr>
          <w:rFonts w:ascii="Arial" w:hAnsi="Arial" w:cs="Arial"/>
          <w:sz w:val="20"/>
          <w:szCs w:val="20"/>
        </w:rPr>
        <w:t xml:space="preserve"> </w:t>
      </w:r>
      <w:r w:rsidR="00684474">
        <w:rPr>
          <w:rFonts w:ascii="Arial" w:hAnsi="Arial" w:cs="Arial"/>
          <w:sz w:val="20"/>
          <w:szCs w:val="20"/>
        </w:rPr>
        <w:t>domači povrhnji davek</w:t>
      </w:r>
      <w:r w:rsidR="00B314F8" w:rsidRPr="008752B8">
        <w:rPr>
          <w:rFonts w:ascii="Arial" w:hAnsi="Arial" w:cs="Arial"/>
          <w:sz w:val="20"/>
          <w:szCs w:val="20"/>
        </w:rPr>
        <w:t xml:space="preserve"> uvedla v VIII</w:t>
      </w:r>
      <w:r w:rsidR="00684474">
        <w:rPr>
          <w:rFonts w:ascii="Arial" w:hAnsi="Arial" w:cs="Arial"/>
          <w:sz w:val="20"/>
          <w:szCs w:val="20"/>
        </w:rPr>
        <w:t>.</w:t>
      </w:r>
      <w:r w:rsidR="00B314F8" w:rsidRPr="008752B8">
        <w:rPr>
          <w:rFonts w:ascii="Arial" w:hAnsi="Arial" w:cs="Arial"/>
          <w:sz w:val="20"/>
          <w:szCs w:val="20"/>
        </w:rPr>
        <w:t xml:space="preserve"> poglavju </w:t>
      </w:r>
      <w:r w:rsidR="004539CB" w:rsidRPr="008752B8">
        <w:rPr>
          <w:rFonts w:ascii="Arial" w:hAnsi="Arial" w:cs="Arial"/>
          <w:sz w:val="20"/>
          <w:szCs w:val="20"/>
        </w:rPr>
        <w:t>Z</w:t>
      </w:r>
      <w:r w:rsidR="00B314F8" w:rsidRPr="008752B8">
        <w:rPr>
          <w:rFonts w:ascii="Arial" w:hAnsi="Arial" w:cs="Arial"/>
          <w:sz w:val="20"/>
          <w:szCs w:val="20"/>
        </w:rPr>
        <w:t xml:space="preserve">akona o minimalnem davku. </w:t>
      </w:r>
      <w:r w:rsidRPr="008752B8">
        <w:rPr>
          <w:rFonts w:ascii="Arial" w:hAnsi="Arial" w:cs="Arial"/>
          <w:sz w:val="20"/>
          <w:szCs w:val="20"/>
        </w:rPr>
        <w:t xml:space="preserve">QDMTT deluje kot </w:t>
      </w:r>
      <w:r w:rsidR="00B314F8" w:rsidRPr="008752B8">
        <w:rPr>
          <w:rFonts w:ascii="Arial" w:hAnsi="Arial" w:cs="Arial"/>
          <w:sz w:val="20"/>
          <w:szCs w:val="20"/>
        </w:rPr>
        <w:t>povrhnji</w:t>
      </w:r>
      <w:r w:rsidRPr="008752B8">
        <w:rPr>
          <w:rFonts w:ascii="Arial" w:hAnsi="Arial" w:cs="Arial"/>
          <w:sz w:val="20"/>
          <w:szCs w:val="20"/>
        </w:rPr>
        <w:t xml:space="preserve"> davek, ki se izračuna v </w:t>
      </w:r>
      <w:r w:rsidR="004539CB" w:rsidRPr="008752B8">
        <w:rPr>
          <w:rFonts w:ascii="Arial" w:hAnsi="Arial" w:cs="Arial"/>
          <w:sz w:val="20"/>
          <w:szCs w:val="20"/>
        </w:rPr>
        <w:t>jurisdikciji</w:t>
      </w:r>
      <w:r w:rsidRPr="008752B8">
        <w:rPr>
          <w:rFonts w:ascii="Arial" w:hAnsi="Arial" w:cs="Arial"/>
          <w:sz w:val="20"/>
          <w:szCs w:val="20"/>
        </w:rPr>
        <w:t xml:space="preserve"> </w:t>
      </w:r>
      <w:r w:rsidR="004539CB" w:rsidRPr="008752B8">
        <w:rPr>
          <w:rFonts w:ascii="Arial" w:hAnsi="Arial" w:cs="Arial"/>
          <w:sz w:val="20"/>
          <w:szCs w:val="20"/>
        </w:rPr>
        <w:t>ob upoštevanju pravil, ki veljajo za povrhnji davek</w:t>
      </w:r>
      <w:r w:rsidRPr="008752B8">
        <w:rPr>
          <w:rFonts w:ascii="Arial" w:hAnsi="Arial" w:cs="Arial"/>
          <w:sz w:val="20"/>
          <w:szCs w:val="20"/>
        </w:rPr>
        <w:t xml:space="preserve">. Čeprav se lahko nekatere značilnosti QDMTT razlikujejo od tistih, ki so predvidene </w:t>
      </w:r>
      <w:r w:rsidR="004539CB" w:rsidRPr="008752B8">
        <w:rPr>
          <w:rFonts w:ascii="Arial" w:hAnsi="Arial" w:cs="Arial"/>
          <w:sz w:val="20"/>
          <w:szCs w:val="20"/>
        </w:rPr>
        <w:t>za povrhnji davek</w:t>
      </w:r>
      <w:r w:rsidRPr="008752B8">
        <w:rPr>
          <w:rFonts w:ascii="Arial" w:hAnsi="Arial" w:cs="Arial"/>
          <w:sz w:val="20"/>
          <w:szCs w:val="20"/>
        </w:rPr>
        <w:t>, morajo biti celotna zasnova in</w:t>
      </w:r>
      <w:r w:rsidR="004539CB" w:rsidRPr="008752B8">
        <w:rPr>
          <w:rFonts w:ascii="Arial" w:hAnsi="Arial" w:cs="Arial"/>
          <w:sz w:val="20"/>
          <w:szCs w:val="20"/>
        </w:rPr>
        <w:t xml:space="preserve"> predvsem</w:t>
      </w:r>
      <w:r w:rsidRPr="008752B8">
        <w:rPr>
          <w:rFonts w:ascii="Arial" w:hAnsi="Arial" w:cs="Arial"/>
          <w:sz w:val="20"/>
          <w:szCs w:val="20"/>
        </w:rPr>
        <w:t xml:space="preserve"> rezultati QDMTT skladni s tistimi, ki so določeni </w:t>
      </w:r>
      <w:r w:rsidR="004539CB" w:rsidRPr="008752B8">
        <w:rPr>
          <w:rFonts w:ascii="Arial" w:hAnsi="Arial" w:cs="Arial"/>
          <w:sz w:val="20"/>
          <w:szCs w:val="20"/>
        </w:rPr>
        <w:t>za povrhnji davek</w:t>
      </w:r>
      <w:r w:rsidRPr="008752B8">
        <w:rPr>
          <w:rFonts w:ascii="Arial" w:hAnsi="Arial" w:cs="Arial"/>
          <w:sz w:val="20"/>
          <w:szCs w:val="20"/>
        </w:rPr>
        <w:t>.</w:t>
      </w:r>
    </w:p>
    <w:p w14:paraId="5166B0E1" w14:textId="77777777" w:rsidR="00C9275B" w:rsidRPr="008752B8" w:rsidRDefault="00C9275B" w:rsidP="00356C7A">
      <w:pPr>
        <w:spacing w:after="120" w:line="240" w:lineRule="exact"/>
        <w:jc w:val="both"/>
        <w:rPr>
          <w:rFonts w:ascii="Arial" w:hAnsi="Arial" w:cs="Arial"/>
          <w:sz w:val="20"/>
          <w:szCs w:val="20"/>
        </w:rPr>
      </w:pPr>
      <w:r w:rsidRPr="008752B8">
        <w:rPr>
          <w:rFonts w:ascii="Arial" w:hAnsi="Arial" w:cs="Arial"/>
          <w:sz w:val="20"/>
          <w:szCs w:val="20"/>
        </w:rPr>
        <w:t xml:space="preserve">QDMTT </w:t>
      </w:r>
      <w:r w:rsidR="004539CB" w:rsidRPr="008752B8">
        <w:rPr>
          <w:rFonts w:ascii="Arial" w:hAnsi="Arial" w:cs="Arial"/>
          <w:sz w:val="20"/>
          <w:szCs w:val="20"/>
        </w:rPr>
        <w:t>varni pristan</w:t>
      </w:r>
      <w:r w:rsidRPr="008752B8">
        <w:rPr>
          <w:rFonts w:ascii="Arial" w:hAnsi="Arial" w:cs="Arial"/>
          <w:sz w:val="20"/>
          <w:szCs w:val="20"/>
        </w:rPr>
        <w:t xml:space="preserve"> je zamišljen kot praktična rešitev za </w:t>
      </w:r>
      <w:r w:rsidR="004539CB" w:rsidRPr="008752B8">
        <w:rPr>
          <w:rFonts w:ascii="Arial" w:hAnsi="Arial" w:cs="Arial"/>
          <w:sz w:val="20"/>
          <w:szCs w:val="20"/>
        </w:rPr>
        <w:t xml:space="preserve">iskanje načinov za ponastavitev sistema izračunavanja obveznosti po </w:t>
      </w:r>
      <w:r w:rsidR="00684474">
        <w:rPr>
          <w:rFonts w:ascii="Arial" w:hAnsi="Arial" w:cs="Arial"/>
          <w:sz w:val="20"/>
          <w:szCs w:val="20"/>
        </w:rPr>
        <w:t>ZMD</w:t>
      </w:r>
      <w:r w:rsidRPr="008752B8">
        <w:rPr>
          <w:rFonts w:ascii="Arial" w:hAnsi="Arial" w:cs="Arial"/>
          <w:sz w:val="20"/>
          <w:szCs w:val="20"/>
        </w:rPr>
        <w:t xml:space="preserve">. Kadar </w:t>
      </w:r>
      <w:r w:rsidR="004539CB" w:rsidRPr="008752B8">
        <w:rPr>
          <w:rFonts w:ascii="Arial" w:hAnsi="Arial" w:cs="Arial"/>
          <w:sz w:val="20"/>
          <w:szCs w:val="20"/>
        </w:rPr>
        <w:t>MNE ali velika domača skupina</w:t>
      </w:r>
      <w:r w:rsidRPr="008752B8">
        <w:rPr>
          <w:rFonts w:ascii="Arial" w:hAnsi="Arial" w:cs="Arial"/>
          <w:sz w:val="20"/>
          <w:szCs w:val="20"/>
        </w:rPr>
        <w:t xml:space="preserve"> izpolni pogoje za QDMTT </w:t>
      </w:r>
      <w:r w:rsidR="004539CB" w:rsidRPr="008752B8">
        <w:rPr>
          <w:rFonts w:ascii="Arial" w:hAnsi="Arial" w:cs="Arial"/>
          <w:sz w:val="20"/>
          <w:szCs w:val="20"/>
        </w:rPr>
        <w:t>v</w:t>
      </w:r>
      <w:r w:rsidRPr="008752B8">
        <w:rPr>
          <w:rFonts w:ascii="Arial" w:hAnsi="Arial" w:cs="Arial"/>
          <w:sz w:val="20"/>
          <w:szCs w:val="20"/>
        </w:rPr>
        <w:t>arn</w:t>
      </w:r>
      <w:r w:rsidR="004539CB" w:rsidRPr="008752B8">
        <w:rPr>
          <w:rFonts w:ascii="Arial" w:hAnsi="Arial" w:cs="Arial"/>
          <w:sz w:val="20"/>
          <w:szCs w:val="20"/>
        </w:rPr>
        <w:t>i pristan</w:t>
      </w:r>
      <w:r w:rsidRPr="008752B8">
        <w:rPr>
          <w:rFonts w:ascii="Arial" w:hAnsi="Arial" w:cs="Arial"/>
          <w:sz w:val="20"/>
          <w:szCs w:val="20"/>
        </w:rPr>
        <w:t xml:space="preserve">, </w:t>
      </w:r>
      <w:r w:rsidR="004539CB" w:rsidRPr="008752B8">
        <w:rPr>
          <w:rFonts w:ascii="Arial" w:hAnsi="Arial" w:cs="Arial"/>
          <w:sz w:val="20"/>
          <w:szCs w:val="20"/>
        </w:rPr>
        <w:t>se</w:t>
      </w:r>
      <w:r w:rsidRPr="008752B8">
        <w:rPr>
          <w:rFonts w:ascii="Arial" w:hAnsi="Arial" w:cs="Arial"/>
          <w:sz w:val="20"/>
          <w:szCs w:val="20"/>
        </w:rPr>
        <w:t xml:space="preserve"> izključi uporab</w:t>
      </w:r>
      <w:r w:rsidR="004539CB" w:rsidRPr="008752B8">
        <w:rPr>
          <w:rFonts w:ascii="Arial" w:hAnsi="Arial" w:cs="Arial"/>
          <w:sz w:val="20"/>
          <w:szCs w:val="20"/>
        </w:rPr>
        <w:t>a</w:t>
      </w:r>
      <w:r w:rsidRPr="008752B8">
        <w:rPr>
          <w:rFonts w:ascii="Arial" w:hAnsi="Arial" w:cs="Arial"/>
          <w:sz w:val="20"/>
          <w:szCs w:val="20"/>
        </w:rPr>
        <w:t xml:space="preserve"> pravil </w:t>
      </w:r>
      <w:r w:rsidR="004539CB" w:rsidRPr="008752B8">
        <w:rPr>
          <w:rFonts w:ascii="Arial" w:hAnsi="Arial" w:cs="Arial"/>
          <w:sz w:val="20"/>
          <w:szCs w:val="20"/>
        </w:rPr>
        <w:t xml:space="preserve">povrhnjega davka </w:t>
      </w:r>
      <w:r w:rsidRPr="008752B8">
        <w:rPr>
          <w:rFonts w:ascii="Arial" w:hAnsi="Arial" w:cs="Arial"/>
          <w:sz w:val="20"/>
          <w:szCs w:val="20"/>
        </w:rPr>
        <w:t xml:space="preserve">v drugih </w:t>
      </w:r>
      <w:r w:rsidR="004539CB" w:rsidRPr="008752B8">
        <w:rPr>
          <w:rFonts w:ascii="Arial" w:hAnsi="Arial" w:cs="Arial"/>
          <w:sz w:val="20"/>
          <w:szCs w:val="20"/>
        </w:rPr>
        <w:t>jurisdikcijah</w:t>
      </w:r>
      <w:r w:rsidRPr="008752B8">
        <w:rPr>
          <w:rFonts w:ascii="Arial" w:hAnsi="Arial" w:cs="Arial"/>
          <w:sz w:val="20"/>
          <w:szCs w:val="20"/>
        </w:rPr>
        <w:t xml:space="preserve">, tako da določi, da je </w:t>
      </w:r>
      <w:r w:rsidR="004539CB" w:rsidRPr="008752B8">
        <w:rPr>
          <w:rFonts w:ascii="Arial" w:hAnsi="Arial" w:cs="Arial"/>
          <w:sz w:val="20"/>
          <w:szCs w:val="20"/>
        </w:rPr>
        <w:t>povrhnji davek</w:t>
      </w:r>
      <w:r w:rsidRPr="008752B8">
        <w:rPr>
          <w:rFonts w:ascii="Arial" w:hAnsi="Arial" w:cs="Arial"/>
          <w:sz w:val="20"/>
          <w:szCs w:val="20"/>
        </w:rPr>
        <w:t>,</w:t>
      </w:r>
      <w:r w:rsidR="004539CB" w:rsidRPr="008752B8">
        <w:rPr>
          <w:rFonts w:ascii="Arial" w:hAnsi="Arial" w:cs="Arial"/>
          <w:sz w:val="20"/>
          <w:szCs w:val="20"/>
        </w:rPr>
        <w:t xml:space="preserve"> ki bi ga morala MNE ali velika domača skupina</w:t>
      </w:r>
      <w:r w:rsidRPr="008752B8">
        <w:rPr>
          <w:rFonts w:ascii="Arial" w:hAnsi="Arial" w:cs="Arial"/>
          <w:sz w:val="20"/>
          <w:szCs w:val="20"/>
        </w:rPr>
        <w:t xml:space="preserve"> plač</w:t>
      </w:r>
      <w:r w:rsidR="004539CB" w:rsidRPr="008752B8">
        <w:rPr>
          <w:rFonts w:ascii="Arial" w:hAnsi="Arial" w:cs="Arial"/>
          <w:sz w:val="20"/>
          <w:szCs w:val="20"/>
        </w:rPr>
        <w:t>ati</w:t>
      </w:r>
      <w:r w:rsidRPr="008752B8">
        <w:rPr>
          <w:rFonts w:ascii="Arial" w:hAnsi="Arial" w:cs="Arial"/>
          <w:sz w:val="20"/>
          <w:szCs w:val="20"/>
        </w:rPr>
        <w:t xml:space="preserve"> v skladu s pravili </w:t>
      </w:r>
      <w:r w:rsidR="004539CB" w:rsidRPr="008752B8">
        <w:rPr>
          <w:rFonts w:ascii="Arial" w:hAnsi="Arial" w:cs="Arial"/>
          <w:sz w:val="20"/>
          <w:szCs w:val="20"/>
        </w:rPr>
        <w:t>povrhnjega davka</w:t>
      </w:r>
      <w:r w:rsidRPr="008752B8">
        <w:rPr>
          <w:rFonts w:ascii="Arial" w:hAnsi="Arial" w:cs="Arial"/>
          <w:sz w:val="20"/>
          <w:szCs w:val="20"/>
        </w:rPr>
        <w:t xml:space="preserve">, nič. QDMTT </w:t>
      </w:r>
      <w:r w:rsidR="004539CB" w:rsidRPr="008752B8">
        <w:rPr>
          <w:rFonts w:ascii="Arial" w:hAnsi="Arial" w:cs="Arial"/>
          <w:sz w:val="20"/>
          <w:szCs w:val="20"/>
        </w:rPr>
        <w:t>v</w:t>
      </w:r>
      <w:r w:rsidRPr="008752B8">
        <w:rPr>
          <w:rFonts w:ascii="Arial" w:hAnsi="Arial" w:cs="Arial"/>
          <w:sz w:val="20"/>
          <w:szCs w:val="20"/>
        </w:rPr>
        <w:t>arn</w:t>
      </w:r>
      <w:r w:rsidR="004539CB" w:rsidRPr="008752B8">
        <w:rPr>
          <w:rFonts w:ascii="Arial" w:hAnsi="Arial" w:cs="Arial"/>
          <w:sz w:val="20"/>
          <w:szCs w:val="20"/>
        </w:rPr>
        <w:t>i pristan</w:t>
      </w:r>
      <w:r w:rsidRPr="008752B8">
        <w:rPr>
          <w:rFonts w:ascii="Arial" w:hAnsi="Arial" w:cs="Arial"/>
          <w:sz w:val="20"/>
          <w:szCs w:val="20"/>
        </w:rPr>
        <w:t xml:space="preserve"> bo torej MNE skupini omogočilo izvedbo enega izračuna v okviru QDMTT in nato zanašanje </w:t>
      </w:r>
      <w:r w:rsidR="004539CB" w:rsidRPr="008752B8">
        <w:rPr>
          <w:rFonts w:ascii="Arial" w:hAnsi="Arial" w:cs="Arial"/>
          <w:sz w:val="20"/>
          <w:szCs w:val="20"/>
        </w:rPr>
        <w:t>na pravilo</w:t>
      </w:r>
      <w:r w:rsidR="00684474">
        <w:rPr>
          <w:rFonts w:ascii="Arial" w:hAnsi="Arial" w:cs="Arial"/>
          <w:sz w:val="20"/>
          <w:szCs w:val="20"/>
        </w:rPr>
        <w:t xml:space="preserve"> varnega pristana</w:t>
      </w:r>
      <w:r w:rsidRPr="008752B8">
        <w:rPr>
          <w:rFonts w:ascii="Arial" w:hAnsi="Arial" w:cs="Arial"/>
          <w:sz w:val="20"/>
          <w:szCs w:val="20"/>
        </w:rPr>
        <w:t xml:space="preserve">, da </w:t>
      </w:r>
      <w:r w:rsidR="004539CB" w:rsidRPr="008752B8">
        <w:rPr>
          <w:rFonts w:ascii="Arial" w:hAnsi="Arial" w:cs="Arial"/>
          <w:sz w:val="20"/>
          <w:szCs w:val="20"/>
        </w:rPr>
        <w:t xml:space="preserve">se povrhnji davek zmanjša </w:t>
      </w:r>
      <w:r w:rsidRPr="008752B8">
        <w:rPr>
          <w:rFonts w:ascii="Arial" w:hAnsi="Arial" w:cs="Arial"/>
          <w:sz w:val="20"/>
          <w:szCs w:val="20"/>
        </w:rPr>
        <w:t xml:space="preserve">na nič v </w:t>
      </w:r>
      <w:r w:rsidR="003348B7">
        <w:rPr>
          <w:rFonts w:ascii="Arial" w:hAnsi="Arial" w:cs="Arial"/>
          <w:sz w:val="20"/>
          <w:szCs w:val="20"/>
        </w:rPr>
        <w:t>jurisdikciji/</w:t>
      </w:r>
      <w:r w:rsidRPr="008752B8">
        <w:rPr>
          <w:rFonts w:ascii="Arial" w:hAnsi="Arial" w:cs="Arial"/>
          <w:sz w:val="20"/>
          <w:szCs w:val="20"/>
        </w:rPr>
        <w:t xml:space="preserve">pristojnosti, ki uporablja pravila </w:t>
      </w:r>
      <w:r w:rsidR="004539CB" w:rsidRPr="008752B8">
        <w:rPr>
          <w:rFonts w:ascii="Arial" w:hAnsi="Arial" w:cs="Arial"/>
          <w:sz w:val="20"/>
          <w:szCs w:val="20"/>
        </w:rPr>
        <w:t xml:space="preserve">povrhnjega davka. Na ta način </w:t>
      </w:r>
      <w:r w:rsidRPr="008752B8">
        <w:rPr>
          <w:rFonts w:ascii="Arial" w:hAnsi="Arial" w:cs="Arial"/>
          <w:sz w:val="20"/>
          <w:szCs w:val="20"/>
        </w:rPr>
        <w:t>se</w:t>
      </w:r>
      <w:r w:rsidR="004539CB" w:rsidRPr="008752B8">
        <w:rPr>
          <w:rFonts w:ascii="Arial" w:hAnsi="Arial" w:cs="Arial"/>
          <w:sz w:val="20"/>
          <w:szCs w:val="20"/>
        </w:rPr>
        <w:t xml:space="preserve"> zavezanci lahko</w:t>
      </w:r>
      <w:r w:rsidRPr="008752B8">
        <w:rPr>
          <w:rFonts w:ascii="Arial" w:hAnsi="Arial" w:cs="Arial"/>
          <w:sz w:val="20"/>
          <w:szCs w:val="20"/>
        </w:rPr>
        <w:t xml:space="preserve"> </w:t>
      </w:r>
      <w:r w:rsidR="004539CB" w:rsidRPr="008752B8">
        <w:rPr>
          <w:rFonts w:ascii="Arial" w:hAnsi="Arial" w:cs="Arial"/>
          <w:sz w:val="20"/>
          <w:szCs w:val="20"/>
        </w:rPr>
        <w:t>razbremenijo</w:t>
      </w:r>
      <w:r w:rsidRPr="008752B8">
        <w:rPr>
          <w:rFonts w:ascii="Arial" w:hAnsi="Arial" w:cs="Arial"/>
          <w:sz w:val="20"/>
          <w:szCs w:val="20"/>
        </w:rPr>
        <w:t xml:space="preserve"> dodatne</w:t>
      </w:r>
      <w:r w:rsidR="004539CB" w:rsidRPr="008752B8">
        <w:rPr>
          <w:rFonts w:ascii="Arial" w:hAnsi="Arial" w:cs="Arial"/>
          <w:sz w:val="20"/>
          <w:szCs w:val="20"/>
        </w:rPr>
        <w:t>ga</w:t>
      </w:r>
      <w:r w:rsidRPr="008752B8">
        <w:rPr>
          <w:rFonts w:ascii="Arial" w:hAnsi="Arial" w:cs="Arial"/>
          <w:sz w:val="20"/>
          <w:szCs w:val="20"/>
        </w:rPr>
        <w:t xml:space="preserve"> izračun</w:t>
      </w:r>
      <w:r w:rsidR="004539CB" w:rsidRPr="008752B8">
        <w:rPr>
          <w:rFonts w:ascii="Arial" w:hAnsi="Arial" w:cs="Arial"/>
          <w:sz w:val="20"/>
          <w:szCs w:val="20"/>
        </w:rPr>
        <w:t>a</w:t>
      </w:r>
      <w:r w:rsidRPr="008752B8">
        <w:rPr>
          <w:rFonts w:ascii="Arial" w:hAnsi="Arial" w:cs="Arial"/>
          <w:sz w:val="20"/>
          <w:szCs w:val="20"/>
        </w:rPr>
        <w:t xml:space="preserve"> v skladu s pravili</w:t>
      </w:r>
      <w:r w:rsidR="004539CB" w:rsidRPr="008752B8">
        <w:rPr>
          <w:rFonts w:ascii="Arial" w:hAnsi="Arial" w:cs="Arial"/>
          <w:sz w:val="20"/>
          <w:szCs w:val="20"/>
        </w:rPr>
        <w:t xml:space="preserve"> povrhnjega davka</w:t>
      </w:r>
      <w:r w:rsidRPr="008752B8">
        <w:rPr>
          <w:rFonts w:ascii="Arial" w:hAnsi="Arial" w:cs="Arial"/>
          <w:sz w:val="20"/>
          <w:szCs w:val="20"/>
        </w:rPr>
        <w:t xml:space="preserve">. Vendar pa dejstvo, da MNE </w:t>
      </w:r>
      <w:r w:rsidRPr="008752B8">
        <w:rPr>
          <w:rFonts w:ascii="Arial" w:hAnsi="Arial" w:cs="Arial"/>
          <w:sz w:val="20"/>
          <w:szCs w:val="20"/>
        </w:rPr>
        <w:lastRenderedPageBreak/>
        <w:t xml:space="preserve">skupina ni dolžna opraviti drugega izračuna v okviru varnega pristana, lahko sproži vprašanja glede integritete, saj morebitna pomanjkljivost pri </w:t>
      </w:r>
      <w:r w:rsidR="004539CB" w:rsidRPr="008752B8">
        <w:rPr>
          <w:rFonts w:ascii="Arial" w:hAnsi="Arial" w:cs="Arial"/>
          <w:sz w:val="20"/>
          <w:szCs w:val="20"/>
        </w:rPr>
        <w:t>QDMTT</w:t>
      </w:r>
      <w:r w:rsidRPr="008752B8">
        <w:rPr>
          <w:rFonts w:ascii="Arial" w:hAnsi="Arial" w:cs="Arial"/>
          <w:sz w:val="20"/>
          <w:szCs w:val="20"/>
        </w:rPr>
        <w:t xml:space="preserve"> ne bo privedla do plačila dodatnega davka v skladu s pravili </w:t>
      </w:r>
      <w:r w:rsidR="002B2356" w:rsidRPr="008752B8">
        <w:rPr>
          <w:rFonts w:ascii="Arial" w:hAnsi="Arial" w:cs="Arial"/>
          <w:sz w:val="20"/>
          <w:szCs w:val="20"/>
        </w:rPr>
        <w:t>povrhnjega davka, kot bi to bilo pri upoštevanju QDMTT iz jurisdikcije brez varnega pristana</w:t>
      </w:r>
      <w:r w:rsidRPr="008752B8">
        <w:rPr>
          <w:rFonts w:ascii="Arial" w:hAnsi="Arial" w:cs="Arial"/>
          <w:sz w:val="20"/>
          <w:szCs w:val="20"/>
        </w:rPr>
        <w:t>.</w:t>
      </w:r>
    </w:p>
    <w:p w14:paraId="6B9C7BE1" w14:textId="77777777" w:rsidR="00C9275B" w:rsidRPr="008752B8" w:rsidRDefault="00C9275B" w:rsidP="008752B8">
      <w:pPr>
        <w:jc w:val="both"/>
        <w:rPr>
          <w:rFonts w:ascii="Arial" w:hAnsi="Arial" w:cs="Arial"/>
          <w:sz w:val="20"/>
          <w:szCs w:val="20"/>
        </w:rPr>
      </w:pPr>
      <w:r w:rsidRPr="008752B8">
        <w:rPr>
          <w:rFonts w:ascii="Arial" w:hAnsi="Arial" w:cs="Arial"/>
          <w:sz w:val="20"/>
          <w:szCs w:val="20"/>
        </w:rPr>
        <w:t>Da bi naslovili to tveganje, mora QDMTT izpolnjevati dodaten niz standardov, da se kvalificira za varn</w:t>
      </w:r>
      <w:r w:rsidR="002B2356" w:rsidRPr="008752B8">
        <w:rPr>
          <w:rFonts w:ascii="Arial" w:hAnsi="Arial" w:cs="Arial"/>
          <w:sz w:val="20"/>
          <w:szCs w:val="20"/>
        </w:rPr>
        <w:t>i pristan</w:t>
      </w:r>
      <w:r w:rsidR="005C6895">
        <w:rPr>
          <w:rFonts w:ascii="Arial" w:hAnsi="Arial" w:cs="Arial"/>
          <w:sz w:val="20"/>
          <w:szCs w:val="20"/>
        </w:rPr>
        <w:t xml:space="preserve"> v posamezni jurisdikciji</w:t>
      </w:r>
      <w:r w:rsidRPr="008752B8">
        <w:rPr>
          <w:rFonts w:ascii="Arial" w:hAnsi="Arial" w:cs="Arial"/>
          <w:sz w:val="20"/>
          <w:szCs w:val="20"/>
        </w:rPr>
        <w:t xml:space="preserve">. Zlasti, in ob upoštevanju možnosti, </w:t>
      </w:r>
      <w:r w:rsidR="00B314F8" w:rsidRPr="008752B8">
        <w:rPr>
          <w:rFonts w:ascii="Arial" w:hAnsi="Arial" w:cs="Arial"/>
          <w:sz w:val="20"/>
          <w:szCs w:val="20"/>
        </w:rPr>
        <w:t xml:space="preserve">da </w:t>
      </w:r>
      <w:r w:rsidRPr="008752B8">
        <w:rPr>
          <w:rFonts w:ascii="Arial" w:hAnsi="Arial" w:cs="Arial"/>
          <w:sz w:val="20"/>
          <w:szCs w:val="20"/>
        </w:rPr>
        <w:t xml:space="preserve">QDMTT </w:t>
      </w:r>
      <w:r w:rsidR="00B314F8" w:rsidRPr="008752B8">
        <w:rPr>
          <w:rFonts w:ascii="Arial" w:hAnsi="Arial" w:cs="Arial"/>
          <w:sz w:val="20"/>
          <w:szCs w:val="20"/>
        </w:rPr>
        <w:t>odstopi</w:t>
      </w:r>
      <w:r w:rsidRPr="008752B8">
        <w:rPr>
          <w:rFonts w:ascii="Arial" w:hAnsi="Arial" w:cs="Arial"/>
          <w:sz w:val="20"/>
          <w:szCs w:val="20"/>
        </w:rPr>
        <w:t xml:space="preserve"> od zasnove pravil </w:t>
      </w:r>
      <w:r w:rsidR="002B2356" w:rsidRPr="008752B8">
        <w:rPr>
          <w:rFonts w:ascii="Arial" w:hAnsi="Arial" w:cs="Arial"/>
          <w:sz w:val="20"/>
          <w:szCs w:val="20"/>
        </w:rPr>
        <w:t>povrhnjega davka</w:t>
      </w:r>
      <w:r w:rsidRPr="008752B8">
        <w:rPr>
          <w:rFonts w:ascii="Arial" w:hAnsi="Arial" w:cs="Arial"/>
          <w:sz w:val="20"/>
          <w:szCs w:val="20"/>
        </w:rPr>
        <w:t>, mora QDMTT izpolnjevati naslednje tri standarde</w:t>
      </w:r>
      <w:r w:rsidR="00B314F8" w:rsidRPr="008752B8">
        <w:rPr>
          <w:rFonts w:ascii="Arial" w:hAnsi="Arial" w:cs="Arial"/>
          <w:sz w:val="20"/>
          <w:szCs w:val="20"/>
        </w:rPr>
        <w:t>, da se lahko kvalificira za varni pristan</w:t>
      </w:r>
      <w:r w:rsidR="00077CE3" w:rsidRPr="008752B8">
        <w:rPr>
          <w:rFonts w:ascii="Arial" w:hAnsi="Arial" w:cs="Arial"/>
          <w:sz w:val="20"/>
          <w:szCs w:val="20"/>
        </w:rPr>
        <w:t xml:space="preserve"> (spodnje standarde se ugotavlja v okviru medsebojnega strokovnega pregleda za odobritev varnega pristana</w:t>
      </w:r>
      <w:r w:rsidRPr="008752B8">
        <w:rPr>
          <w:rFonts w:ascii="Arial" w:hAnsi="Arial" w:cs="Arial"/>
          <w:sz w:val="20"/>
          <w:szCs w:val="20"/>
        </w:rPr>
        <w:t>:</w:t>
      </w:r>
    </w:p>
    <w:p w14:paraId="6D496644" w14:textId="77777777" w:rsidR="008075A8" w:rsidRPr="008752B8" w:rsidRDefault="008924B7" w:rsidP="008752B8">
      <w:pPr>
        <w:jc w:val="both"/>
        <w:rPr>
          <w:rFonts w:ascii="Arial" w:hAnsi="Arial" w:cs="Arial"/>
          <w:sz w:val="20"/>
          <w:szCs w:val="20"/>
        </w:rPr>
      </w:pPr>
      <w:r w:rsidRPr="008752B8">
        <w:rPr>
          <w:rFonts w:ascii="Arial" w:hAnsi="Arial" w:cs="Arial"/>
          <w:b/>
          <w:bCs/>
          <w:sz w:val="20"/>
          <w:szCs w:val="20"/>
        </w:rPr>
        <w:t xml:space="preserve">I. </w:t>
      </w:r>
      <w:r w:rsidR="00C9275B" w:rsidRPr="008752B8">
        <w:rPr>
          <w:rFonts w:ascii="Arial" w:hAnsi="Arial" w:cs="Arial"/>
          <w:b/>
          <w:bCs/>
          <w:sz w:val="20"/>
          <w:szCs w:val="20"/>
        </w:rPr>
        <w:t>Standard računovodstva QDMTT</w:t>
      </w:r>
      <w:r w:rsidR="00C9275B" w:rsidRPr="008752B8">
        <w:rPr>
          <w:rFonts w:ascii="Arial" w:hAnsi="Arial" w:cs="Arial"/>
          <w:sz w:val="20"/>
          <w:szCs w:val="20"/>
        </w:rPr>
        <w:t>, ki zahteva, da se QDMTT izračuna na podlagi finančnega računovodskega standarda</w:t>
      </w:r>
      <w:r w:rsidR="002B2356" w:rsidRPr="008752B8">
        <w:rPr>
          <w:rFonts w:ascii="Arial" w:hAnsi="Arial" w:cs="Arial"/>
          <w:sz w:val="20"/>
          <w:szCs w:val="20"/>
        </w:rPr>
        <w:t xml:space="preserve"> krovnega matičnega subjekta </w:t>
      </w:r>
      <w:r w:rsidR="00C9275B" w:rsidRPr="008752B8">
        <w:rPr>
          <w:rFonts w:ascii="Arial" w:hAnsi="Arial" w:cs="Arial"/>
          <w:sz w:val="20"/>
          <w:szCs w:val="20"/>
        </w:rPr>
        <w:t>ali lokalnega finančnega računovodskega standarda, pod določenimi pogoji</w:t>
      </w:r>
      <w:r w:rsidR="008075A8" w:rsidRPr="008752B8">
        <w:rPr>
          <w:rFonts w:ascii="Arial" w:hAnsi="Arial" w:cs="Arial"/>
          <w:sz w:val="20"/>
          <w:szCs w:val="20"/>
        </w:rPr>
        <w:t>. QDMTT ustreza standardu računovodstva QDMTT, če zakonodaja QDMTT sprejme eno od naslednjih možnosti:</w:t>
      </w:r>
    </w:p>
    <w:p w14:paraId="33E51E8A" w14:textId="77777777" w:rsidR="008075A8" w:rsidRPr="008752B8" w:rsidRDefault="008075A8" w:rsidP="002F20AC">
      <w:pPr>
        <w:ind w:left="708"/>
        <w:jc w:val="both"/>
        <w:rPr>
          <w:rFonts w:ascii="Arial" w:hAnsi="Arial" w:cs="Arial"/>
          <w:sz w:val="20"/>
          <w:szCs w:val="20"/>
        </w:rPr>
      </w:pPr>
      <w:r w:rsidRPr="008752B8">
        <w:rPr>
          <w:rFonts w:ascii="Arial" w:hAnsi="Arial" w:cs="Arial"/>
          <w:sz w:val="20"/>
          <w:szCs w:val="20"/>
        </w:rPr>
        <w:t xml:space="preserve">(a) določbe, ki so enakovredne členom </w:t>
      </w:r>
      <w:r w:rsidR="008924B7" w:rsidRPr="008752B8">
        <w:rPr>
          <w:rFonts w:ascii="Arial" w:hAnsi="Arial" w:cs="Arial"/>
          <w:sz w:val="20"/>
          <w:szCs w:val="20"/>
        </w:rPr>
        <w:t>19. člena Zakona o minimalnem davku</w:t>
      </w:r>
      <w:r w:rsidRPr="008752B8">
        <w:rPr>
          <w:rFonts w:ascii="Arial" w:hAnsi="Arial" w:cs="Arial"/>
          <w:sz w:val="20"/>
          <w:szCs w:val="20"/>
        </w:rPr>
        <w:t>; ali</w:t>
      </w:r>
    </w:p>
    <w:p w14:paraId="77D153E5" w14:textId="77777777" w:rsidR="008075A8" w:rsidRPr="008752B8" w:rsidRDefault="008075A8" w:rsidP="002F20AC">
      <w:pPr>
        <w:ind w:left="708"/>
        <w:jc w:val="both"/>
        <w:rPr>
          <w:rFonts w:ascii="Arial" w:hAnsi="Arial" w:cs="Arial"/>
          <w:sz w:val="20"/>
          <w:szCs w:val="20"/>
        </w:rPr>
      </w:pPr>
      <w:r w:rsidRPr="008752B8">
        <w:rPr>
          <w:rFonts w:ascii="Arial" w:hAnsi="Arial" w:cs="Arial"/>
          <w:sz w:val="20"/>
          <w:szCs w:val="20"/>
        </w:rPr>
        <w:t xml:space="preserve">(b) </w:t>
      </w:r>
      <w:r w:rsidR="008924B7" w:rsidRPr="008752B8">
        <w:rPr>
          <w:rFonts w:ascii="Arial" w:hAnsi="Arial" w:cs="Arial"/>
          <w:sz w:val="20"/>
          <w:szCs w:val="20"/>
        </w:rPr>
        <w:t>p</w:t>
      </w:r>
      <w:r w:rsidRPr="008752B8">
        <w:rPr>
          <w:rFonts w:ascii="Arial" w:hAnsi="Arial" w:cs="Arial"/>
          <w:sz w:val="20"/>
          <w:szCs w:val="20"/>
        </w:rPr>
        <w:t>ravilo lokalnega računovodskega standarda</w:t>
      </w:r>
      <w:r w:rsidR="001305E7">
        <w:rPr>
          <w:rFonts w:ascii="Arial" w:hAnsi="Arial" w:cs="Arial"/>
          <w:sz w:val="20"/>
          <w:szCs w:val="20"/>
        </w:rPr>
        <w:t xml:space="preserve"> (3. odstavek 59. člena ZMD)</w:t>
      </w:r>
      <w:r w:rsidRPr="008752B8">
        <w:rPr>
          <w:rFonts w:ascii="Arial" w:hAnsi="Arial" w:cs="Arial"/>
          <w:sz w:val="20"/>
          <w:szCs w:val="20"/>
        </w:rPr>
        <w:t>.</w:t>
      </w:r>
    </w:p>
    <w:p w14:paraId="348C6823" w14:textId="77777777" w:rsidR="008075A8" w:rsidRPr="008752B8" w:rsidRDefault="008075A8" w:rsidP="008752B8">
      <w:pPr>
        <w:jc w:val="both"/>
        <w:rPr>
          <w:rFonts w:ascii="Arial" w:hAnsi="Arial" w:cs="Arial"/>
          <w:sz w:val="20"/>
          <w:szCs w:val="20"/>
        </w:rPr>
      </w:pPr>
      <w:r w:rsidRPr="008752B8">
        <w:rPr>
          <w:rFonts w:ascii="Arial" w:hAnsi="Arial" w:cs="Arial"/>
          <w:sz w:val="20"/>
          <w:szCs w:val="20"/>
        </w:rPr>
        <w:t>V skladu s pravilom lokalnega računovodskega standarda:</w:t>
      </w:r>
    </w:p>
    <w:p w14:paraId="0983C895" w14:textId="77777777" w:rsidR="008075A8" w:rsidRPr="008752B8" w:rsidRDefault="008075A8" w:rsidP="00901ED8">
      <w:pPr>
        <w:spacing w:after="0"/>
        <w:jc w:val="both"/>
        <w:rPr>
          <w:rFonts w:ascii="Arial" w:hAnsi="Arial" w:cs="Arial"/>
          <w:sz w:val="20"/>
          <w:szCs w:val="20"/>
        </w:rPr>
      </w:pPr>
      <w:r w:rsidRPr="008752B8">
        <w:rPr>
          <w:rFonts w:ascii="Arial" w:hAnsi="Arial" w:cs="Arial"/>
          <w:sz w:val="20"/>
          <w:szCs w:val="20"/>
        </w:rPr>
        <w:t xml:space="preserve">(a) se QDMTT izračuna na podlagi lokalnega računovodskega standarda jurisdikcije QDMTT, kjer vse konstitutivne subjekte, ki se nahajajo v tej jurisdikciji, imajo finančne </w:t>
      </w:r>
      <w:r w:rsidR="00D00AAF">
        <w:rPr>
          <w:rFonts w:ascii="Arial" w:hAnsi="Arial" w:cs="Arial"/>
          <w:sz w:val="20"/>
          <w:szCs w:val="20"/>
        </w:rPr>
        <w:t>izkaze pripravljene</w:t>
      </w:r>
      <w:r w:rsidRPr="008752B8">
        <w:rPr>
          <w:rFonts w:ascii="Arial" w:hAnsi="Arial" w:cs="Arial"/>
          <w:sz w:val="20"/>
          <w:szCs w:val="20"/>
        </w:rPr>
        <w:t xml:space="preserve"> na podlagi tega standarda in:</w:t>
      </w:r>
    </w:p>
    <w:p w14:paraId="1FB2A2A5" w14:textId="77777777" w:rsidR="008075A8" w:rsidRPr="008752B8" w:rsidRDefault="008075A8" w:rsidP="00901ED8">
      <w:pPr>
        <w:spacing w:after="0"/>
        <w:jc w:val="both"/>
        <w:rPr>
          <w:rFonts w:ascii="Arial" w:hAnsi="Arial" w:cs="Arial"/>
          <w:sz w:val="20"/>
          <w:szCs w:val="20"/>
        </w:rPr>
      </w:pPr>
      <w:r w:rsidRPr="008752B8">
        <w:rPr>
          <w:rFonts w:ascii="Arial" w:hAnsi="Arial" w:cs="Arial"/>
          <w:sz w:val="20"/>
          <w:szCs w:val="20"/>
        </w:rPr>
        <w:t xml:space="preserve">    i. so obvezni hraniti ali uporabljati takšne</w:t>
      </w:r>
      <w:r w:rsidR="00D00AAF">
        <w:rPr>
          <w:rFonts w:ascii="Arial" w:hAnsi="Arial" w:cs="Arial"/>
          <w:sz w:val="20"/>
          <w:szCs w:val="20"/>
        </w:rPr>
        <w:t xml:space="preserve"> izkaze</w:t>
      </w:r>
      <w:r w:rsidRPr="008752B8">
        <w:rPr>
          <w:rFonts w:ascii="Arial" w:hAnsi="Arial" w:cs="Arial"/>
          <w:sz w:val="20"/>
          <w:szCs w:val="20"/>
        </w:rPr>
        <w:t xml:space="preserve"> v skladu z domačim korporacijskim ali davčnim zakonom; ali</w:t>
      </w:r>
    </w:p>
    <w:p w14:paraId="2316555B" w14:textId="77777777" w:rsidR="008075A8" w:rsidRPr="008752B8" w:rsidRDefault="008075A8" w:rsidP="008752B8">
      <w:pPr>
        <w:jc w:val="both"/>
        <w:rPr>
          <w:rFonts w:ascii="Arial" w:hAnsi="Arial" w:cs="Arial"/>
          <w:sz w:val="20"/>
          <w:szCs w:val="20"/>
        </w:rPr>
      </w:pPr>
      <w:r w:rsidRPr="008752B8">
        <w:rPr>
          <w:rFonts w:ascii="Arial" w:hAnsi="Arial" w:cs="Arial"/>
          <w:sz w:val="20"/>
          <w:szCs w:val="20"/>
        </w:rPr>
        <w:t xml:space="preserve">    ii. so ti finančni </w:t>
      </w:r>
      <w:r w:rsidR="005C6895">
        <w:rPr>
          <w:rFonts w:ascii="Arial" w:hAnsi="Arial" w:cs="Arial"/>
          <w:sz w:val="20"/>
          <w:szCs w:val="20"/>
        </w:rPr>
        <w:t>izkazi</w:t>
      </w:r>
      <w:r w:rsidRPr="008752B8">
        <w:rPr>
          <w:rFonts w:ascii="Arial" w:hAnsi="Arial" w:cs="Arial"/>
          <w:sz w:val="20"/>
          <w:szCs w:val="20"/>
        </w:rPr>
        <w:t xml:space="preserve"> predmet zunanjega </w:t>
      </w:r>
      <w:r w:rsidR="00D00AAF">
        <w:rPr>
          <w:rFonts w:ascii="Arial" w:hAnsi="Arial" w:cs="Arial"/>
          <w:sz w:val="20"/>
          <w:szCs w:val="20"/>
        </w:rPr>
        <w:t>revizijskega</w:t>
      </w:r>
      <w:r w:rsidRPr="008752B8">
        <w:rPr>
          <w:rFonts w:ascii="Arial" w:hAnsi="Arial" w:cs="Arial"/>
          <w:sz w:val="20"/>
          <w:szCs w:val="20"/>
        </w:rPr>
        <w:t xml:space="preserve"> pregleda;</w:t>
      </w:r>
    </w:p>
    <w:p w14:paraId="2AD54D7D" w14:textId="77777777" w:rsidR="008075A8" w:rsidRPr="008752B8" w:rsidRDefault="008075A8" w:rsidP="00901ED8">
      <w:pPr>
        <w:spacing w:after="0"/>
        <w:jc w:val="both"/>
        <w:rPr>
          <w:rFonts w:ascii="Arial" w:hAnsi="Arial" w:cs="Arial"/>
          <w:sz w:val="20"/>
          <w:szCs w:val="20"/>
        </w:rPr>
      </w:pPr>
      <w:r w:rsidRPr="008752B8">
        <w:rPr>
          <w:rFonts w:ascii="Arial" w:hAnsi="Arial" w:cs="Arial"/>
          <w:sz w:val="20"/>
          <w:szCs w:val="20"/>
        </w:rPr>
        <w:t xml:space="preserve">(b) lokalni računovodski standard je finančni računovodski standard, ki ga dovoljuje ali zahteva QDMTT jurisdikcija s strani </w:t>
      </w:r>
      <w:r w:rsidR="008924B7" w:rsidRPr="008752B8">
        <w:rPr>
          <w:rFonts w:ascii="Arial" w:hAnsi="Arial" w:cs="Arial"/>
          <w:sz w:val="20"/>
          <w:szCs w:val="20"/>
        </w:rPr>
        <w:t>p</w:t>
      </w:r>
      <w:r w:rsidRPr="008752B8">
        <w:rPr>
          <w:rFonts w:ascii="Arial" w:hAnsi="Arial" w:cs="Arial"/>
          <w:sz w:val="20"/>
          <w:szCs w:val="20"/>
        </w:rPr>
        <w:t>ooblaščenega računovodskega organa ali v skladu z ustrezno domačo zakonodajo, ki je:</w:t>
      </w:r>
    </w:p>
    <w:p w14:paraId="540A8E8C" w14:textId="77777777" w:rsidR="008075A8" w:rsidRPr="008752B8" w:rsidRDefault="008075A8" w:rsidP="00901ED8">
      <w:pPr>
        <w:spacing w:after="0"/>
        <w:jc w:val="both"/>
        <w:rPr>
          <w:rFonts w:ascii="Arial" w:hAnsi="Arial" w:cs="Arial"/>
          <w:sz w:val="20"/>
          <w:szCs w:val="20"/>
        </w:rPr>
      </w:pPr>
      <w:r w:rsidRPr="008752B8">
        <w:rPr>
          <w:rFonts w:ascii="Arial" w:hAnsi="Arial" w:cs="Arial"/>
          <w:sz w:val="20"/>
          <w:szCs w:val="20"/>
        </w:rPr>
        <w:t xml:space="preserve">    i. </w:t>
      </w:r>
      <w:r w:rsidR="008924B7" w:rsidRPr="008752B8">
        <w:rPr>
          <w:rFonts w:ascii="Arial" w:hAnsi="Arial" w:cs="Arial"/>
          <w:sz w:val="20"/>
          <w:szCs w:val="20"/>
        </w:rPr>
        <w:t xml:space="preserve">Sprejemljiv standard finančnega </w:t>
      </w:r>
      <w:proofErr w:type="spellStart"/>
      <w:r w:rsidR="008924B7" w:rsidRPr="008752B8">
        <w:rPr>
          <w:rFonts w:ascii="Arial" w:hAnsi="Arial" w:cs="Arial"/>
          <w:sz w:val="20"/>
          <w:szCs w:val="20"/>
        </w:rPr>
        <w:t>računovodenja</w:t>
      </w:r>
      <w:proofErr w:type="spellEnd"/>
      <w:r w:rsidRPr="008752B8">
        <w:rPr>
          <w:rFonts w:ascii="Arial" w:hAnsi="Arial" w:cs="Arial"/>
          <w:sz w:val="20"/>
          <w:szCs w:val="20"/>
        </w:rPr>
        <w:t>; ali</w:t>
      </w:r>
    </w:p>
    <w:p w14:paraId="340B7E68" w14:textId="77777777" w:rsidR="008075A8" w:rsidRPr="008752B8" w:rsidRDefault="008075A8" w:rsidP="008752B8">
      <w:pPr>
        <w:jc w:val="both"/>
        <w:rPr>
          <w:rFonts w:ascii="Arial" w:hAnsi="Arial" w:cs="Arial"/>
          <w:sz w:val="20"/>
          <w:szCs w:val="20"/>
        </w:rPr>
      </w:pPr>
      <w:r w:rsidRPr="008752B8">
        <w:rPr>
          <w:rFonts w:ascii="Arial" w:hAnsi="Arial" w:cs="Arial"/>
          <w:sz w:val="20"/>
          <w:szCs w:val="20"/>
        </w:rPr>
        <w:t xml:space="preserve">    ii. </w:t>
      </w:r>
      <w:r w:rsidR="008924B7" w:rsidRPr="008752B8">
        <w:rPr>
          <w:rFonts w:ascii="Arial" w:hAnsi="Arial" w:cs="Arial"/>
          <w:sz w:val="20"/>
          <w:szCs w:val="20"/>
        </w:rPr>
        <w:t xml:space="preserve">Odobreni standard finančnega </w:t>
      </w:r>
      <w:proofErr w:type="spellStart"/>
      <w:r w:rsidR="008924B7" w:rsidRPr="008752B8">
        <w:rPr>
          <w:rFonts w:ascii="Arial" w:hAnsi="Arial" w:cs="Arial"/>
          <w:sz w:val="20"/>
          <w:szCs w:val="20"/>
        </w:rPr>
        <w:t>računovodenja</w:t>
      </w:r>
      <w:proofErr w:type="spellEnd"/>
      <w:r w:rsidRPr="008752B8">
        <w:rPr>
          <w:rFonts w:ascii="Arial" w:hAnsi="Arial" w:cs="Arial"/>
          <w:sz w:val="20"/>
          <w:szCs w:val="20"/>
        </w:rPr>
        <w:t>, prilagojen za preprečevanje pomembnih konkurenčnih izkrivljanj; in</w:t>
      </w:r>
    </w:p>
    <w:p w14:paraId="37FD24B0" w14:textId="77777777" w:rsidR="00C9275B" w:rsidRPr="008752B8" w:rsidRDefault="008075A8" w:rsidP="008752B8">
      <w:pPr>
        <w:jc w:val="both"/>
        <w:rPr>
          <w:rFonts w:ascii="Arial" w:hAnsi="Arial" w:cs="Arial"/>
          <w:sz w:val="20"/>
          <w:szCs w:val="20"/>
        </w:rPr>
      </w:pPr>
      <w:r w:rsidRPr="008752B8">
        <w:rPr>
          <w:rFonts w:ascii="Arial" w:hAnsi="Arial" w:cs="Arial"/>
          <w:sz w:val="20"/>
          <w:szCs w:val="20"/>
        </w:rPr>
        <w:t xml:space="preserve">(c) v primeru, ko vsi konstitutivni subjekti, ki se nahajajo v jurisdikciji, ne izpolnjujejo zahtev pododstavka (a) ali ko se davčno leto takšnih računov razlikuje od davčnega leta konsolidiranih računovodskih izkazov skupine MNE, se QDMTT izračuna na podlagi določb, ki so enakovredne </w:t>
      </w:r>
      <w:r w:rsidR="008924B7" w:rsidRPr="008752B8">
        <w:rPr>
          <w:rFonts w:ascii="Arial" w:hAnsi="Arial" w:cs="Arial"/>
          <w:sz w:val="20"/>
          <w:szCs w:val="20"/>
        </w:rPr>
        <w:t>19. členu Zakona o minimalnem davku</w:t>
      </w:r>
      <w:r w:rsidRPr="008752B8">
        <w:rPr>
          <w:rFonts w:ascii="Arial" w:hAnsi="Arial" w:cs="Arial"/>
          <w:sz w:val="20"/>
          <w:szCs w:val="20"/>
        </w:rPr>
        <w:t>.</w:t>
      </w:r>
    </w:p>
    <w:p w14:paraId="057543AA" w14:textId="77777777" w:rsidR="00077CE3" w:rsidRPr="008752B8" w:rsidRDefault="008924B7" w:rsidP="008752B8">
      <w:pPr>
        <w:jc w:val="both"/>
        <w:rPr>
          <w:rFonts w:ascii="Arial" w:hAnsi="Arial" w:cs="Arial"/>
          <w:sz w:val="20"/>
          <w:szCs w:val="20"/>
        </w:rPr>
      </w:pPr>
      <w:r w:rsidRPr="008752B8">
        <w:rPr>
          <w:rFonts w:ascii="Arial" w:hAnsi="Arial" w:cs="Arial"/>
          <w:b/>
          <w:bCs/>
          <w:sz w:val="20"/>
          <w:szCs w:val="20"/>
        </w:rPr>
        <w:t xml:space="preserve">II. </w:t>
      </w:r>
      <w:r w:rsidR="0064495B" w:rsidRPr="008752B8">
        <w:rPr>
          <w:rFonts w:ascii="Arial" w:hAnsi="Arial" w:cs="Arial"/>
          <w:b/>
          <w:bCs/>
          <w:sz w:val="20"/>
          <w:szCs w:val="20"/>
        </w:rPr>
        <w:t>Standard doslednosti</w:t>
      </w:r>
      <w:r w:rsidR="0064495B" w:rsidRPr="008752B8">
        <w:rPr>
          <w:rFonts w:ascii="Arial" w:hAnsi="Arial" w:cs="Arial"/>
          <w:sz w:val="20"/>
          <w:szCs w:val="20"/>
        </w:rPr>
        <w:t xml:space="preserve">, ki zahteva, da morajo izračuni QDMTT biti enaki izračunom, ki jih zahtevajo pravila </w:t>
      </w:r>
      <w:r w:rsidR="003D4E0F" w:rsidRPr="008752B8">
        <w:rPr>
          <w:rFonts w:ascii="Arial" w:hAnsi="Arial" w:cs="Arial"/>
          <w:sz w:val="20"/>
          <w:szCs w:val="20"/>
        </w:rPr>
        <w:t>povrhnjega davka</w:t>
      </w:r>
      <w:r w:rsidR="0064495B" w:rsidRPr="008752B8">
        <w:rPr>
          <w:rFonts w:ascii="Arial" w:hAnsi="Arial" w:cs="Arial"/>
          <w:sz w:val="20"/>
          <w:szCs w:val="20"/>
        </w:rPr>
        <w:t>, razen če</w:t>
      </w:r>
      <w:r w:rsidR="003D4E0F" w:rsidRPr="008752B8">
        <w:rPr>
          <w:rFonts w:ascii="Arial" w:hAnsi="Arial" w:cs="Arial"/>
          <w:sz w:val="20"/>
          <w:szCs w:val="20"/>
        </w:rPr>
        <w:t xml:space="preserve"> administrativne smernice v zvezi z zasnovo</w:t>
      </w:r>
      <w:r w:rsidR="0064495B" w:rsidRPr="008752B8">
        <w:rPr>
          <w:rFonts w:ascii="Arial" w:hAnsi="Arial" w:cs="Arial"/>
          <w:sz w:val="20"/>
          <w:szCs w:val="20"/>
        </w:rPr>
        <w:t xml:space="preserve"> QDMTT</w:t>
      </w:r>
      <w:r w:rsidR="003D4E0F" w:rsidRPr="008752B8">
        <w:rPr>
          <w:rFonts w:ascii="Arial" w:hAnsi="Arial" w:cs="Arial"/>
          <w:sz w:val="20"/>
          <w:szCs w:val="20"/>
        </w:rPr>
        <w:t xml:space="preserve"> </w:t>
      </w:r>
      <w:r w:rsidR="0064495B" w:rsidRPr="008752B8">
        <w:rPr>
          <w:rFonts w:ascii="Arial" w:hAnsi="Arial" w:cs="Arial"/>
          <w:sz w:val="20"/>
          <w:szCs w:val="20"/>
        </w:rPr>
        <w:t>izrecno zahteva</w:t>
      </w:r>
      <w:r w:rsidR="003D4E0F" w:rsidRPr="008752B8">
        <w:rPr>
          <w:rFonts w:ascii="Arial" w:hAnsi="Arial" w:cs="Arial"/>
          <w:sz w:val="20"/>
          <w:szCs w:val="20"/>
        </w:rPr>
        <w:t>jo ali dopuščajo</w:t>
      </w:r>
      <w:r w:rsidR="0064495B" w:rsidRPr="008752B8">
        <w:rPr>
          <w:rFonts w:ascii="Arial" w:hAnsi="Arial" w:cs="Arial"/>
          <w:sz w:val="20"/>
          <w:szCs w:val="20"/>
        </w:rPr>
        <w:t xml:space="preserve">, da QDMTT odstopi od pravil </w:t>
      </w:r>
      <w:r w:rsidR="003D4E0F" w:rsidRPr="008752B8">
        <w:rPr>
          <w:rFonts w:ascii="Arial" w:hAnsi="Arial" w:cs="Arial"/>
          <w:sz w:val="20"/>
          <w:szCs w:val="20"/>
        </w:rPr>
        <w:t>povrhnjega davka brez kršitve standarda doslednosti.</w:t>
      </w:r>
      <w:r w:rsidR="00077CE3" w:rsidRPr="008752B8">
        <w:rPr>
          <w:rFonts w:ascii="Arial" w:hAnsi="Arial" w:cs="Arial"/>
          <w:sz w:val="20"/>
          <w:szCs w:val="20"/>
        </w:rPr>
        <w:t xml:space="preserve"> Standard doslednosti je izpolnjen ne glede na to, da QDMTT:</w:t>
      </w:r>
    </w:p>
    <w:p w14:paraId="7EB18E6C" w14:textId="77777777" w:rsidR="00077CE3" w:rsidRPr="008752B8" w:rsidRDefault="00077CE3" w:rsidP="008752B8">
      <w:pPr>
        <w:jc w:val="both"/>
        <w:rPr>
          <w:rFonts w:ascii="Arial" w:hAnsi="Arial" w:cs="Arial"/>
          <w:sz w:val="20"/>
          <w:szCs w:val="20"/>
        </w:rPr>
      </w:pPr>
      <w:r w:rsidRPr="008752B8">
        <w:rPr>
          <w:rFonts w:ascii="Arial" w:hAnsi="Arial" w:cs="Arial"/>
          <w:sz w:val="20"/>
          <w:szCs w:val="20"/>
        </w:rPr>
        <w:t>(a) ne vključuje ali ima omejeno vsebinsko izključitev dohodka po 35-39. členu Zakona o minimalnem davku;</w:t>
      </w:r>
    </w:p>
    <w:p w14:paraId="7CB1B1E1" w14:textId="77777777" w:rsidR="00077CE3" w:rsidRPr="008752B8" w:rsidRDefault="00077CE3" w:rsidP="008752B8">
      <w:pPr>
        <w:jc w:val="both"/>
        <w:rPr>
          <w:rFonts w:ascii="Arial" w:hAnsi="Arial" w:cs="Arial"/>
          <w:sz w:val="20"/>
          <w:szCs w:val="20"/>
        </w:rPr>
      </w:pPr>
      <w:r w:rsidRPr="008752B8">
        <w:rPr>
          <w:rFonts w:ascii="Arial" w:hAnsi="Arial" w:cs="Arial"/>
          <w:sz w:val="20"/>
          <w:szCs w:val="20"/>
        </w:rPr>
        <w:t xml:space="preserve">(b) ne vključuje ali ima omejeno izjemo De </w:t>
      </w:r>
      <w:proofErr w:type="spellStart"/>
      <w:r w:rsidRPr="008752B8">
        <w:rPr>
          <w:rFonts w:ascii="Arial" w:hAnsi="Arial" w:cs="Arial"/>
          <w:sz w:val="20"/>
          <w:szCs w:val="20"/>
        </w:rPr>
        <w:t>minimis</w:t>
      </w:r>
      <w:proofErr w:type="spellEnd"/>
      <w:r w:rsidRPr="008752B8">
        <w:rPr>
          <w:rFonts w:ascii="Arial" w:hAnsi="Arial" w:cs="Arial"/>
          <w:sz w:val="20"/>
          <w:szCs w:val="20"/>
        </w:rPr>
        <w:t xml:space="preserve"> po 41. členu;</w:t>
      </w:r>
    </w:p>
    <w:p w14:paraId="4801ED43" w14:textId="77777777" w:rsidR="0064495B" w:rsidRPr="008752B8" w:rsidRDefault="00077CE3" w:rsidP="008752B8">
      <w:pPr>
        <w:jc w:val="both"/>
        <w:rPr>
          <w:rFonts w:ascii="Arial" w:hAnsi="Arial" w:cs="Arial"/>
          <w:sz w:val="20"/>
          <w:szCs w:val="20"/>
        </w:rPr>
      </w:pPr>
      <w:r w:rsidRPr="008752B8">
        <w:rPr>
          <w:rFonts w:ascii="Arial" w:hAnsi="Arial" w:cs="Arial"/>
          <w:sz w:val="20"/>
          <w:szCs w:val="20"/>
        </w:rPr>
        <w:t>(c) ima minimalno davčno stopnjo nad 15 % za namene določanja povrhnjega davka.</w:t>
      </w:r>
    </w:p>
    <w:p w14:paraId="0CF80C2B" w14:textId="77777777" w:rsidR="001311D6" w:rsidRPr="008752B8" w:rsidRDefault="001311D6" w:rsidP="008752B8">
      <w:pPr>
        <w:jc w:val="both"/>
        <w:rPr>
          <w:rFonts w:ascii="Arial" w:hAnsi="Arial" w:cs="Arial"/>
          <w:sz w:val="20"/>
          <w:szCs w:val="20"/>
        </w:rPr>
      </w:pPr>
      <w:r w:rsidRPr="008752B8">
        <w:rPr>
          <w:rFonts w:ascii="Arial" w:hAnsi="Arial" w:cs="Arial"/>
          <w:sz w:val="20"/>
          <w:szCs w:val="20"/>
        </w:rPr>
        <w:t>Standard doslednosti v okviru komentarja (administrativnih smernic) QDMTT trenutno prepoznava dve obvezni variaciji. Prva variacija zahteva, da QDMTT ne upošteva razdelitve čezmejnih davkov, kot so davki na kontrolirane tuje subjekte (CFC), plačani s strani matičnega subjekta ali davki, ki jih plačuje glavni subjekt v zvezi s profiti, ki se pripisujejo</w:t>
      </w:r>
      <w:r w:rsidR="005C6895">
        <w:rPr>
          <w:rFonts w:ascii="Arial" w:hAnsi="Arial" w:cs="Arial"/>
          <w:sz w:val="20"/>
          <w:szCs w:val="20"/>
        </w:rPr>
        <w:t xml:space="preserve"> stalni</w:t>
      </w:r>
      <w:r w:rsidRPr="008752B8">
        <w:rPr>
          <w:rFonts w:ascii="Arial" w:hAnsi="Arial" w:cs="Arial"/>
          <w:sz w:val="20"/>
          <w:szCs w:val="20"/>
        </w:rPr>
        <w:t xml:space="preserve"> </w:t>
      </w:r>
      <w:r w:rsidR="005C6895">
        <w:rPr>
          <w:rFonts w:ascii="Arial" w:hAnsi="Arial" w:cs="Arial"/>
          <w:sz w:val="20"/>
          <w:szCs w:val="20"/>
        </w:rPr>
        <w:t>poslovni enoti</w:t>
      </w:r>
      <w:r w:rsidRPr="008752B8">
        <w:rPr>
          <w:rFonts w:ascii="Arial" w:hAnsi="Arial" w:cs="Arial"/>
          <w:sz w:val="20"/>
          <w:szCs w:val="20"/>
        </w:rPr>
        <w:t xml:space="preserve"> (PE). To je v ZMD upoštevano v drugem odstavku 60. člena. Druga variacija zahteva, da se QDMTT izračuna v lokalni valuti, kadar se QDMTT izračuna na podlagi računovodskih izkazov, pripravljenih v skladu z lokalnim računovodskim standardom, in ko vsi subjekti v sestavi v tej jurisdikciji uporabljajo lokalno valuto v svojih lokalnih računovodskih izkazih.</w:t>
      </w:r>
    </w:p>
    <w:p w14:paraId="22F78585" w14:textId="77777777" w:rsidR="0064495B" w:rsidRPr="008752B8" w:rsidRDefault="008924B7" w:rsidP="008752B8">
      <w:pPr>
        <w:jc w:val="both"/>
        <w:rPr>
          <w:rFonts w:ascii="Arial" w:hAnsi="Arial" w:cs="Arial"/>
          <w:sz w:val="20"/>
          <w:szCs w:val="20"/>
        </w:rPr>
      </w:pPr>
      <w:r w:rsidRPr="008752B8">
        <w:rPr>
          <w:rFonts w:ascii="Arial" w:hAnsi="Arial" w:cs="Arial"/>
          <w:b/>
          <w:bCs/>
          <w:sz w:val="20"/>
          <w:szCs w:val="20"/>
        </w:rPr>
        <w:lastRenderedPageBreak/>
        <w:t>III</w:t>
      </w:r>
      <w:r w:rsidR="0064495B" w:rsidRPr="008752B8">
        <w:rPr>
          <w:rFonts w:ascii="Arial" w:hAnsi="Arial" w:cs="Arial"/>
          <w:b/>
          <w:bCs/>
          <w:sz w:val="20"/>
          <w:szCs w:val="20"/>
        </w:rPr>
        <w:t xml:space="preserve">. Standard </w:t>
      </w:r>
      <w:r w:rsidR="00B314F8" w:rsidRPr="008752B8">
        <w:rPr>
          <w:rFonts w:ascii="Arial" w:hAnsi="Arial" w:cs="Arial"/>
          <w:b/>
          <w:bCs/>
          <w:sz w:val="20"/>
          <w:szCs w:val="20"/>
        </w:rPr>
        <w:t>administriranja</w:t>
      </w:r>
      <w:r w:rsidR="0064495B" w:rsidRPr="008752B8">
        <w:rPr>
          <w:rFonts w:ascii="Arial" w:hAnsi="Arial" w:cs="Arial"/>
          <w:sz w:val="20"/>
          <w:szCs w:val="20"/>
        </w:rPr>
        <w:t>, ki zahteva, da mora QDMTT</w:t>
      </w:r>
      <w:r w:rsidR="00B314F8" w:rsidRPr="008752B8">
        <w:rPr>
          <w:rFonts w:ascii="Arial" w:hAnsi="Arial" w:cs="Arial"/>
          <w:sz w:val="20"/>
          <w:szCs w:val="20"/>
        </w:rPr>
        <w:t xml:space="preserve"> jurisdikcija</w:t>
      </w:r>
      <w:r w:rsidR="0064495B" w:rsidRPr="008752B8">
        <w:rPr>
          <w:rFonts w:ascii="Arial" w:hAnsi="Arial" w:cs="Arial"/>
          <w:sz w:val="20"/>
          <w:szCs w:val="20"/>
        </w:rPr>
        <w:t xml:space="preserve"> izpolnjevati zahteve postopka stalnega spremljanja, podobnega tistemu, ki velja za pristojnosti, ki izvajajo pravila </w:t>
      </w:r>
      <w:r w:rsidR="003D4E0F" w:rsidRPr="008752B8">
        <w:rPr>
          <w:rFonts w:ascii="Arial" w:hAnsi="Arial" w:cs="Arial"/>
          <w:sz w:val="20"/>
          <w:szCs w:val="20"/>
        </w:rPr>
        <w:t>povrhnjega davka</w:t>
      </w:r>
      <w:r w:rsidR="0064495B" w:rsidRPr="008752B8">
        <w:rPr>
          <w:rFonts w:ascii="Arial" w:hAnsi="Arial" w:cs="Arial"/>
          <w:sz w:val="20"/>
          <w:szCs w:val="20"/>
        </w:rPr>
        <w:t>.</w:t>
      </w:r>
    </w:p>
    <w:p w14:paraId="0CCA0621" w14:textId="77777777" w:rsidR="0064495B" w:rsidRPr="008752B8" w:rsidRDefault="003D4E0F" w:rsidP="008752B8">
      <w:pPr>
        <w:jc w:val="both"/>
        <w:rPr>
          <w:rFonts w:ascii="Arial" w:hAnsi="Arial" w:cs="Arial"/>
          <w:sz w:val="20"/>
          <w:szCs w:val="20"/>
        </w:rPr>
      </w:pPr>
      <w:r w:rsidRPr="008752B8">
        <w:rPr>
          <w:rFonts w:ascii="Arial" w:hAnsi="Arial" w:cs="Arial"/>
          <w:sz w:val="20"/>
          <w:szCs w:val="20"/>
        </w:rPr>
        <w:t xml:space="preserve">Presoja ali QDMTT izpolnjuje zgornje standarde in tako izpolnjuje pogoje za varni pristan </w:t>
      </w:r>
      <w:r w:rsidR="0064495B" w:rsidRPr="008752B8">
        <w:rPr>
          <w:rFonts w:ascii="Arial" w:hAnsi="Arial" w:cs="Arial"/>
          <w:sz w:val="20"/>
          <w:szCs w:val="20"/>
        </w:rPr>
        <w:t xml:space="preserve">se bo </w:t>
      </w:r>
      <w:r w:rsidRPr="008752B8">
        <w:rPr>
          <w:rFonts w:ascii="Arial" w:hAnsi="Arial" w:cs="Arial"/>
          <w:sz w:val="20"/>
          <w:szCs w:val="20"/>
        </w:rPr>
        <w:t>izvajal v okviru postopka</w:t>
      </w:r>
      <w:r w:rsidR="0064495B" w:rsidRPr="008752B8">
        <w:rPr>
          <w:rFonts w:ascii="Arial" w:hAnsi="Arial" w:cs="Arial"/>
          <w:sz w:val="20"/>
          <w:szCs w:val="20"/>
        </w:rPr>
        <w:t xml:space="preserve"> medsebojnega</w:t>
      </w:r>
      <w:r w:rsidRPr="008752B8">
        <w:rPr>
          <w:rFonts w:ascii="Arial" w:hAnsi="Arial" w:cs="Arial"/>
          <w:sz w:val="20"/>
          <w:szCs w:val="20"/>
        </w:rPr>
        <w:t xml:space="preserve"> strokovnega</w:t>
      </w:r>
      <w:r w:rsidR="0064495B" w:rsidRPr="008752B8">
        <w:rPr>
          <w:rFonts w:ascii="Arial" w:hAnsi="Arial" w:cs="Arial"/>
          <w:sz w:val="20"/>
          <w:szCs w:val="20"/>
        </w:rPr>
        <w:t xml:space="preserve"> pregleda. Kvalifikacija za varn</w:t>
      </w:r>
      <w:r w:rsidRPr="008752B8">
        <w:rPr>
          <w:rFonts w:ascii="Arial" w:hAnsi="Arial" w:cs="Arial"/>
          <w:sz w:val="20"/>
          <w:szCs w:val="20"/>
        </w:rPr>
        <w:t>i pristan</w:t>
      </w:r>
      <w:r w:rsidR="0064495B" w:rsidRPr="008752B8">
        <w:rPr>
          <w:rFonts w:ascii="Arial" w:hAnsi="Arial" w:cs="Arial"/>
          <w:sz w:val="20"/>
          <w:szCs w:val="20"/>
        </w:rPr>
        <w:t xml:space="preserve"> se lahko določi istočasno, ko</w:t>
      </w:r>
      <w:r w:rsidRPr="008752B8">
        <w:rPr>
          <w:rFonts w:ascii="Arial" w:hAnsi="Arial" w:cs="Arial"/>
          <w:sz w:val="20"/>
          <w:szCs w:val="20"/>
        </w:rPr>
        <w:t xml:space="preserve"> se bo</w:t>
      </w:r>
      <w:r w:rsidR="0064495B" w:rsidRPr="008752B8">
        <w:rPr>
          <w:rFonts w:ascii="Arial" w:hAnsi="Arial" w:cs="Arial"/>
          <w:sz w:val="20"/>
          <w:szCs w:val="20"/>
        </w:rPr>
        <w:t xml:space="preserve"> izv</w:t>
      </w:r>
      <w:r w:rsidRPr="008752B8">
        <w:rPr>
          <w:rFonts w:ascii="Arial" w:hAnsi="Arial" w:cs="Arial"/>
          <w:sz w:val="20"/>
          <w:szCs w:val="20"/>
        </w:rPr>
        <w:t>edel</w:t>
      </w:r>
      <w:r w:rsidR="0064495B" w:rsidRPr="008752B8">
        <w:rPr>
          <w:rFonts w:ascii="Arial" w:hAnsi="Arial" w:cs="Arial"/>
          <w:sz w:val="20"/>
          <w:szCs w:val="20"/>
        </w:rPr>
        <w:t xml:space="preserve"> pregled statusa "kvalificiran</w:t>
      </w:r>
      <w:r w:rsidRPr="008752B8">
        <w:rPr>
          <w:rFonts w:ascii="Arial" w:hAnsi="Arial" w:cs="Arial"/>
          <w:sz w:val="20"/>
          <w:szCs w:val="20"/>
        </w:rPr>
        <w:t>osti</w:t>
      </w:r>
      <w:r w:rsidR="0064495B" w:rsidRPr="008752B8">
        <w:rPr>
          <w:rFonts w:ascii="Arial" w:hAnsi="Arial" w:cs="Arial"/>
          <w:sz w:val="20"/>
          <w:szCs w:val="20"/>
        </w:rPr>
        <w:t>" pravil</w:t>
      </w:r>
      <w:r w:rsidRPr="008752B8">
        <w:rPr>
          <w:rFonts w:ascii="Arial" w:hAnsi="Arial" w:cs="Arial"/>
          <w:sz w:val="20"/>
          <w:szCs w:val="20"/>
        </w:rPr>
        <w:t xml:space="preserve"> QDMTT</w:t>
      </w:r>
      <w:r w:rsidR="0064495B" w:rsidRPr="008752B8">
        <w:rPr>
          <w:rFonts w:ascii="Arial" w:hAnsi="Arial" w:cs="Arial"/>
          <w:sz w:val="20"/>
          <w:szCs w:val="20"/>
        </w:rPr>
        <w:t xml:space="preserve">. </w:t>
      </w:r>
    </w:p>
    <w:p w14:paraId="3D59C60D" w14:textId="77777777" w:rsidR="00C9275B" w:rsidRPr="008752B8" w:rsidRDefault="003D4E0F" w:rsidP="008752B8">
      <w:pPr>
        <w:jc w:val="both"/>
        <w:rPr>
          <w:rFonts w:ascii="Arial" w:hAnsi="Arial" w:cs="Arial"/>
          <w:sz w:val="20"/>
          <w:szCs w:val="20"/>
        </w:rPr>
      </w:pPr>
      <w:r w:rsidRPr="008752B8">
        <w:rPr>
          <w:rFonts w:ascii="Arial" w:hAnsi="Arial" w:cs="Arial"/>
          <w:sz w:val="20"/>
          <w:szCs w:val="20"/>
        </w:rPr>
        <w:t>S</w:t>
      </w:r>
      <w:r w:rsidR="0064495B" w:rsidRPr="008752B8">
        <w:rPr>
          <w:rFonts w:ascii="Arial" w:hAnsi="Arial" w:cs="Arial"/>
          <w:sz w:val="20"/>
          <w:szCs w:val="20"/>
        </w:rPr>
        <w:t>tandardi, ki veljajo za varn</w:t>
      </w:r>
      <w:r w:rsidRPr="008752B8">
        <w:rPr>
          <w:rFonts w:ascii="Arial" w:hAnsi="Arial" w:cs="Arial"/>
          <w:sz w:val="20"/>
          <w:szCs w:val="20"/>
        </w:rPr>
        <w:t>i pristan QDMTT</w:t>
      </w:r>
      <w:r w:rsidR="0064495B" w:rsidRPr="008752B8">
        <w:rPr>
          <w:rFonts w:ascii="Arial" w:hAnsi="Arial" w:cs="Arial"/>
          <w:sz w:val="20"/>
          <w:szCs w:val="20"/>
        </w:rPr>
        <w:t xml:space="preserve">, se ne smejo zamenjati </w:t>
      </w:r>
      <w:r w:rsidR="005C6895">
        <w:rPr>
          <w:rFonts w:ascii="Arial" w:hAnsi="Arial" w:cs="Arial"/>
          <w:sz w:val="20"/>
          <w:szCs w:val="20"/>
        </w:rPr>
        <w:t>z</w:t>
      </w:r>
      <w:r w:rsidR="0064495B" w:rsidRPr="008752B8">
        <w:rPr>
          <w:rFonts w:ascii="Arial" w:hAnsi="Arial" w:cs="Arial"/>
          <w:sz w:val="20"/>
          <w:szCs w:val="20"/>
        </w:rPr>
        <w:t xml:space="preserve"> zahtevami za kvalificiran status QDMTT</w:t>
      </w:r>
      <w:r w:rsidRPr="008752B8">
        <w:rPr>
          <w:rFonts w:ascii="Arial" w:hAnsi="Arial" w:cs="Arial"/>
          <w:sz w:val="20"/>
          <w:szCs w:val="20"/>
        </w:rPr>
        <w:t xml:space="preserve">, čeprav se bodo lahko preverjali v okviru istega postopka medsebojnega strokovnega preverjanja. </w:t>
      </w:r>
    </w:p>
    <w:p w14:paraId="380FC50D" w14:textId="77777777" w:rsidR="007143BE" w:rsidRPr="008752B8" w:rsidRDefault="007143BE" w:rsidP="008752B8">
      <w:pPr>
        <w:jc w:val="both"/>
        <w:rPr>
          <w:rFonts w:ascii="Arial" w:hAnsi="Arial" w:cs="Arial"/>
          <w:b/>
          <w:bCs/>
          <w:sz w:val="20"/>
          <w:szCs w:val="20"/>
        </w:rPr>
      </w:pPr>
      <w:r w:rsidRPr="008752B8">
        <w:rPr>
          <w:rFonts w:ascii="Arial" w:hAnsi="Arial" w:cs="Arial"/>
          <w:b/>
          <w:bCs/>
          <w:sz w:val="20"/>
          <w:szCs w:val="20"/>
        </w:rPr>
        <w:t>Delovanje varnega pristana QDMTT</w:t>
      </w:r>
      <w:r w:rsidR="008075A8" w:rsidRPr="008752B8">
        <w:rPr>
          <w:rFonts w:ascii="Arial" w:hAnsi="Arial" w:cs="Arial"/>
          <w:b/>
          <w:bCs/>
          <w:sz w:val="20"/>
          <w:szCs w:val="20"/>
        </w:rPr>
        <w:t xml:space="preserve"> in pogoj plačljivosti</w:t>
      </w:r>
    </w:p>
    <w:p w14:paraId="500765E1" w14:textId="77777777" w:rsidR="007143BE" w:rsidRPr="008752B8" w:rsidRDefault="007143BE" w:rsidP="008752B8">
      <w:pPr>
        <w:jc w:val="both"/>
        <w:rPr>
          <w:rFonts w:ascii="Arial" w:hAnsi="Arial" w:cs="Arial"/>
          <w:sz w:val="20"/>
          <w:szCs w:val="20"/>
        </w:rPr>
      </w:pPr>
      <w:r w:rsidRPr="008752B8">
        <w:rPr>
          <w:rFonts w:ascii="Arial" w:hAnsi="Arial" w:cs="Arial"/>
          <w:sz w:val="20"/>
          <w:szCs w:val="20"/>
        </w:rPr>
        <w:t>Varn</w:t>
      </w:r>
      <w:r w:rsidR="001305E7">
        <w:rPr>
          <w:rFonts w:ascii="Arial" w:hAnsi="Arial" w:cs="Arial"/>
          <w:sz w:val="20"/>
          <w:szCs w:val="20"/>
        </w:rPr>
        <w:t>i</w:t>
      </w:r>
      <w:r w:rsidR="00AC69C0">
        <w:rPr>
          <w:rFonts w:ascii="Arial" w:hAnsi="Arial" w:cs="Arial"/>
          <w:sz w:val="20"/>
          <w:szCs w:val="20"/>
        </w:rPr>
        <w:t xml:space="preserve"> pristan</w:t>
      </w:r>
      <w:r w:rsidRPr="008752B8">
        <w:rPr>
          <w:rFonts w:ascii="Arial" w:hAnsi="Arial" w:cs="Arial"/>
          <w:sz w:val="20"/>
          <w:szCs w:val="20"/>
        </w:rPr>
        <w:t xml:space="preserve"> za QDMTT deluje tako, da omogoča MNE oziroma velikim domačim skupinam, da izberejo uporabo varnega pristana za QDMTT za vsako podskupino ali samostojno entiteto, ki je v posamezni jurisdikciji podvržena izračunu in plačilu QDMTT. Na primer, trije subjekti v sestavi enega krovnega matičnega subjekta, dva člana iste skupine skupnega podviga in en investicijski subjekt, se nahajajo v jurisdikciji, ki ima QDMTT, ki izpolnjuje standarde varnega pristana. V tem primeru bi moral </w:t>
      </w:r>
      <w:proofErr w:type="spellStart"/>
      <w:r w:rsidRPr="008752B8">
        <w:rPr>
          <w:rFonts w:ascii="Arial" w:hAnsi="Arial" w:cs="Arial"/>
          <w:sz w:val="20"/>
          <w:szCs w:val="20"/>
        </w:rPr>
        <w:t>vložniški</w:t>
      </w:r>
      <w:proofErr w:type="spellEnd"/>
      <w:r w:rsidRPr="008752B8">
        <w:rPr>
          <w:rFonts w:ascii="Arial" w:hAnsi="Arial" w:cs="Arial"/>
          <w:sz w:val="20"/>
          <w:szCs w:val="20"/>
        </w:rPr>
        <w:t xml:space="preserve"> subjekt, ki pripravi informativni obrazec za obračun, narediti ločeno izbiro za tri subjekte v sestavi, dva člana skupine skupnega podviga in za investicijski subjekt (tukaj imamo torej tri podskupine subjektov). </w:t>
      </w:r>
    </w:p>
    <w:p w14:paraId="46DC40A1" w14:textId="77777777" w:rsidR="007143BE" w:rsidRPr="008752B8" w:rsidRDefault="007143BE" w:rsidP="008752B8">
      <w:pPr>
        <w:jc w:val="both"/>
        <w:rPr>
          <w:rFonts w:ascii="Arial" w:hAnsi="Arial" w:cs="Arial"/>
          <w:sz w:val="20"/>
          <w:szCs w:val="20"/>
        </w:rPr>
      </w:pPr>
      <w:proofErr w:type="spellStart"/>
      <w:r w:rsidRPr="008752B8">
        <w:rPr>
          <w:rFonts w:ascii="Arial" w:hAnsi="Arial" w:cs="Arial"/>
          <w:sz w:val="20"/>
          <w:szCs w:val="20"/>
        </w:rPr>
        <w:t>Vložniški</w:t>
      </w:r>
      <w:proofErr w:type="spellEnd"/>
      <w:r w:rsidRPr="008752B8">
        <w:rPr>
          <w:rFonts w:ascii="Arial" w:hAnsi="Arial" w:cs="Arial"/>
          <w:sz w:val="20"/>
          <w:szCs w:val="20"/>
        </w:rPr>
        <w:t xml:space="preserve"> subjekt, ki pripravi in predloži informativni obrazec za obračun povrhnjega davka, se lahko odloči za uporabo varnega pristana QDMTT le, če bi se </w:t>
      </w:r>
      <w:r w:rsidR="00395FBF" w:rsidRPr="008752B8">
        <w:rPr>
          <w:rFonts w:ascii="Arial" w:hAnsi="Arial" w:cs="Arial"/>
          <w:sz w:val="20"/>
          <w:szCs w:val="20"/>
        </w:rPr>
        <w:t>davek</w:t>
      </w:r>
      <w:r w:rsidRPr="008752B8">
        <w:rPr>
          <w:rFonts w:ascii="Arial" w:hAnsi="Arial" w:cs="Arial"/>
          <w:sz w:val="20"/>
          <w:szCs w:val="20"/>
        </w:rPr>
        <w:t>, izračunan v skladu z QDMTT, obravnaval kot "</w:t>
      </w:r>
      <w:r w:rsidR="00395FBF" w:rsidRPr="008752B8">
        <w:rPr>
          <w:rFonts w:ascii="Arial" w:hAnsi="Arial" w:cs="Arial"/>
          <w:sz w:val="20"/>
          <w:szCs w:val="20"/>
        </w:rPr>
        <w:t>plačljiv k</w:t>
      </w:r>
      <w:r w:rsidRPr="008752B8">
        <w:rPr>
          <w:rFonts w:ascii="Arial" w:hAnsi="Arial" w:cs="Arial"/>
          <w:sz w:val="20"/>
          <w:szCs w:val="20"/>
        </w:rPr>
        <w:t xml:space="preserve">valificiran domači minimalni dodatni davek" </w:t>
      </w:r>
      <w:r w:rsidR="00395FBF" w:rsidRPr="008752B8">
        <w:rPr>
          <w:rFonts w:ascii="Arial" w:hAnsi="Arial" w:cs="Arial"/>
          <w:sz w:val="20"/>
          <w:szCs w:val="20"/>
        </w:rPr>
        <w:t xml:space="preserve">na enak način kot če varni pristan </w:t>
      </w:r>
      <w:r w:rsidR="008075A8" w:rsidRPr="008752B8">
        <w:rPr>
          <w:rFonts w:ascii="Arial" w:hAnsi="Arial" w:cs="Arial"/>
          <w:sz w:val="20"/>
          <w:szCs w:val="20"/>
        </w:rPr>
        <w:t>n</w:t>
      </w:r>
      <w:r w:rsidR="00395FBF" w:rsidRPr="008752B8">
        <w:rPr>
          <w:rFonts w:ascii="Arial" w:hAnsi="Arial" w:cs="Arial"/>
          <w:sz w:val="20"/>
          <w:szCs w:val="20"/>
        </w:rPr>
        <w:t>e bi veljal</w:t>
      </w:r>
      <w:r w:rsidRPr="008752B8">
        <w:rPr>
          <w:rFonts w:ascii="Arial" w:hAnsi="Arial" w:cs="Arial"/>
          <w:sz w:val="20"/>
          <w:szCs w:val="20"/>
        </w:rPr>
        <w:t xml:space="preserve">. Zato </w:t>
      </w:r>
      <w:r w:rsidR="008075A8" w:rsidRPr="008752B8">
        <w:rPr>
          <w:rFonts w:ascii="Arial" w:hAnsi="Arial" w:cs="Arial"/>
          <w:sz w:val="20"/>
          <w:szCs w:val="20"/>
        </w:rPr>
        <w:t>skupina, ki je zavezana za povrhnji davek,</w:t>
      </w:r>
      <w:r w:rsidRPr="008752B8">
        <w:rPr>
          <w:rFonts w:ascii="Arial" w:hAnsi="Arial" w:cs="Arial"/>
          <w:sz w:val="20"/>
          <w:szCs w:val="20"/>
        </w:rPr>
        <w:t xml:space="preserve"> ne more izbrati uporabe varnega pristana, če je njena obveznost po QDMTT predmet </w:t>
      </w:r>
      <w:r w:rsidR="008075A8" w:rsidRPr="008752B8">
        <w:rPr>
          <w:rFonts w:ascii="Arial" w:hAnsi="Arial" w:cs="Arial"/>
          <w:sz w:val="20"/>
          <w:szCs w:val="20"/>
        </w:rPr>
        <w:t>izpodbijanja</w:t>
      </w:r>
      <w:r w:rsidRPr="008752B8">
        <w:rPr>
          <w:rFonts w:ascii="Arial" w:hAnsi="Arial" w:cs="Arial"/>
          <w:sz w:val="20"/>
          <w:szCs w:val="20"/>
        </w:rPr>
        <w:t xml:space="preserve"> ali se šteje za neocenljivo</w:t>
      </w:r>
      <w:r w:rsidR="008075A8" w:rsidRPr="008752B8">
        <w:rPr>
          <w:rFonts w:ascii="Arial" w:hAnsi="Arial" w:cs="Arial"/>
          <w:sz w:val="20"/>
          <w:szCs w:val="20"/>
        </w:rPr>
        <w:t xml:space="preserve">. </w:t>
      </w:r>
      <w:r w:rsidRPr="008752B8">
        <w:rPr>
          <w:rFonts w:ascii="Arial" w:hAnsi="Arial" w:cs="Arial"/>
          <w:sz w:val="20"/>
          <w:szCs w:val="20"/>
        </w:rPr>
        <w:t xml:space="preserve">Taka skupina ne more izbrati uporabe </w:t>
      </w:r>
      <w:r w:rsidR="008075A8" w:rsidRPr="008752B8">
        <w:rPr>
          <w:rFonts w:ascii="Arial" w:hAnsi="Arial" w:cs="Arial"/>
          <w:sz w:val="20"/>
          <w:szCs w:val="20"/>
        </w:rPr>
        <w:t>varnega pristana</w:t>
      </w:r>
      <w:r w:rsidRPr="008752B8">
        <w:rPr>
          <w:rFonts w:ascii="Arial" w:hAnsi="Arial" w:cs="Arial"/>
          <w:sz w:val="20"/>
          <w:szCs w:val="20"/>
        </w:rPr>
        <w:t xml:space="preserve"> za QDMTT za to </w:t>
      </w:r>
      <w:r w:rsidR="008075A8" w:rsidRPr="008752B8">
        <w:rPr>
          <w:rFonts w:ascii="Arial" w:hAnsi="Arial" w:cs="Arial"/>
          <w:sz w:val="20"/>
          <w:szCs w:val="20"/>
        </w:rPr>
        <w:t>jurisdikcijo</w:t>
      </w:r>
      <w:r w:rsidRPr="008752B8">
        <w:rPr>
          <w:rFonts w:ascii="Arial" w:hAnsi="Arial" w:cs="Arial"/>
          <w:sz w:val="20"/>
          <w:szCs w:val="20"/>
        </w:rPr>
        <w:t xml:space="preserve">, ne glede na to, ali ta QDMTT izpolnjuje </w:t>
      </w:r>
      <w:r w:rsidR="008075A8" w:rsidRPr="008752B8">
        <w:rPr>
          <w:rFonts w:ascii="Arial" w:hAnsi="Arial" w:cs="Arial"/>
          <w:sz w:val="20"/>
          <w:szCs w:val="20"/>
        </w:rPr>
        <w:t>zgoraj</w:t>
      </w:r>
      <w:r w:rsidRPr="008752B8">
        <w:rPr>
          <w:rFonts w:ascii="Arial" w:hAnsi="Arial" w:cs="Arial"/>
          <w:sz w:val="20"/>
          <w:szCs w:val="20"/>
        </w:rPr>
        <w:t xml:space="preserve"> navedene standarde.</w:t>
      </w:r>
    </w:p>
    <w:p w14:paraId="0AA83CCE" w14:textId="77777777" w:rsidR="00604BA6" w:rsidRPr="00392FD4" w:rsidRDefault="00604BA6" w:rsidP="00077CBF">
      <w:pPr>
        <w:pStyle w:val="FURSnaslov2"/>
        <w:tabs>
          <w:tab w:val="clear" w:pos="3402"/>
          <w:tab w:val="left" w:pos="142"/>
        </w:tabs>
        <w:rPr>
          <w:rFonts w:cs="Arial"/>
          <w:sz w:val="20"/>
          <w:szCs w:val="20"/>
          <w:lang w:val="sl-SI"/>
        </w:rPr>
      </w:pPr>
      <w:r w:rsidRPr="00392FD4">
        <w:rPr>
          <w:rFonts w:cs="Arial"/>
          <w:sz w:val="20"/>
          <w:szCs w:val="20"/>
          <w:lang w:val="sl-SI"/>
        </w:rPr>
        <w:tab/>
      </w:r>
      <w:bookmarkStart w:id="28" w:name="_Toc157425321"/>
      <w:r w:rsidR="009C49FB">
        <w:rPr>
          <w:rFonts w:cs="Arial"/>
          <w:sz w:val="20"/>
          <w:szCs w:val="20"/>
          <w:lang w:val="sl-SI"/>
        </w:rPr>
        <w:t>4</w:t>
      </w:r>
      <w:r w:rsidR="00077CBF" w:rsidRPr="00392FD4">
        <w:rPr>
          <w:rFonts w:cs="Arial"/>
          <w:sz w:val="20"/>
          <w:szCs w:val="20"/>
          <w:lang w:val="sl-SI"/>
        </w:rPr>
        <w:t>.1.</w:t>
      </w:r>
      <w:r w:rsidR="00481E1D">
        <w:rPr>
          <w:rFonts w:cs="Arial"/>
          <w:sz w:val="20"/>
          <w:szCs w:val="20"/>
          <w:lang w:val="sl-SI"/>
        </w:rPr>
        <w:t>2</w:t>
      </w:r>
      <w:r w:rsidRPr="00392FD4">
        <w:rPr>
          <w:rFonts w:cs="Arial"/>
          <w:sz w:val="20"/>
          <w:szCs w:val="20"/>
          <w:lang w:val="sl-SI"/>
        </w:rPr>
        <w:t xml:space="preserve"> Varni pristan</w:t>
      </w:r>
      <w:r w:rsidR="003D0783" w:rsidRPr="00392FD4">
        <w:rPr>
          <w:rFonts w:cs="Arial"/>
          <w:sz w:val="20"/>
          <w:szCs w:val="20"/>
          <w:lang w:val="sl-SI"/>
        </w:rPr>
        <w:t xml:space="preserve"> v obliki poenostavljenih izračunov za </w:t>
      </w:r>
      <w:r w:rsidR="00F01208">
        <w:rPr>
          <w:rFonts w:cs="Arial"/>
          <w:sz w:val="20"/>
          <w:szCs w:val="20"/>
          <w:lang w:val="sl-SI"/>
        </w:rPr>
        <w:t>nepomembn</w:t>
      </w:r>
      <w:r w:rsidR="003D0783" w:rsidRPr="00392FD4">
        <w:rPr>
          <w:rFonts w:cs="Arial"/>
          <w:sz w:val="20"/>
          <w:szCs w:val="20"/>
          <w:lang w:val="sl-SI"/>
        </w:rPr>
        <w:t>e subjekte</w:t>
      </w:r>
      <w:r w:rsidR="0042568B">
        <w:rPr>
          <w:rFonts w:cs="Arial"/>
          <w:sz w:val="20"/>
          <w:szCs w:val="20"/>
          <w:lang w:val="sl-SI"/>
        </w:rPr>
        <w:t xml:space="preserve"> (NMCE)</w:t>
      </w:r>
      <w:bookmarkEnd w:id="28"/>
    </w:p>
    <w:p w14:paraId="733155EB" w14:textId="77777777" w:rsidR="003D0783" w:rsidRDefault="003D0783" w:rsidP="008752B8">
      <w:pPr>
        <w:jc w:val="both"/>
        <w:rPr>
          <w:rFonts w:ascii="Arial" w:hAnsi="Arial" w:cs="Arial"/>
          <w:sz w:val="20"/>
          <w:szCs w:val="20"/>
        </w:rPr>
      </w:pPr>
      <w:r w:rsidRPr="008752B8">
        <w:rPr>
          <w:rFonts w:ascii="Arial" w:hAnsi="Arial" w:cs="Arial"/>
          <w:sz w:val="20"/>
          <w:szCs w:val="20"/>
        </w:rPr>
        <w:t>Pre</w:t>
      </w:r>
      <w:r w:rsidR="005C6895">
        <w:rPr>
          <w:rFonts w:ascii="Arial" w:hAnsi="Arial" w:cs="Arial"/>
          <w:sz w:val="20"/>
          <w:szCs w:val="20"/>
        </w:rPr>
        <w:t>d</w:t>
      </w:r>
      <w:r w:rsidRPr="008752B8">
        <w:rPr>
          <w:rFonts w:ascii="Arial" w:hAnsi="Arial" w:cs="Arial"/>
          <w:sz w:val="20"/>
          <w:szCs w:val="20"/>
        </w:rPr>
        <w:t xml:space="preserve">viden je varni pristan za poenostavljene izračune v zvezi z </w:t>
      </w:r>
      <w:r w:rsidR="00F01208">
        <w:rPr>
          <w:rFonts w:ascii="Arial" w:hAnsi="Arial" w:cs="Arial"/>
          <w:sz w:val="20"/>
          <w:szCs w:val="20"/>
        </w:rPr>
        <w:t>nepomembn</w:t>
      </w:r>
      <w:r w:rsidRPr="008752B8">
        <w:rPr>
          <w:rFonts w:ascii="Arial" w:hAnsi="Arial" w:cs="Arial"/>
          <w:sz w:val="20"/>
          <w:szCs w:val="20"/>
        </w:rPr>
        <w:t xml:space="preserve">imi subjekti v sestavi (non-material </w:t>
      </w:r>
      <w:proofErr w:type="spellStart"/>
      <w:r w:rsidRPr="008752B8">
        <w:rPr>
          <w:rFonts w:ascii="Arial" w:hAnsi="Arial" w:cs="Arial"/>
          <w:sz w:val="20"/>
          <w:szCs w:val="20"/>
        </w:rPr>
        <w:t>constituent</w:t>
      </w:r>
      <w:proofErr w:type="spellEnd"/>
      <w:r w:rsidRPr="008752B8">
        <w:rPr>
          <w:rFonts w:ascii="Arial" w:hAnsi="Arial" w:cs="Arial"/>
          <w:sz w:val="20"/>
          <w:szCs w:val="20"/>
        </w:rPr>
        <w:t xml:space="preserve"> </w:t>
      </w:r>
      <w:proofErr w:type="spellStart"/>
      <w:r w:rsidRPr="008752B8">
        <w:rPr>
          <w:rFonts w:ascii="Arial" w:hAnsi="Arial" w:cs="Arial"/>
          <w:sz w:val="20"/>
          <w:szCs w:val="20"/>
        </w:rPr>
        <w:t>entities</w:t>
      </w:r>
      <w:proofErr w:type="spellEnd"/>
      <w:r w:rsidRPr="008752B8">
        <w:rPr>
          <w:rFonts w:ascii="Arial" w:hAnsi="Arial" w:cs="Arial"/>
          <w:sz w:val="20"/>
          <w:szCs w:val="20"/>
        </w:rPr>
        <w:t xml:space="preserve"> – NMCE). Poenostavljeni izračuni dohodka, prihodka in davka NMCE v okviru varnega pristana uporabljajo določena pravila, da se prepreči ogrožanje integritete pravil povrhnjega davka. Poenostavljeni izračuni NMCE lahko združijo z izračuni </w:t>
      </w:r>
      <w:proofErr w:type="spellStart"/>
      <w:r w:rsidRPr="008752B8">
        <w:rPr>
          <w:rFonts w:ascii="Arial" w:hAnsi="Arial" w:cs="Arial"/>
          <w:sz w:val="20"/>
          <w:szCs w:val="20"/>
        </w:rPr>
        <w:t>GloBE</w:t>
      </w:r>
      <w:proofErr w:type="spellEnd"/>
      <w:r w:rsidRPr="008752B8">
        <w:rPr>
          <w:rFonts w:ascii="Arial" w:hAnsi="Arial" w:cs="Arial"/>
          <w:sz w:val="20"/>
          <w:szCs w:val="20"/>
        </w:rPr>
        <w:t xml:space="preserve"> drugih subjektov v sestavi za namene ugotavljanja, ali testirana jurisdikcija izpolnjuje zahteve za varni pristan za poenostavljene izračune. Ti izračuni lahko vključujejo tudi druge poenostavljene izračune, ki bi se lahko razvili v prihodnosti prek dogovorjenih upravnih smernic.</w:t>
      </w:r>
    </w:p>
    <w:p w14:paraId="46BA0338" w14:textId="77777777" w:rsidR="003D0783" w:rsidRPr="00392FD4" w:rsidRDefault="005A7A72" w:rsidP="00392FD4">
      <w:pPr>
        <w:rPr>
          <w:rFonts w:ascii="Arial" w:hAnsi="Arial" w:cs="Arial"/>
          <w:b/>
          <w:bCs/>
          <w:sz w:val="20"/>
          <w:szCs w:val="20"/>
        </w:rPr>
      </w:pPr>
      <w:r w:rsidRPr="00392FD4">
        <w:rPr>
          <w:rFonts w:ascii="Arial" w:hAnsi="Arial" w:cs="Arial"/>
          <w:b/>
          <w:bCs/>
          <w:sz w:val="20"/>
          <w:szCs w:val="20"/>
        </w:rPr>
        <w:t xml:space="preserve">I. </w:t>
      </w:r>
      <w:r w:rsidR="003D0783" w:rsidRPr="00392FD4">
        <w:rPr>
          <w:rFonts w:ascii="Arial" w:hAnsi="Arial" w:cs="Arial"/>
          <w:b/>
          <w:bCs/>
          <w:sz w:val="20"/>
          <w:szCs w:val="20"/>
        </w:rPr>
        <w:t>Opredelitev NMCE</w:t>
      </w:r>
    </w:p>
    <w:p w14:paraId="691A5614" w14:textId="77777777" w:rsidR="003D0783" w:rsidRPr="008752B8" w:rsidRDefault="003D0783" w:rsidP="008752B8">
      <w:pPr>
        <w:jc w:val="both"/>
        <w:rPr>
          <w:rFonts w:ascii="Arial" w:hAnsi="Arial" w:cs="Arial"/>
          <w:sz w:val="20"/>
          <w:szCs w:val="20"/>
        </w:rPr>
      </w:pPr>
      <w:r w:rsidRPr="008752B8">
        <w:rPr>
          <w:rFonts w:ascii="Arial" w:hAnsi="Arial" w:cs="Arial"/>
          <w:sz w:val="20"/>
          <w:szCs w:val="20"/>
        </w:rPr>
        <w:t>Pojem NMCE vključuje vse hčerinske družbe in njihove stalne poslovne enote (če obstajajo), ki so dejansko izvzete iz obsega konsolidiranih računovodskih izkazov v določenem davčnem letu.</w:t>
      </w:r>
      <w:r w:rsidR="00511359">
        <w:rPr>
          <w:rFonts w:ascii="Arial" w:hAnsi="Arial" w:cs="Arial"/>
          <w:sz w:val="20"/>
          <w:szCs w:val="20"/>
        </w:rPr>
        <w:t xml:space="preserve"> </w:t>
      </w:r>
      <w:r w:rsidR="0042568B">
        <w:rPr>
          <w:rFonts w:ascii="Arial" w:hAnsi="Arial" w:cs="Arial"/>
          <w:sz w:val="20"/>
          <w:szCs w:val="20"/>
        </w:rPr>
        <w:t>Subjekti</w:t>
      </w:r>
      <w:r w:rsidR="0042568B" w:rsidRPr="0042568B">
        <w:rPr>
          <w:rFonts w:ascii="Arial" w:hAnsi="Arial" w:cs="Arial"/>
          <w:sz w:val="20"/>
          <w:szCs w:val="20"/>
        </w:rPr>
        <w:t>, ki so povezan</w:t>
      </w:r>
      <w:r w:rsidR="0042568B">
        <w:rPr>
          <w:rFonts w:ascii="Arial" w:hAnsi="Arial" w:cs="Arial"/>
          <w:sz w:val="20"/>
          <w:szCs w:val="20"/>
        </w:rPr>
        <w:t>i</w:t>
      </w:r>
      <w:r w:rsidR="0042568B" w:rsidRPr="0042568B">
        <w:rPr>
          <w:rFonts w:ascii="Arial" w:hAnsi="Arial" w:cs="Arial"/>
          <w:sz w:val="20"/>
          <w:szCs w:val="20"/>
        </w:rPr>
        <w:t xml:space="preserve"> prek lastništva ali nadzora, vendar so izključen</w:t>
      </w:r>
      <w:r w:rsidR="005C6895">
        <w:rPr>
          <w:rFonts w:ascii="Arial" w:hAnsi="Arial" w:cs="Arial"/>
          <w:sz w:val="20"/>
          <w:szCs w:val="20"/>
        </w:rPr>
        <w:t>i</w:t>
      </w:r>
      <w:r w:rsidR="0042568B" w:rsidRPr="0042568B">
        <w:rPr>
          <w:rFonts w:ascii="Arial" w:hAnsi="Arial" w:cs="Arial"/>
          <w:sz w:val="20"/>
          <w:szCs w:val="20"/>
        </w:rPr>
        <w:t xml:space="preserve"> iz konsolidiranih </w:t>
      </w:r>
      <w:r w:rsidR="0042568B">
        <w:rPr>
          <w:rFonts w:ascii="Arial" w:hAnsi="Arial" w:cs="Arial"/>
          <w:sz w:val="20"/>
          <w:szCs w:val="20"/>
        </w:rPr>
        <w:t>računovodskih</w:t>
      </w:r>
      <w:r w:rsidR="0042568B" w:rsidRPr="0042568B">
        <w:rPr>
          <w:rFonts w:ascii="Arial" w:hAnsi="Arial" w:cs="Arial"/>
          <w:sz w:val="20"/>
          <w:szCs w:val="20"/>
        </w:rPr>
        <w:t xml:space="preserve"> izkazov skupine izključno zaradi velikosti ali materialnosti, se štejejo za subjekte v sestavi skupine v skladu </w:t>
      </w:r>
      <w:r w:rsidR="0042568B">
        <w:rPr>
          <w:rFonts w:ascii="Arial" w:hAnsi="Arial" w:cs="Arial"/>
          <w:sz w:val="20"/>
          <w:szCs w:val="20"/>
        </w:rPr>
        <w:t>z 8.a točko 7. člena ZMD</w:t>
      </w:r>
      <w:r w:rsidR="0042568B" w:rsidRPr="0042568B">
        <w:rPr>
          <w:rFonts w:ascii="Arial" w:hAnsi="Arial" w:cs="Arial"/>
          <w:sz w:val="20"/>
          <w:szCs w:val="20"/>
        </w:rPr>
        <w:t xml:space="preserve">. </w:t>
      </w:r>
      <w:r w:rsidR="0042568B">
        <w:rPr>
          <w:rFonts w:ascii="Arial" w:hAnsi="Arial" w:cs="Arial"/>
          <w:sz w:val="20"/>
          <w:szCs w:val="20"/>
        </w:rPr>
        <w:t>Subjekti</w:t>
      </w:r>
      <w:r w:rsidR="0042568B" w:rsidRPr="0042568B">
        <w:rPr>
          <w:rFonts w:ascii="Arial" w:hAnsi="Arial" w:cs="Arial"/>
          <w:sz w:val="20"/>
          <w:szCs w:val="20"/>
        </w:rPr>
        <w:t>, ki so običajno vključen</w:t>
      </w:r>
      <w:r w:rsidR="00E63B1D">
        <w:rPr>
          <w:rFonts w:ascii="Arial" w:hAnsi="Arial" w:cs="Arial"/>
          <w:sz w:val="20"/>
          <w:szCs w:val="20"/>
        </w:rPr>
        <w:t>i</w:t>
      </w:r>
      <w:r w:rsidR="0042568B" w:rsidRPr="0042568B">
        <w:rPr>
          <w:rFonts w:ascii="Arial" w:hAnsi="Arial" w:cs="Arial"/>
          <w:sz w:val="20"/>
          <w:szCs w:val="20"/>
        </w:rPr>
        <w:t xml:space="preserve"> kot subjekti v sestavi z manjšim ali minimalnim obsegom dejavnosti ali pa imajo dejavnosti v fazi postopnega prenehanja ali likvidacije, se pogosto imenujejo kot </w:t>
      </w:r>
      <w:r w:rsidR="0042568B">
        <w:rPr>
          <w:rFonts w:ascii="Arial" w:hAnsi="Arial" w:cs="Arial"/>
          <w:sz w:val="20"/>
          <w:szCs w:val="20"/>
        </w:rPr>
        <w:t>subjekti</w:t>
      </w:r>
      <w:r w:rsidR="0042568B" w:rsidRPr="0042568B">
        <w:rPr>
          <w:rFonts w:ascii="Arial" w:hAnsi="Arial" w:cs="Arial"/>
          <w:sz w:val="20"/>
          <w:szCs w:val="20"/>
        </w:rPr>
        <w:t xml:space="preserve"> z manjšim obsegom dejavnosti (</w:t>
      </w:r>
      <w:proofErr w:type="spellStart"/>
      <w:r w:rsidR="0042568B" w:rsidRPr="0042568B">
        <w:rPr>
          <w:rFonts w:ascii="Arial" w:hAnsi="Arial" w:cs="Arial"/>
          <w:sz w:val="20"/>
          <w:szCs w:val="20"/>
        </w:rPr>
        <w:t>NMCEs</w:t>
      </w:r>
      <w:proofErr w:type="spellEnd"/>
      <w:r w:rsidR="0042568B" w:rsidRPr="0042568B">
        <w:rPr>
          <w:rFonts w:ascii="Arial" w:hAnsi="Arial" w:cs="Arial"/>
          <w:sz w:val="20"/>
          <w:szCs w:val="20"/>
        </w:rPr>
        <w:t>).</w:t>
      </w:r>
      <w:r w:rsidRPr="008752B8">
        <w:rPr>
          <w:rFonts w:ascii="Arial" w:hAnsi="Arial" w:cs="Arial"/>
          <w:sz w:val="20"/>
          <w:szCs w:val="20"/>
        </w:rPr>
        <w:t xml:space="preserve"> Opredelitev NMCE temelji na splošni praksi skupin pri izključevanju nepomembnih hčerinskih družb iz obsega konsolidiranih računovodskih izkazov, kjer lahko izkažejo, da izključitev NM</w:t>
      </w:r>
      <w:r w:rsidR="005C6895">
        <w:rPr>
          <w:rFonts w:ascii="Arial" w:hAnsi="Arial" w:cs="Arial"/>
          <w:sz w:val="20"/>
          <w:szCs w:val="20"/>
        </w:rPr>
        <w:t>C</w:t>
      </w:r>
      <w:r w:rsidRPr="008752B8">
        <w:rPr>
          <w:rFonts w:ascii="Arial" w:hAnsi="Arial" w:cs="Arial"/>
          <w:sz w:val="20"/>
          <w:szCs w:val="20"/>
        </w:rPr>
        <w:t xml:space="preserve">E ne bi vplival na </w:t>
      </w:r>
      <w:r w:rsidR="005A7A72" w:rsidRPr="008752B8">
        <w:rPr>
          <w:rFonts w:ascii="Arial" w:hAnsi="Arial" w:cs="Arial"/>
          <w:sz w:val="20"/>
          <w:szCs w:val="20"/>
        </w:rPr>
        <w:t>osebe</w:t>
      </w:r>
      <w:r w:rsidRPr="008752B8">
        <w:rPr>
          <w:rFonts w:ascii="Arial" w:hAnsi="Arial" w:cs="Arial"/>
          <w:sz w:val="20"/>
          <w:szCs w:val="20"/>
        </w:rPr>
        <w:t xml:space="preserve">, </w:t>
      </w:r>
      <w:r w:rsidR="005A7A72" w:rsidRPr="008752B8">
        <w:rPr>
          <w:rFonts w:ascii="Arial" w:hAnsi="Arial" w:cs="Arial"/>
          <w:sz w:val="20"/>
          <w:szCs w:val="20"/>
        </w:rPr>
        <w:t xml:space="preserve">za katere so relevantni </w:t>
      </w:r>
      <w:r w:rsidRPr="008752B8">
        <w:rPr>
          <w:rFonts w:ascii="Arial" w:hAnsi="Arial" w:cs="Arial"/>
          <w:sz w:val="20"/>
          <w:szCs w:val="20"/>
        </w:rPr>
        <w:t>konsolidiran</w:t>
      </w:r>
      <w:r w:rsidR="005A7A72" w:rsidRPr="008752B8">
        <w:rPr>
          <w:rFonts w:ascii="Arial" w:hAnsi="Arial" w:cs="Arial"/>
          <w:sz w:val="20"/>
          <w:szCs w:val="20"/>
        </w:rPr>
        <w:t>i</w:t>
      </w:r>
      <w:r w:rsidRPr="008752B8">
        <w:rPr>
          <w:rFonts w:ascii="Arial" w:hAnsi="Arial" w:cs="Arial"/>
          <w:sz w:val="20"/>
          <w:szCs w:val="20"/>
        </w:rPr>
        <w:t xml:space="preserve"> računovodsk</w:t>
      </w:r>
      <w:r w:rsidR="005A7A72" w:rsidRPr="008752B8">
        <w:rPr>
          <w:rFonts w:ascii="Arial" w:hAnsi="Arial" w:cs="Arial"/>
          <w:sz w:val="20"/>
          <w:szCs w:val="20"/>
        </w:rPr>
        <w:t>i</w:t>
      </w:r>
      <w:r w:rsidRPr="008752B8">
        <w:rPr>
          <w:rFonts w:ascii="Arial" w:hAnsi="Arial" w:cs="Arial"/>
          <w:sz w:val="20"/>
          <w:szCs w:val="20"/>
        </w:rPr>
        <w:t xml:space="preserve"> izkaz</w:t>
      </w:r>
      <w:r w:rsidR="005A7A72" w:rsidRPr="008752B8">
        <w:rPr>
          <w:rFonts w:ascii="Arial" w:hAnsi="Arial" w:cs="Arial"/>
          <w:sz w:val="20"/>
          <w:szCs w:val="20"/>
        </w:rPr>
        <w:t>i</w:t>
      </w:r>
      <w:r w:rsidRPr="008752B8">
        <w:rPr>
          <w:rFonts w:ascii="Arial" w:hAnsi="Arial" w:cs="Arial"/>
          <w:sz w:val="20"/>
          <w:szCs w:val="20"/>
        </w:rPr>
        <w:t xml:space="preserve">. Ni enotne </w:t>
      </w:r>
      <w:r w:rsidR="005A7A72" w:rsidRPr="008752B8">
        <w:rPr>
          <w:rFonts w:ascii="Arial" w:hAnsi="Arial" w:cs="Arial"/>
          <w:sz w:val="20"/>
          <w:szCs w:val="20"/>
        </w:rPr>
        <w:t>nedvoumne opredelitve</w:t>
      </w:r>
      <w:r w:rsidRPr="008752B8">
        <w:rPr>
          <w:rFonts w:ascii="Arial" w:hAnsi="Arial" w:cs="Arial"/>
          <w:sz w:val="20"/>
          <w:szCs w:val="20"/>
        </w:rPr>
        <w:t xml:space="preserve"> za </w:t>
      </w:r>
      <w:r w:rsidR="005A7A72" w:rsidRPr="008752B8">
        <w:rPr>
          <w:rFonts w:ascii="Arial" w:hAnsi="Arial" w:cs="Arial"/>
          <w:sz w:val="20"/>
          <w:szCs w:val="20"/>
        </w:rPr>
        <w:t>določitev</w:t>
      </w:r>
      <w:r w:rsidRPr="008752B8">
        <w:rPr>
          <w:rFonts w:ascii="Arial" w:hAnsi="Arial" w:cs="Arial"/>
          <w:sz w:val="20"/>
          <w:szCs w:val="20"/>
        </w:rPr>
        <w:t xml:space="preserve"> pragov </w:t>
      </w:r>
      <w:r w:rsidR="005A7A72" w:rsidRPr="008752B8">
        <w:rPr>
          <w:rFonts w:ascii="Arial" w:hAnsi="Arial" w:cs="Arial"/>
          <w:sz w:val="20"/>
          <w:szCs w:val="20"/>
        </w:rPr>
        <w:t>(ne)</w:t>
      </w:r>
      <w:r w:rsidRPr="008752B8">
        <w:rPr>
          <w:rFonts w:ascii="Arial" w:hAnsi="Arial" w:cs="Arial"/>
          <w:sz w:val="20"/>
          <w:szCs w:val="20"/>
        </w:rPr>
        <w:t>pomembnosti znotraj relevantnih računovodskih načel. Na primer, tako IFRS4 kot tudi US GAAP zagotavljata splošen koncept pomembnosti, ki v bistvu pomeni, ali izpustitev ali napačn</w:t>
      </w:r>
      <w:r w:rsidR="005A7A72" w:rsidRPr="008752B8">
        <w:rPr>
          <w:rFonts w:ascii="Arial" w:hAnsi="Arial" w:cs="Arial"/>
          <w:sz w:val="20"/>
          <w:szCs w:val="20"/>
        </w:rPr>
        <w:t>a</w:t>
      </w:r>
      <w:r w:rsidRPr="008752B8">
        <w:rPr>
          <w:rFonts w:ascii="Arial" w:hAnsi="Arial" w:cs="Arial"/>
          <w:sz w:val="20"/>
          <w:szCs w:val="20"/>
        </w:rPr>
        <w:t xml:space="preserve"> navedba postavke razumno vpliva na mnenje osebe, ki se zanaša na</w:t>
      </w:r>
      <w:r w:rsidR="005C6895">
        <w:rPr>
          <w:rFonts w:ascii="Arial" w:hAnsi="Arial" w:cs="Arial"/>
          <w:sz w:val="20"/>
          <w:szCs w:val="20"/>
        </w:rPr>
        <w:t xml:space="preserve"> finančno</w:t>
      </w:r>
      <w:r w:rsidRPr="008752B8">
        <w:rPr>
          <w:rFonts w:ascii="Arial" w:hAnsi="Arial" w:cs="Arial"/>
          <w:sz w:val="20"/>
          <w:szCs w:val="20"/>
        </w:rPr>
        <w:t xml:space="preserve"> </w:t>
      </w:r>
      <w:r w:rsidR="005C6895">
        <w:rPr>
          <w:rFonts w:ascii="Arial" w:hAnsi="Arial" w:cs="Arial"/>
          <w:sz w:val="20"/>
          <w:szCs w:val="20"/>
        </w:rPr>
        <w:t>računovodsko</w:t>
      </w:r>
      <w:r w:rsidRPr="008752B8">
        <w:rPr>
          <w:rFonts w:ascii="Arial" w:hAnsi="Arial" w:cs="Arial"/>
          <w:sz w:val="20"/>
          <w:szCs w:val="20"/>
        </w:rPr>
        <w:t xml:space="preserve"> poročilo. Ta splošen koncept je treba prilagoditi posebnostim vsake skupine MNE (npr. panoga in velikost).</w:t>
      </w:r>
    </w:p>
    <w:p w14:paraId="32653C32" w14:textId="77777777" w:rsidR="003D0783" w:rsidRDefault="003D0783" w:rsidP="008752B8">
      <w:pPr>
        <w:jc w:val="both"/>
        <w:rPr>
          <w:rFonts w:ascii="Arial" w:hAnsi="Arial" w:cs="Arial"/>
          <w:sz w:val="20"/>
          <w:szCs w:val="20"/>
        </w:rPr>
      </w:pPr>
      <w:r w:rsidRPr="008752B8">
        <w:rPr>
          <w:rFonts w:ascii="Arial" w:hAnsi="Arial" w:cs="Arial"/>
          <w:sz w:val="20"/>
          <w:szCs w:val="20"/>
        </w:rPr>
        <w:t xml:space="preserve">Določitev, ali naj se hčerinsko podjetje obravnava izven obsega konsolidacije, temelji na kvantitativnih in kvalitativnih merilih, in to oceno opravi uprava </w:t>
      </w:r>
      <w:r w:rsidR="00511359">
        <w:rPr>
          <w:rFonts w:ascii="Arial" w:hAnsi="Arial" w:cs="Arial"/>
          <w:sz w:val="20"/>
          <w:szCs w:val="20"/>
        </w:rPr>
        <w:t>skupine</w:t>
      </w:r>
      <w:r w:rsidRPr="008752B8">
        <w:rPr>
          <w:rFonts w:ascii="Arial" w:hAnsi="Arial" w:cs="Arial"/>
          <w:sz w:val="20"/>
          <w:szCs w:val="20"/>
        </w:rPr>
        <w:t xml:space="preserve">, ki jo nato deli in dogovori vnaprej </w:t>
      </w:r>
      <w:r w:rsidR="005A7A72" w:rsidRPr="008752B8">
        <w:rPr>
          <w:rFonts w:ascii="Arial" w:hAnsi="Arial" w:cs="Arial"/>
          <w:sz w:val="20"/>
          <w:szCs w:val="20"/>
        </w:rPr>
        <w:t>z</w:t>
      </w:r>
      <w:r w:rsidRPr="008752B8">
        <w:rPr>
          <w:rFonts w:ascii="Arial" w:hAnsi="Arial" w:cs="Arial"/>
          <w:sz w:val="20"/>
          <w:szCs w:val="20"/>
        </w:rPr>
        <w:t xml:space="preserve"> zunanj</w:t>
      </w:r>
      <w:r w:rsidR="004D0B68">
        <w:rPr>
          <w:rFonts w:ascii="Arial" w:hAnsi="Arial" w:cs="Arial"/>
          <w:sz w:val="20"/>
          <w:szCs w:val="20"/>
        </w:rPr>
        <w:t>im</w:t>
      </w:r>
      <w:r w:rsidRPr="008752B8">
        <w:rPr>
          <w:rFonts w:ascii="Arial" w:hAnsi="Arial" w:cs="Arial"/>
          <w:sz w:val="20"/>
          <w:szCs w:val="20"/>
        </w:rPr>
        <w:t xml:space="preserve"> revizor</w:t>
      </w:r>
      <w:r w:rsidR="004D0B68">
        <w:rPr>
          <w:rFonts w:ascii="Arial" w:hAnsi="Arial" w:cs="Arial"/>
          <w:sz w:val="20"/>
          <w:szCs w:val="20"/>
        </w:rPr>
        <w:t>jem</w:t>
      </w:r>
      <w:r w:rsidRPr="008752B8">
        <w:rPr>
          <w:rFonts w:ascii="Arial" w:hAnsi="Arial" w:cs="Arial"/>
          <w:sz w:val="20"/>
          <w:szCs w:val="20"/>
        </w:rPr>
        <w:t>, odgovorn</w:t>
      </w:r>
      <w:r w:rsidR="004D0B68">
        <w:rPr>
          <w:rFonts w:ascii="Arial" w:hAnsi="Arial" w:cs="Arial"/>
          <w:sz w:val="20"/>
          <w:szCs w:val="20"/>
        </w:rPr>
        <w:t>im</w:t>
      </w:r>
      <w:r w:rsidRPr="008752B8">
        <w:rPr>
          <w:rFonts w:ascii="Arial" w:hAnsi="Arial" w:cs="Arial"/>
          <w:sz w:val="20"/>
          <w:szCs w:val="20"/>
        </w:rPr>
        <w:t xml:space="preserve"> za zakonsko revizijo konsolidiranih računovodskih izkazov. </w:t>
      </w:r>
    </w:p>
    <w:p w14:paraId="70C31876" w14:textId="77777777" w:rsidR="00511359" w:rsidRPr="00511359" w:rsidRDefault="00511359" w:rsidP="008752B8">
      <w:pPr>
        <w:jc w:val="both"/>
        <w:rPr>
          <w:rFonts w:ascii="Arial" w:hAnsi="Arial" w:cs="Arial"/>
          <w:b/>
          <w:bCs/>
          <w:sz w:val="20"/>
          <w:szCs w:val="20"/>
        </w:rPr>
      </w:pPr>
      <w:r w:rsidRPr="00511359">
        <w:rPr>
          <w:rFonts w:ascii="Arial" w:hAnsi="Arial" w:cs="Arial"/>
          <w:b/>
          <w:bCs/>
          <w:sz w:val="20"/>
          <w:szCs w:val="20"/>
        </w:rPr>
        <w:lastRenderedPageBreak/>
        <w:t>II. Okvir varnega pristana</w:t>
      </w:r>
    </w:p>
    <w:p w14:paraId="078E5FF4" w14:textId="77777777" w:rsidR="00511359" w:rsidRPr="00511359" w:rsidRDefault="00511359" w:rsidP="00511359">
      <w:pPr>
        <w:spacing w:after="0"/>
        <w:jc w:val="both"/>
        <w:rPr>
          <w:rFonts w:ascii="Arial" w:hAnsi="Arial" w:cs="Arial"/>
          <w:sz w:val="20"/>
          <w:szCs w:val="20"/>
        </w:rPr>
      </w:pPr>
      <w:r w:rsidRPr="00511359">
        <w:rPr>
          <w:rFonts w:ascii="Arial" w:hAnsi="Arial" w:cs="Arial"/>
          <w:sz w:val="20"/>
          <w:szCs w:val="20"/>
        </w:rPr>
        <w:t>Povrhnji davek (razen dodatnega povrhnjega davka po 40. členu Zakona o minimalnem davku) za določeno pristojnost se šteje za nič v davčnem letu, ko je testirana jurisdikcija izpolnila zahteve:</w:t>
      </w:r>
    </w:p>
    <w:p w14:paraId="7C03DB7E" w14:textId="77777777" w:rsidR="00511359" w:rsidRPr="00511359" w:rsidRDefault="00511359" w:rsidP="00511359">
      <w:pPr>
        <w:spacing w:after="0"/>
        <w:ind w:left="708"/>
        <w:jc w:val="both"/>
        <w:rPr>
          <w:rFonts w:ascii="Arial" w:hAnsi="Arial" w:cs="Arial"/>
          <w:sz w:val="20"/>
          <w:szCs w:val="20"/>
        </w:rPr>
      </w:pPr>
      <w:r w:rsidRPr="00511359">
        <w:rPr>
          <w:rFonts w:ascii="Arial" w:hAnsi="Arial" w:cs="Arial"/>
          <w:sz w:val="20"/>
          <w:szCs w:val="20"/>
        </w:rPr>
        <w:t>(a) Testa rutinskih dobičkov;</w:t>
      </w:r>
    </w:p>
    <w:p w14:paraId="3B087865" w14:textId="77777777" w:rsidR="00511359" w:rsidRPr="00511359" w:rsidRDefault="00511359" w:rsidP="00511359">
      <w:pPr>
        <w:spacing w:after="0"/>
        <w:ind w:left="708"/>
        <w:jc w:val="both"/>
        <w:rPr>
          <w:rFonts w:ascii="Arial" w:hAnsi="Arial" w:cs="Arial"/>
          <w:sz w:val="20"/>
          <w:szCs w:val="20"/>
        </w:rPr>
      </w:pPr>
      <w:r w:rsidRPr="00511359">
        <w:rPr>
          <w:rFonts w:ascii="Arial" w:hAnsi="Arial" w:cs="Arial"/>
          <w:sz w:val="20"/>
          <w:szCs w:val="20"/>
        </w:rPr>
        <w:t xml:space="preserve">(b) Testa De </w:t>
      </w:r>
      <w:proofErr w:type="spellStart"/>
      <w:r w:rsidRPr="00511359">
        <w:rPr>
          <w:rFonts w:ascii="Arial" w:hAnsi="Arial" w:cs="Arial"/>
          <w:sz w:val="20"/>
          <w:szCs w:val="20"/>
        </w:rPr>
        <w:t>minimis</w:t>
      </w:r>
      <w:proofErr w:type="spellEnd"/>
      <w:r w:rsidRPr="00511359">
        <w:rPr>
          <w:rFonts w:ascii="Arial" w:hAnsi="Arial" w:cs="Arial"/>
          <w:sz w:val="20"/>
          <w:szCs w:val="20"/>
        </w:rPr>
        <w:t>; ali</w:t>
      </w:r>
    </w:p>
    <w:p w14:paraId="4EFF8BD7" w14:textId="77777777" w:rsidR="00511359" w:rsidRPr="00511359" w:rsidRDefault="00511359" w:rsidP="00511359">
      <w:pPr>
        <w:spacing w:after="0"/>
        <w:ind w:left="708"/>
        <w:jc w:val="both"/>
        <w:rPr>
          <w:rFonts w:ascii="Arial" w:hAnsi="Arial" w:cs="Arial"/>
          <w:sz w:val="20"/>
          <w:szCs w:val="20"/>
        </w:rPr>
      </w:pPr>
      <w:r w:rsidRPr="00511359">
        <w:rPr>
          <w:rFonts w:ascii="Arial" w:hAnsi="Arial" w:cs="Arial"/>
          <w:sz w:val="20"/>
          <w:szCs w:val="20"/>
        </w:rPr>
        <w:t>(c) Testa efektivne davčne stopnje.</w:t>
      </w:r>
    </w:p>
    <w:p w14:paraId="3CA48615" w14:textId="77777777" w:rsidR="00511359" w:rsidRPr="00511359" w:rsidRDefault="00511359" w:rsidP="00511359">
      <w:pPr>
        <w:jc w:val="both"/>
        <w:rPr>
          <w:rFonts w:ascii="Arial" w:hAnsi="Arial" w:cs="Arial"/>
          <w:sz w:val="20"/>
          <w:szCs w:val="20"/>
        </w:rPr>
      </w:pPr>
      <w:r w:rsidRPr="00511359">
        <w:rPr>
          <w:rFonts w:ascii="Arial" w:hAnsi="Arial" w:cs="Arial"/>
          <w:sz w:val="20"/>
          <w:szCs w:val="20"/>
        </w:rPr>
        <w:t>Subjekt v sestavi lahko za določitev, ali je kateri od testov izpolnjen v davčnem letu, uporabi poenostavljen izračun dohodka, poenostavljen izračun prihodka ali poenostavljen izračun davka.</w:t>
      </w:r>
    </w:p>
    <w:p w14:paraId="0EB89857" w14:textId="77777777" w:rsidR="00511359" w:rsidRPr="00511359" w:rsidRDefault="00511359" w:rsidP="00511359">
      <w:pPr>
        <w:jc w:val="both"/>
        <w:rPr>
          <w:rFonts w:ascii="Arial" w:hAnsi="Arial" w:cs="Arial"/>
          <w:sz w:val="20"/>
          <w:szCs w:val="20"/>
        </w:rPr>
      </w:pPr>
      <w:r w:rsidRPr="00511359">
        <w:rPr>
          <w:rFonts w:ascii="Arial" w:hAnsi="Arial" w:cs="Arial"/>
          <w:sz w:val="20"/>
          <w:szCs w:val="20"/>
        </w:rPr>
        <w:t>Testirana jurisdikcija izpolni:</w:t>
      </w:r>
    </w:p>
    <w:p w14:paraId="5AB90ABC" w14:textId="77777777" w:rsidR="00511359" w:rsidRPr="00511359" w:rsidRDefault="00511359" w:rsidP="00511359">
      <w:pPr>
        <w:jc w:val="both"/>
        <w:rPr>
          <w:rFonts w:ascii="Arial" w:hAnsi="Arial" w:cs="Arial"/>
          <w:sz w:val="20"/>
          <w:szCs w:val="20"/>
        </w:rPr>
      </w:pPr>
      <w:r w:rsidRPr="00511359">
        <w:rPr>
          <w:rFonts w:ascii="Arial" w:hAnsi="Arial" w:cs="Arial"/>
          <w:sz w:val="20"/>
          <w:szCs w:val="20"/>
        </w:rPr>
        <w:t xml:space="preserve">    (a) Test rutinskih dobičkov, če je njen kvalificiran dohodek, kot je določen v skladu s poenostavljenim izračunom dohodka, enak ali manjši od zneska, ki ga dobimo z izračunom vsebinske izključitve dobička za predmetno jurisdikcijo. Test rutinskih dobičkov uporablja pravila vsebinske izključitve dohodkov (</w:t>
      </w:r>
      <w:proofErr w:type="spellStart"/>
      <w:r w:rsidRPr="00511359">
        <w:rPr>
          <w:rFonts w:ascii="Arial" w:hAnsi="Arial" w:cs="Arial"/>
          <w:sz w:val="20"/>
          <w:szCs w:val="20"/>
        </w:rPr>
        <w:t>subject-based</w:t>
      </w:r>
      <w:proofErr w:type="spellEnd"/>
      <w:r w:rsidRPr="00511359">
        <w:rPr>
          <w:rFonts w:ascii="Arial" w:hAnsi="Arial" w:cs="Arial"/>
          <w:sz w:val="20"/>
          <w:szCs w:val="20"/>
        </w:rPr>
        <w:t xml:space="preserve"> </w:t>
      </w:r>
      <w:proofErr w:type="spellStart"/>
      <w:r w:rsidRPr="00511359">
        <w:rPr>
          <w:rFonts w:ascii="Arial" w:hAnsi="Arial" w:cs="Arial"/>
          <w:sz w:val="20"/>
          <w:szCs w:val="20"/>
        </w:rPr>
        <w:t>income</w:t>
      </w:r>
      <w:proofErr w:type="spellEnd"/>
      <w:r w:rsidRPr="00511359">
        <w:rPr>
          <w:rFonts w:ascii="Arial" w:hAnsi="Arial" w:cs="Arial"/>
          <w:sz w:val="20"/>
          <w:szCs w:val="20"/>
        </w:rPr>
        <w:t xml:space="preserve"> </w:t>
      </w:r>
      <w:proofErr w:type="spellStart"/>
      <w:r w:rsidRPr="00511359">
        <w:rPr>
          <w:rFonts w:ascii="Arial" w:hAnsi="Arial" w:cs="Arial"/>
          <w:sz w:val="20"/>
          <w:szCs w:val="20"/>
        </w:rPr>
        <w:t>exclusion</w:t>
      </w:r>
      <w:proofErr w:type="spellEnd"/>
      <w:r w:rsidRPr="00511359">
        <w:rPr>
          <w:rFonts w:ascii="Arial" w:hAnsi="Arial" w:cs="Arial"/>
          <w:sz w:val="20"/>
          <w:szCs w:val="20"/>
        </w:rPr>
        <w:t xml:space="preserve"> SBIE). Znesek je torej enak tistemu, ki bi ga sicer izračunali v okviru splošnega izračuna povrhnjega davka, edina razlika pa je, da poenostavljeni izračun dohodka omogoča prilagoditve ali poenostavitve za izvedbo tega testa. </w:t>
      </w:r>
      <w:r w:rsidRPr="00356C7A">
        <w:rPr>
          <w:rFonts w:ascii="Arial" w:hAnsi="Arial" w:cs="Arial"/>
          <w:sz w:val="20"/>
          <w:szCs w:val="20"/>
        </w:rPr>
        <w:t>Učinek izpolnjevanja testa rutinskih dobičkov bo, da se povrhnji davek šteje za nič (to je, ni povrhnjega davka, vključno tistega iz 40. člena).</w:t>
      </w:r>
      <w:r w:rsidRPr="00511359">
        <w:rPr>
          <w:rFonts w:ascii="Arial" w:hAnsi="Arial" w:cs="Arial"/>
          <w:sz w:val="20"/>
          <w:szCs w:val="20"/>
        </w:rPr>
        <w:t xml:space="preserve"> </w:t>
      </w:r>
    </w:p>
    <w:p w14:paraId="07DDB2EE" w14:textId="77777777" w:rsidR="00511359" w:rsidRPr="00511359" w:rsidRDefault="00511359" w:rsidP="00511359">
      <w:pPr>
        <w:jc w:val="both"/>
        <w:rPr>
          <w:rFonts w:ascii="Arial" w:hAnsi="Arial" w:cs="Arial"/>
          <w:sz w:val="20"/>
          <w:szCs w:val="20"/>
        </w:rPr>
      </w:pPr>
      <w:r w:rsidRPr="00511359">
        <w:rPr>
          <w:rFonts w:ascii="Arial" w:hAnsi="Arial" w:cs="Arial"/>
          <w:sz w:val="20"/>
          <w:szCs w:val="20"/>
        </w:rPr>
        <w:t xml:space="preserve">    (b) Test De </w:t>
      </w:r>
      <w:proofErr w:type="spellStart"/>
      <w:r w:rsidRPr="00511359">
        <w:rPr>
          <w:rFonts w:ascii="Arial" w:hAnsi="Arial" w:cs="Arial"/>
          <w:sz w:val="20"/>
          <w:szCs w:val="20"/>
        </w:rPr>
        <w:t>minimis</w:t>
      </w:r>
      <w:proofErr w:type="spellEnd"/>
      <w:r w:rsidRPr="00511359">
        <w:rPr>
          <w:rFonts w:ascii="Arial" w:hAnsi="Arial" w:cs="Arial"/>
          <w:sz w:val="20"/>
          <w:szCs w:val="20"/>
        </w:rPr>
        <w:t xml:space="preserve">, če je povprečni kvalificirani prihodek te jurisdikcije, kot je določen v skladu s poenostavljenim izračunom dohodka, manjši od 10 milijonov EUR, in povprečni kvalificirani dohodek te pristojnosti manjši od 1 milijona EUR ali ima izgubo za namene povrhnjega davka. </w:t>
      </w:r>
    </w:p>
    <w:p w14:paraId="5F2605C3" w14:textId="77777777" w:rsidR="00511359" w:rsidRPr="00511359" w:rsidRDefault="00511359" w:rsidP="00511359">
      <w:pPr>
        <w:jc w:val="both"/>
        <w:rPr>
          <w:rFonts w:ascii="Arial" w:hAnsi="Arial" w:cs="Arial"/>
          <w:sz w:val="20"/>
          <w:szCs w:val="20"/>
        </w:rPr>
      </w:pPr>
      <w:r w:rsidRPr="00511359">
        <w:rPr>
          <w:rFonts w:ascii="Arial" w:hAnsi="Arial" w:cs="Arial"/>
          <w:sz w:val="20"/>
          <w:szCs w:val="20"/>
        </w:rPr>
        <w:t xml:space="preserve">Test De </w:t>
      </w:r>
      <w:proofErr w:type="spellStart"/>
      <w:r w:rsidRPr="00511359">
        <w:rPr>
          <w:rFonts w:ascii="Arial" w:hAnsi="Arial" w:cs="Arial"/>
          <w:sz w:val="20"/>
          <w:szCs w:val="20"/>
        </w:rPr>
        <w:t>minimis</w:t>
      </w:r>
      <w:proofErr w:type="spellEnd"/>
      <w:r w:rsidRPr="00511359">
        <w:rPr>
          <w:rFonts w:ascii="Arial" w:hAnsi="Arial" w:cs="Arial"/>
          <w:sz w:val="20"/>
          <w:szCs w:val="20"/>
        </w:rPr>
        <w:t xml:space="preserve"> sledi pravilom za De </w:t>
      </w:r>
      <w:proofErr w:type="spellStart"/>
      <w:r w:rsidRPr="00511359">
        <w:rPr>
          <w:rFonts w:ascii="Arial" w:hAnsi="Arial" w:cs="Arial"/>
          <w:sz w:val="20"/>
          <w:szCs w:val="20"/>
        </w:rPr>
        <w:t>minimis</w:t>
      </w:r>
      <w:proofErr w:type="spellEnd"/>
      <w:r w:rsidRPr="00511359">
        <w:rPr>
          <w:rFonts w:ascii="Arial" w:hAnsi="Arial" w:cs="Arial"/>
          <w:sz w:val="20"/>
          <w:szCs w:val="20"/>
        </w:rPr>
        <w:t xml:space="preserve"> po 41. členu ZMD. Pravila iz 41. člena ZMD veljajo enako za potrebe varnega pristana. Edina razlika je, da bodo poenostavljeni izračuni dohodka in prihodka omogočili prilagoditve ali poenostavitve za izvedbo tega testa.</w:t>
      </w:r>
    </w:p>
    <w:p w14:paraId="50B7F79C" w14:textId="77777777" w:rsidR="00511359" w:rsidRPr="00511359" w:rsidRDefault="00511359" w:rsidP="00511359">
      <w:pPr>
        <w:jc w:val="both"/>
        <w:rPr>
          <w:rFonts w:ascii="Arial" w:hAnsi="Arial" w:cs="Arial"/>
          <w:sz w:val="20"/>
          <w:szCs w:val="20"/>
        </w:rPr>
      </w:pPr>
      <w:r w:rsidRPr="00511359">
        <w:rPr>
          <w:rFonts w:ascii="Arial" w:hAnsi="Arial" w:cs="Arial"/>
          <w:sz w:val="20"/>
          <w:szCs w:val="20"/>
        </w:rPr>
        <w:t xml:space="preserve">    (c) Test efektivne davčne stopnje, če je efektivna davčna stopnja predmetne jurisdikcije, kot je določena v skladu s poenostavljenim izračunom dohodka in davka, vsaj 15 %.</w:t>
      </w:r>
    </w:p>
    <w:p w14:paraId="3CA2F97C" w14:textId="77777777" w:rsidR="00511359" w:rsidRPr="00511359" w:rsidRDefault="00511359" w:rsidP="00511359">
      <w:pPr>
        <w:jc w:val="both"/>
        <w:rPr>
          <w:rFonts w:ascii="Arial" w:hAnsi="Arial" w:cs="Arial"/>
          <w:sz w:val="20"/>
          <w:szCs w:val="20"/>
        </w:rPr>
      </w:pPr>
      <w:r w:rsidRPr="00511359">
        <w:rPr>
          <w:rFonts w:ascii="Arial" w:hAnsi="Arial" w:cs="Arial"/>
          <w:sz w:val="20"/>
          <w:szCs w:val="20"/>
        </w:rPr>
        <w:t>Test efektivne davčne stopnje sledi pravilom povrhnjega davka, ker zahteva, da je efektivna davčna stopnja v predmetni jurisdikciji vsaj 15 %. Kot del stalnega varnega pristana se lahko efektivna davčna stopnja pristojnosti izračuna na podlagi poenostavljenih izračunov.</w:t>
      </w:r>
    </w:p>
    <w:p w14:paraId="5349CD68" w14:textId="77777777" w:rsidR="005A7A72" w:rsidRDefault="005A7A72" w:rsidP="00392FD4">
      <w:pPr>
        <w:rPr>
          <w:rFonts w:ascii="Arial" w:hAnsi="Arial" w:cs="Arial"/>
          <w:b/>
          <w:bCs/>
          <w:sz w:val="20"/>
          <w:szCs w:val="20"/>
        </w:rPr>
      </w:pPr>
      <w:r w:rsidRPr="00392FD4">
        <w:rPr>
          <w:rFonts w:ascii="Arial" w:hAnsi="Arial" w:cs="Arial"/>
          <w:b/>
          <w:bCs/>
          <w:sz w:val="20"/>
          <w:szCs w:val="20"/>
        </w:rPr>
        <w:t>II</w:t>
      </w:r>
      <w:r w:rsidR="00511359">
        <w:rPr>
          <w:rFonts w:ascii="Arial" w:hAnsi="Arial" w:cs="Arial"/>
          <w:b/>
          <w:bCs/>
          <w:sz w:val="20"/>
          <w:szCs w:val="20"/>
        </w:rPr>
        <w:t>I</w:t>
      </w:r>
      <w:r w:rsidRPr="00392FD4">
        <w:rPr>
          <w:rFonts w:ascii="Arial" w:hAnsi="Arial" w:cs="Arial"/>
          <w:b/>
          <w:bCs/>
          <w:sz w:val="20"/>
          <w:szCs w:val="20"/>
        </w:rPr>
        <w:t>. Poenostavljen izračun prihodkov</w:t>
      </w:r>
      <w:r w:rsidR="001C58B3">
        <w:rPr>
          <w:rFonts w:ascii="Arial" w:hAnsi="Arial" w:cs="Arial"/>
          <w:b/>
          <w:bCs/>
          <w:sz w:val="20"/>
          <w:szCs w:val="20"/>
        </w:rPr>
        <w:t>,</w:t>
      </w:r>
      <w:r w:rsidRPr="00392FD4">
        <w:rPr>
          <w:rFonts w:ascii="Arial" w:hAnsi="Arial" w:cs="Arial"/>
          <w:b/>
          <w:bCs/>
          <w:sz w:val="20"/>
          <w:szCs w:val="20"/>
        </w:rPr>
        <w:t xml:space="preserve"> dohodkov</w:t>
      </w:r>
      <w:r w:rsidR="001C58B3">
        <w:rPr>
          <w:rFonts w:ascii="Arial" w:hAnsi="Arial" w:cs="Arial"/>
          <w:b/>
          <w:bCs/>
          <w:sz w:val="20"/>
          <w:szCs w:val="20"/>
        </w:rPr>
        <w:t xml:space="preserve"> in davkov</w:t>
      </w:r>
      <w:r w:rsidRPr="00392FD4">
        <w:rPr>
          <w:rFonts w:ascii="Arial" w:hAnsi="Arial" w:cs="Arial"/>
          <w:b/>
          <w:bCs/>
          <w:sz w:val="20"/>
          <w:szCs w:val="20"/>
        </w:rPr>
        <w:t xml:space="preserve"> za potrebe NMCE varnega pristana</w:t>
      </w:r>
    </w:p>
    <w:p w14:paraId="5159F3EF" w14:textId="77777777" w:rsidR="00562CBF" w:rsidRPr="00562CBF" w:rsidRDefault="00562CBF" w:rsidP="00562CBF">
      <w:pPr>
        <w:jc w:val="both"/>
        <w:rPr>
          <w:rFonts w:ascii="Arial" w:hAnsi="Arial" w:cs="Arial"/>
          <w:sz w:val="20"/>
          <w:szCs w:val="20"/>
        </w:rPr>
      </w:pPr>
      <w:r w:rsidRPr="00562CBF">
        <w:rPr>
          <w:rFonts w:ascii="Arial" w:hAnsi="Arial" w:cs="Arial"/>
          <w:sz w:val="20"/>
          <w:szCs w:val="20"/>
        </w:rPr>
        <w:t xml:space="preserve">Poenostavljeni izračuni za NMCE omogočajo alternativno metodo določanja kvalificiranega dohodka ali izgube, </w:t>
      </w:r>
      <w:proofErr w:type="spellStart"/>
      <w:r w:rsidRPr="00562CBF">
        <w:rPr>
          <w:rFonts w:ascii="Arial" w:hAnsi="Arial" w:cs="Arial"/>
          <w:sz w:val="20"/>
          <w:szCs w:val="20"/>
        </w:rPr>
        <w:t>GloBE</w:t>
      </w:r>
      <w:proofErr w:type="spellEnd"/>
      <w:r w:rsidRPr="00562CBF">
        <w:rPr>
          <w:rFonts w:ascii="Arial" w:hAnsi="Arial" w:cs="Arial"/>
          <w:sz w:val="20"/>
          <w:szCs w:val="20"/>
        </w:rPr>
        <w:t xml:space="preserve"> prihodka in prilagojenih zajetih davkov NMCE, ki temelji na konservativnem pristopu določanja dohodka in davkov. Poenostavljeni izračuni za NMCE se uporabljajo samo za namene poenostavljenih izračunov varnega pristana. Če se pogoji poenostavljenih izračunov varnega pristana ne izpolnijo glede na preizkušeno jurisdikcijo (tj. pogoji za test rutinskega dohodka, testa de </w:t>
      </w:r>
      <w:proofErr w:type="spellStart"/>
      <w:r w:rsidRPr="00562CBF">
        <w:rPr>
          <w:rFonts w:ascii="Arial" w:hAnsi="Arial" w:cs="Arial"/>
          <w:sz w:val="20"/>
          <w:szCs w:val="20"/>
        </w:rPr>
        <w:t>minimis</w:t>
      </w:r>
      <w:proofErr w:type="spellEnd"/>
      <w:r w:rsidRPr="00562CBF">
        <w:rPr>
          <w:rFonts w:ascii="Arial" w:hAnsi="Arial" w:cs="Arial"/>
          <w:sz w:val="20"/>
          <w:szCs w:val="20"/>
        </w:rPr>
        <w:t xml:space="preserve"> in test efektivne davčne stopnje niso izpolnjeni), se za to jurisdikcijo uporabljajo splošno veljavna pravila za izračune povrhnjega davka. To pomeni, da so poenostavljeni izračuni alternativa splošno veljavnim izračunom povrhnjega davka in jih je mogoče uporabiti le za namene poenostavljenih izračunov varnega pristana, ne pa za redne </w:t>
      </w:r>
      <w:proofErr w:type="spellStart"/>
      <w:r w:rsidRPr="00562CBF">
        <w:rPr>
          <w:rFonts w:ascii="Arial" w:hAnsi="Arial" w:cs="Arial"/>
          <w:sz w:val="20"/>
          <w:szCs w:val="20"/>
        </w:rPr>
        <w:t>GloBE</w:t>
      </w:r>
      <w:proofErr w:type="spellEnd"/>
      <w:r w:rsidRPr="00562CBF">
        <w:rPr>
          <w:rFonts w:ascii="Arial" w:hAnsi="Arial" w:cs="Arial"/>
          <w:sz w:val="20"/>
          <w:szCs w:val="20"/>
        </w:rPr>
        <w:t xml:space="preserve"> izračune.</w:t>
      </w:r>
    </w:p>
    <w:p w14:paraId="02EFF9E9" w14:textId="77777777" w:rsidR="00562CBF" w:rsidRPr="00562CBF" w:rsidRDefault="00562CBF" w:rsidP="00562CBF">
      <w:pPr>
        <w:jc w:val="both"/>
        <w:rPr>
          <w:rFonts w:ascii="Arial" w:hAnsi="Arial" w:cs="Arial"/>
          <w:sz w:val="20"/>
          <w:szCs w:val="20"/>
        </w:rPr>
      </w:pPr>
      <w:r w:rsidRPr="00562CBF">
        <w:rPr>
          <w:rFonts w:ascii="Arial" w:hAnsi="Arial" w:cs="Arial"/>
          <w:sz w:val="20"/>
          <w:szCs w:val="20"/>
        </w:rPr>
        <w:t xml:space="preserve">Bistvo navedenih poenostavitev izračunov za NMCE pa je, da ne smejo spodkopavati integritete pravil povrhnjega davka. Poenostavljeni izračuni za NMCE zagotavljajo alternativno metodo izračuna ETR za takšne subjekte, alternativna metoda pa ne ogroža celovitosti pravil povrhnjega davka. Izračun kvalificiranega dohodka in prilagojenih zajetih davkov za NMCE temelji na </w:t>
      </w:r>
      <w:proofErr w:type="spellStart"/>
      <w:r w:rsidRPr="00562CBF">
        <w:rPr>
          <w:rFonts w:ascii="Arial" w:hAnsi="Arial" w:cs="Arial"/>
          <w:sz w:val="20"/>
          <w:szCs w:val="20"/>
        </w:rPr>
        <w:t>konzervativni</w:t>
      </w:r>
      <w:proofErr w:type="spellEnd"/>
      <w:r w:rsidRPr="00562CBF">
        <w:rPr>
          <w:rFonts w:ascii="Arial" w:hAnsi="Arial" w:cs="Arial"/>
          <w:sz w:val="20"/>
          <w:szCs w:val="20"/>
        </w:rPr>
        <w:t xml:space="preserve"> meritvi dohodka. Ob upoštevanju širše definicije dohodka in ožje definicije davkov se pričakuje, da bodo poenostavljeni izračuni dohodka, prihodkov in davkov v okviru tega varnega pristana privedli do višjega dohodka in nižje ETR kot tisto, kar je določeno v pravilih povrhnjega davka.</w:t>
      </w:r>
    </w:p>
    <w:p w14:paraId="4B530A34" w14:textId="77777777" w:rsidR="00562CBF" w:rsidRPr="00562CBF" w:rsidRDefault="00562CBF" w:rsidP="00562CBF">
      <w:pPr>
        <w:jc w:val="both"/>
        <w:rPr>
          <w:rFonts w:ascii="Arial" w:hAnsi="Arial" w:cs="Arial"/>
          <w:sz w:val="20"/>
          <w:szCs w:val="20"/>
        </w:rPr>
      </w:pPr>
      <w:r>
        <w:rPr>
          <w:rFonts w:ascii="Arial" w:hAnsi="Arial" w:cs="Arial"/>
          <w:sz w:val="20"/>
          <w:szCs w:val="20"/>
        </w:rPr>
        <w:t>P</w:t>
      </w:r>
      <w:r w:rsidRPr="00562CBF">
        <w:rPr>
          <w:rFonts w:ascii="Arial" w:hAnsi="Arial" w:cs="Arial"/>
          <w:sz w:val="20"/>
          <w:szCs w:val="20"/>
        </w:rPr>
        <w:t>oenostavljeni izračuni za NMCE sestavljajo poenostavljeni izračuni dohodkov, prihodkov in davkov.</w:t>
      </w:r>
    </w:p>
    <w:p w14:paraId="4BBB4D53" w14:textId="77777777" w:rsidR="00562CBF" w:rsidRPr="00562CBF" w:rsidRDefault="00562CBF" w:rsidP="00562CBF">
      <w:pPr>
        <w:jc w:val="both"/>
        <w:rPr>
          <w:rFonts w:ascii="Arial" w:hAnsi="Arial" w:cs="Arial"/>
          <w:sz w:val="20"/>
          <w:szCs w:val="20"/>
        </w:rPr>
      </w:pPr>
      <w:r w:rsidRPr="00562CBF">
        <w:rPr>
          <w:rFonts w:ascii="Arial" w:hAnsi="Arial" w:cs="Arial"/>
          <w:sz w:val="20"/>
          <w:szCs w:val="20"/>
        </w:rPr>
        <w:t xml:space="preserve">V primeru poenostavljenega izračuna dohodka namesto izračuna kvalificiranega dohodka ali izgube NMCE (tj. neto dobiček ali izguba po finančnem računovodstvu, prilagojen v skladu s pravili povrhnjega </w:t>
      </w:r>
      <w:r w:rsidRPr="00562CBF">
        <w:rPr>
          <w:rFonts w:ascii="Arial" w:hAnsi="Arial" w:cs="Arial"/>
          <w:sz w:val="20"/>
          <w:szCs w:val="20"/>
        </w:rPr>
        <w:lastRenderedPageBreak/>
        <w:t>davka), bo skupina določila kvalificiran dohodek NMCE na podlagi njenega skupnega prihodka, določenega v skladu s pravili o poročanju po državah (</w:t>
      </w:r>
      <w:proofErr w:type="spellStart"/>
      <w:r w:rsidRPr="00562CBF">
        <w:rPr>
          <w:rFonts w:ascii="Arial" w:hAnsi="Arial" w:cs="Arial"/>
          <w:sz w:val="20"/>
          <w:szCs w:val="20"/>
        </w:rPr>
        <w:t>CbCR</w:t>
      </w:r>
      <w:proofErr w:type="spellEnd"/>
      <w:r w:rsidRPr="00562CBF">
        <w:rPr>
          <w:rFonts w:ascii="Arial" w:hAnsi="Arial" w:cs="Arial"/>
          <w:sz w:val="20"/>
          <w:szCs w:val="20"/>
        </w:rPr>
        <w:t>).</w:t>
      </w:r>
    </w:p>
    <w:p w14:paraId="6B92513A" w14:textId="77777777" w:rsidR="00562CBF" w:rsidRPr="00562CBF" w:rsidRDefault="00562CBF" w:rsidP="00562CBF">
      <w:pPr>
        <w:jc w:val="both"/>
        <w:rPr>
          <w:rFonts w:ascii="Arial" w:hAnsi="Arial" w:cs="Arial"/>
          <w:sz w:val="20"/>
          <w:szCs w:val="20"/>
        </w:rPr>
      </w:pPr>
      <w:r w:rsidRPr="00562CBF">
        <w:rPr>
          <w:rFonts w:ascii="Arial" w:hAnsi="Arial" w:cs="Arial"/>
          <w:sz w:val="20"/>
          <w:szCs w:val="20"/>
        </w:rPr>
        <w:t xml:space="preserve">V primeru poenostavljenega izračuna prihodka bo prihodek NMCE za potrebe povrhnjega davka enak skupnemu prihodku takšnega subjekta, določenemu v skladu s </w:t>
      </w:r>
      <w:proofErr w:type="spellStart"/>
      <w:r w:rsidRPr="00562CBF">
        <w:rPr>
          <w:rFonts w:ascii="Arial" w:hAnsi="Arial" w:cs="Arial"/>
          <w:sz w:val="20"/>
          <w:szCs w:val="20"/>
        </w:rPr>
        <w:t>CbCR</w:t>
      </w:r>
      <w:proofErr w:type="spellEnd"/>
      <w:r w:rsidRPr="00562CBF">
        <w:rPr>
          <w:rFonts w:ascii="Arial" w:hAnsi="Arial" w:cs="Arial"/>
          <w:sz w:val="20"/>
          <w:szCs w:val="20"/>
        </w:rPr>
        <w:t>. To pomeni, da bosta kvalificirani dohodek in prihodek za potrebe povrhnjega davka enaka v okviru poenostavljenih izračunov dohodka in prihodka.</w:t>
      </w:r>
    </w:p>
    <w:p w14:paraId="6743035F" w14:textId="77777777" w:rsidR="00562CBF" w:rsidRPr="00562CBF" w:rsidRDefault="00562CBF" w:rsidP="00562CBF">
      <w:pPr>
        <w:jc w:val="both"/>
        <w:rPr>
          <w:rFonts w:ascii="Arial" w:hAnsi="Arial" w:cs="Arial"/>
          <w:sz w:val="20"/>
          <w:szCs w:val="20"/>
        </w:rPr>
      </w:pPr>
      <w:r w:rsidRPr="00562CBF">
        <w:rPr>
          <w:rFonts w:ascii="Arial" w:hAnsi="Arial" w:cs="Arial"/>
          <w:sz w:val="20"/>
          <w:szCs w:val="20"/>
        </w:rPr>
        <w:t xml:space="preserve">Podobno bo poenostavljen izračun zajetega davka temeljil na informacijah, ki jih uporablja skupina MNE za pripravo svojega </w:t>
      </w:r>
      <w:proofErr w:type="spellStart"/>
      <w:r w:rsidRPr="00562CBF">
        <w:rPr>
          <w:rFonts w:ascii="Arial" w:hAnsi="Arial" w:cs="Arial"/>
          <w:sz w:val="20"/>
          <w:szCs w:val="20"/>
        </w:rPr>
        <w:t>CbC</w:t>
      </w:r>
      <w:proofErr w:type="spellEnd"/>
      <w:r w:rsidRPr="00562CBF">
        <w:rPr>
          <w:rFonts w:ascii="Arial" w:hAnsi="Arial" w:cs="Arial"/>
          <w:sz w:val="20"/>
          <w:szCs w:val="20"/>
        </w:rPr>
        <w:t xml:space="preserve"> poročila. Prilagojeni zajeti davki posameznega subjekta v tem izračunu bodo davki subjekta v tekočem letu, ki izključujejo kakršnekoli odložene davčne obveznosti, prilagoditve za </w:t>
      </w:r>
      <w:proofErr w:type="spellStart"/>
      <w:r w:rsidRPr="00562CBF">
        <w:rPr>
          <w:rFonts w:ascii="Arial" w:hAnsi="Arial" w:cs="Arial"/>
          <w:sz w:val="20"/>
          <w:szCs w:val="20"/>
        </w:rPr>
        <w:t>neknjižene</w:t>
      </w:r>
      <w:proofErr w:type="spellEnd"/>
      <w:r w:rsidRPr="00562CBF">
        <w:rPr>
          <w:rFonts w:ascii="Arial" w:hAnsi="Arial" w:cs="Arial"/>
          <w:sz w:val="20"/>
          <w:szCs w:val="20"/>
        </w:rPr>
        <w:t xml:space="preserve"> postavke in negotove davčne obveznosti. Poenostavljeni izračuni za NMCE se bodo pripravili na ravni posameznega subjekta glede na računovodske podatke, ki so na voljo NMCE, z uporabo opredelitev, določenih v relevantnih predpisih </w:t>
      </w:r>
      <w:proofErr w:type="spellStart"/>
      <w:r w:rsidRPr="00562CBF">
        <w:rPr>
          <w:rFonts w:ascii="Arial" w:hAnsi="Arial" w:cs="Arial"/>
          <w:sz w:val="20"/>
          <w:szCs w:val="20"/>
        </w:rPr>
        <w:t>CbC</w:t>
      </w:r>
      <w:proofErr w:type="spellEnd"/>
      <w:r w:rsidRPr="00562CBF">
        <w:rPr>
          <w:rFonts w:ascii="Arial" w:hAnsi="Arial" w:cs="Arial"/>
          <w:sz w:val="20"/>
          <w:szCs w:val="20"/>
        </w:rPr>
        <w:t>.</w:t>
      </w:r>
    </w:p>
    <w:p w14:paraId="10E54388" w14:textId="77777777" w:rsidR="00562CBF" w:rsidRDefault="00562CBF" w:rsidP="00562CBF">
      <w:pPr>
        <w:rPr>
          <w:rFonts w:ascii="Arial" w:hAnsi="Arial" w:cs="Arial"/>
          <w:b/>
          <w:bCs/>
          <w:sz w:val="20"/>
          <w:szCs w:val="20"/>
        </w:rPr>
      </w:pPr>
      <w:r>
        <w:rPr>
          <w:rFonts w:ascii="Arial" w:hAnsi="Arial" w:cs="Arial"/>
          <w:b/>
          <w:bCs/>
          <w:sz w:val="20"/>
          <w:szCs w:val="20"/>
        </w:rPr>
        <w:t>III. Uporaba poenostavljenih izračunov v okviru varnega pristana NMCE</w:t>
      </w:r>
    </w:p>
    <w:p w14:paraId="465C8116" w14:textId="77777777" w:rsidR="00562CBF" w:rsidRDefault="00562CBF" w:rsidP="00562CBF">
      <w:pPr>
        <w:jc w:val="both"/>
        <w:rPr>
          <w:rFonts w:ascii="Arial" w:hAnsi="Arial" w:cs="Arial"/>
          <w:sz w:val="20"/>
          <w:szCs w:val="20"/>
        </w:rPr>
      </w:pPr>
      <w:r w:rsidRPr="00562CBF">
        <w:rPr>
          <w:rFonts w:ascii="Arial" w:hAnsi="Arial" w:cs="Arial"/>
          <w:sz w:val="20"/>
          <w:szCs w:val="20"/>
        </w:rPr>
        <w:t xml:space="preserve">Poenostavljeni izračuni varnega pristana za NMCE </w:t>
      </w:r>
      <w:r w:rsidRPr="009C49FB">
        <w:rPr>
          <w:rFonts w:ascii="Arial" w:hAnsi="Arial" w:cs="Arial"/>
          <w:sz w:val="20"/>
          <w:szCs w:val="20"/>
        </w:rPr>
        <w:t>so letna izbira in se izvajajo za vsako NMCE posamezno.</w:t>
      </w:r>
      <w:r w:rsidRPr="00562CBF">
        <w:rPr>
          <w:rFonts w:ascii="Arial" w:hAnsi="Arial" w:cs="Arial"/>
          <w:sz w:val="20"/>
          <w:szCs w:val="20"/>
        </w:rPr>
        <w:t xml:space="preserve"> </w:t>
      </w:r>
    </w:p>
    <w:p w14:paraId="65D10A2C" w14:textId="77777777" w:rsidR="00562CBF" w:rsidRDefault="00562CBF" w:rsidP="00562CBF">
      <w:pPr>
        <w:jc w:val="both"/>
        <w:rPr>
          <w:rFonts w:ascii="Arial" w:hAnsi="Arial" w:cs="Arial"/>
          <w:sz w:val="20"/>
          <w:szCs w:val="20"/>
        </w:rPr>
      </w:pPr>
      <w:r>
        <w:rPr>
          <w:rFonts w:ascii="Arial" w:hAnsi="Arial" w:cs="Arial"/>
          <w:sz w:val="20"/>
          <w:szCs w:val="20"/>
        </w:rPr>
        <w:t>V primerih, ko</w:t>
      </w:r>
      <w:r w:rsidRPr="00562CBF">
        <w:rPr>
          <w:rFonts w:ascii="Arial" w:hAnsi="Arial" w:cs="Arial"/>
          <w:sz w:val="20"/>
          <w:szCs w:val="20"/>
        </w:rPr>
        <w:t xml:space="preserve"> so </w:t>
      </w:r>
      <w:r>
        <w:rPr>
          <w:rFonts w:ascii="Arial" w:hAnsi="Arial" w:cs="Arial"/>
          <w:sz w:val="20"/>
          <w:szCs w:val="20"/>
        </w:rPr>
        <w:t>p</w:t>
      </w:r>
      <w:r w:rsidRPr="00562CBF">
        <w:rPr>
          <w:rFonts w:ascii="Arial" w:hAnsi="Arial" w:cs="Arial"/>
          <w:sz w:val="20"/>
          <w:szCs w:val="20"/>
        </w:rPr>
        <w:t xml:space="preserve">oenostavljeni izračuni za NMCE edini poenostavljeni izračuni, ki jih je skupina MNE izbrala v </w:t>
      </w:r>
      <w:r>
        <w:rPr>
          <w:rFonts w:ascii="Arial" w:hAnsi="Arial" w:cs="Arial"/>
          <w:sz w:val="20"/>
          <w:szCs w:val="20"/>
        </w:rPr>
        <w:t xml:space="preserve">testirani </w:t>
      </w:r>
      <w:r w:rsidRPr="00562CBF">
        <w:rPr>
          <w:rFonts w:ascii="Arial" w:hAnsi="Arial" w:cs="Arial"/>
          <w:sz w:val="20"/>
          <w:szCs w:val="20"/>
        </w:rPr>
        <w:t xml:space="preserve">jurisdikciji za </w:t>
      </w:r>
      <w:r>
        <w:rPr>
          <w:rFonts w:ascii="Arial" w:hAnsi="Arial" w:cs="Arial"/>
          <w:sz w:val="20"/>
          <w:szCs w:val="20"/>
        </w:rPr>
        <w:t>poročevalsko</w:t>
      </w:r>
      <w:r w:rsidRPr="00562CBF">
        <w:rPr>
          <w:rFonts w:ascii="Arial" w:hAnsi="Arial" w:cs="Arial"/>
          <w:sz w:val="20"/>
          <w:szCs w:val="20"/>
        </w:rPr>
        <w:t xml:space="preserve"> leto, bo skupina MNE uporabila </w:t>
      </w:r>
      <w:r>
        <w:rPr>
          <w:rFonts w:ascii="Arial" w:hAnsi="Arial" w:cs="Arial"/>
          <w:sz w:val="20"/>
          <w:szCs w:val="20"/>
        </w:rPr>
        <w:t>običajno veljavna</w:t>
      </w:r>
      <w:r w:rsidRPr="00562CBF">
        <w:rPr>
          <w:rFonts w:ascii="Arial" w:hAnsi="Arial" w:cs="Arial"/>
          <w:sz w:val="20"/>
          <w:szCs w:val="20"/>
        </w:rPr>
        <w:t xml:space="preserve"> pravila </w:t>
      </w:r>
      <w:r>
        <w:rPr>
          <w:rFonts w:ascii="Arial" w:hAnsi="Arial" w:cs="Arial"/>
          <w:sz w:val="20"/>
          <w:szCs w:val="20"/>
        </w:rPr>
        <w:t>povrhnjega davka</w:t>
      </w:r>
      <w:r w:rsidRPr="00562CBF">
        <w:rPr>
          <w:rFonts w:ascii="Arial" w:hAnsi="Arial" w:cs="Arial"/>
          <w:sz w:val="20"/>
          <w:szCs w:val="20"/>
        </w:rPr>
        <w:t xml:space="preserve"> za vse druge </w:t>
      </w:r>
      <w:r w:rsidR="00675D9F">
        <w:rPr>
          <w:rFonts w:ascii="Arial" w:hAnsi="Arial" w:cs="Arial"/>
          <w:sz w:val="20"/>
          <w:szCs w:val="20"/>
        </w:rPr>
        <w:t>subjekte v sestavi v testirani jurisdikciji</w:t>
      </w:r>
      <w:r w:rsidRPr="00562CBF">
        <w:rPr>
          <w:rFonts w:ascii="Arial" w:hAnsi="Arial" w:cs="Arial"/>
          <w:sz w:val="20"/>
          <w:szCs w:val="20"/>
        </w:rPr>
        <w:t xml:space="preserve">, razen NMCE, in bo uporabila </w:t>
      </w:r>
      <w:r w:rsidR="00675D9F">
        <w:rPr>
          <w:rFonts w:ascii="Arial" w:hAnsi="Arial" w:cs="Arial"/>
          <w:sz w:val="20"/>
          <w:szCs w:val="20"/>
        </w:rPr>
        <w:t>p</w:t>
      </w:r>
      <w:r w:rsidRPr="00562CBF">
        <w:rPr>
          <w:rFonts w:ascii="Arial" w:hAnsi="Arial" w:cs="Arial"/>
          <w:sz w:val="20"/>
          <w:szCs w:val="20"/>
        </w:rPr>
        <w:t xml:space="preserve">oenostavljene izračune za NMCE v skladu </w:t>
      </w:r>
      <w:r w:rsidR="00675D9F">
        <w:rPr>
          <w:rFonts w:ascii="Arial" w:hAnsi="Arial" w:cs="Arial"/>
          <w:sz w:val="20"/>
          <w:szCs w:val="20"/>
        </w:rPr>
        <w:t>s sprejetimi pravili</w:t>
      </w:r>
      <w:r w:rsidRPr="00562CBF">
        <w:rPr>
          <w:rFonts w:ascii="Arial" w:hAnsi="Arial" w:cs="Arial"/>
          <w:sz w:val="20"/>
          <w:szCs w:val="20"/>
        </w:rPr>
        <w:t xml:space="preserve">. Posledično bo skupina uporabila naslednje preizkuse, pri čemer bo upoštevala </w:t>
      </w:r>
      <w:r w:rsidR="00675D9F">
        <w:rPr>
          <w:rFonts w:ascii="Arial" w:hAnsi="Arial" w:cs="Arial"/>
          <w:sz w:val="20"/>
          <w:szCs w:val="20"/>
        </w:rPr>
        <w:t>p</w:t>
      </w:r>
      <w:r w:rsidRPr="00562CBF">
        <w:rPr>
          <w:rFonts w:ascii="Arial" w:hAnsi="Arial" w:cs="Arial"/>
          <w:sz w:val="20"/>
          <w:szCs w:val="20"/>
        </w:rPr>
        <w:t>oenostavljene izračune za NMCE, da ugotovi, ali so izpolnjeni pogoji za varn</w:t>
      </w:r>
      <w:r w:rsidR="00675D9F">
        <w:rPr>
          <w:rFonts w:ascii="Arial" w:hAnsi="Arial" w:cs="Arial"/>
          <w:sz w:val="20"/>
          <w:szCs w:val="20"/>
        </w:rPr>
        <w:t>e</w:t>
      </w:r>
      <w:r w:rsidRPr="00562CBF">
        <w:rPr>
          <w:rFonts w:ascii="Arial" w:hAnsi="Arial" w:cs="Arial"/>
          <w:sz w:val="20"/>
          <w:szCs w:val="20"/>
        </w:rPr>
        <w:t xml:space="preserve"> pristane</w:t>
      </w:r>
      <w:r w:rsidR="00675D9F">
        <w:rPr>
          <w:rFonts w:ascii="Arial" w:hAnsi="Arial" w:cs="Arial"/>
          <w:sz w:val="20"/>
          <w:szCs w:val="20"/>
        </w:rPr>
        <w:t>:</w:t>
      </w:r>
    </w:p>
    <w:p w14:paraId="1F802A61" w14:textId="77777777" w:rsidR="00675D9F" w:rsidRDefault="00675D9F" w:rsidP="00675D9F">
      <w:pPr>
        <w:jc w:val="both"/>
        <w:rPr>
          <w:rFonts w:ascii="Arial" w:hAnsi="Arial" w:cs="Arial"/>
          <w:sz w:val="20"/>
          <w:szCs w:val="20"/>
        </w:rPr>
      </w:pPr>
      <w:r>
        <w:rPr>
          <w:rFonts w:ascii="Arial" w:hAnsi="Arial" w:cs="Arial"/>
          <w:sz w:val="20"/>
          <w:szCs w:val="20"/>
        </w:rPr>
        <w:t>-</w:t>
      </w:r>
      <w:r w:rsidR="00A42488">
        <w:rPr>
          <w:rFonts w:ascii="Arial" w:hAnsi="Arial" w:cs="Arial"/>
          <w:sz w:val="20"/>
          <w:szCs w:val="20"/>
        </w:rPr>
        <w:t xml:space="preserve"> T</w:t>
      </w:r>
      <w:r w:rsidRPr="00675D9F">
        <w:rPr>
          <w:rFonts w:ascii="Arial" w:hAnsi="Arial" w:cs="Arial"/>
          <w:sz w:val="20"/>
          <w:szCs w:val="20"/>
        </w:rPr>
        <w:t>est</w:t>
      </w:r>
      <w:r w:rsidR="00A42488">
        <w:rPr>
          <w:rFonts w:ascii="Arial" w:hAnsi="Arial" w:cs="Arial"/>
          <w:sz w:val="20"/>
          <w:szCs w:val="20"/>
        </w:rPr>
        <w:t xml:space="preserve"> rutinskega</w:t>
      </w:r>
      <w:r w:rsidRPr="00675D9F">
        <w:rPr>
          <w:rFonts w:ascii="Arial" w:hAnsi="Arial" w:cs="Arial"/>
          <w:sz w:val="20"/>
          <w:szCs w:val="20"/>
        </w:rPr>
        <w:t xml:space="preserve"> dobička bo odražal </w:t>
      </w:r>
      <w:r>
        <w:rPr>
          <w:rFonts w:ascii="Arial" w:hAnsi="Arial" w:cs="Arial"/>
          <w:sz w:val="20"/>
          <w:szCs w:val="20"/>
        </w:rPr>
        <w:t xml:space="preserve">35. </w:t>
      </w:r>
      <w:r w:rsidRPr="00675D9F">
        <w:rPr>
          <w:rFonts w:ascii="Arial" w:hAnsi="Arial" w:cs="Arial"/>
          <w:sz w:val="20"/>
          <w:szCs w:val="20"/>
        </w:rPr>
        <w:t xml:space="preserve">člen </w:t>
      </w:r>
      <w:r>
        <w:rPr>
          <w:rFonts w:ascii="Arial" w:hAnsi="Arial" w:cs="Arial"/>
          <w:sz w:val="20"/>
          <w:szCs w:val="20"/>
        </w:rPr>
        <w:t>ZMD,</w:t>
      </w:r>
      <w:r w:rsidRPr="00675D9F">
        <w:rPr>
          <w:rFonts w:ascii="Arial" w:hAnsi="Arial" w:cs="Arial"/>
          <w:sz w:val="20"/>
          <w:szCs w:val="20"/>
        </w:rPr>
        <w:t xml:space="preserve"> z razliko, da bo </w:t>
      </w:r>
      <w:r>
        <w:rPr>
          <w:rFonts w:ascii="Arial" w:hAnsi="Arial" w:cs="Arial"/>
          <w:sz w:val="20"/>
          <w:szCs w:val="20"/>
        </w:rPr>
        <w:t xml:space="preserve">kvalificirani </w:t>
      </w:r>
      <w:r w:rsidRPr="00675D9F">
        <w:rPr>
          <w:rFonts w:ascii="Arial" w:hAnsi="Arial" w:cs="Arial"/>
          <w:sz w:val="20"/>
          <w:szCs w:val="20"/>
        </w:rPr>
        <w:t xml:space="preserve">dohodek za NMCE (za katere se izvaja </w:t>
      </w:r>
      <w:r>
        <w:rPr>
          <w:rFonts w:ascii="Arial" w:hAnsi="Arial" w:cs="Arial"/>
          <w:sz w:val="20"/>
          <w:szCs w:val="20"/>
        </w:rPr>
        <w:t>opcija</w:t>
      </w:r>
      <w:r w:rsidRPr="00675D9F">
        <w:rPr>
          <w:rFonts w:ascii="Arial" w:hAnsi="Arial" w:cs="Arial"/>
          <w:sz w:val="20"/>
          <w:szCs w:val="20"/>
        </w:rPr>
        <w:t>) enak prihodk</w:t>
      </w:r>
      <w:r>
        <w:rPr>
          <w:rFonts w:ascii="Arial" w:hAnsi="Arial" w:cs="Arial"/>
          <w:sz w:val="20"/>
          <w:szCs w:val="20"/>
        </w:rPr>
        <w:t>om</w:t>
      </w:r>
      <w:r w:rsidRPr="00675D9F">
        <w:rPr>
          <w:rFonts w:ascii="Arial" w:hAnsi="Arial" w:cs="Arial"/>
          <w:sz w:val="20"/>
          <w:szCs w:val="20"/>
        </w:rPr>
        <w:t>, določen</w:t>
      </w:r>
      <w:r>
        <w:rPr>
          <w:rFonts w:ascii="Arial" w:hAnsi="Arial" w:cs="Arial"/>
          <w:sz w:val="20"/>
          <w:szCs w:val="20"/>
        </w:rPr>
        <w:t>im</w:t>
      </w:r>
      <w:r w:rsidRPr="00675D9F">
        <w:rPr>
          <w:rFonts w:ascii="Arial" w:hAnsi="Arial" w:cs="Arial"/>
          <w:sz w:val="20"/>
          <w:szCs w:val="20"/>
        </w:rPr>
        <w:t xml:space="preserve"> v skladu </w:t>
      </w:r>
      <w:r>
        <w:rPr>
          <w:rFonts w:ascii="Arial" w:hAnsi="Arial" w:cs="Arial"/>
          <w:sz w:val="20"/>
          <w:szCs w:val="20"/>
        </w:rPr>
        <w:t>s</w:t>
      </w:r>
      <w:r w:rsidRPr="00675D9F">
        <w:rPr>
          <w:rFonts w:ascii="Arial" w:hAnsi="Arial" w:cs="Arial"/>
          <w:sz w:val="20"/>
          <w:szCs w:val="20"/>
        </w:rPr>
        <w:t xml:space="preserve"> </w:t>
      </w:r>
      <w:proofErr w:type="spellStart"/>
      <w:r w:rsidRPr="00675D9F">
        <w:rPr>
          <w:rFonts w:ascii="Arial" w:hAnsi="Arial" w:cs="Arial"/>
          <w:sz w:val="20"/>
          <w:szCs w:val="20"/>
        </w:rPr>
        <w:t>CbC</w:t>
      </w:r>
      <w:proofErr w:type="spellEnd"/>
      <w:r>
        <w:rPr>
          <w:rFonts w:ascii="Arial" w:hAnsi="Arial" w:cs="Arial"/>
          <w:sz w:val="20"/>
          <w:szCs w:val="20"/>
        </w:rPr>
        <w:t xml:space="preserve"> pravili. Poenostavljeno povedano, za potrebe</w:t>
      </w:r>
      <w:r w:rsidR="00A42488">
        <w:rPr>
          <w:rFonts w:ascii="Arial" w:hAnsi="Arial" w:cs="Arial"/>
          <w:sz w:val="20"/>
          <w:szCs w:val="20"/>
        </w:rPr>
        <w:t xml:space="preserve"> testa rutinskih dobičkov, če bo znesek vsebinske izključitve dohodka presegel poenostavljen izračun dohodka NMCE, bo test izpolnjen.</w:t>
      </w:r>
      <w:r w:rsidRPr="00675D9F">
        <w:rPr>
          <w:rFonts w:ascii="Arial" w:hAnsi="Arial" w:cs="Arial"/>
          <w:sz w:val="20"/>
          <w:szCs w:val="20"/>
        </w:rPr>
        <w:t xml:space="preserve">; </w:t>
      </w:r>
    </w:p>
    <w:p w14:paraId="12E69066" w14:textId="77777777" w:rsidR="00A42488" w:rsidRDefault="00675D9F" w:rsidP="00675D9F">
      <w:pPr>
        <w:jc w:val="both"/>
        <w:rPr>
          <w:rFonts w:ascii="Arial" w:hAnsi="Arial" w:cs="Arial"/>
          <w:sz w:val="20"/>
          <w:szCs w:val="20"/>
        </w:rPr>
      </w:pPr>
      <w:r>
        <w:rPr>
          <w:rFonts w:ascii="Arial" w:hAnsi="Arial" w:cs="Arial"/>
          <w:sz w:val="20"/>
          <w:szCs w:val="20"/>
        </w:rPr>
        <w:t xml:space="preserve">- </w:t>
      </w:r>
      <w:r w:rsidRPr="00675D9F">
        <w:rPr>
          <w:rFonts w:ascii="Arial" w:hAnsi="Arial" w:cs="Arial"/>
          <w:sz w:val="20"/>
          <w:szCs w:val="20"/>
        </w:rPr>
        <w:t xml:space="preserve">Test de </w:t>
      </w:r>
      <w:proofErr w:type="spellStart"/>
      <w:r w:rsidRPr="00675D9F">
        <w:rPr>
          <w:rFonts w:ascii="Arial" w:hAnsi="Arial" w:cs="Arial"/>
          <w:sz w:val="20"/>
          <w:szCs w:val="20"/>
        </w:rPr>
        <w:t>minimis</w:t>
      </w:r>
      <w:proofErr w:type="spellEnd"/>
      <w:r w:rsidRPr="00675D9F">
        <w:rPr>
          <w:rFonts w:ascii="Arial" w:hAnsi="Arial" w:cs="Arial"/>
          <w:sz w:val="20"/>
          <w:szCs w:val="20"/>
        </w:rPr>
        <w:t xml:space="preserve"> bo odražal</w:t>
      </w:r>
      <w:r w:rsidR="00A42488">
        <w:rPr>
          <w:rFonts w:ascii="Arial" w:hAnsi="Arial" w:cs="Arial"/>
          <w:sz w:val="20"/>
          <w:szCs w:val="20"/>
        </w:rPr>
        <w:t xml:space="preserve"> 41.</w:t>
      </w:r>
      <w:r w:rsidRPr="00675D9F">
        <w:rPr>
          <w:rFonts w:ascii="Arial" w:hAnsi="Arial" w:cs="Arial"/>
          <w:sz w:val="20"/>
          <w:szCs w:val="20"/>
        </w:rPr>
        <w:t xml:space="preserve"> člen </w:t>
      </w:r>
      <w:r w:rsidR="00A42488">
        <w:rPr>
          <w:rFonts w:ascii="Arial" w:hAnsi="Arial" w:cs="Arial"/>
          <w:sz w:val="20"/>
          <w:szCs w:val="20"/>
        </w:rPr>
        <w:t xml:space="preserve">ZMD, </w:t>
      </w:r>
      <w:r w:rsidRPr="00675D9F">
        <w:rPr>
          <w:rFonts w:ascii="Arial" w:hAnsi="Arial" w:cs="Arial"/>
          <w:sz w:val="20"/>
          <w:szCs w:val="20"/>
        </w:rPr>
        <w:t>z razliko, da bosta tako prihodek</w:t>
      </w:r>
      <w:r w:rsidR="00A42488">
        <w:rPr>
          <w:rFonts w:ascii="Arial" w:hAnsi="Arial" w:cs="Arial"/>
          <w:sz w:val="20"/>
          <w:szCs w:val="20"/>
        </w:rPr>
        <w:t xml:space="preserve"> za potrebe povrhnjega davka</w:t>
      </w:r>
      <w:r w:rsidRPr="00675D9F">
        <w:rPr>
          <w:rFonts w:ascii="Arial" w:hAnsi="Arial" w:cs="Arial"/>
          <w:sz w:val="20"/>
          <w:szCs w:val="20"/>
        </w:rPr>
        <w:t xml:space="preserve"> kot tudi </w:t>
      </w:r>
      <w:r w:rsidR="00A42488">
        <w:rPr>
          <w:rFonts w:ascii="Arial" w:hAnsi="Arial" w:cs="Arial"/>
          <w:sz w:val="20"/>
          <w:szCs w:val="20"/>
        </w:rPr>
        <w:t xml:space="preserve">kvalificirani </w:t>
      </w:r>
      <w:r w:rsidRPr="00675D9F">
        <w:rPr>
          <w:rFonts w:ascii="Arial" w:hAnsi="Arial" w:cs="Arial"/>
          <w:sz w:val="20"/>
          <w:szCs w:val="20"/>
        </w:rPr>
        <w:t xml:space="preserve">dohodek za NMCE (za katere se izvaja </w:t>
      </w:r>
      <w:r w:rsidR="00A42488">
        <w:rPr>
          <w:rFonts w:ascii="Arial" w:hAnsi="Arial" w:cs="Arial"/>
          <w:sz w:val="20"/>
          <w:szCs w:val="20"/>
        </w:rPr>
        <w:t>opcija</w:t>
      </w:r>
      <w:r w:rsidRPr="00675D9F">
        <w:rPr>
          <w:rFonts w:ascii="Arial" w:hAnsi="Arial" w:cs="Arial"/>
          <w:sz w:val="20"/>
          <w:szCs w:val="20"/>
        </w:rPr>
        <w:t>) enaka</w:t>
      </w:r>
      <w:r w:rsidR="00A42488">
        <w:rPr>
          <w:rFonts w:ascii="Arial" w:hAnsi="Arial" w:cs="Arial"/>
          <w:sz w:val="20"/>
          <w:szCs w:val="20"/>
        </w:rPr>
        <w:t xml:space="preserve"> </w:t>
      </w:r>
      <w:r w:rsidRPr="00675D9F">
        <w:rPr>
          <w:rFonts w:ascii="Arial" w:hAnsi="Arial" w:cs="Arial"/>
          <w:sz w:val="20"/>
          <w:szCs w:val="20"/>
        </w:rPr>
        <w:t>skupni</w:t>
      </w:r>
      <w:r w:rsidR="00A42488">
        <w:rPr>
          <w:rFonts w:ascii="Arial" w:hAnsi="Arial" w:cs="Arial"/>
          <w:sz w:val="20"/>
          <w:szCs w:val="20"/>
        </w:rPr>
        <w:t>m</w:t>
      </w:r>
      <w:r w:rsidRPr="00675D9F">
        <w:rPr>
          <w:rFonts w:ascii="Arial" w:hAnsi="Arial" w:cs="Arial"/>
          <w:sz w:val="20"/>
          <w:szCs w:val="20"/>
        </w:rPr>
        <w:t xml:space="preserve"> prihodk</w:t>
      </w:r>
      <w:r w:rsidR="00A42488">
        <w:rPr>
          <w:rFonts w:ascii="Arial" w:hAnsi="Arial" w:cs="Arial"/>
          <w:sz w:val="20"/>
          <w:szCs w:val="20"/>
        </w:rPr>
        <w:t>om</w:t>
      </w:r>
      <w:r w:rsidRPr="00675D9F">
        <w:rPr>
          <w:rFonts w:ascii="Arial" w:hAnsi="Arial" w:cs="Arial"/>
          <w:sz w:val="20"/>
          <w:szCs w:val="20"/>
        </w:rPr>
        <w:t>, določeni</w:t>
      </w:r>
      <w:r w:rsidR="00A42488">
        <w:rPr>
          <w:rFonts w:ascii="Arial" w:hAnsi="Arial" w:cs="Arial"/>
          <w:sz w:val="20"/>
          <w:szCs w:val="20"/>
        </w:rPr>
        <w:t>m</w:t>
      </w:r>
      <w:r w:rsidRPr="00675D9F">
        <w:rPr>
          <w:rFonts w:ascii="Arial" w:hAnsi="Arial" w:cs="Arial"/>
          <w:sz w:val="20"/>
          <w:szCs w:val="20"/>
        </w:rPr>
        <w:t xml:space="preserve"> v skladu z ustreznimi predpisi </w:t>
      </w:r>
      <w:proofErr w:type="spellStart"/>
      <w:r w:rsidRPr="00675D9F">
        <w:rPr>
          <w:rFonts w:ascii="Arial" w:hAnsi="Arial" w:cs="Arial"/>
          <w:sz w:val="20"/>
          <w:szCs w:val="20"/>
        </w:rPr>
        <w:t>CbC</w:t>
      </w:r>
      <w:proofErr w:type="spellEnd"/>
      <w:r w:rsidR="00A42488">
        <w:rPr>
          <w:rFonts w:ascii="Arial" w:hAnsi="Arial" w:cs="Arial"/>
          <w:sz w:val="20"/>
          <w:szCs w:val="20"/>
        </w:rPr>
        <w:t>.</w:t>
      </w:r>
      <w:r w:rsidRPr="00675D9F">
        <w:rPr>
          <w:rFonts w:ascii="Arial" w:hAnsi="Arial" w:cs="Arial"/>
          <w:sz w:val="20"/>
          <w:szCs w:val="20"/>
        </w:rPr>
        <w:t xml:space="preserve">; </w:t>
      </w:r>
    </w:p>
    <w:p w14:paraId="323E65A2" w14:textId="77777777" w:rsidR="00675D9F" w:rsidRPr="00675D9F" w:rsidRDefault="00A42488" w:rsidP="00675D9F">
      <w:pPr>
        <w:jc w:val="both"/>
        <w:rPr>
          <w:rFonts w:ascii="Arial" w:hAnsi="Arial" w:cs="Arial"/>
          <w:sz w:val="20"/>
          <w:szCs w:val="20"/>
        </w:rPr>
      </w:pPr>
      <w:r>
        <w:rPr>
          <w:rFonts w:ascii="Arial" w:hAnsi="Arial" w:cs="Arial"/>
          <w:sz w:val="20"/>
          <w:szCs w:val="20"/>
        </w:rPr>
        <w:t xml:space="preserve">- </w:t>
      </w:r>
      <w:r w:rsidR="00675D9F" w:rsidRPr="00675D9F">
        <w:rPr>
          <w:rFonts w:ascii="Arial" w:hAnsi="Arial" w:cs="Arial"/>
          <w:sz w:val="20"/>
          <w:szCs w:val="20"/>
        </w:rPr>
        <w:t xml:space="preserve">Test efektivne davčne stopnje (ETR) bo odražal pravila </w:t>
      </w:r>
      <w:proofErr w:type="spellStart"/>
      <w:r w:rsidR="00675D9F" w:rsidRPr="00675D9F">
        <w:rPr>
          <w:rFonts w:ascii="Arial" w:hAnsi="Arial" w:cs="Arial"/>
          <w:sz w:val="20"/>
          <w:szCs w:val="20"/>
        </w:rPr>
        <w:t>GloBE</w:t>
      </w:r>
      <w:proofErr w:type="spellEnd"/>
      <w:r w:rsidR="00675D9F" w:rsidRPr="00675D9F">
        <w:rPr>
          <w:rFonts w:ascii="Arial" w:hAnsi="Arial" w:cs="Arial"/>
          <w:sz w:val="20"/>
          <w:szCs w:val="20"/>
        </w:rPr>
        <w:t>, še zlasti</w:t>
      </w:r>
      <w:r>
        <w:rPr>
          <w:rFonts w:ascii="Arial" w:hAnsi="Arial" w:cs="Arial"/>
          <w:sz w:val="20"/>
          <w:szCs w:val="20"/>
        </w:rPr>
        <w:t xml:space="preserve"> 33.</w:t>
      </w:r>
      <w:r w:rsidR="00675D9F" w:rsidRPr="00675D9F">
        <w:rPr>
          <w:rFonts w:ascii="Arial" w:hAnsi="Arial" w:cs="Arial"/>
          <w:sz w:val="20"/>
          <w:szCs w:val="20"/>
        </w:rPr>
        <w:t xml:space="preserve"> člen</w:t>
      </w:r>
      <w:r>
        <w:rPr>
          <w:rFonts w:ascii="Arial" w:hAnsi="Arial" w:cs="Arial"/>
          <w:sz w:val="20"/>
          <w:szCs w:val="20"/>
        </w:rPr>
        <w:t xml:space="preserve"> ZMD</w:t>
      </w:r>
      <w:r w:rsidR="00675D9F" w:rsidRPr="00675D9F">
        <w:rPr>
          <w:rFonts w:ascii="Arial" w:hAnsi="Arial" w:cs="Arial"/>
          <w:sz w:val="20"/>
          <w:szCs w:val="20"/>
        </w:rPr>
        <w:t xml:space="preserve">, z edino razliko, da bosta </w:t>
      </w:r>
      <w:r>
        <w:rPr>
          <w:rFonts w:ascii="Arial" w:hAnsi="Arial" w:cs="Arial"/>
          <w:sz w:val="20"/>
          <w:szCs w:val="20"/>
        </w:rPr>
        <w:t>kvalificirani</w:t>
      </w:r>
      <w:r w:rsidR="00675D9F" w:rsidRPr="00675D9F">
        <w:rPr>
          <w:rFonts w:ascii="Arial" w:hAnsi="Arial" w:cs="Arial"/>
          <w:sz w:val="20"/>
          <w:szCs w:val="20"/>
        </w:rPr>
        <w:t xml:space="preserve"> dohodek in prilagojeni </w:t>
      </w:r>
      <w:r>
        <w:rPr>
          <w:rFonts w:ascii="Arial" w:hAnsi="Arial" w:cs="Arial"/>
          <w:sz w:val="20"/>
          <w:szCs w:val="20"/>
        </w:rPr>
        <w:t>zajeti</w:t>
      </w:r>
      <w:r w:rsidR="00675D9F" w:rsidRPr="00675D9F">
        <w:rPr>
          <w:rFonts w:ascii="Arial" w:hAnsi="Arial" w:cs="Arial"/>
          <w:sz w:val="20"/>
          <w:szCs w:val="20"/>
        </w:rPr>
        <w:t xml:space="preserve"> davki za NMCE (za katere se izvaja </w:t>
      </w:r>
      <w:r>
        <w:rPr>
          <w:rFonts w:ascii="Arial" w:hAnsi="Arial" w:cs="Arial"/>
          <w:sz w:val="20"/>
          <w:szCs w:val="20"/>
        </w:rPr>
        <w:t>opcija</w:t>
      </w:r>
      <w:r w:rsidR="00675D9F" w:rsidRPr="00675D9F">
        <w:rPr>
          <w:rFonts w:ascii="Arial" w:hAnsi="Arial" w:cs="Arial"/>
          <w:sz w:val="20"/>
          <w:szCs w:val="20"/>
        </w:rPr>
        <w:t>) enaki ustrezni</w:t>
      </w:r>
      <w:r>
        <w:rPr>
          <w:rFonts w:ascii="Arial" w:hAnsi="Arial" w:cs="Arial"/>
          <w:sz w:val="20"/>
          <w:szCs w:val="20"/>
        </w:rPr>
        <w:t>m</w:t>
      </w:r>
      <w:r w:rsidR="00675D9F" w:rsidRPr="00675D9F">
        <w:rPr>
          <w:rFonts w:ascii="Arial" w:hAnsi="Arial" w:cs="Arial"/>
          <w:sz w:val="20"/>
          <w:szCs w:val="20"/>
        </w:rPr>
        <w:t xml:space="preserve"> prihodk</w:t>
      </w:r>
      <w:r>
        <w:rPr>
          <w:rFonts w:ascii="Arial" w:hAnsi="Arial" w:cs="Arial"/>
          <w:sz w:val="20"/>
          <w:szCs w:val="20"/>
        </w:rPr>
        <w:t>om</w:t>
      </w:r>
      <w:r w:rsidR="00675D9F" w:rsidRPr="00675D9F">
        <w:rPr>
          <w:rFonts w:ascii="Arial" w:hAnsi="Arial" w:cs="Arial"/>
          <w:sz w:val="20"/>
          <w:szCs w:val="20"/>
        </w:rPr>
        <w:t xml:space="preserve"> in </w:t>
      </w:r>
      <w:r>
        <w:rPr>
          <w:rFonts w:ascii="Arial" w:hAnsi="Arial" w:cs="Arial"/>
          <w:sz w:val="20"/>
          <w:szCs w:val="20"/>
        </w:rPr>
        <w:t>izračunanim davkom</w:t>
      </w:r>
      <w:r w:rsidR="00675D9F" w:rsidRPr="00675D9F">
        <w:rPr>
          <w:rFonts w:ascii="Arial" w:hAnsi="Arial" w:cs="Arial"/>
          <w:sz w:val="20"/>
          <w:szCs w:val="20"/>
        </w:rPr>
        <w:t xml:space="preserve"> za tekoče leto</w:t>
      </w:r>
      <w:r>
        <w:rPr>
          <w:rFonts w:ascii="Arial" w:hAnsi="Arial" w:cs="Arial"/>
          <w:sz w:val="20"/>
          <w:szCs w:val="20"/>
        </w:rPr>
        <w:t xml:space="preserve"> </w:t>
      </w:r>
      <w:r w:rsidR="00675D9F" w:rsidRPr="00675D9F">
        <w:rPr>
          <w:rFonts w:ascii="Arial" w:hAnsi="Arial" w:cs="Arial"/>
          <w:sz w:val="20"/>
          <w:szCs w:val="20"/>
        </w:rPr>
        <w:t xml:space="preserve">v skladu z ustreznimi predpisi </w:t>
      </w:r>
      <w:proofErr w:type="spellStart"/>
      <w:r w:rsidR="00675D9F" w:rsidRPr="00675D9F">
        <w:rPr>
          <w:rFonts w:ascii="Arial" w:hAnsi="Arial" w:cs="Arial"/>
          <w:sz w:val="20"/>
          <w:szCs w:val="20"/>
        </w:rPr>
        <w:t>CbC</w:t>
      </w:r>
      <w:proofErr w:type="spellEnd"/>
      <w:r w:rsidR="00675D9F" w:rsidRPr="00675D9F">
        <w:rPr>
          <w:rFonts w:ascii="Arial" w:hAnsi="Arial" w:cs="Arial"/>
          <w:sz w:val="20"/>
          <w:szCs w:val="20"/>
        </w:rPr>
        <w:t>.</w:t>
      </w:r>
    </w:p>
    <w:p w14:paraId="1ECDC3C2" w14:textId="77777777" w:rsidR="00675D9F" w:rsidRDefault="00675D9F" w:rsidP="009E0415">
      <w:pPr>
        <w:jc w:val="both"/>
        <w:rPr>
          <w:rFonts w:ascii="Arial" w:hAnsi="Arial" w:cs="Arial"/>
          <w:sz w:val="20"/>
          <w:szCs w:val="20"/>
        </w:rPr>
      </w:pPr>
      <w:r w:rsidRPr="00675D9F">
        <w:rPr>
          <w:rFonts w:ascii="Arial" w:hAnsi="Arial" w:cs="Arial"/>
          <w:sz w:val="20"/>
          <w:szCs w:val="20"/>
        </w:rPr>
        <w:t xml:space="preserve">Če je kateri od zgornjih preizkusov izpolnjen </w:t>
      </w:r>
      <w:r w:rsidRPr="00D574C3">
        <w:rPr>
          <w:rFonts w:ascii="Arial" w:hAnsi="Arial" w:cs="Arial"/>
          <w:sz w:val="20"/>
          <w:szCs w:val="20"/>
        </w:rPr>
        <w:t>za preizkušeno jurisdikcijo,</w:t>
      </w:r>
      <w:r w:rsidRPr="00675D9F">
        <w:rPr>
          <w:rFonts w:ascii="Arial" w:hAnsi="Arial" w:cs="Arial"/>
          <w:sz w:val="20"/>
          <w:szCs w:val="20"/>
        </w:rPr>
        <w:t xml:space="preserve"> potem so izpolnjeni pogoji za </w:t>
      </w:r>
      <w:r w:rsidR="009E0415">
        <w:rPr>
          <w:rFonts w:ascii="Arial" w:hAnsi="Arial" w:cs="Arial"/>
          <w:sz w:val="20"/>
          <w:szCs w:val="20"/>
        </w:rPr>
        <w:t>varni pristan</w:t>
      </w:r>
      <w:r w:rsidRPr="00675D9F">
        <w:rPr>
          <w:rFonts w:ascii="Arial" w:hAnsi="Arial" w:cs="Arial"/>
          <w:sz w:val="20"/>
          <w:szCs w:val="20"/>
        </w:rPr>
        <w:t xml:space="preserve"> poenostavljenih izračunov, in </w:t>
      </w:r>
      <w:r w:rsidR="009E0415" w:rsidRPr="00675D9F">
        <w:rPr>
          <w:rFonts w:ascii="Arial" w:hAnsi="Arial" w:cs="Arial"/>
          <w:sz w:val="20"/>
          <w:szCs w:val="20"/>
        </w:rPr>
        <w:t>se šteje</w:t>
      </w:r>
      <w:r w:rsidR="009E0415">
        <w:rPr>
          <w:rFonts w:ascii="Arial" w:hAnsi="Arial" w:cs="Arial"/>
          <w:sz w:val="20"/>
          <w:szCs w:val="20"/>
        </w:rPr>
        <w:t>, da je</w:t>
      </w:r>
      <w:r w:rsidR="009E0415" w:rsidRPr="00675D9F">
        <w:rPr>
          <w:rFonts w:ascii="Arial" w:hAnsi="Arial" w:cs="Arial"/>
          <w:sz w:val="20"/>
          <w:szCs w:val="20"/>
        </w:rPr>
        <w:t xml:space="preserve"> </w:t>
      </w:r>
      <w:r w:rsidRPr="00675D9F">
        <w:rPr>
          <w:rFonts w:ascii="Arial" w:hAnsi="Arial" w:cs="Arial"/>
          <w:sz w:val="20"/>
          <w:szCs w:val="20"/>
        </w:rPr>
        <w:t xml:space="preserve">dodatni davek te jurisdikcije nič, v skladu s </w:t>
      </w:r>
      <w:r w:rsidR="009E0415">
        <w:rPr>
          <w:rFonts w:ascii="Arial" w:hAnsi="Arial" w:cs="Arial"/>
          <w:sz w:val="20"/>
          <w:szCs w:val="20"/>
        </w:rPr>
        <w:t xml:space="preserve">43. </w:t>
      </w:r>
      <w:r w:rsidRPr="00675D9F">
        <w:rPr>
          <w:rFonts w:ascii="Arial" w:hAnsi="Arial" w:cs="Arial"/>
          <w:sz w:val="20"/>
          <w:szCs w:val="20"/>
        </w:rPr>
        <w:t>členom</w:t>
      </w:r>
      <w:r w:rsidR="009E0415">
        <w:rPr>
          <w:rFonts w:ascii="Arial" w:hAnsi="Arial" w:cs="Arial"/>
          <w:sz w:val="20"/>
          <w:szCs w:val="20"/>
        </w:rPr>
        <w:t xml:space="preserve"> ZMD</w:t>
      </w:r>
      <w:r w:rsidRPr="00675D9F">
        <w:rPr>
          <w:rFonts w:ascii="Arial" w:hAnsi="Arial" w:cs="Arial"/>
          <w:sz w:val="20"/>
          <w:szCs w:val="20"/>
        </w:rPr>
        <w:t>.</w:t>
      </w:r>
    </w:p>
    <w:p w14:paraId="56DB9D07" w14:textId="77777777" w:rsidR="006F3539" w:rsidRPr="009C49FB" w:rsidRDefault="009C49FB" w:rsidP="006F3539">
      <w:pPr>
        <w:pStyle w:val="FURSnaslov2"/>
        <w:rPr>
          <w:sz w:val="20"/>
          <w:szCs w:val="20"/>
        </w:rPr>
      </w:pPr>
      <w:bookmarkStart w:id="29" w:name="_Toc157425322"/>
      <w:r w:rsidRPr="009C49FB">
        <w:rPr>
          <w:sz w:val="20"/>
          <w:szCs w:val="20"/>
        </w:rPr>
        <w:t>4</w:t>
      </w:r>
      <w:r w:rsidR="006F3539" w:rsidRPr="009C49FB">
        <w:rPr>
          <w:sz w:val="20"/>
          <w:szCs w:val="20"/>
        </w:rPr>
        <w:t xml:space="preserve">.2. </w:t>
      </w:r>
      <w:proofErr w:type="spellStart"/>
      <w:r w:rsidR="006F3539" w:rsidRPr="009C49FB">
        <w:rPr>
          <w:sz w:val="20"/>
          <w:szCs w:val="20"/>
        </w:rPr>
        <w:t>Začasni</w:t>
      </w:r>
      <w:proofErr w:type="spellEnd"/>
      <w:r w:rsidR="006F3539" w:rsidRPr="009C49FB">
        <w:rPr>
          <w:sz w:val="20"/>
          <w:szCs w:val="20"/>
        </w:rPr>
        <w:t xml:space="preserve"> </w:t>
      </w:r>
      <w:proofErr w:type="spellStart"/>
      <w:r w:rsidR="006F3539" w:rsidRPr="009C49FB">
        <w:rPr>
          <w:sz w:val="20"/>
          <w:szCs w:val="20"/>
        </w:rPr>
        <w:t>varni</w:t>
      </w:r>
      <w:proofErr w:type="spellEnd"/>
      <w:r w:rsidR="006F3539" w:rsidRPr="009C49FB">
        <w:rPr>
          <w:sz w:val="20"/>
          <w:szCs w:val="20"/>
        </w:rPr>
        <w:t xml:space="preserve"> </w:t>
      </w:r>
      <w:proofErr w:type="spellStart"/>
      <w:r w:rsidR="006F3539" w:rsidRPr="009C49FB">
        <w:rPr>
          <w:sz w:val="20"/>
          <w:szCs w:val="20"/>
        </w:rPr>
        <w:t>pristani</w:t>
      </w:r>
      <w:bookmarkEnd w:id="29"/>
      <w:proofErr w:type="spellEnd"/>
    </w:p>
    <w:p w14:paraId="4223EE2F" w14:textId="77777777" w:rsidR="00BE2CBC" w:rsidRPr="00392FD4" w:rsidRDefault="003441B9" w:rsidP="007E733C">
      <w:pPr>
        <w:pStyle w:val="FURSnaslov2"/>
        <w:tabs>
          <w:tab w:val="clear" w:pos="3402"/>
          <w:tab w:val="left" w:pos="142"/>
        </w:tabs>
        <w:rPr>
          <w:sz w:val="20"/>
          <w:szCs w:val="20"/>
          <w:lang w:val="sl-SI"/>
        </w:rPr>
      </w:pPr>
      <w:r w:rsidRPr="00392FD4">
        <w:rPr>
          <w:sz w:val="20"/>
          <w:szCs w:val="20"/>
          <w:lang w:val="sl-SI"/>
        </w:rPr>
        <w:tab/>
      </w:r>
      <w:bookmarkStart w:id="30" w:name="_Toc157425323"/>
      <w:r w:rsidR="009C49FB">
        <w:rPr>
          <w:sz w:val="20"/>
          <w:szCs w:val="20"/>
          <w:lang w:val="sl-SI"/>
        </w:rPr>
        <w:t>4</w:t>
      </w:r>
      <w:r w:rsidR="00077CBF" w:rsidRPr="00392FD4">
        <w:rPr>
          <w:sz w:val="20"/>
          <w:szCs w:val="20"/>
          <w:lang w:val="sl-SI"/>
        </w:rPr>
        <w:t>.</w:t>
      </w:r>
      <w:r w:rsidR="006F3539">
        <w:rPr>
          <w:sz w:val="20"/>
          <w:szCs w:val="20"/>
          <w:lang w:val="sl-SI"/>
        </w:rPr>
        <w:t>2</w:t>
      </w:r>
      <w:r w:rsidR="00077CBF" w:rsidRPr="00392FD4">
        <w:rPr>
          <w:sz w:val="20"/>
          <w:szCs w:val="20"/>
          <w:lang w:val="sl-SI"/>
        </w:rPr>
        <w:t>.</w:t>
      </w:r>
      <w:r w:rsidR="006F3539">
        <w:rPr>
          <w:sz w:val="20"/>
          <w:szCs w:val="20"/>
          <w:lang w:val="sl-SI"/>
        </w:rPr>
        <w:t>1</w:t>
      </w:r>
      <w:r w:rsidR="00BE2CBC" w:rsidRPr="00392FD4">
        <w:rPr>
          <w:sz w:val="20"/>
          <w:szCs w:val="20"/>
          <w:lang w:val="sl-SI"/>
        </w:rPr>
        <w:t xml:space="preserve"> </w:t>
      </w:r>
      <w:r w:rsidR="007B1F4F" w:rsidRPr="00392FD4">
        <w:rPr>
          <w:sz w:val="20"/>
          <w:szCs w:val="20"/>
          <w:lang w:val="sl-SI"/>
        </w:rPr>
        <w:t xml:space="preserve">Začasni </w:t>
      </w:r>
      <w:proofErr w:type="spellStart"/>
      <w:r w:rsidR="007B1F4F" w:rsidRPr="00392FD4">
        <w:rPr>
          <w:sz w:val="20"/>
          <w:szCs w:val="20"/>
          <w:lang w:val="sl-SI"/>
        </w:rPr>
        <w:t>C</w:t>
      </w:r>
      <w:r w:rsidR="005C6895">
        <w:rPr>
          <w:sz w:val="20"/>
          <w:szCs w:val="20"/>
          <w:lang w:val="sl-SI"/>
        </w:rPr>
        <w:t>b</w:t>
      </w:r>
      <w:r w:rsidR="007B1F4F" w:rsidRPr="00392FD4">
        <w:rPr>
          <w:sz w:val="20"/>
          <w:szCs w:val="20"/>
          <w:lang w:val="sl-SI"/>
        </w:rPr>
        <w:t>C</w:t>
      </w:r>
      <w:r w:rsidR="005C6895">
        <w:rPr>
          <w:sz w:val="20"/>
          <w:szCs w:val="20"/>
          <w:lang w:val="sl-SI"/>
        </w:rPr>
        <w:t>R</w:t>
      </w:r>
      <w:proofErr w:type="spellEnd"/>
      <w:r w:rsidR="007B1F4F" w:rsidRPr="00392FD4">
        <w:rPr>
          <w:sz w:val="20"/>
          <w:szCs w:val="20"/>
          <w:lang w:val="sl-SI"/>
        </w:rPr>
        <w:t xml:space="preserve"> v</w:t>
      </w:r>
      <w:r w:rsidR="00BE2CBC" w:rsidRPr="00392FD4">
        <w:rPr>
          <w:sz w:val="20"/>
          <w:szCs w:val="20"/>
          <w:lang w:val="sl-SI"/>
        </w:rPr>
        <w:t>arni pristan</w:t>
      </w:r>
      <w:bookmarkEnd w:id="30"/>
      <w:r w:rsidR="00BE2CBC" w:rsidRPr="00392FD4">
        <w:rPr>
          <w:sz w:val="20"/>
          <w:szCs w:val="20"/>
          <w:lang w:val="sl-SI"/>
        </w:rPr>
        <w:t xml:space="preserve"> </w:t>
      </w:r>
    </w:p>
    <w:p w14:paraId="77755657" w14:textId="16FF9E29" w:rsidR="007B1F4F" w:rsidRPr="008752B8" w:rsidRDefault="00327EE7" w:rsidP="008752B8">
      <w:pPr>
        <w:jc w:val="both"/>
        <w:rPr>
          <w:rFonts w:ascii="Arial" w:hAnsi="Arial" w:cs="Arial"/>
          <w:sz w:val="20"/>
          <w:szCs w:val="20"/>
        </w:rPr>
      </w:pPr>
      <w:r w:rsidRPr="008752B8">
        <w:rPr>
          <w:rFonts w:ascii="Arial" w:hAnsi="Arial" w:cs="Arial"/>
          <w:sz w:val="20"/>
          <w:szCs w:val="20"/>
        </w:rPr>
        <w:t>V</w:t>
      </w:r>
      <w:r w:rsidR="007B1F4F" w:rsidRPr="008752B8">
        <w:rPr>
          <w:rFonts w:ascii="Arial" w:hAnsi="Arial" w:cs="Arial"/>
          <w:sz w:val="20"/>
          <w:szCs w:val="20"/>
        </w:rPr>
        <w:t xml:space="preserve"> prehodn</w:t>
      </w:r>
      <w:r w:rsidRPr="008752B8">
        <w:rPr>
          <w:rFonts w:ascii="Arial" w:hAnsi="Arial" w:cs="Arial"/>
          <w:sz w:val="20"/>
          <w:szCs w:val="20"/>
        </w:rPr>
        <w:t>em</w:t>
      </w:r>
      <w:r w:rsidR="007B1F4F" w:rsidRPr="008752B8">
        <w:rPr>
          <w:rFonts w:ascii="Arial" w:hAnsi="Arial" w:cs="Arial"/>
          <w:sz w:val="20"/>
          <w:szCs w:val="20"/>
        </w:rPr>
        <w:t xml:space="preserve"> obdobj</w:t>
      </w:r>
      <w:r w:rsidRPr="008752B8">
        <w:rPr>
          <w:rFonts w:ascii="Arial" w:hAnsi="Arial" w:cs="Arial"/>
          <w:sz w:val="20"/>
          <w:szCs w:val="20"/>
        </w:rPr>
        <w:t>u, ki velja za konkretni začasni varni pristan, se</w:t>
      </w:r>
      <w:r w:rsidR="007B1F4F" w:rsidRPr="008752B8">
        <w:rPr>
          <w:rFonts w:ascii="Arial" w:hAnsi="Arial" w:cs="Arial"/>
          <w:sz w:val="20"/>
          <w:szCs w:val="20"/>
        </w:rPr>
        <w:t xml:space="preserve"> </w:t>
      </w:r>
      <w:r w:rsidRPr="008752B8">
        <w:rPr>
          <w:rFonts w:ascii="Arial" w:hAnsi="Arial" w:cs="Arial"/>
          <w:sz w:val="20"/>
          <w:szCs w:val="20"/>
        </w:rPr>
        <w:t xml:space="preserve">šteje, da </w:t>
      </w:r>
      <w:r w:rsidR="007B1F4F" w:rsidRPr="008752B8">
        <w:rPr>
          <w:rFonts w:ascii="Arial" w:hAnsi="Arial" w:cs="Arial"/>
          <w:sz w:val="20"/>
          <w:szCs w:val="20"/>
        </w:rPr>
        <w:t>povrhnji davek v posamezni jurisdikciji za poslovno leto nič, če:</w:t>
      </w:r>
    </w:p>
    <w:p w14:paraId="6B7E3C91" w14:textId="51CD62BC" w:rsidR="007B1F4F" w:rsidRPr="008752B8" w:rsidRDefault="007B1F4F" w:rsidP="008752B8">
      <w:pPr>
        <w:jc w:val="both"/>
        <w:rPr>
          <w:rFonts w:ascii="Arial" w:hAnsi="Arial" w:cs="Arial"/>
          <w:sz w:val="20"/>
          <w:szCs w:val="20"/>
        </w:rPr>
      </w:pPr>
      <w:r w:rsidRPr="008752B8">
        <w:rPr>
          <w:rFonts w:ascii="Arial" w:hAnsi="Arial" w:cs="Arial"/>
          <w:sz w:val="20"/>
          <w:szCs w:val="20"/>
        </w:rPr>
        <w:t xml:space="preserve">a. MNE skupina v svojem </w:t>
      </w:r>
      <w:r w:rsidR="00327EE7" w:rsidRPr="008752B8">
        <w:rPr>
          <w:rFonts w:ascii="Arial" w:hAnsi="Arial" w:cs="Arial"/>
          <w:sz w:val="20"/>
          <w:szCs w:val="20"/>
        </w:rPr>
        <w:t>k</w:t>
      </w:r>
      <w:r w:rsidRPr="008752B8">
        <w:rPr>
          <w:rFonts w:ascii="Arial" w:hAnsi="Arial" w:cs="Arial"/>
          <w:sz w:val="20"/>
          <w:szCs w:val="20"/>
        </w:rPr>
        <w:t xml:space="preserve">valificiranem poročilu o </w:t>
      </w:r>
      <w:proofErr w:type="spellStart"/>
      <w:r w:rsidRPr="008752B8">
        <w:rPr>
          <w:rFonts w:ascii="Arial" w:hAnsi="Arial" w:cs="Arial"/>
          <w:sz w:val="20"/>
          <w:szCs w:val="20"/>
        </w:rPr>
        <w:t>CbC</w:t>
      </w:r>
      <w:proofErr w:type="spellEnd"/>
      <w:r w:rsidRPr="008752B8">
        <w:rPr>
          <w:rFonts w:ascii="Arial" w:hAnsi="Arial" w:cs="Arial"/>
          <w:sz w:val="20"/>
          <w:szCs w:val="20"/>
        </w:rPr>
        <w:t xml:space="preserve"> za poslovno leto v tej jurisdikciji </w:t>
      </w:r>
      <w:r w:rsidR="009D1465">
        <w:rPr>
          <w:rFonts w:ascii="Arial" w:hAnsi="Arial" w:cs="Arial"/>
          <w:sz w:val="20"/>
          <w:szCs w:val="20"/>
        </w:rPr>
        <w:t>poroča</w:t>
      </w:r>
      <w:r w:rsidRPr="008752B8">
        <w:rPr>
          <w:rFonts w:ascii="Arial" w:hAnsi="Arial" w:cs="Arial"/>
          <w:sz w:val="20"/>
          <w:szCs w:val="20"/>
        </w:rPr>
        <w:t xml:space="preserve"> skupni </w:t>
      </w:r>
      <w:r w:rsidR="009A006D" w:rsidRPr="008752B8">
        <w:rPr>
          <w:rFonts w:ascii="Arial" w:hAnsi="Arial" w:cs="Arial"/>
          <w:sz w:val="20"/>
          <w:szCs w:val="20"/>
        </w:rPr>
        <w:t>prihodek</w:t>
      </w:r>
      <w:r w:rsidRPr="008752B8">
        <w:rPr>
          <w:rFonts w:ascii="Arial" w:hAnsi="Arial" w:cs="Arial"/>
          <w:sz w:val="20"/>
          <w:szCs w:val="20"/>
        </w:rPr>
        <w:t xml:space="preserve"> v višini </w:t>
      </w:r>
      <w:r w:rsidR="00327EE7" w:rsidRPr="008752B8">
        <w:rPr>
          <w:rFonts w:ascii="Arial" w:hAnsi="Arial" w:cs="Arial"/>
          <w:sz w:val="20"/>
          <w:szCs w:val="20"/>
        </w:rPr>
        <w:t>do</w:t>
      </w:r>
      <w:r w:rsidRPr="008752B8">
        <w:rPr>
          <w:rFonts w:ascii="Arial" w:hAnsi="Arial" w:cs="Arial"/>
          <w:sz w:val="20"/>
          <w:szCs w:val="20"/>
        </w:rPr>
        <w:t xml:space="preserve"> 10 milijonov evrov in </w:t>
      </w:r>
      <w:r w:rsidR="009A006D" w:rsidRPr="008752B8">
        <w:rPr>
          <w:rFonts w:ascii="Arial" w:hAnsi="Arial" w:cs="Arial"/>
          <w:sz w:val="20"/>
          <w:szCs w:val="20"/>
        </w:rPr>
        <w:t>dohodek</w:t>
      </w:r>
      <w:r w:rsidRPr="008752B8">
        <w:rPr>
          <w:rFonts w:ascii="Arial" w:hAnsi="Arial" w:cs="Arial"/>
          <w:sz w:val="20"/>
          <w:szCs w:val="20"/>
        </w:rPr>
        <w:t xml:space="preserve"> (izguba) pred obdavčitvijo z dohodnino v višini </w:t>
      </w:r>
      <w:r w:rsidR="00327EE7" w:rsidRPr="008752B8">
        <w:rPr>
          <w:rFonts w:ascii="Arial" w:hAnsi="Arial" w:cs="Arial"/>
          <w:sz w:val="20"/>
          <w:szCs w:val="20"/>
        </w:rPr>
        <w:t>do</w:t>
      </w:r>
      <w:r w:rsidRPr="008752B8">
        <w:rPr>
          <w:rFonts w:ascii="Arial" w:hAnsi="Arial" w:cs="Arial"/>
          <w:sz w:val="20"/>
          <w:szCs w:val="20"/>
        </w:rPr>
        <w:t xml:space="preserve"> 1 milijon evrov; ali</w:t>
      </w:r>
    </w:p>
    <w:p w14:paraId="64E67558" w14:textId="77777777" w:rsidR="007B1F4F" w:rsidRPr="008752B8" w:rsidRDefault="007B1F4F" w:rsidP="008752B8">
      <w:pPr>
        <w:jc w:val="both"/>
        <w:rPr>
          <w:rFonts w:ascii="Arial" w:hAnsi="Arial" w:cs="Arial"/>
          <w:sz w:val="20"/>
          <w:szCs w:val="20"/>
        </w:rPr>
      </w:pPr>
      <w:r w:rsidRPr="008752B8">
        <w:rPr>
          <w:rFonts w:ascii="Arial" w:hAnsi="Arial" w:cs="Arial"/>
          <w:sz w:val="20"/>
          <w:szCs w:val="20"/>
        </w:rPr>
        <w:t xml:space="preserve">b. MNE skupina </w:t>
      </w:r>
      <w:r w:rsidR="00327EE7" w:rsidRPr="008752B8">
        <w:rPr>
          <w:rFonts w:ascii="Arial" w:hAnsi="Arial" w:cs="Arial"/>
          <w:sz w:val="20"/>
          <w:szCs w:val="20"/>
        </w:rPr>
        <w:t>izračuna</w:t>
      </w:r>
      <w:r w:rsidRPr="008752B8">
        <w:rPr>
          <w:rFonts w:ascii="Arial" w:hAnsi="Arial" w:cs="Arial"/>
          <w:sz w:val="20"/>
          <w:szCs w:val="20"/>
        </w:rPr>
        <w:t xml:space="preserve"> poenostavljen</w:t>
      </w:r>
      <w:r w:rsidR="00327EE7" w:rsidRPr="008752B8">
        <w:rPr>
          <w:rFonts w:ascii="Arial" w:hAnsi="Arial" w:cs="Arial"/>
          <w:sz w:val="20"/>
          <w:szCs w:val="20"/>
        </w:rPr>
        <w:t>o dejansko davčno stopnjo</w:t>
      </w:r>
      <w:r w:rsidRPr="008752B8">
        <w:rPr>
          <w:rFonts w:ascii="Arial" w:hAnsi="Arial" w:cs="Arial"/>
          <w:sz w:val="20"/>
          <w:szCs w:val="20"/>
        </w:rPr>
        <w:t xml:space="preserve"> </w:t>
      </w:r>
      <w:r w:rsidR="00327EE7" w:rsidRPr="008752B8">
        <w:rPr>
          <w:rFonts w:ascii="Arial" w:hAnsi="Arial" w:cs="Arial"/>
          <w:sz w:val="20"/>
          <w:szCs w:val="20"/>
        </w:rPr>
        <w:t>(ETR</w:t>
      </w:r>
      <w:r w:rsidRPr="008752B8">
        <w:rPr>
          <w:rFonts w:ascii="Arial" w:hAnsi="Arial" w:cs="Arial"/>
          <w:sz w:val="20"/>
          <w:szCs w:val="20"/>
        </w:rPr>
        <w:t xml:space="preserve">), ki je </w:t>
      </w:r>
      <w:r w:rsidR="00327EE7" w:rsidRPr="008752B8">
        <w:rPr>
          <w:rFonts w:ascii="Arial" w:hAnsi="Arial" w:cs="Arial"/>
          <w:sz w:val="20"/>
          <w:szCs w:val="20"/>
        </w:rPr>
        <w:t xml:space="preserve">enaka </w:t>
      </w:r>
      <w:r w:rsidRPr="008752B8">
        <w:rPr>
          <w:rFonts w:ascii="Arial" w:hAnsi="Arial" w:cs="Arial"/>
          <w:sz w:val="20"/>
          <w:szCs w:val="20"/>
        </w:rPr>
        <w:t>ali v</w:t>
      </w:r>
      <w:r w:rsidR="00327EE7" w:rsidRPr="008752B8">
        <w:rPr>
          <w:rFonts w:ascii="Arial" w:hAnsi="Arial" w:cs="Arial"/>
          <w:sz w:val="20"/>
          <w:szCs w:val="20"/>
        </w:rPr>
        <w:t>išja</w:t>
      </w:r>
      <w:r w:rsidRPr="008752B8">
        <w:rPr>
          <w:rFonts w:ascii="Arial" w:hAnsi="Arial" w:cs="Arial"/>
          <w:sz w:val="20"/>
          <w:szCs w:val="20"/>
        </w:rPr>
        <w:t xml:space="preserve"> od prehodne stopnje v tej jurisdikciji za poslovno leto; ali</w:t>
      </w:r>
    </w:p>
    <w:p w14:paraId="783095BF" w14:textId="77777777" w:rsidR="007B1F4F" w:rsidRPr="008752B8" w:rsidRDefault="007B1F4F" w:rsidP="008752B8">
      <w:pPr>
        <w:jc w:val="both"/>
        <w:rPr>
          <w:rFonts w:ascii="Arial" w:hAnsi="Arial" w:cs="Arial"/>
          <w:sz w:val="20"/>
          <w:szCs w:val="20"/>
        </w:rPr>
      </w:pPr>
      <w:r w:rsidRPr="008752B8">
        <w:rPr>
          <w:rFonts w:ascii="Arial" w:hAnsi="Arial" w:cs="Arial"/>
          <w:sz w:val="20"/>
          <w:szCs w:val="20"/>
        </w:rPr>
        <w:t xml:space="preserve">c. MNE skupina ima dobiček (izgubo) pred obdavčitvijo z </w:t>
      </w:r>
      <w:r w:rsidR="00327EE7" w:rsidRPr="008752B8">
        <w:rPr>
          <w:rFonts w:ascii="Arial" w:hAnsi="Arial" w:cs="Arial"/>
          <w:sz w:val="20"/>
          <w:szCs w:val="20"/>
        </w:rPr>
        <w:t>davkom na dohodek</w:t>
      </w:r>
      <w:r w:rsidRPr="008752B8">
        <w:rPr>
          <w:rFonts w:ascii="Arial" w:hAnsi="Arial" w:cs="Arial"/>
          <w:sz w:val="20"/>
          <w:szCs w:val="20"/>
        </w:rPr>
        <w:t xml:space="preserve"> v tej jurisdikciji, ki je enak ali manjši od zneska </w:t>
      </w:r>
      <w:r w:rsidR="00327EE7" w:rsidRPr="008752B8">
        <w:rPr>
          <w:rFonts w:ascii="Arial" w:hAnsi="Arial" w:cs="Arial"/>
          <w:sz w:val="20"/>
          <w:szCs w:val="20"/>
        </w:rPr>
        <w:t>vsebinske izključitve dohodka</w:t>
      </w:r>
      <w:r w:rsidRPr="008752B8">
        <w:rPr>
          <w:rFonts w:ascii="Arial" w:hAnsi="Arial" w:cs="Arial"/>
          <w:sz w:val="20"/>
          <w:szCs w:val="20"/>
        </w:rPr>
        <w:t xml:space="preserve">, za subjekte v sestavi, ki so rezidenti v tej jurisdikciji v skladu z </w:t>
      </w:r>
      <w:proofErr w:type="spellStart"/>
      <w:r w:rsidRPr="008752B8">
        <w:rPr>
          <w:rFonts w:ascii="Arial" w:hAnsi="Arial" w:cs="Arial"/>
          <w:sz w:val="20"/>
          <w:szCs w:val="20"/>
        </w:rPr>
        <w:t>CbCR</w:t>
      </w:r>
      <w:proofErr w:type="spellEnd"/>
      <w:r w:rsidRPr="008752B8">
        <w:rPr>
          <w:rFonts w:ascii="Arial" w:hAnsi="Arial" w:cs="Arial"/>
          <w:sz w:val="20"/>
          <w:szCs w:val="20"/>
        </w:rPr>
        <w:t xml:space="preserve">, kot je izračunan v skladu s pravili </w:t>
      </w:r>
      <w:r w:rsidR="00327EE7" w:rsidRPr="008752B8">
        <w:rPr>
          <w:rFonts w:ascii="Arial" w:hAnsi="Arial" w:cs="Arial"/>
          <w:sz w:val="20"/>
          <w:szCs w:val="20"/>
        </w:rPr>
        <w:t>povrhnjega davka</w:t>
      </w:r>
      <w:r w:rsidRPr="008752B8">
        <w:rPr>
          <w:rFonts w:ascii="Arial" w:hAnsi="Arial" w:cs="Arial"/>
          <w:sz w:val="20"/>
          <w:szCs w:val="20"/>
        </w:rPr>
        <w:t>.</w:t>
      </w:r>
    </w:p>
    <w:p w14:paraId="7AEDA5FC" w14:textId="77777777" w:rsidR="007B1F4F" w:rsidRPr="008752B8" w:rsidRDefault="00327EE7" w:rsidP="008752B8">
      <w:pPr>
        <w:jc w:val="both"/>
        <w:rPr>
          <w:rFonts w:ascii="Arial" w:hAnsi="Arial" w:cs="Arial"/>
          <w:b/>
          <w:bCs/>
          <w:sz w:val="20"/>
          <w:szCs w:val="20"/>
        </w:rPr>
      </w:pPr>
      <w:r w:rsidRPr="008752B8">
        <w:rPr>
          <w:rFonts w:ascii="Arial" w:hAnsi="Arial" w:cs="Arial"/>
          <w:b/>
          <w:bCs/>
          <w:sz w:val="20"/>
          <w:szCs w:val="20"/>
        </w:rPr>
        <w:lastRenderedPageBreak/>
        <w:t>Opredelitve pravil:</w:t>
      </w:r>
    </w:p>
    <w:p w14:paraId="0A05C071" w14:textId="77777777" w:rsidR="007B1F4F" w:rsidRPr="008752B8" w:rsidRDefault="007B1F4F" w:rsidP="008752B8">
      <w:pPr>
        <w:jc w:val="both"/>
        <w:rPr>
          <w:rFonts w:ascii="Arial" w:hAnsi="Arial" w:cs="Arial"/>
          <w:sz w:val="20"/>
          <w:szCs w:val="20"/>
        </w:rPr>
      </w:pPr>
      <w:r w:rsidRPr="008752B8">
        <w:rPr>
          <w:rFonts w:ascii="Arial" w:hAnsi="Arial" w:cs="Arial"/>
          <w:b/>
          <w:bCs/>
          <w:sz w:val="20"/>
          <w:szCs w:val="20"/>
        </w:rPr>
        <w:t xml:space="preserve">Poenostavljeni </w:t>
      </w:r>
      <w:r w:rsidR="00197BCE" w:rsidRPr="008752B8">
        <w:rPr>
          <w:rFonts w:ascii="Arial" w:hAnsi="Arial" w:cs="Arial"/>
          <w:b/>
          <w:bCs/>
          <w:sz w:val="20"/>
          <w:szCs w:val="20"/>
        </w:rPr>
        <w:t>zajeti</w:t>
      </w:r>
      <w:r w:rsidRPr="008752B8">
        <w:rPr>
          <w:rFonts w:ascii="Arial" w:hAnsi="Arial" w:cs="Arial"/>
          <w:b/>
          <w:bCs/>
          <w:sz w:val="20"/>
          <w:szCs w:val="20"/>
        </w:rPr>
        <w:t xml:space="preserve"> davki</w:t>
      </w:r>
      <w:r w:rsidRPr="008752B8">
        <w:rPr>
          <w:rFonts w:ascii="Arial" w:hAnsi="Arial" w:cs="Arial"/>
          <w:sz w:val="20"/>
          <w:szCs w:val="20"/>
        </w:rPr>
        <w:t xml:space="preserve"> so </w:t>
      </w:r>
      <w:r w:rsidR="00197BCE" w:rsidRPr="008752B8">
        <w:rPr>
          <w:rFonts w:ascii="Arial" w:hAnsi="Arial" w:cs="Arial"/>
          <w:sz w:val="20"/>
          <w:szCs w:val="20"/>
        </w:rPr>
        <w:t>davčni odhodki</w:t>
      </w:r>
      <w:r w:rsidRPr="008752B8">
        <w:rPr>
          <w:rFonts w:ascii="Arial" w:hAnsi="Arial" w:cs="Arial"/>
          <w:sz w:val="20"/>
          <w:szCs w:val="20"/>
        </w:rPr>
        <w:t xml:space="preserve"> jurisdikcije, kot je navedeno v </w:t>
      </w:r>
      <w:r w:rsidR="00197BCE" w:rsidRPr="008752B8">
        <w:rPr>
          <w:rFonts w:ascii="Arial" w:hAnsi="Arial" w:cs="Arial"/>
          <w:sz w:val="20"/>
          <w:szCs w:val="20"/>
        </w:rPr>
        <w:t>k</w:t>
      </w:r>
      <w:r w:rsidRPr="008752B8">
        <w:rPr>
          <w:rFonts w:ascii="Arial" w:hAnsi="Arial" w:cs="Arial"/>
          <w:sz w:val="20"/>
          <w:szCs w:val="20"/>
        </w:rPr>
        <w:t xml:space="preserve">valificiranem finančnem poročilu MNE skupine, po </w:t>
      </w:r>
      <w:r w:rsidR="00197BCE" w:rsidRPr="008752B8">
        <w:rPr>
          <w:rFonts w:ascii="Arial" w:hAnsi="Arial" w:cs="Arial"/>
          <w:sz w:val="20"/>
          <w:szCs w:val="20"/>
        </w:rPr>
        <w:t>izključitvi</w:t>
      </w:r>
      <w:r w:rsidRPr="008752B8">
        <w:rPr>
          <w:rFonts w:ascii="Arial" w:hAnsi="Arial" w:cs="Arial"/>
          <w:sz w:val="20"/>
          <w:szCs w:val="20"/>
        </w:rPr>
        <w:t xml:space="preserve"> davkov, ki niso </w:t>
      </w:r>
      <w:r w:rsidR="00197BCE" w:rsidRPr="008752B8">
        <w:rPr>
          <w:rFonts w:ascii="Arial" w:hAnsi="Arial" w:cs="Arial"/>
          <w:sz w:val="20"/>
          <w:szCs w:val="20"/>
        </w:rPr>
        <w:t>zajeti</w:t>
      </w:r>
      <w:r w:rsidRPr="008752B8">
        <w:rPr>
          <w:rFonts w:ascii="Arial" w:hAnsi="Arial" w:cs="Arial"/>
          <w:sz w:val="20"/>
          <w:szCs w:val="20"/>
        </w:rPr>
        <w:t xml:space="preserve"> davki, in ne</w:t>
      </w:r>
      <w:r w:rsidR="00197BCE" w:rsidRPr="008752B8">
        <w:rPr>
          <w:rFonts w:ascii="Arial" w:hAnsi="Arial" w:cs="Arial"/>
          <w:sz w:val="20"/>
          <w:szCs w:val="20"/>
        </w:rPr>
        <w:t>gotovih</w:t>
      </w:r>
      <w:r w:rsidRPr="008752B8">
        <w:rPr>
          <w:rFonts w:ascii="Arial" w:hAnsi="Arial" w:cs="Arial"/>
          <w:sz w:val="20"/>
          <w:szCs w:val="20"/>
        </w:rPr>
        <w:t xml:space="preserve"> davčnih položajev, navedenih v </w:t>
      </w:r>
      <w:r w:rsidR="00197BCE" w:rsidRPr="008752B8">
        <w:rPr>
          <w:rFonts w:ascii="Arial" w:hAnsi="Arial" w:cs="Arial"/>
          <w:sz w:val="20"/>
          <w:szCs w:val="20"/>
        </w:rPr>
        <w:t>k</w:t>
      </w:r>
      <w:r w:rsidRPr="008752B8">
        <w:rPr>
          <w:rFonts w:ascii="Arial" w:hAnsi="Arial" w:cs="Arial"/>
          <w:sz w:val="20"/>
          <w:szCs w:val="20"/>
        </w:rPr>
        <w:t>valificiranem finančnem poročilu MNE skupine.</w:t>
      </w:r>
    </w:p>
    <w:p w14:paraId="19B46753" w14:textId="77777777" w:rsidR="007B1F4F" w:rsidRPr="008752B8" w:rsidRDefault="007B1F4F" w:rsidP="008752B8">
      <w:pPr>
        <w:jc w:val="both"/>
        <w:rPr>
          <w:rFonts w:ascii="Arial" w:hAnsi="Arial" w:cs="Arial"/>
          <w:sz w:val="20"/>
          <w:szCs w:val="20"/>
        </w:rPr>
      </w:pPr>
      <w:r w:rsidRPr="008752B8">
        <w:rPr>
          <w:rFonts w:ascii="Arial" w:hAnsi="Arial" w:cs="Arial"/>
          <w:b/>
          <w:bCs/>
          <w:sz w:val="20"/>
          <w:szCs w:val="20"/>
        </w:rPr>
        <w:t>Poenostavljen</w:t>
      </w:r>
      <w:r w:rsidR="005C6895">
        <w:rPr>
          <w:rFonts w:ascii="Arial" w:hAnsi="Arial" w:cs="Arial"/>
          <w:b/>
          <w:bCs/>
          <w:sz w:val="20"/>
          <w:szCs w:val="20"/>
        </w:rPr>
        <w:t>a</w:t>
      </w:r>
      <w:r w:rsidRPr="008752B8">
        <w:rPr>
          <w:rFonts w:ascii="Arial" w:hAnsi="Arial" w:cs="Arial"/>
          <w:b/>
          <w:bCs/>
          <w:sz w:val="20"/>
          <w:szCs w:val="20"/>
        </w:rPr>
        <w:t xml:space="preserve"> ETR</w:t>
      </w:r>
      <w:r w:rsidRPr="008752B8">
        <w:rPr>
          <w:rFonts w:ascii="Arial" w:hAnsi="Arial" w:cs="Arial"/>
          <w:sz w:val="20"/>
          <w:szCs w:val="20"/>
        </w:rPr>
        <w:t xml:space="preserve"> se izračuna z deljenjem poenostavljenih </w:t>
      </w:r>
      <w:r w:rsidR="00197BCE" w:rsidRPr="008752B8">
        <w:rPr>
          <w:rFonts w:ascii="Arial" w:hAnsi="Arial" w:cs="Arial"/>
          <w:sz w:val="20"/>
          <w:szCs w:val="20"/>
        </w:rPr>
        <w:t>zajetih</w:t>
      </w:r>
      <w:r w:rsidRPr="008752B8">
        <w:rPr>
          <w:rFonts w:ascii="Arial" w:hAnsi="Arial" w:cs="Arial"/>
          <w:sz w:val="20"/>
          <w:szCs w:val="20"/>
        </w:rPr>
        <w:t xml:space="preserve"> davkov jurisdikcije </w:t>
      </w:r>
      <w:r w:rsidR="00197BCE" w:rsidRPr="008752B8">
        <w:rPr>
          <w:rFonts w:ascii="Arial" w:hAnsi="Arial" w:cs="Arial"/>
          <w:sz w:val="20"/>
          <w:szCs w:val="20"/>
        </w:rPr>
        <w:t>z</w:t>
      </w:r>
      <w:r w:rsidRPr="008752B8">
        <w:rPr>
          <w:rFonts w:ascii="Arial" w:hAnsi="Arial" w:cs="Arial"/>
          <w:sz w:val="20"/>
          <w:szCs w:val="20"/>
        </w:rPr>
        <w:t xml:space="preserve"> dobičkom (izgubo) pred obdavčitvijo z </w:t>
      </w:r>
      <w:r w:rsidR="00197BCE" w:rsidRPr="008752B8">
        <w:rPr>
          <w:rFonts w:ascii="Arial" w:hAnsi="Arial" w:cs="Arial"/>
          <w:sz w:val="20"/>
          <w:szCs w:val="20"/>
        </w:rPr>
        <w:t>davkom od dohodka</w:t>
      </w:r>
      <w:r w:rsidRPr="008752B8">
        <w:rPr>
          <w:rFonts w:ascii="Arial" w:hAnsi="Arial" w:cs="Arial"/>
          <w:sz w:val="20"/>
          <w:szCs w:val="20"/>
        </w:rPr>
        <w:t xml:space="preserve">, kot je </w:t>
      </w:r>
      <w:r w:rsidR="00197BCE" w:rsidRPr="008752B8">
        <w:rPr>
          <w:rFonts w:ascii="Arial" w:hAnsi="Arial" w:cs="Arial"/>
          <w:sz w:val="20"/>
          <w:szCs w:val="20"/>
        </w:rPr>
        <w:t>poročano</w:t>
      </w:r>
      <w:r w:rsidRPr="008752B8">
        <w:rPr>
          <w:rFonts w:ascii="Arial" w:hAnsi="Arial" w:cs="Arial"/>
          <w:sz w:val="20"/>
          <w:szCs w:val="20"/>
        </w:rPr>
        <w:t xml:space="preserve"> v </w:t>
      </w:r>
      <w:r w:rsidR="00197BCE" w:rsidRPr="008752B8">
        <w:rPr>
          <w:rFonts w:ascii="Arial" w:hAnsi="Arial" w:cs="Arial"/>
          <w:sz w:val="20"/>
          <w:szCs w:val="20"/>
        </w:rPr>
        <w:t>k</w:t>
      </w:r>
      <w:r w:rsidRPr="008752B8">
        <w:rPr>
          <w:rFonts w:ascii="Arial" w:hAnsi="Arial" w:cs="Arial"/>
          <w:sz w:val="20"/>
          <w:szCs w:val="20"/>
        </w:rPr>
        <w:t xml:space="preserve">valificiranem poročilu o </w:t>
      </w:r>
      <w:proofErr w:type="spellStart"/>
      <w:r w:rsidRPr="008752B8">
        <w:rPr>
          <w:rFonts w:ascii="Arial" w:hAnsi="Arial" w:cs="Arial"/>
          <w:sz w:val="20"/>
          <w:szCs w:val="20"/>
        </w:rPr>
        <w:t>CbC</w:t>
      </w:r>
      <w:proofErr w:type="spellEnd"/>
      <w:r w:rsidRPr="008752B8">
        <w:rPr>
          <w:rFonts w:ascii="Arial" w:hAnsi="Arial" w:cs="Arial"/>
          <w:sz w:val="20"/>
          <w:szCs w:val="20"/>
        </w:rPr>
        <w:t xml:space="preserve"> MNE skupine.</w:t>
      </w:r>
    </w:p>
    <w:p w14:paraId="38EC9E70" w14:textId="77777777" w:rsidR="007B1F4F" w:rsidRPr="008752B8" w:rsidRDefault="007B1F4F" w:rsidP="008752B8">
      <w:pPr>
        <w:jc w:val="both"/>
        <w:rPr>
          <w:rFonts w:ascii="Arial" w:hAnsi="Arial" w:cs="Arial"/>
          <w:sz w:val="20"/>
          <w:szCs w:val="20"/>
        </w:rPr>
      </w:pPr>
      <w:r w:rsidRPr="008752B8">
        <w:rPr>
          <w:rFonts w:ascii="Arial" w:hAnsi="Arial" w:cs="Arial"/>
          <w:b/>
          <w:bCs/>
          <w:sz w:val="20"/>
          <w:szCs w:val="20"/>
        </w:rPr>
        <w:t>Prehodno obdobje</w:t>
      </w:r>
      <w:r w:rsidRPr="008752B8">
        <w:rPr>
          <w:rFonts w:ascii="Arial" w:hAnsi="Arial" w:cs="Arial"/>
          <w:sz w:val="20"/>
          <w:szCs w:val="20"/>
        </w:rPr>
        <w:t xml:space="preserve"> zajema vsa poslovna leta, ki se začnejo pred 31.12.2026, vendar ne vključuje poslovnega leta, ki se konča po 30.6.2028.</w:t>
      </w:r>
    </w:p>
    <w:p w14:paraId="68870CDF" w14:textId="77777777" w:rsidR="007B1F4F" w:rsidRPr="008752B8" w:rsidRDefault="007B1F4F" w:rsidP="008752B8">
      <w:pPr>
        <w:jc w:val="both"/>
        <w:rPr>
          <w:rFonts w:ascii="Arial" w:hAnsi="Arial" w:cs="Arial"/>
          <w:sz w:val="20"/>
          <w:szCs w:val="20"/>
        </w:rPr>
      </w:pPr>
      <w:r w:rsidRPr="008752B8">
        <w:rPr>
          <w:rFonts w:ascii="Arial" w:hAnsi="Arial" w:cs="Arial"/>
          <w:b/>
          <w:bCs/>
          <w:sz w:val="20"/>
          <w:szCs w:val="20"/>
        </w:rPr>
        <w:t>Prehodna stopnja</w:t>
      </w:r>
      <w:r w:rsidRPr="008752B8">
        <w:rPr>
          <w:rFonts w:ascii="Arial" w:hAnsi="Arial" w:cs="Arial"/>
          <w:sz w:val="20"/>
          <w:szCs w:val="20"/>
        </w:rPr>
        <w:t xml:space="preserve"> pomeni:</w:t>
      </w:r>
    </w:p>
    <w:p w14:paraId="2005AD37" w14:textId="77777777" w:rsidR="007B1F4F" w:rsidRPr="008752B8" w:rsidRDefault="007B1F4F" w:rsidP="008752B8">
      <w:pPr>
        <w:jc w:val="both"/>
        <w:rPr>
          <w:rFonts w:ascii="Arial" w:hAnsi="Arial" w:cs="Arial"/>
          <w:sz w:val="20"/>
          <w:szCs w:val="20"/>
        </w:rPr>
      </w:pPr>
      <w:r w:rsidRPr="008752B8">
        <w:rPr>
          <w:rFonts w:ascii="Arial" w:hAnsi="Arial" w:cs="Arial"/>
          <w:sz w:val="20"/>
          <w:szCs w:val="20"/>
        </w:rPr>
        <w:t>(a) 15% za poslovna leta, ki se začnejo leta 2023 in 2024;</w:t>
      </w:r>
    </w:p>
    <w:p w14:paraId="14D2E788" w14:textId="77777777" w:rsidR="007B1F4F" w:rsidRPr="008752B8" w:rsidRDefault="007B1F4F" w:rsidP="008752B8">
      <w:pPr>
        <w:jc w:val="both"/>
        <w:rPr>
          <w:rFonts w:ascii="Arial" w:hAnsi="Arial" w:cs="Arial"/>
          <w:sz w:val="20"/>
          <w:szCs w:val="20"/>
        </w:rPr>
      </w:pPr>
      <w:r w:rsidRPr="008752B8">
        <w:rPr>
          <w:rFonts w:ascii="Arial" w:hAnsi="Arial" w:cs="Arial"/>
          <w:sz w:val="20"/>
          <w:szCs w:val="20"/>
        </w:rPr>
        <w:t>(b) 16% za poslovna leta, ki se začnejo leta 2025; in</w:t>
      </w:r>
    </w:p>
    <w:p w14:paraId="7A0909FE" w14:textId="77777777" w:rsidR="007B1F4F" w:rsidRPr="008752B8" w:rsidRDefault="007B1F4F" w:rsidP="008752B8">
      <w:pPr>
        <w:jc w:val="both"/>
        <w:rPr>
          <w:rFonts w:ascii="Arial" w:hAnsi="Arial" w:cs="Arial"/>
          <w:sz w:val="20"/>
          <w:szCs w:val="20"/>
        </w:rPr>
      </w:pPr>
      <w:r w:rsidRPr="008752B8">
        <w:rPr>
          <w:rFonts w:ascii="Arial" w:hAnsi="Arial" w:cs="Arial"/>
          <w:sz w:val="20"/>
          <w:szCs w:val="20"/>
        </w:rPr>
        <w:t>(c) 17% za poslovna leta, ki se začnejo leta 2026.</w:t>
      </w:r>
    </w:p>
    <w:p w14:paraId="47D16150" w14:textId="77777777" w:rsidR="0085103C" w:rsidRPr="008752B8" w:rsidRDefault="0085103C" w:rsidP="008752B8">
      <w:pPr>
        <w:jc w:val="both"/>
        <w:rPr>
          <w:rFonts w:ascii="Arial" w:hAnsi="Arial" w:cs="Arial"/>
          <w:sz w:val="20"/>
          <w:szCs w:val="20"/>
        </w:rPr>
      </w:pPr>
      <w:r w:rsidRPr="008752B8">
        <w:rPr>
          <w:rFonts w:ascii="Arial" w:hAnsi="Arial" w:cs="Arial"/>
          <w:sz w:val="20"/>
          <w:szCs w:val="20"/>
        </w:rPr>
        <w:t>V</w:t>
      </w:r>
      <w:r w:rsidRPr="0085103C">
        <w:rPr>
          <w:rFonts w:ascii="Arial" w:hAnsi="Arial" w:cs="Arial"/>
          <w:sz w:val="20"/>
          <w:szCs w:val="20"/>
        </w:rPr>
        <w:t>arni pristan, opisan v tem</w:t>
      </w:r>
      <w:r w:rsidRPr="008752B8">
        <w:rPr>
          <w:rFonts w:ascii="Arial" w:hAnsi="Arial" w:cs="Arial"/>
          <w:sz w:val="20"/>
          <w:szCs w:val="20"/>
        </w:rPr>
        <w:t xml:space="preserve"> delu</w:t>
      </w:r>
      <w:r w:rsidRPr="0085103C">
        <w:rPr>
          <w:rFonts w:ascii="Arial" w:hAnsi="Arial" w:cs="Arial"/>
          <w:sz w:val="20"/>
          <w:szCs w:val="20"/>
        </w:rPr>
        <w:t xml:space="preserve">, je zasnovan tako, da zagotavlja prehodno </w:t>
      </w:r>
      <w:r w:rsidRPr="008752B8">
        <w:rPr>
          <w:rFonts w:ascii="Arial" w:hAnsi="Arial" w:cs="Arial"/>
          <w:sz w:val="20"/>
          <w:szCs w:val="20"/>
        </w:rPr>
        <w:t>poenostavitev</w:t>
      </w:r>
      <w:r w:rsidRPr="0085103C">
        <w:rPr>
          <w:rFonts w:ascii="Arial" w:hAnsi="Arial" w:cs="Arial"/>
          <w:sz w:val="20"/>
          <w:szCs w:val="20"/>
        </w:rPr>
        <w:t xml:space="preserve"> za MNE skupine v začetnih letih velja</w:t>
      </w:r>
      <w:r w:rsidRPr="008752B8">
        <w:rPr>
          <w:rFonts w:ascii="Arial" w:hAnsi="Arial" w:cs="Arial"/>
          <w:sz w:val="20"/>
          <w:szCs w:val="20"/>
        </w:rPr>
        <w:t>ve povrhnjega davka</w:t>
      </w:r>
      <w:r w:rsidRPr="0085103C">
        <w:rPr>
          <w:rFonts w:ascii="Arial" w:hAnsi="Arial" w:cs="Arial"/>
          <w:sz w:val="20"/>
          <w:szCs w:val="20"/>
        </w:rPr>
        <w:t xml:space="preserve">. Ta varni pristan skuša </w:t>
      </w:r>
      <w:r w:rsidRPr="008752B8">
        <w:rPr>
          <w:rFonts w:ascii="Arial" w:hAnsi="Arial" w:cs="Arial"/>
          <w:sz w:val="20"/>
          <w:szCs w:val="20"/>
        </w:rPr>
        <w:t>zmanjšati morebitne</w:t>
      </w:r>
      <w:r w:rsidRPr="0085103C">
        <w:rPr>
          <w:rFonts w:ascii="Arial" w:hAnsi="Arial" w:cs="Arial"/>
          <w:sz w:val="20"/>
          <w:szCs w:val="20"/>
        </w:rPr>
        <w:t xml:space="preserve"> težave pri </w:t>
      </w:r>
      <w:r w:rsidRPr="008752B8">
        <w:rPr>
          <w:rFonts w:ascii="Arial" w:hAnsi="Arial" w:cs="Arial"/>
          <w:sz w:val="20"/>
          <w:szCs w:val="20"/>
        </w:rPr>
        <w:t>zagotavljanju spoštovanja pravil</w:t>
      </w:r>
      <w:r w:rsidRPr="0085103C">
        <w:rPr>
          <w:rFonts w:ascii="Arial" w:hAnsi="Arial" w:cs="Arial"/>
          <w:sz w:val="20"/>
          <w:szCs w:val="20"/>
        </w:rPr>
        <w:t xml:space="preserve">, s katerimi se bodo MNE podjetja soočala pri </w:t>
      </w:r>
      <w:r w:rsidRPr="008752B8">
        <w:rPr>
          <w:rFonts w:ascii="Arial" w:hAnsi="Arial" w:cs="Arial"/>
          <w:sz w:val="20"/>
          <w:szCs w:val="20"/>
        </w:rPr>
        <w:t xml:space="preserve">pripravi </w:t>
      </w:r>
      <w:r w:rsidRPr="0085103C">
        <w:rPr>
          <w:rFonts w:ascii="Arial" w:hAnsi="Arial" w:cs="Arial"/>
          <w:sz w:val="20"/>
          <w:szCs w:val="20"/>
        </w:rPr>
        <w:t xml:space="preserve">sistemov za zbiranje podatkov, potrebnih za izvajanje </w:t>
      </w:r>
      <w:r w:rsidRPr="008752B8">
        <w:rPr>
          <w:rFonts w:ascii="Arial" w:hAnsi="Arial" w:cs="Arial"/>
          <w:sz w:val="20"/>
          <w:szCs w:val="20"/>
        </w:rPr>
        <w:t>celovitih</w:t>
      </w:r>
      <w:r w:rsidRPr="0085103C">
        <w:rPr>
          <w:rFonts w:ascii="Arial" w:hAnsi="Arial" w:cs="Arial"/>
          <w:sz w:val="20"/>
          <w:szCs w:val="20"/>
        </w:rPr>
        <w:t xml:space="preserve"> izračunov </w:t>
      </w:r>
      <w:r w:rsidRPr="008752B8">
        <w:rPr>
          <w:rFonts w:ascii="Arial" w:hAnsi="Arial" w:cs="Arial"/>
          <w:sz w:val="20"/>
          <w:szCs w:val="20"/>
        </w:rPr>
        <w:t xml:space="preserve">povrhnjega davka. To se doseže preko varnega pristana </w:t>
      </w:r>
      <w:proofErr w:type="spellStart"/>
      <w:r w:rsidRPr="008752B8">
        <w:rPr>
          <w:rFonts w:ascii="Arial" w:hAnsi="Arial" w:cs="Arial"/>
          <w:sz w:val="20"/>
          <w:szCs w:val="20"/>
        </w:rPr>
        <w:t>C</w:t>
      </w:r>
      <w:r w:rsidR="005C6895">
        <w:rPr>
          <w:rFonts w:ascii="Arial" w:hAnsi="Arial" w:cs="Arial"/>
          <w:sz w:val="20"/>
          <w:szCs w:val="20"/>
        </w:rPr>
        <w:t>b</w:t>
      </w:r>
      <w:r w:rsidRPr="008752B8">
        <w:rPr>
          <w:rFonts w:ascii="Arial" w:hAnsi="Arial" w:cs="Arial"/>
          <w:sz w:val="20"/>
          <w:szCs w:val="20"/>
        </w:rPr>
        <w:t>C</w:t>
      </w:r>
      <w:r w:rsidR="005C6895">
        <w:rPr>
          <w:rFonts w:ascii="Arial" w:hAnsi="Arial" w:cs="Arial"/>
          <w:sz w:val="20"/>
          <w:szCs w:val="20"/>
        </w:rPr>
        <w:t>R</w:t>
      </w:r>
      <w:proofErr w:type="spellEnd"/>
      <w:r w:rsidRPr="008752B8">
        <w:rPr>
          <w:rFonts w:ascii="Arial" w:hAnsi="Arial" w:cs="Arial"/>
          <w:sz w:val="20"/>
          <w:szCs w:val="20"/>
        </w:rPr>
        <w:t xml:space="preserve"> tako,</w:t>
      </w:r>
      <w:r w:rsidRPr="0085103C">
        <w:rPr>
          <w:rFonts w:ascii="Arial" w:hAnsi="Arial" w:cs="Arial"/>
          <w:sz w:val="20"/>
          <w:szCs w:val="20"/>
        </w:rPr>
        <w:t xml:space="preserve"> da omeji okoliščine, v katerih bo od MNE zahtevano, da izvede </w:t>
      </w:r>
      <w:r w:rsidRPr="008752B8">
        <w:rPr>
          <w:rFonts w:ascii="Arial" w:hAnsi="Arial" w:cs="Arial"/>
          <w:sz w:val="20"/>
          <w:szCs w:val="20"/>
        </w:rPr>
        <w:t xml:space="preserve">temeljite </w:t>
      </w:r>
      <w:r w:rsidRPr="0085103C">
        <w:rPr>
          <w:rFonts w:ascii="Arial" w:hAnsi="Arial" w:cs="Arial"/>
          <w:sz w:val="20"/>
          <w:szCs w:val="20"/>
        </w:rPr>
        <w:t>izračune,</w:t>
      </w:r>
      <w:r w:rsidRPr="008752B8">
        <w:rPr>
          <w:rFonts w:ascii="Arial" w:hAnsi="Arial" w:cs="Arial"/>
          <w:sz w:val="20"/>
          <w:szCs w:val="20"/>
        </w:rPr>
        <w:t xml:space="preserve"> pri čemer bodo temeljiti izračuni potrebni pri</w:t>
      </w:r>
      <w:r w:rsidRPr="0085103C">
        <w:rPr>
          <w:rFonts w:ascii="Arial" w:hAnsi="Arial" w:cs="Arial"/>
          <w:sz w:val="20"/>
          <w:szCs w:val="20"/>
        </w:rPr>
        <w:t xml:space="preserve"> manjše</w:t>
      </w:r>
      <w:r w:rsidRPr="008752B8">
        <w:rPr>
          <w:rFonts w:ascii="Arial" w:hAnsi="Arial" w:cs="Arial"/>
          <w:sz w:val="20"/>
          <w:szCs w:val="20"/>
        </w:rPr>
        <w:t>m</w:t>
      </w:r>
      <w:r w:rsidRPr="0085103C">
        <w:rPr>
          <w:rFonts w:ascii="Arial" w:hAnsi="Arial" w:cs="Arial"/>
          <w:sz w:val="20"/>
          <w:szCs w:val="20"/>
        </w:rPr>
        <w:t xml:space="preserve"> števil</w:t>
      </w:r>
      <w:r w:rsidRPr="008752B8">
        <w:rPr>
          <w:rFonts w:ascii="Arial" w:hAnsi="Arial" w:cs="Arial"/>
          <w:sz w:val="20"/>
          <w:szCs w:val="20"/>
        </w:rPr>
        <w:t>u</w:t>
      </w:r>
      <w:r w:rsidRPr="0085103C">
        <w:rPr>
          <w:rFonts w:ascii="Arial" w:hAnsi="Arial" w:cs="Arial"/>
          <w:sz w:val="20"/>
          <w:szCs w:val="20"/>
        </w:rPr>
        <w:t xml:space="preserve"> višje tvegan</w:t>
      </w:r>
      <w:r w:rsidRPr="008752B8">
        <w:rPr>
          <w:rFonts w:ascii="Arial" w:hAnsi="Arial" w:cs="Arial"/>
          <w:sz w:val="20"/>
          <w:szCs w:val="20"/>
        </w:rPr>
        <w:t>ih</w:t>
      </w:r>
      <w:r w:rsidRPr="0085103C">
        <w:rPr>
          <w:rFonts w:ascii="Arial" w:hAnsi="Arial" w:cs="Arial"/>
          <w:sz w:val="20"/>
          <w:szCs w:val="20"/>
        </w:rPr>
        <w:t xml:space="preserve"> jurisdikcij. Oblikovanje varnega pristana je usmerjeno v jasna pravila, ki uporabljajo hitro dostopne in enostavno preverljive podatke, namesto da bi skušali doseči visoko stopnjo natančnosti z izvajanjem polnih izračunov </w:t>
      </w:r>
      <w:r w:rsidRPr="008752B8">
        <w:rPr>
          <w:rFonts w:ascii="Arial" w:hAnsi="Arial" w:cs="Arial"/>
          <w:sz w:val="20"/>
          <w:szCs w:val="20"/>
        </w:rPr>
        <w:t>povrhnjega davka</w:t>
      </w:r>
      <w:r w:rsidRPr="0085103C">
        <w:rPr>
          <w:rFonts w:ascii="Arial" w:hAnsi="Arial" w:cs="Arial"/>
          <w:sz w:val="20"/>
          <w:szCs w:val="20"/>
        </w:rPr>
        <w:t xml:space="preserve"> za določeno jurisdikcijo. Prehodn</w:t>
      </w:r>
      <w:r w:rsidRPr="008752B8">
        <w:rPr>
          <w:rFonts w:ascii="Arial" w:hAnsi="Arial" w:cs="Arial"/>
          <w:sz w:val="20"/>
          <w:szCs w:val="20"/>
        </w:rPr>
        <w:t>i</w:t>
      </w:r>
      <w:r w:rsidRPr="0085103C">
        <w:rPr>
          <w:rFonts w:ascii="Arial" w:hAnsi="Arial" w:cs="Arial"/>
          <w:sz w:val="20"/>
          <w:szCs w:val="20"/>
        </w:rPr>
        <w:t xml:space="preserve"> varn</w:t>
      </w:r>
      <w:r w:rsidRPr="008752B8">
        <w:rPr>
          <w:rFonts w:ascii="Arial" w:hAnsi="Arial" w:cs="Arial"/>
          <w:sz w:val="20"/>
          <w:szCs w:val="20"/>
        </w:rPr>
        <w:t>i</w:t>
      </w:r>
      <w:r w:rsidRPr="0085103C">
        <w:rPr>
          <w:rFonts w:ascii="Arial" w:hAnsi="Arial" w:cs="Arial"/>
          <w:sz w:val="20"/>
          <w:szCs w:val="20"/>
        </w:rPr>
        <w:t xml:space="preserve"> pristan </w:t>
      </w:r>
      <w:proofErr w:type="spellStart"/>
      <w:r w:rsidRPr="0085103C">
        <w:rPr>
          <w:rFonts w:ascii="Arial" w:hAnsi="Arial" w:cs="Arial"/>
          <w:sz w:val="20"/>
          <w:szCs w:val="20"/>
        </w:rPr>
        <w:t>CbCR</w:t>
      </w:r>
      <w:proofErr w:type="spellEnd"/>
      <w:r w:rsidRPr="0085103C">
        <w:rPr>
          <w:rFonts w:ascii="Arial" w:hAnsi="Arial" w:cs="Arial"/>
          <w:sz w:val="20"/>
          <w:szCs w:val="20"/>
        </w:rPr>
        <w:t xml:space="preserve"> deluje s pomočjo poenostavljenih podatkov o prihodkih in dohodkih za posamezne jurisdikcije, ki so vključeni v </w:t>
      </w:r>
      <w:r w:rsidRPr="008752B8">
        <w:rPr>
          <w:rFonts w:ascii="Arial" w:hAnsi="Arial" w:cs="Arial"/>
          <w:sz w:val="20"/>
          <w:szCs w:val="20"/>
        </w:rPr>
        <w:t>k</w:t>
      </w:r>
      <w:r w:rsidRPr="0085103C">
        <w:rPr>
          <w:rFonts w:ascii="Arial" w:hAnsi="Arial" w:cs="Arial"/>
          <w:sz w:val="20"/>
          <w:szCs w:val="20"/>
        </w:rPr>
        <w:t xml:space="preserve">valificiranem poročilu o </w:t>
      </w:r>
      <w:proofErr w:type="spellStart"/>
      <w:r w:rsidRPr="0085103C">
        <w:rPr>
          <w:rFonts w:ascii="Arial" w:hAnsi="Arial" w:cs="Arial"/>
          <w:sz w:val="20"/>
          <w:szCs w:val="20"/>
        </w:rPr>
        <w:t>CbC</w:t>
      </w:r>
      <w:proofErr w:type="spellEnd"/>
      <w:r w:rsidRPr="0085103C">
        <w:rPr>
          <w:rFonts w:ascii="Arial" w:hAnsi="Arial" w:cs="Arial"/>
          <w:sz w:val="20"/>
          <w:szCs w:val="20"/>
        </w:rPr>
        <w:t xml:space="preserve"> MNE skupine, ter podatkov o davkih v jurisdikcijah, ki so vključeni v </w:t>
      </w:r>
      <w:r w:rsidRPr="008752B8">
        <w:rPr>
          <w:rFonts w:ascii="Arial" w:hAnsi="Arial" w:cs="Arial"/>
          <w:sz w:val="20"/>
          <w:szCs w:val="20"/>
        </w:rPr>
        <w:t>k</w:t>
      </w:r>
      <w:r w:rsidRPr="0085103C">
        <w:rPr>
          <w:rFonts w:ascii="Arial" w:hAnsi="Arial" w:cs="Arial"/>
          <w:sz w:val="20"/>
          <w:szCs w:val="20"/>
        </w:rPr>
        <w:t>valificirane finančne izkaze MNE skupine.</w:t>
      </w:r>
    </w:p>
    <w:p w14:paraId="468F26A2" w14:textId="77777777" w:rsidR="0085103C" w:rsidRPr="008752B8" w:rsidRDefault="0085103C" w:rsidP="008752B8">
      <w:pPr>
        <w:jc w:val="both"/>
        <w:rPr>
          <w:rFonts w:ascii="Arial" w:hAnsi="Arial" w:cs="Arial"/>
          <w:sz w:val="20"/>
          <w:szCs w:val="20"/>
        </w:rPr>
      </w:pPr>
      <w:r w:rsidRPr="008752B8">
        <w:rPr>
          <w:rFonts w:ascii="Arial" w:hAnsi="Arial" w:cs="Arial"/>
          <w:sz w:val="20"/>
          <w:szCs w:val="20"/>
        </w:rPr>
        <w:t>Varni pristan v</w:t>
      </w:r>
      <w:r w:rsidRPr="0085103C">
        <w:rPr>
          <w:rFonts w:ascii="Arial" w:hAnsi="Arial" w:cs="Arial"/>
          <w:sz w:val="20"/>
          <w:szCs w:val="20"/>
        </w:rPr>
        <w:t>elja za jurisdikcije, v katerih se nahajajo subjekti v sestavi MNE ("</w:t>
      </w:r>
      <w:r w:rsidRPr="008752B8">
        <w:rPr>
          <w:rFonts w:ascii="Arial" w:hAnsi="Arial" w:cs="Arial"/>
          <w:sz w:val="20"/>
          <w:szCs w:val="20"/>
        </w:rPr>
        <w:t>t</w:t>
      </w:r>
      <w:r w:rsidRPr="0085103C">
        <w:rPr>
          <w:rFonts w:ascii="Arial" w:hAnsi="Arial" w:cs="Arial"/>
          <w:sz w:val="20"/>
          <w:szCs w:val="20"/>
        </w:rPr>
        <w:t xml:space="preserve">estirane jurisdikcije"). </w:t>
      </w:r>
    </w:p>
    <w:p w14:paraId="7CC9F641" w14:textId="77777777" w:rsidR="003441B9" w:rsidRPr="008752B8" w:rsidRDefault="0085103C" w:rsidP="008752B8">
      <w:pPr>
        <w:jc w:val="both"/>
        <w:rPr>
          <w:rFonts w:ascii="Arial" w:hAnsi="Arial" w:cs="Arial"/>
          <w:sz w:val="20"/>
          <w:szCs w:val="20"/>
        </w:rPr>
      </w:pPr>
      <w:r w:rsidRPr="0085103C">
        <w:rPr>
          <w:rFonts w:ascii="Arial" w:hAnsi="Arial" w:cs="Arial"/>
          <w:sz w:val="20"/>
          <w:szCs w:val="20"/>
        </w:rPr>
        <w:t>Delovanje varnega pristana poteka na naslednji način</w:t>
      </w:r>
      <w:r w:rsidRPr="008752B8">
        <w:rPr>
          <w:rFonts w:ascii="Arial" w:hAnsi="Arial" w:cs="Arial"/>
          <w:sz w:val="20"/>
          <w:szCs w:val="20"/>
        </w:rPr>
        <w:t>:</w:t>
      </w:r>
      <w:r w:rsidRPr="0085103C">
        <w:rPr>
          <w:rFonts w:ascii="Arial" w:hAnsi="Arial" w:cs="Arial"/>
          <w:sz w:val="20"/>
          <w:szCs w:val="20"/>
        </w:rPr>
        <w:t xml:space="preserve"> </w:t>
      </w:r>
      <w:r w:rsidR="003441B9" w:rsidRPr="008752B8">
        <w:rPr>
          <w:rFonts w:ascii="Arial" w:hAnsi="Arial" w:cs="Arial"/>
          <w:sz w:val="20"/>
          <w:szCs w:val="20"/>
        </w:rPr>
        <w:t>Prihodek</w:t>
      </w:r>
      <w:r w:rsidRPr="0085103C">
        <w:rPr>
          <w:rFonts w:ascii="Arial" w:hAnsi="Arial" w:cs="Arial"/>
          <w:sz w:val="20"/>
          <w:szCs w:val="20"/>
        </w:rPr>
        <w:t xml:space="preserve"> in </w:t>
      </w:r>
      <w:r w:rsidR="003441B9" w:rsidRPr="008752B8">
        <w:rPr>
          <w:rFonts w:ascii="Arial" w:hAnsi="Arial" w:cs="Arial"/>
          <w:sz w:val="20"/>
          <w:szCs w:val="20"/>
        </w:rPr>
        <w:t>dohodek</w:t>
      </w:r>
      <w:r w:rsidRPr="0085103C">
        <w:rPr>
          <w:rFonts w:ascii="Arial" w:hAnsi="Arial" w:cs="Arial"/>
          <w:sz w:val="20"/>
          <w:szCs w:val="20"/>
        </w:rPr>
        <w:t xml:space="preserve"> (izguba) pred </w:t>
      </w:r>
      <w:r w:rsidR="003441B9" w:rsidRPr="008752B8">
        <w:rPr>
          <w:rFonts w:ascii="Arial" w:hAnsi="Arial" w:cs="Arial"/>
          <w:sz w:val="20"/>
          <w:szCs w:val="20"/>
        </w:rPr>
        <w:t>o</w:t>
      </w:r>
      <w:r w:rsidRPr="0085103C">
        <w:rPr>
          <w:rFonts w:ascii="Arial" w:hAnsi="Arial" w:cs="Arial"/>
          <w:sz w:val="20"/>
          <w:szCs w:val="20"/>
        </w:rPr>
        <w:t xml:space="preserve">bdavčitvijo </w:t>
      </w:r>
      <w:r w:rsidR="003441B9" w:rsidRPr="008752B8">
        <w:rPr>
          <w:rFonts w:ascii="Arial" w:hAnsi="Arial" w:cs="Arial"/>
          <w:sz w:val="20"/>
          <w:szCs w:val="20"/>
        </w:rPr>
        <w:t>z davkom na dohodek</w:t>
      </w:r>
      <w:r w:rsidRPr="0085103C">
        <w:rPr>
          <w:rFonts w:ascii="Arial" w:hAnsi="Arial" w:cs="Arial"/>
          <w:sz w:val="20"/>
          <w:szCs w:val="20"/>
        </w:rPr>
        <w:t xml:space="preserve"> MNE skupine za vsako jurisdikcijo se neposredno </w:t>
      </w:r>
      <w:r w:rsidR="003441B9" w:rsidRPr="008752B8">
        <w:rPr>
          <w:rFonts w:ascii="Arial" w:hAnsi="Arial" w:cs="Arial"/>
          <w:sz w:val="20"/>
          <w:szCs w:val="20"/>
        </w:rPr>
        <w:t>določita z uporabo</w:t>
      </w:r>
      <w:r w:rsidRPr="0085103C">
        <w:rPr>
          <w:rFonts w:ascii="Arial" w:hAnsi="Arial" w:cs="Arial"/>
          <w:sz w:val="20"/>
          <w:szCs w:val="20"/>
        </w:rPr>
        <w:t xml:space="preserve"> </w:t>
      </w:r>
      <w:r w:rsidR="003441B9" w:rsidRPr="008752B8">
        <w:rPr>
          <w:rFonts w:ascii="Arial" w:hAnsi="Arial" w:cs="Arial"/>
          <w:sz w:val="20"/>
          <w:szCs w:val="20"/>
        </w:rPr>
        <w:t>k</w:t>
      </w:r>
      <w:r w:rsidRPr="0085103C">
        <w:rPr>
          <w:rFonts w:ascii="Arial" w:hAnsi="Arial" w:cs="Arial"/>
          <w:sz w:val="20"/>
          <w:szCs w:val="20"/>
        </w:rPr>
        <w:t xml:space="preserve">valificiranega poročila o </w:t>
      </w:r>
      <w:proofErr w:type="spellStart"/>
      <w:r w:rsidRPr="0085103C">
        <w:rPr>
          <w:rFonts w:ascii="Arial" w:hAnsi="Arial" w:cs="Arial"/>
          <w:sz w:val="20"/>
          <w:szCs w:val="20"/>
        </w:rPr>
        <w:t>CbC</w:t>
      </w:r>
      <w:proofErr w:type="spellEnd"/>
      <w:r w:rsidRPr="0085103C">
        <w:rPr>
          <w:rFonts w:ascii="Arial" w:hAnsi="Arial" w:cs="Arial"/>
          <w:sz w:val="20"/>
          <w:szCs w:val="20"/>
        </w:rPr>
        <w:t xml:space="preserve">. </w:t>
      </w:r>
    </w:p>
    <w:p w14:paraId="6AF920E9" w14:textId="77777777" w:rsidR="003441B9" w:rsidRPr="008752B8" w:rsidRDefault="003441B9" w:rsidP="008752B8">
      <w:pPr>
        <w:jc w:val="both"/>
        <w:rPr>
          <w:rFonts w:ascii="Arial" w:hAnsi="Arial" w:cs="Arial"/>
          <w:sz w:val="20"/>
          <w:szCs w:val="20"/>
        </w:rPr>
      </w:pPr>
      <w:r w:rsidRPr="008752B8">
        <w:rPr>
          <w:rFonts w:ascii="Arial" w:hAnsi="Arial" w:cs="Arial"/>
          <w:sz w:val="20"/>
          <w:szCs w:val="20"/>
        </w:rPr>
        <w:t xml:space="preserve">a. </w:t>
      </w:r>
      <w:r w:rsidR="0085103C" w:rsidRPr="0085103C">
        <w:rPr>
          <w:rFonts w:ascii="Arial" w:hAnsi="Arial" w:cs="Arial"/>
          <w:sz w:val="20"/>
          <w:szCs w:val="20"/>
        </w:rPr>
        <w:t xml:space="preserve">Če </w:t>
      </w:r>
      <w:r w:rsidRPr="008752B8">
        <w:rPr>
          <w:rFonts w:ascii="Arial" w:hAnsi="Arial" w:cs="Arial"/>
          <w:sz w:val="20"/>
          <w:szCs w:val="20"/>
        </w:rPr>
        <w:t>t</w:t>
      </w:r>
      <w:r w:rsidR="0085103C" w:rsidRPr="0085103C">
        <w:rPr>
          <w:rFonts w:ascii="Arial" w:hAnsi="Arial" w:cs="Arial"/>
          <w:sz w:val="20"/>
          <w:szCs w:val="20"/>
        </w:rPr>
        <w:t xml:space="preserve">estirana jurisdikcija ustvari prihodke in dohodke, ki izpolnjujejo test </w:t>
      </w:r>
      <w:r w:rsidRPr="008752B8">
        <w:rPr>
          <w:rFonts w:ascii="Arial" w:hAnsi="Arial" w:cs="Arial"/>
          <w:sz w:val="20"/>
          <w:szCs w:val="20"/>
        </w:rPr>
        <w:t>D</w:t>
      </w:r>
      <w:r w:rsidR="0085103C" w:rsidRPr="0085103C">
        <w:rPr>
          <w:rFonts w:ascii="Arial" w:hAnsi="Arial" w:cs="Arial"/>
          <w:sz w:val="20"/>
          <w:szCs w:val="20"/>
        </w:rPr>
        <w:t xml:space="preserve">e </w:t>
      </w:r>
      <w:proofErr w:type="spellStart"/>
      <w:r w:rsidR="0085103C" w:rsidRPr="0085103C">
        <w:rPr>
          <w:rFonts w:ascii="Arial" w:hAnsi="Arial" w:cs="Arial"/>
          <w:sz w:val="20"/>
          <w:szCs w:val="20"/>
        </w:rPr>
        <w:t>minimis</w:t>
      </w:r>
      <w:proofErr w:type="spellEnd"/>
      <w:r w:rsidR="0085103C" w:rsidRPr="0085103C">
        <w:rPr>
          <w:rFonts w:ascii="Arial" w:hAnsi="Arial" w:cs="Arial"/>
          <w:sz w:val="20"/>
          <w:szCs w:val="20"/>
        </w:rPr>
        <w:t xml:space="preserve">, potem </w:t>
      </w:r>
      <w:r w:rsidRPr="008752B8">
        <w:rPr>
          <w:rFonts w:ascii="Arial" w:hAnsi="Arial" w:cs="Arial"/>
          <w:sz w:val="20"/>
          <w:szCs w:val="20"/>
        </w:rPr>
        <w:t>t</w:t>
      </w:r>
      <w:r w:rsidR="0085103C" w:rsidRPr="0085103C">
        <w:rPr>
          <w:rFonts w:ascii="Arial" w:hAnsi="Arial" w:cs="Arial"/>
          <w:sz w:val="20"/>
          <w:szCs w:val="20"/>
        </w:rPr>
        <w:t xml:space="preserve">estirana jurisdikcija izpolnjuje pogoje za varni pristan. </w:t>
      </w:r>
    </w:p>
    <w:p w14:paraId="727069E0" w14:textId="77777777" w:rsidR="003441B9" w:rsidRPr="008752B8" w:rsidRDefault="003441B9" w:rsidP="008752B8">
      <w:pPr>
        <w:jc w:val="both"/>
        <w:rPr>
          <w:rFonts w:ascii="Arial" w:hAnsi="Arial" w:cs="Arial"/>
          <w:sz w:val="20"/>
          <w:szCs w:val="20"/>
        </w:rPr>
      </w:pPr>
      <w:r w:rsidRPr="008752B8">
        <w:rPr>
          <w:rFonts w:ascii="Arial" w:hAnsi="Arial" w:cs="Arial"/>
          <w:sz w:val="20"/>
          <w:szCs w:val="20"/>
        </w:rPr>
        <w:t xml:space="preserve">b. </w:t>
      </w:r>
      <w:r w:rsidR="0085103C" w:rsidRPr="0085103C">
        <w:rPr>
          <w:rFonts w:ascii="Arial" w:hAnsi="Arial" w:cs="Arial"/>
          <w:sz w:val="20"/>
          <w:szCs w:val="20"/>
        </w:rPr>
        <w:t xml:space="preserve">Testirana jurisdikcija se lahko prav tako uvrsti v varni pristan, če je njen ETR enak ali večji od prehodne stopnje. ETR se izračuna z uporabo podatkov o </w:t>
      </w:r>
      <w:r w:rsidRPr="008752B8">
        <w:rPr>
          <w:rFonts w:ascii="Arial" w:hAnsi="Arial" w:cs="Arial"/>
          <w:sz w:val="20"/>
          <w:szCs w:val="20"/>
        </w:rPr>
        <w:t>dohodku</w:t>
      </w:r>
      <w:r w:rsidR="0085103C" w:rsidRPr="0085103C">
        <w:rPr>
          <w:rFonts w:ascii="Arial" w:hAnsi="Arial" w:cs="Arial"/>
          <w:sz w:val="20"/>
          <w:szCs w:val="20"/>
        </w:rPr>
        <w:t xml:space="preserve"> (izgubi) pred obdavčitvijo </w:t>
      </w:r>
      <w:r w:rsidRPr="008752B8">
        <w:rPr>
          <w:rFonts w:ascii="Arial" w:hAnsi="Arial" w:cs="Arial"/>
          <w:sz w:val="20"/>
          <w:szCs w:val="20"/>
        </w:rPr>
        <w:t>z davkom od dohodkov</w:t>
      </w:r>
      <w:r w:rsidR="0085103C" w:rsidRPr="0085103C">
        <w:rPr>
          <w:rFonts w:ascii="Arial" w:hAnsi="Arial" w:cs="Arial"/>
          <w:sz w:val="20"/>
          <w:szCs w:val="20"/>
        </w:rPr>
        <w:t xml:space="preserve"> iz </w:t>
      </w:r>
      <w:proofErr w:type="spellStart"/>
      <w:r w:rsidR="0085103C" w:rsidRPr="0085103C">
        <w:rPr>
          <w:rFonts w:ascii="Arial" w:hAnsi="Arial" w:cs="Arial"/>
          <w:sz w:val="20"/>
          <w:szCs w:val="20"/>
        </w:rPr>
        <w:t>CbCR</w:t>
      </w:r>
      <w:proofErr w:type="spellEnd"/>
      <w:r w:rsidR="0085103C" w:rsidRPr="0085103C">
        <w:rPr>
          <w:rFonts w:ascii="Arial" w:hAnsi="Arial" w:cs="Arial"/>
          <w:sz w:val="20"/>
          <w:szCs w:val="20"/>
        </w:rPr>
        <w:t xml:space="preserve"> in </w:t>
      </w:r>
      <w:r w:rsidRPr="008752B8">
        <w:rPr>
          <w:rFonts w:ascii="Arial" w:hAnsi="Arial" w:cs="Arial"/>
          <w:sz w:val="20"/>
          <w:szCs w:val="20"/>
        </w:rPr>
        <w:t xml:space="preserve">odhodkov za </w:t>
      </w:r>
      <w:r w:rsidR="0085103C" w:rsidRPr="0085103C">
        <w:rPr>
          <w:rFonts w:ascii="Arial" w:hAnsi="Arial" w:cs="Arial"/>
          <w:sz w:val="20"/>
          <w:szCs w:val="20"/>
        </w:rPr>
        <w:t>dav</w:t>
      </w:r>
      <w:r w:rsidRPr="008752B8">
        <w:rPr>
          <w:rFonts w:ascii="Arial" w:hAnsi="Arial" w:cs="Arial"/>
          <w:sz w:val="20"/>
          <w:szCs w:val="20"/>
        </w:rPr>
        <w:t>ke</w:t>
      </w:r>
      <w:r w:rsidR="0085103C" w:rsidRPr="0085103C">
        <w:rPr>
          <w:rFonts w:ascii="Arial" w:hAnsi="Arial" w:cs="Arial"/>
          <w:sz w:val="20"/>
          <w:szCs w:val="20"/>
        </w:rPr>
        <w:t>, izkazan</w:t>
      </w:r>
      <w:r w:rsidRPr="008752B8">
        <w:rPr>
          <w:rFonts w:ascii="Arial" w:hAnsi="Arial" w:cs="Arial"/>
          <w:sz w:val="20"/>
          <w:szCs w:val="20"/>
        </w:rPr>
        <w:t>ih</w:t>
      </w:r>
      <w:r w:rsidR="0085103C" w:rsidRPr="0085103C">
        <w:rPr>
          <w:rFonts w:ascii="Arial" w:hAnsi="Arial" w:cs="Arial"/>
          <w:sz w:val="20"/>
          <w:szCs w:val="20"/>
        </w:rPr>
        <w:t xml:space="preserve"> v </w:t>
      </w:r>
      <w:r w:rsidRPr="008752B8">
        <w:rPr>
          <w:rFonts w:ascii="Arial" w:hAnsi="Arial" w:cs="Arial"/>
          <w:sz w:val="20"/>
          <w:szCs w:val="20"/>
        </w:rPr>
        <w:t>k</w:t>
      </w:r>
      <w:r w:rsidR="0085103C" w:rsidRPr="0085103C">
        <w:rPr>
          <w:rFonts w:ascii="Arial" w:hAnsi="Arial" w:cs="Arial"/>
          <w:sz w:val="20"/>
          <w:szCs w:val="20"/>
        </w:rPr>
        <w:t xml:space="preserve">valificiranih finančnih izkazih MNE skupine. </w:t>
      </w:r>
      <w:r w:rsidRPr="008752B8">
        <w:rPr>
          <w:rFonts w:ascii="Arial" w:hAnsi="Arial" w:cs="Arial"/>
          <w:sz w:val="20"/>
          <w:szCs w:val="20"/>
        </w:rPr>
        <w:t>Odhodki za davke</w:t>
      </w:r>
      <w:r w:rsidR="0085103C" w:rsidRPr="0085103C">
        <w:rPr>
          <w:rFonts w:ascii="Arial" w:hAnsi="Arial" w:cs="Arial"/>
          <w:sz w:val="20"/>
          <w:szCs w:val="20"/>
        </w:rPr>
        <w:t>, uporabljen za preizkus ETR, torej vključuje postavke</w:t>
      </w:r>
      <w:r w:rsidRPr="008752B8">
        <w:rPr>
          <w:rFonts w:ascii="Arial" w:hAnsi="Arial" w:cs="Arial"/>
          <w:sz w:val="20"/>
          <w:szCs w:val="20"/>
        </w:rPr>
        <w:t xml:space="preserve"> za odložene davke</w:t>
      </w:r>
      <w:r w:rsidR="0085103C" w:rsidRPr="0085103C">
        <w:rPr>
          <w:rFonts w:ascii="Arial" w:hAnsi="Arial" w:cs="Arial"/>
          <w:sz w:val="20"/>
          <w:szCs w:val="20"/>
        </w:rPr>
        <w:t xml:space="preserve"> in ne zahteva nobenih prilagoditev v skladu s pravili </w:t>
      </w:r>
      <w:proofErr w:type="spellStart"/>
      <w:r w:rsidR="0085103C" w:rsidRPr="0085103C">
        <w:rPr>
          <w:rFonts w:ascii="Arial" w:hAnsi="Arial" w:cs="Arial"/>
          <w:sz w:val="20"/>
          <w:szCs w:val="20"/>
        </w:rPr>
        <w:t>GloBE</w:t>
      </w:r>
      <w:proofErr w:type="spellEnd"/>
      <w:r w:rsidR="0085103C" w:rsidRPr="0085103C">
        <w:rPr>
          <w:rFonts w:ascii="Arial" w:hAnsi="Arial" w:cs="Arial"/>
          <w:sz w:val="20"/>
          <w:szCs w:val="20"/>
        </w:rPr>
        <w:t xml:space="preserve"> (kot so razporeditve davkov za CFC ali davki </w:t>
      </w:r>
      <w:proofErr w:type="spellStart"/>
      <w:r w:rsidR="0085103C" w:rsidRPr="0085103C">
        <w:rPr>
          <w:rFonts w:ascii="Arial" w:hAnsi="Arial" w:cs="Arial"/>
          <w:sz w:val="20"/>
          <w:szCs w:val="20"/>
        </w:rPr>
        <w:t>Main</w:t>
      </w:r>
      <w:proofErr w:type="spellEnd"/>
      <w:r w:rsidR="0085103C" w:rsidRPr="0085103C">
        <w:rPr>
          <w:rFonts w:ascii="Arial" w:hAnsi="Arial" w:cs="Arial"/>
          <w:sz w:val="20"/>
          <w:szCs w:val="20"/>
        </w:rPr>
        <w:t xml:space="preserve"> </w:t>
      </w:r>
      <w:proofErr w:type="spellStart"/>
      <w:r w:rsidR="0085103C" w:rsidRPr="0085103C">
        <w:rPr>
          <w:rFonts w:ascii="Arial" w:hAnsi="Arial" w:cs="Arial"/>
          <w:sz w:val="20"/>
          <w:szCs w:val="20"/>
        </w:rPr>
        <w:t>Entity</w:t>
      </w:r>
      <w:proofErr w:type="spellEnd"/>
      <w:r w:rsidR="0085103C" w:rsidRPr="0085103C">
        <w:rPr>
          <w:rFonts w:ascii="Arial" w:hAnsi="Arial" w:cs="Arial"/>
          <w:sz w:val="20"/>
          <w:szCs w:val="20"/>
        </w:rPr>
        <w:t>)</w:t>
      </w:r>
      <w:r w:rsidRPr="008752B8">
        <w:rPr>
          <w:rFonts w:ascii="Arial" w:hAnsi="Arial" w:cs="Arial"/>
          <w:sz w:val="20"/>
          <w:szCs w:val="20"/>
        </w:rPr>
        <w:t>. Zahteva pa</w:t>
      </w:r>
      <w:r w:rsidR="0085103C" w:rsidRPr="0085103C">
        <w:rPr>
          <w:rFonts w:ascii="Arial" w:hAnsi="Arial" w:cs="Arial"/>
          <w:sz w:val="20"/>
          <w:szCs w:val="20"/>
        </w:rPr>
        <w:t xml:space="preserve"> odstranit</w:t>
      </w:r>
      <w:r w:rsidRPr="008752B8">
        <w:rPr>
          <w:rFonts w:ascii="Arial" w:hAnsi="Arial" w:cs="Arial"/>
          <w:sz w:val="20"/>
          <w:szCs w:val="20"/>
        </w:rPr>
        <w:t>e</w:t>
      </w:r>
      <w:r w:rsidR="0085103C" w:rsidRPr="0085103C">
        <w:rPr>
          <w:rFonts w:ascii="Arial" w:hAnsi="Arial" w:cs="Arial"/>
          <w:sz w:val="20"/>
          <w:szCs w:val="20"/>
        </w:rPr>
        <w:t xml:space="preserve">v davkov, ki niso </w:t>
      </w:r>
      <w:r w:rsidRPr="008752B8">
        <w:rPr>
          <w:rFonts w:ascii="Arial" w:hAnsi="Arial" w:cs="Arial"/>
          <w:sz w:val="20"/>
          <w:szCs w:val="20"/>
        </w:rPr>
        <w:t xml:space="preserve">zajeti </w:t>
      </w:r>
      <w:r w:rsidR="0085103C" w:rsidRPr="0085103C">
        <w:rPr>
          <w:rFonts w:ascii="Arial" w:hAnsi="Arial" w:cs="Arial"/>
          <w:sz w:val="20"/>
          <w:szCs w:val="20"/>
        </w:rPr>
        <w:t>davki</w:t>
      </w:r>
      <w:r w:rsidRPr="008752B8">
        <w:rPr>
          <w:rFonts w:ascii="Arial" w:hAnsi="Arial" w:cs="Arial"/>
          <w:sz w:val="20"/>
          <w:szCs w:val="20"/>
        </w:rPr>
        <w:t>,</w:t>
      </w:r>
      <w:r w:rsidR="0085103C" w:rsidRPr="0085103C">
        <w:rPr>
          <w:rFonts w:ascii="Arial" w:hAnsi="Arial" w:cs="Arial"/>
          <w:sz w:val="20"/>
          <w:szCs w:val="20"/>
        </w:rPr>
        <w:t xml:space="preserve"> in negotov</w:t>
      </w:r>
      <w:r w:rsidRPr="008752B8">
        <w:rPr>
          <w:rFonts w:ascii="Arial" w:hAnsi="Arial" w:cs="Arial"/>
          <w:sz w:val="20"/>
          <w:szCs w:val="20"/>
        </w:rPr>
        <w:t>e</w:t>
      </w:r>
      <w:r w:rsidR="0085103C" w:rsidRPr="0085103C">
        <w:rPr>
          <w:rFonts w:ascii="Arial" w:hAnsi="Arial" w:cs="Arial"/>
          <w:sz w:val="20"/>
          <w:szCs w:val="20"/>
        </w:rPr>
        <w:t xml:space="preserve"> davčn</w:t>
      </w:r>
      <w:r w:rsidRPr="008752B8">
        <w:rPr>
          <w:rFonts w:ascii="Arial" w:hAnsi="Arial" w:cs="Arial"/>
          <w:sz w:val="20"/>
          <w:szCs w:val="20"/>
        </w:rPr>
        <w:t>e</w:t>
      </w:r>
      <w:r w:rsidR="0085103C" w:rsidRPr="0085103C">
        <w:rPr>
          <w:rFonts w:ascii="Arial" w:hAnsi="Arial" w:cs="Arial"/>
          <w:sz w:val="20"/>
          <w:szCs w:val="20"/>
        </w:rPr>
        <w:t xml:space="preserve"> položaj</w:t>
      </w:r>
      <w:r w:rsidRPr="008752B8">
        <w:rPr>
          <w:rFonts w:ascii="Arial" w:hAnsi="Arial" w:cs="Arial"/>
          <w:sz w:val="20"/>
          <w:szCs w:val="20"/>
        </w:rPr>
        <w:t>e</w:t>
      </w:r>
      <w:r w:rsidR="0085103C" w:rsidRPr="0085103C">
        <w:rPr>
          <w:rFonts w:ascii="Arial" w:hAnsi="Arial" w:cs="Arial"/>
          <w:sz w:val="20"/>
          <w:szCs w:val="20"/>
        </w:rPr>
        <w:t>.</w:t>
      </w:r>
    </w:p>
    <w:p w14:paraId="5D9AB17B" w14:textId="77777777" w:rsidR="003115ED" w:rsidRDefault="003441B9" w:rsidP="008752B8">
      <w:pPr>
        <w:jc w:val="both"/>
        <w:rPr>
          <w:rFonts w:ascii="Arial" w:hAnsi="Arial" w:cs="Arial"/>
          <w:sz w:val="20"/>
          <w:szCs w:val="20"/>
        </w:rPr>
      </w:pPr>
      <w:r w:rsidRPr="008752B8">
        <w:rPr>
          <w:rFonts w:ascii="Arial" w:hAnsi="Arial" w:cs="Arial"/>
          <w:sz w:val="20"/>
          <w:szCs w:val="20"/>
        </w:rPr>
        <w:t xml:space="preserve">c. </w:t>
      </w:r>
      <w:r w:rsidR="0085103C" w:rsidRPr="0085103C">
        <w:rPr>
          <w:rFonts w:ascii="Arial" w:hAnsi="Arial" w:cs="Arial"/>
          <w:sz w:val="20"/>
          <w:szCs w:val="20"/>
        </w:rPr>
        <w:t xml:space="preserve">Testirana jurisdikcija se lahko uvrsti v </w:t>
      </w:r>
      <w:r w:rsidRPr="008752B8">
        <w:rPr>
          <w:rFonts w:ascii="Arial" w:hAnsi="Arial" w:cs="Arial"/>
          <w:sz w:val="20"/>
          <w:szCs w:val="20"/>
        </w:rPr>
        <w:t>p</w:t>
      </w:r>
      <w:r w:rsidR="0085103C" w:rsidRPr="0085103C">
        <w:rPr>
          <w:rFonts w:ascii="Arial" w:hAnsi="Arial" w:cs="Arial"/>
          <w:sz w:val="20"/>
          <w:szCs w:val="20"/>
        </w:rPr>
        <w:t>rehodn</w:t>
      </w:r>
      <w:r w:rsidRPr="008752B8">
        <w:rPr>
          <w:rFonts w:ascii="Arial" w:hAnsi="Arial" w:cs="Arial"/>
          <w:sz w:val="20"/>
          <w:szCs w:val="20"/>
        </w:rPr>
        <w:t>i</w:t>
      </w:r>
      <w:r w:rsidR="0085103C" w:rsidRPr="0085103C">
        <w:rPr>
          <w:rFonts w:ascii="Arial" w:hAnsi="Arial" w:cs="Arial"/>
          <w:sz w:val="20"/>
          <w:szCs w:val="20"/>
        </w:rPr>
        <w:t xml:space="preserve"> varn</w:t>
      </w:r>
      <w:r w:rsidRPr="008752B8">
        <w:rPr>
          <w:rFonts w:ascii="Arial" w:hAnsi="Arial" w:cs="Arial"/>
          <w:sz w:val="20"/>
          <w:szCs w:val="20"/>
        </w:rPr>
        <w:t xml:space="preserve">i </w:t>
      </w:r>
      <w:r w:rsidR="0085103C" w:rsidRPr="0085103C">
        <w:rPr>
          <w:rFonts w:ascii="Arial" w:hAnsi="Arial" w:cs="Arial"/>
          <w:sz w:val="20"/>
          <w:szCs w:val="20"/>
        </w:rPr>
        <w:t xml:space="preserve">pristan </w:t>
      </w:r>
      <w:proofErr w:type="spellStart"/>
      <w:r w:rsidR="0085103C" w:rsidRPr="0085103C">
        <w:rPr>
          <w:rFonts w:ascii="Arial" w:hAnsi="Arial" w:cs="Arial"/>
          <w:sz w:val="20"/>
          <w:szCs w:val="20"/>
        </w:rPr>
        <w:t>CbCR</w:t>
      </w:r>
      <w:proofErr w:type="spellEnd"/>
      <w:r w:rsidR="0085103C" w:rsidRPr="0085103C">
        <w:rPr>
          <w:rFonts w:ascii="Arial" w:hAnsi="Arial" w:cs="Arial"/>
          <w:sz w:val="20"/>
          <w:szCs w:val="20"/>
        </w:rPr>
        <w:t xml:space="preserve">, če izpolni test za rutinski dobiček. V okviru tega testa bi MNE izračunal SBIE za jurisdikcijo v skladu s pravili </w:t>
      </w:r>
      <w:proofErr w:type="spellStart"/>
      <w:r w:rsidR="0085103C" w:rsidRPr="0085103C">
        <w:rPr>
          <w:rFonts w:ascii="Arial" w:hAnsi="Arial" w:cs="Arial"/>
          <w:sz w:val="20"/>
          <w:szCs w:val="20"/>
        </w:rPr>
        <w:t>GloBE</w:t>
      </w:r>
      <w:proofErr w:type="spellEnd"/>
      <w:r w:rsidR="0085103C" w:rsidRPr="0085103C">
        <w:rPr>
          <w:rFonts w:ascii="Arial" w:hAnsi="Arial" w:cs="Arial"/>
          <w:sz w:val="20"/>
          <w:szCs w:val="20"/>
        </w:rPr>
        <w:t xml:space="preserve"> (vključno s pojasnili in morebitnimi dogovorjenimi upravnimi smernicami) in ga primerjal z </w:t>
      </w:r>
      <w:r w:rsidR="00E344D0" w:rsidRPr="008752B8">
        <w:rPr>
          <w:rFonts w:ascii="Arial" w:hAnsi="Arial" w:cs="Arial"/>
          <w:sz w:val="20"/>
          <w:szCs w:val="20"/>
        </w:rPr>
        <w:t>dohodkom</w:t>
      </w:r>
      <w:r w:rsidR="0085103C" w:rsidRPr="0085103C">
        <w:rPr>
          <w:rFonts w:ascii="Arial" w:hAnsi="Arial" w:cs="Arial"/>
          <w:sz w:val="20"/>
          <w:szCs w:val="20"/>
        </w:rPr>
        <w:t xml:space="preserve"> (izgubo) pred obdavčitvijo z </w:t>
      </w:r>
      <w:r w:rsidRPr="008752B8">
        <w:rPr>
          <w:rFonts w:ascii="Arial" w:hAnsi="Arial" w:cs="Arial"/>
          <w:sz w:val="20"/>
          <w:szCs w:val="20"/>
        </w:rPr>
        <w:t>davkom od odhodkov</w:t>
      </w:r>
      <w:r w:rsidR="0085103C" w:rsidRPr="0085103C">
        <w:rPr>
          <w:rFonts w:ascii="Arial" w:hAnsi="Arial" w:cs="Arial"/>
          <w:sz w:val="20"/>
          <w:szCs w:val="20"/>
        </w:rPr>
        <w:t xml:space="preserve">, kot je </w:t>
      </w:r>
      <w:r w:rsidRPr="008752B8">
        <w:rPr>
          <w:rFonts w:ascii="Arial" w:hAnsi="Arial" w:cs="Arial"/>
          <w:sz w:val="20"/>
          <w:szCs w:val="20"/>
        </w:rPr>
        <w:t>poročano</w:t>
      </w:r>
      <w:r w:rsidR="0085103C" w:rsidRPr="0085103C">
        <w:rPr>
          <w:rFonts w:ascii="Arial" w:hAnsi="Arial" w:cs="Arial"/>
          <w:sz w:val="20"/>
          <w:szCs w:val="20"/>
        </w:rPr>
        <w:t xml:space="preserve"> v </w:t>
      </w:r>
      <w:r w:rsidRPr="008752B8">
        <w:rPr>
          <w:rFonts w:ascii="Arial" w:hAnsi="Arial" w:cs="Arial"/>
          <w:sz w:val="20"/>
          <w:szCs w:val="20"/>
        </w:rPr>
        <w:t>k</w:t>
      </w:r>
      <w:r w:rsidR="0085103C" w:rsidRPr="0085103C">
        <w:rPr>
          <w:rFonts w:ascii="Arial" w:hAnsi="Arial" w:cs="Arial"/>
          <w:sz w:val="20"/>
          <w:szCs w:val="20"/>
        </w:rPr>
        <w:t xml:space="preserve">valificiranem poročilu o </w:t>
      </w:r>
      <w:proofErr w:type="spellStart"/>
      <w:r w:rsidR="0085103C" w:rsidRPr="0085103C">
        <w:rPr>
          <w:rFonts w:ascii="Arial" w:hAnsi="Arial" w:cs="Arial"/>
          <w:sz w:val="20"/>
          <w:szCs w:val="20"/>
        </w:rPr>
        <w:t>CbC</w:t>
      </w:r>
      <w:proofErr w:type="spellEnd"/>
      <w:r w:rsidR="0085103C" w:rsidRPr="0085103C">
        <w:rPr>
          <w:rFonts w:ascii="Arial" w:hAnsi="Arial" w:cs="Arial"/>
          <w:sz w:val="20"/>
          <w:szCs w:val="20"/>
        </w:rPr>
        <w:t xml:space="preserve"> MNE skupine. Če SBIE za </w:t>
      </w:r>
      <w:r w:rsidR="00E344D0" w:rsidRPr="008752B8">
        <w:rPr>
          <w:rFonts w:ascii="Arial" w:hAnsi="Arial" w:cs="Arial"/>
          <w:sz w:val="20"/>
          <w:szCs w:val="20"/>
        </w:rPr>
        <w:t>t</w:t>
      </w:r>
      <w:r w:rsidR="0085103C" w:rsidRPr="0085103C">
        <w:rPr>
          <w:rFonts w:ascii="Arial" w:hAnsi="Arial" w:cs="Arial"/>
          <w:sz w:val="20"/>
          <w:szCs w:val="20"/>
        </w:rPr>
        <w:t xml:space="preserve">estirano jurisdikcijo enaka ali presega </w:t>
      </w:r>
      <w:r w:rsidR="00E344D0" w:rsidRPr="008752B8">
        <w:rPr>
          <w:rFonts w:ascii="Arial" w:hAnsi="Arial" w:cs="Arial"/>
          <w:sz w:val="20"/>
          <w:szCs w:val="20"/>
        </w:rPr>
        <w:t>dohodek</w:t>
      </w:r>
      <w:r w:rsidR="0085103C" w:rsidRPr="0085103C">
        <w:rPr>
          <w:rFonts w:ascii="Arial" w:hAnsi="Arial" w:cs="Arial"/>
          <w:sz w:val="20"/>
          <w:szCs w:val="20"/>
        </w:rPr>
        <w:t xml:space="preserve"> (izgubo) pred obdavčitvijo </w:t>
      </w:r>
      <w:r w:rsidR="00E344D0" w:rsidRPr="008752B8">
        <w:rPr>
          <w:rFonts w:ascii="Arial" w:hAnsi="Arial" w:cs="Arial"/>
          <w:sz w:val="20"/>
          <w:szCs w:val="20"/>
        </w:rPr>
        <w:t>v tej jurisdikciji</w:t>
      </w:r>
      <w:r w:rsidR="0085103C" w:rsidRPr="0085103C">
        <w:rPr>
          <w:rFonts w:ascii="Arial" w:hAnsi="Arial" w:cs="Arial"/>
          <w:sz w:val="20"/>
          <w:szCs w:val="20"/>
        </w:rPr>
        <w:t xml:space="preserve">, to pomeni, da je </w:t>
      </w:r>
      <w:r w:rsidR="00E344D0" w:rsidRPr="0085103C">
        <w:rPr>
          <w:rFonts w:ascii="Arial" w:hAnsi="Arial" w:cs="Arial"/>
          <w:sz w:val="20"/>
          <w:szCs w:val="20"/>
        </w:rPr>
        <w:t>manj verjetno</w:t>
      </w:r>
      <w:r w:rsidR="00E344D0" w:rsidRPr="008752B8">
        <w:rPr>
          <w:rFonts w:ascii="Arial" w:hAnsi="Arial" w:cs="Arial"/>
          <w:sz w:val="20"/>
          <w:szCs w:val="20"/>
        </w:rPr>
        <w:t>, da bodo v t</w:t>
      </w:r>
      <w:r w:rsidR="0085103C" w:rsidRPr="0085103C">
        <w:rPr>
          <w:rFonts w:ascii="Arial" w:hAnsi="Arial" w:cs="Arial"/>
          <w:sz w:val="20"/>
          <w:szCs w:val="20"/>
        </w:rPr>
        <w:t>estiran</w:t>
      </w:r>
      <w:r w:rsidR="00E344D0" w:rsidRPr="008752B8">
        <w:rPr>
          <w:rFonts w:ascii="Arial" w:hAnsi="Arial" w:cs="Arial"/>
          <w:sz w:val="20"/>
          <w:szCs w:val="20"/>
        </w:rPr>
        <w:t>i</w:t>
      </w:r>
      <w:r w:rsidR="0085103C" w:rsidRPr="0085103C">
        <w:rPr>
          <w:rFonts w:ascii="Arial" w:hAnsi="Arial" w:cs="Arial"/>
          <w:sz w:val="20"/>
          <w:szCs w:val="20"/>
        </w:rPr>
        <w:t xml:space="preserve"> jurisdikcij</w:t>
      </w:r>
      <w:r w:rsidR="00E344D0" w:rsidRPr="008752B8">
        <w:rPr>
          <w:rFonts w:ascii="Arial" w:hAnsi="Arial" w:cs="Arial"/>
          <w:sz w:val="20"/>
          <w:szCs w:val="20"/>
        </w:rPr>
        <w:t xml:space="preserve">i izkazani </w:t>
      </w:r>
      <w:r w:rsidR="0085103C" w:rsidRPr="0085103C">
        <w:rPr>
          <w:rFonts w:ascii="Arial" w:hAnsi="Arial" w:cs="Arial"/>
          <w:sz w:val="20"/>
          <w:szCs w:val="20"/>
        </w:rPr>
        <w:t>presežn</w:t>
      </w:r>
      <w:r w:rsidR="00E344D0" w:rsidRPr="008752B8">
        <w:rPr>
          <w:rFonts w:ascii="Arial" w:hAnsi="Arial" w:cs="Arial"/>
          <w:sz w:val="20"/>
          <w:szCs w:val="20"/>
        </w:rPr>
        <w:t>i</w:t>
      </w:r>
      <w:r w:rsidR="0085103C" w:rsidRPr="0085103C">
        <w:rPr>
          <w:rFonts w:ascii="Arial" w:hAnsi="Arial" w:cs="Arial"/>
          <w:sz w:val="20"/>
          <w:szCs w:val="20"/>
        </w:rPr>
        <w:t xml:space="preserve"> dobičk</w:t>
      </w:r>
      <w:r w:rsidR="00E344D0" w:rsidRPr="008752B8">
        <w:rPr>
          <w:rFonts w:ascii="Arial" w:hAnsi="Arial" w:cs="Arial"/>
          <w:sz w:val="20"/>
          <w:szCs w:val="20"/>
        </w:rPr>
        <w:t>i</w:t>
      </w:r>
      <w:r w:rsidR="0085103C" w:rsidRPr="0085103C">
        <w:rPr>
          <w:rFonts w:ascii="Arial" w:hAnsi="Arial" w:cs="Arial"/>
          <w:sz w:val="20"/>
          <w:szCs w:val="20"/>
        </w:rPr>
        <w:t xml:space="preserve">, </w:t>
      </w:r>
      <w:r w:rsidR="00E344D0" w:rsidRPr="008752B8">
        <w:rPr>
          <w:rFonts w:ascii="Arial" w:hAnsi="Arial" w:cs="Arial"/>
          <w:sz w:val="20"/>
          <w:szCs w:val="20"/>
        </w:rPr>
        <w:t>od katerih bi se lahko</w:t>
      </w:r>
      <w:r w:rsidR="0085103C" w:rsidRPr="0085103C">
        <w:rPr>
          <w:rFonts w:ascii="Arial" w:hAnsi="Arial" w:cs="Arial"/>
          <w:sz w:val="20"/>
          <w:szCs w:val="20"/>
        </w:rPr>
        <w:t xml:space="preserve"> </w:t>
      </w:r>
      <w:r w:rsidR="00E344D0" w:rsidRPr="008752B8">
        <w:rPr>
          <w:rFonts w:ascii="Arial" w:hAnsi="Arial" w:cs="Arial"/>
          <w:sz w:val="20"/>
          <w:szCs w:val="20"/>
        </w:rPr>
        <w:t>izračunal p</w:t>
      </w:r>
      <w:r w:rsidR="0085103C" w:rsidRPr="0085103C">
        <w:rPr>
          <w:rFonts w:ascii="Arial" w:hAnsi="Arial" w:cs="Arial"/>
          <w:sz w:val="20"/>
          <w:szCs w:val="20"/>
        </w:rPr>
        <w:t xml:space="preserve">ovrhnji davek, in </w:t>
      </w:r>
      <w:r w:rsidR="00E344D0" w:rsidRPr="008752B8">
        <w:rPr>
          <w:rFonts w:ascii="Arial" w:hAnsi="Arial" w:cs="Arial"/>
          <w:sz w:val="20"/>
          <w:szCs w:val="20"/>
        </w:rPr>
        <w:t>t</w:t>
      </w:r>
      <w:r w:rsidR="0085103C" w:rsidRPr="0085103C">
        <w:rPr>
          <w:rFonts w:ascii="Arial" w:hAnsi="Arial" w:cs="Arial"/>
          <w:sz w:val="20"/>
          <w:szCs w:val="20"/>
        </w:rPr>
        <w:t>estirana jurisdikcija bi se uvrstila v varn</w:t>
      </w:r>
      <w:r w:rsidR="00E344D0" w:rsidRPr="008752B8">
        <w:rPr>
          <w:rFonts w:ascii="Arial" w:hAnsi="Arial" w:cs="Arial"/>
          <w:sz w:val="20"/>
          <w:szCs w:val="20"/>
        </w:rPr>
        <w:t>i</w:t>
      </w:r>
      <w:r w:rsidR="0085103C" w:rsidRPr="0085103C">
        <w:rPr>
          <w:rFonts w:ascii="Arial" w:hAnsi="Arial" w:cs="Arial"/>
          <w:sz w:val="20"/>
          <w:szCs w:val="20"/>
        </w:rPr>
        <w:t xml:space="preserve"> pristan.</w:t>
      </w:r>
    </w:p>
    <w:p w14:paraId="1297A64F" w14:textId="77777777" w:rsidR="00512CBE" w:rsidRDefault="00D574C3" w:rsidP="008752B8">
      <w:pPr>
        <w:jc w:val="both"/>
        <w:rPr>
          <w:rFonts w:ascii="Arial" w:hAnsi="Arial" w:cs="Arial"/>
          <w:sz w:val="20"/>
          <w:szCs w:val="20"/>
        </w:rPr>
      </w:pPr>
      <w:r w:rsidRPr="00512CBE">
        <w:rPr>
          <w:rFonts w:ascii="Arial" w:hAnsi="Arial" w:cs="Arial"/>
          <w:sz w:val="20"/>
          <w:szCs w:val="20"/>
        </w:rPr>
        <w:t xml:space="preserve">Če skupina v določenem davčnem letu, ko je podvržena pravilom </w:t>
      </w:r>
      <w:r w:rsidR="00512CBE" w:rsidRPr="00512CBE">
        <w:rPr>
          <w:rFonts w:ascii="Arial" w:hAnsi="Arial" w:cs="Arial"/>
          <w:sz w:val="20"/>
          <w:szCs w:val="20"/>
        </w:rPr>
        <w:t>povrhnjega davka</w:t>
      </w:r>
      <w:r w:rsidRPr="00512CBE">
        <w:rPr>
          <w:rFonts w:ascii="Arial" w:hAnsi="Arial" w:cs="Arial"/>
          <w:sz w:val="20"/>
          <w:szCs w:val="20"/>
        </w:rPr>
        <w:t xml:space="preserve">, ni uporabila varnega </w:t>
      </w:r>
      <w:r w:rsidR="00512CBE" w:rsidRPr="00512CBE">
        <w:rPr>
          <w:rFonts w:ascii="Arial" w:hAnsi="Arial" w:cs="Arial"/>
          <w:sz w:val="20"/>
          <w:szCs w:val="20"/>
        </w:rPr>
        <w:t xml:space="preserve">pristana </w:t>
      </w:r>
      <w:proofErr w:type="spellStart"/>
      <w:r w:rsidR="00512CBE" w:rsidRPr="00512CBE">
        <w:rPr>
          <w:rFonts w:ascii="Arial" w:hAnsi="Arial" w:cs="Arial"/>
          <w:sz w:val="20"/>
          <w:szCs w:val="20"/>
        </w:rPr>
        <w:t>CBCr</w:t>
      </w:r>
      <w:proofErr w:type="spellEnd"/>
      <w:r w:rsidR="00512CBE" w:rsidRPr="00512CBE">
        <w:rPr>
          <w:rFonts w:ascii="Arial" w:hAnsi="Arial" w:cs="Arial"/>
          <w:sz w:val="20"/>
          <w:szCs w:val="20"/>
        </w:rPr>
        <w:t xml:space="preserve"> za določeno jurisdikcijo</w:t>
      </w:r>
      <w:r w:rsidRPr="00512CBE">
        <w:rPr>
          <w:rFonts w:ascii="Arial" w:hAnsi="Arial" w:cs="Arial"/>
          <w:sz w:val="20"/>
          <w:szCs w:val="20"/>
        </w:rPr>
        <w:t xml:space="preserve">, potem ta skupina v naslednjem letu ne more </w:t>
      </w:r>
      <w:r w:rsidR="00512CBE">
        <w:rPr>
          <w:rFonts w:ascii="Arial" w:hAnsi="Arial" w:cs="Arial"/>
          <w:sz w:val="20"/>
          <w:szCs w:val="20"/>
        </w:rPr>
        <w:t xml:space="preserve">uveljavljati tega </w:t>
      </w:r>
      <w:r w:rsidRPr="00512CBE">
        <w:rPr>
          <w:rFonts w:ascii="Arial" w:hAnsi="Arial" w:cs="Arial"/>
          <w:sz w:val="20"/>
          <w:szCs w:val="20"/>
        </w:rPr>
        <w:t>varn</w:t>
      </w:r>
      <w:r w:rsidR="00512CBE">
        <w:rPr>
          <w:rFonts w:ascii="Arial" w:hAnsi="Arial" w:cs="Arial"/>
          <w:sz w:val="20"/>
          <w:szCs w:val="20"/>
        </w:rPr>
        <w:t>ega</w:t>
      </w:r>
      <w:r w:rsidR="00512CBE" w:rsidRPr="00512CBE">
        <w:rPr>
          <w:rFonts w:ascii="Arial" w:hAnsi="Arial" w:cs="Arial"/>
          <w:sz w:val="20"/>
          <w:szCs w:val="20"/>
        </w:rPr>
        <w:t xml:space="preserve"> pristan</w:t>
      </w:r>
      <w:r w:rsidR="00512CBE">
        <w:rPr>
          <w:rFonts w:ascii="Arial" w:hAnsi="Arial" w:cs="Arial"/>
          <w:sz w:val="20"/>
          <w:szCs w:val="20"/>
        </w:rPr>
        <w:t>a</w:t>
      </w:r>
      <w:r w:rsidR="00512CBE" w:rsidRPr="00512CBE">
        <w:rPr>
          <w:rFonts w:ascii="Arial" w:hAnsi="Arial" w:cs="Arial"/>
          <w:sz w:val="20"/>
          <w:szCs w:val="20"/>
        </w:rPr>
        <w:t xml:space="preserve"> (glej zaporedno 2.2.1.1.1)</w:t>
      </w:r>
      <w:r w:rsidRPr="00512CBE">
        <w:rPr>
          <w:rFonts w:ascii="Arial" w:hAnsi="Arial" w:cs="Arial"/>
          <w:sz w:val="20"/>
          <w:szCs w:val="20"/>
        </w:rPr>
        <w:t>.</w:t>
      </w:r>
      <w:r>
        <w:rPr>
          <w:rFonts w:ascii="Arial" w:hAnsi="Arial" w:cs="Arial"/>
          <w:sz w:val="20"/>
          <w:szCs w:val="20"/>
        </w:rPr>
        <w:t xml:space="preserve"> </w:t>
      </w:r>
    </w:p>
    <w:p w14:paraId="5ED3EA62" w14:textId="77777777" w:rsidR="00EF7F90" w:rsidRPr="0085103C" w:rsidRDefault="00EF7F90" w:rsidP="008752B8">
      <w:pPr>
        <w:jc w:val="both"/>
        <w:rPr>
          <w:rFonts w:ascii="Arial" w:hAnsi="Arial" w:cs="Arial"/>
          <w:sz w:val="20"/>
          <w:szCs w:val="20"/>
        </w:rPr>
      </w:pPr>
      <w:proofErr w:type="spellStart"/>
      <w:r>
        <w:rPr>
          <w:rFonts w:ascii="Arial" w:hAnsi="Arial" w:cs="Arial"/>
          <w:sz w:val="20"/>
          <w:szCs w:val="20"/>
        </w:rPr>
        <w:lastRenderedPageBreak/>
        <w:t>CBCr</w:t>
      </w:r>
      <w:proofErr w:type="spellEnd"/>
      <w:r>
        <w:rPr>
          <w:rFonts w:ascii="Arial" w:hAnsi="Arial" w:cs="Arial"/>
          <w:sz w:val="20"/>
          <w:szCs w:val="20"/>
        </w:rPr>
        <w:t xml:space="preserve"> varni pristan lahko uporabi tudi skupina, ki ni dolžna poročati </w:t>
      </w:r>
      <w:proofErr w:type="spellStart"/>
      <w:r>
        <w:rPr>
          <w:rFonts w:ascii="Arial" w:hAnsi="Arial" w:cs="Arial"/>
          <w:sz w:val="20"/>
          <w:szCs w:val="20"/>
        </w:rPr>
        <w:t>CBCr</w:t>
      </w:r>
      <w:proofErr w:type="spellEnd"/>
      <w:r>
        <w:rPr>
          <w:rFonts w:ascii="Arial" w:hAnsi="Arial" w:cs="Arial"/>
          <w:sz w:val="20"/>
          <w:szCs w:val="20"/>
        </w:rPr>
        <w:t xml:space="preserve"> podatke, vendar je v sistemu povrhnjega davka (smernice AG December 2023, str. 15). </w:t>
      </w:r>
    </w:p>
    <w:p w14:paraId="02D38899" w14:textId="77777777" w:rsidR="0085103C" w:rsidRPr="00077CBF" w:rsidRDefault="00E344D0" w:rsidP="00512CBE">
      <w:pPr>
        <w:pStyle w:val="FURSnaslov2"/>
        <w:tabs>
          <w:tab w:val="clear" w:pos="3402"/>
          <w:tab w:val="left" w:pos="142"/>
        </w:tabs>
        <w:spacing w:after="0"/>
        <w:rPr>
          <w:sz w:val="20"/>
          <w:szCs w:val="20"/>
        </w:rPr>
      </w:pPr>
      <w:r w:rsidRPr="00392FD4">
        <w:rPr>
          <w:sz w:val="20"/>
          <w:szCs w:val="20"/>
          <w:lang w:val="sl-SI"/>
        </w:rPr>
        <w:tab/>
      </w:r>
      <w:bookmarkStart w:id="31" w:name="_Toc157425324"/>
      <w:r w:rsidR="009C49FB">
        <w:rPr>
          <w:sz w:val="20"/>
          <w:szCs w:val="20"/>
          <w:lang w:val="sl-SI"/>
        </w:rPr>
        <w:t>4</w:t>
      </w:r>
      <w:r w:rsidR="00077CBF" w:rsidRPr="00077CBF">
        <w:rPr>
          <w:sz w:val="20"/>
          <w:szCs w:val="20"/>
        </w:rPr>
        <w:t>.</w:t>
      </w:r>
      <w:r w:rsidR="006F3539">
        <w:rPr>
          <w:sz w:val="20"/>
          <w:szCs w:val="20"/>
        </w:rPr>
        <w:t>2</w:t>
      </w:r>
      <w:r w:rsidR="00077CBF" w:rsidRPr="00077CBF">
        <w:rPr>
          <w:sz w:val="20"/>
          <w:szCs w:val="20"/>
        </w:rPr>
        <w:t>.</w:t>
      </w:r>
      <w:r w:rsidR="006F3539">
        <w:rPr>
          <w:sz w:val="20"/>
          <w:szCs w:val="20"/>
        </w:rPr>
        <w:t>2</w:t>
      </w:r>
      <w:r w:rsidRPr="00077CBF">
        <w:rPr>
          <w:sz w:val="20"/>
          <w:szCs w:val="20"/>
        </w:rPr>
        <w:t xml:space="preserve"> </w:t>
      </w:r>
      <w:proofErr w:type="spellStart"/>
      <w:r w:rsidRPr="00077CBF">
        <w:rPr>
          <w:sz w:val="20"/>
          <w:szCs w:val="20"/>
        </w:rPr>
        <w:t>Začasni</w:t>
      </w:r>
      <w:proofErr w:type="spellEnd"/>
      <w:r w:rsidRPr="00077CBF">
        <w:rPr>
          <w:sz w:val="20"/>
          <w:szCs w:val="20"/>
        </w:rPr>
        <w:t xml:space="preserve"> </w:t>
      </w:r>
      <w:proofErr w:type="spellStart"/>
      <w:r w:rsidRPr="00077CBF">
        <w:rPr>
          <w:sz w:val="20"/>
          <w:szCs w:val="20"/>
        </w:rPr>
        <w:t>varni</w:t>
      </w:r>
      <w:proofErr w:type="spellEnd"/>
      <w:r w:rsidRPr="00077CBF">
        <w:rPr>
          <w:sz w:val="20"/>
          <w:szCs w:val="20"/>
        </w:rPr>
        <w:t xml:space="preserve"> </w:t>
      </w:r>
      <w:proofErr w:type="spellStart"/>
      <w:r w:rsidRPr="00077CBF">
        <w:rPr>
          <w:sz w:val="20"/>
          <w:szCs w:val="20"/>
        </w:rPr>
        <w:t>pristan</w:t>
      </w:r>
      <w:proofErr w:type="spellEnd"/>
      <w:r w:rsidRPr="00077CBF">
        <w:rPr>
          <w:sz w:val="20"/>
          <w:szCs w:val="20"/>
        </w:rPr>
        <w:t xml:space="preserve"> za </w:t>
      </w:r>
      <w:proofErr w:type="spellStart"/>
      <w:r w:rsidRPr="00077CBF">
        <w:rPr>
          <w:sz w:val="20"/>
          <w:szCs w:val="20"/>
        </w:rPr>
        <w:t>uporabo</w:t>
      </w:r>
      <w:proofErr w:type="spellEnd"/>
      <w:r w:rsidRPr="00077CBF">
        <w:rPr>
          <w:sz w:val="20"/>
          <w:szCs w:val="20"/>
        </w:rPr>
        <w:t xml:space="preserve"> </w:t>
      </w:r>
      <w:proofErr w:type="spellStart"/>
      <w:r w:rsidRPr="00077CBF">
        <w:rPr>
          <w:sz w:val="20"/>
          <w:szCs w:val="20"/>
        </w:rPr>
        <w:t>pravila</w:t>
      </w:r>
      <w:proofErr w:type="spellEnd"/>
      <w:r w:rsidRPr="00077CBF">
        <w:rPr>
          <w:sz w:val="20"/>
          <w:szCs w:val="20"/>
        </w:rPr>
        <w:t xml:space="preserve"> o </w:t>
      </w:r>
      <w:proofErr w:type="spellStart"/>
      <w:r w:rsidRPr="00077CBF">
        <w:rPr>
          <w:sz w:val="20"/>
          <w:szCs w:val="20"/>
        </w:rPr>
        <w:t>prenizko</w:t>
      </w:r>
      <w:proofErr w:type="spellEnd"/>
      <w:r w:rsidRPr="00077CBF">
        <w:rPr>
          <w:sz w:val="20"/>
          <w:szCs w:val="20"/>
        </w:rPr>
        <w:t xml:space="preserve"> </w:t>
      </w:r>
      <w:proofErr w:type="spellStart"/>
      <w:r w:rsidRPr="00077CBF">
        <w:rPr>
          <w:sz w:val="20"/>
          <w:szCs w:val="20"/>
        </w:rPr>
        <w:t>obdavčenih</w:t>
      </w:r>
      <w:proofErr w:type="spellEnd"/>
      <w:r w:rsidRPr="00077CBF">
        <w:rPr>
          <w:sz w:val="20"/>
          <w:szCs w:val="20"/>
        </w:rPr>
        <w:t xml:space="preserve"> </w:t>
      </w:r>
      <w:proofErr w:type="spellStart"/>
      <w:r w:rsidRPr="00077CBF">
        <w:rPr>
          <w:sz w:val="20"/>
          <w:szCs w:val="20"/>
        </w:rPr>
        <w:t>dobičkih</w:t>
      </w:r>
      <w:proofErr w:type="spellEnd"/>
      <w:r w:rsidRPr="00077CBF">
        <w:rPr>
          <w:sz w:val="20"/>
          <w:szCs w:val="20"/>
        </w:rPr>
        <w:t xml:space="preserve"> (UTPR </w:t>
      </w:r>
      <w:proofErr w:type="spellStart"/>
      <w:r w:rsidRPr="00077CBF">
        <w:rPr>
          <w:sz w:val="20"/>
          <w:szCs w:val="20"/>
        </w:rPr>
        <w:t>varni</w:t>
      </w:r>
      <w:proofErr w:type="spellEnd"/>
      <w:r w:rsidRPr="00077CBF">
        <w:rPr>
          <w:sz w:val="20"/>
          <w:szCs w:val="20"/>
        </w:rPr>
        <w:t xml:space="preserve"> </w:t>
      </w:r>
      <w:proofErr w:type="spellStart"/>
      <w:r w:rsidRPr="00077CBF">
        <w:rPr>
          <w:sz w:val="20"/>
          <w:szCs w:val="20"/>
        </w:rPr>
        <w:t>pristan</w:t>
      </w:r>
      <w:proofErr w:type="spellEnd"/>
      <w:r w:rsidRPr="00077CBF">
        <w:rPr>
          <w:sz w:val="20"/>
          <w:szCs w:val="20"/>
        </w:rPr>
        <w:t>)</w:t>
      </w:r>
      <w:bookmarkEnd w:id="31"/>
    </w:p>
    <w:p w14:paraId="082C04A4" w14:textId="77777777" w:rsidR="00E344D0" w:rsidRPr="00DF55C4" w:rsidRDefault="00E344D0" w:rsidP="00DB65D9">
      <w:pPr>
        <w:pStyle w:val="FURSnaslov1"/>
        <w:rPr>
          <w:rFonts w:cs="Arial"/>
          <w:b w:val="0"/>
          <w:bCs/>
          <w:sz w:val="20"/>
          <w:szCs w:val="20"/>
          <w:lang w:val="sl-SI"/>
        </w:rPr>
      </w:pPr>
    </w:p>
    <w:p w14:paraId="1BBABDC2" w14:textId="77777777" w:rsidR="00DF55C4" w:rsidRPr="008752B8" w:rsidRDefault="00DF55C4" w:rsidP="008752B8">
      <w:pPr>
        <w:jc w:val="both"/>
        <w:rPr>
          <w:rFonts w:ascii="Arial" w:hAnsi="Arial" w:cs="Arial"/>
          <w:sz w:val="20"/>
          <w:szCs w:val="20"/>
        </w:rPr>
      </w:pPr>
      <w:r w:rsidRPr="008752B8">
        <w:rPr>
          <w:rFonts w:ascii="Arial" w:hAnsi="Arial" w:cs="Arial"/>
          <w:sz w:val="20"/>
          <w:szCs w:val="20"/>
        </w:rPr>
        <w:t>Pravilo o prenizko obdavčenih dobičkih - UTPR je zasnovan kot nekakšna varnostna mreža za pravilo o vključitvi dohodkov - IIR in spodbuja jurisdikcije k sprejetju pravil povrhnjega davka ter MNE-je k oblikovanju svojih skupinskih lastniških struktur na način, ki prinese njihovo poslovanje v obseg obdavčitve po IIR. Vendar pa delovanje pravil povrhnjega davka pomeni, da v določenih primerih UTPR v praksi deluje kot glavni mehanizem za uvedbo povrhnjega davka v jurisdikciji UPE, kjer ta jurisdikcija ni uvedla domačega minimalnega davka, kot je domači IIR ali QDMTT. MNE skupine, ki so izpostavljene morebitni uporabi UTPR v jurisdikciji UPE, imajo omejeno sposobnost spreminjanja svoje lastniške strukture, da bi dobičke UPE vključile v obseg IIR. Pričakovati je tudi, da se bo UTPR v prvih letih izvajanja pravil povrhnjega davka pogosteje uporabljal, saj bodo jurisdikcije zaključile postopek uvedbe ustreznih pravil, vključno s QDMTT. Pri tem je treba izpostaviti, da se bo pravilo UTPR po trenutnih pravilih začel uporabljati šele z letom 2025</w:t>
      </w:r>
      <w:r w:rsidR="00AF1AA4">
        <w:rPr>
          <w:rFonts w:ascii="Arial" w:hAnsi="Arial" w:cs="Arial"/>
          <w:sz w:val="20"/>
          <w:szCs w:val="20"/>
        </w:rPr>
        <w:t>, razen v primerih iz 18. člena ZMD</w:t>
      </w:r>
      <w:r w:rsidRPr="008752B8">
        <w:rPr>
          <w:rFonts w:ascii="Arial" w:hAnsi="Arial" w:cs="Arial"/>
          <w:sz w:val="20"/>
          <w:szCs w:val="20"/>
        </w:rPr>
        <w:t>.</w:t>
      </w:r>
      <w:r w:rsidR="00AF1AA4">
        <w:rPr>
          <w:rFonts w:ascii="Arial" w:hAnsi="Arial" w:cs="Arial"/>
          <w:sz w:val="20"/>
          <w:szCs w:val="20"/>
        </w:rPr>
        <w:t xml:space="preserve"> 18. člen ZMD namreč določa uporabo pravila o prenizko obdavčenih dobičkih v primeru, ko se država članica, ki ni Slovenija, </w:t>
      </w:r>
      <w:r w:rsidR="00AF1AA4" w:rsidRPr="00AF1AA4">
        <w:rPr>
          <w:rFonts w:ascii="Arial" w:hAnsi="Arial" w:cs="Arial"/>
          <w:sz w:val="20"/>
          <w:szCs w:val="20"/>
        </w:rPr>
        <w:t>ki je izbrala opcijo odloga uporabe pravil in je o tem obvestila</w:t>
      </w:r>
      <w:r w:rsidR="00AF1AA4">
        <w:rPr>
          <w:rFonts w:ascii="Arial" w:hAnsi="Arial" w:cs="Arial"/>
          <w:sz w:val="20"/>
          <w:szCs w:val="20"/>
        </w:rPr>
        <w:t xml:space="preserve"> </w:t>
      </w:r>
      <w:r w:rsidR="00AF1AA4" w:rsidRPr="00AF1AA4">
        <w:rPr>
          <w:rFonts w:ascii="Arial" w:hAnsi="Arial" w:cs="Arial"/>
          <w:sz w:val="20"/>
          <w:szCs w:val="20"/>
        </w:rPr>
        <w:t>Evropsko komisijo, so subjekti v sestavi te mednarodne skupine podjetij v Sloveniji</w:t>
      </w:r>
      <w:r w:rsidR="00AF1AA4">
        <w:rPr>
          <w:rFonts w:ascii="Arial" w:hAnsi="Arial" w:cs="Arial"/>
          <w:sz w:val="20"/>
          <w:szCs w:val="20"/>
        </w:rPr>
        <w:t xml:space="preserve"> </w:t>
      </w:r>
      <w:r w:rsidR="00AF1AA4" w:rsidRPr="00AF1AA4">
        <w:rPr>
          <w:rFonts w:ascii="Arial" w:hAnsi="Arial" w:cs="Arial"/>
          <w:sz w:val="20"/>
          <w:szCs w:val="20"/>
        </w:rPr>
        <w:t>zavezani za znesek povrhnjega davka na podlagi pravila o prenizko obdavčenih</w:t>
      </w:r>
      <w:r w:rsidR="00AF1AA4">
        <w:rPr>
          <w:rFonts w:ascii="Arial" w:hAnsi="Arial" w:cs="Arial"/>
          <w:sz w:val="20"/>
          <w:szCs w:val="20"/>
        </w:rPr>
        <w:t xml:space="preserve"> </w:t>
      </w:r>
      <w:r w:rsidR="00AF1AA4" w:rsidRPr="00AF1AA4">
        <w:rPr>
          <w:rFonts w:ascii="Arial" w:hAnsi="Arial" w:cs="Arial"/>
          <w:sz w:val="20"/>
          <w:szCs w:val="20"/>
        </w:rPr>
        <w:t>dobičkih, ki je bil v skladu s 16. členom tega zakona dodeljen Sloveniji.</w:t>
      </w:r>
      <w:r w:rsidR="00AF1AA4">
        <w:rPr>
          <w:rFonts w:ascii="Arial" w:hAnsi="Arial" w:cs="Arial"/>
          <w:sz w:val="20"/>
          <w:szCs w:val="20"/>
        </w:rPr>
        <w:t xml:space="preserve"> Navedeno pravilo po 18. členu ZMD se glede na drugi odstavek 76. člena ZMD uporablja že od 1.1.2024 dalje. </w:t>
      </w:r>
    </w:p>
    <w:p w14:paraId="660E6C18" w14:textId="77777777" w:rsidR="00DF55C4" w:rsidRPr="008752B8" w:rsidRDefault="00DF55C4" w:rsidP="008752B8">
      <w:pPr>
        <w:jc w:val="both"/>
        <w:rPr>
          <w:rFonts w:ascii="Arial" w:hAnsi="Arial" w:cs="Arial"/>
          <w:sz w:val="20"/>
          <w:szCs w:val="20"/>
        </w:rPr>
      </w:pPr>
      <w:r w:rsidRPr="008752B8">
        <w:rPr>
          <w:rFonts w:ascii="Arial" w:hAnsi="Arial" w:cs="Arial"/>
          <w:sz w:val="20"/>
          <w:szCs w:val="20"/>
        </w:rPr>
        <w:t>Uporaba UTPR v jurisdikciji UPE, preden</w:t>
      </w:r>
      <w:r w:rsidR="005E1337" w:rsidRPr="008752B8">
        <w:rPr>
          <w:rFonts w:ascii="Arial" w:hAnsi="Arial" w:cs="Arial"/>
          <w:sz w:val="20"/>
          <w:szCs w:val="20"/>
        </w:rPr>
        <w:t xml:space="preserve"> se</w:t>
      </w:r>
      <w:r w:rsidRPr="008752B8">
        <w:rPr>
          <w:rFonts w:ascii="Arial" w:hAnsi="Arial" w:cs="Arial"/>
          <w:sz w:val="20"/>
          <w:szCs w:val="20"/>
        </w:rPr>
        <w:t xml:space="preserve"> jurisdikcijam omogoči dovolj časa za uvedbo njihovih QDMTT, ni optimalna iz več razlogov. Prvič, povrhnji davek, dodeljen jurisdikcijam v okviru UTPR, bo pogosto nesorazmeren dobičku, ki se pojavi v teh jurisdikcijah. Številne MNE skupine bodo imele pomemben del svojega poslovanja in dohodka v jurisdikciji UPE, manjše operacije pa v drugih jurisdikcijah. Drugič, možnosti za spore med jurisdikcijami se pojavljajo pogosteje v okviru UTPR, saj ta temelji na več informacijah in višji stopnji usklajevanja kot IIR. Izvajanje in usklajevanje UTPR bi bilo bolj optimalno, če bi bil razvit preverjen mehanizem za preprečevanje in reševanje sporov ter morda mehanizem za zagotavljanje predhodne pravne gotovosti.</w:t>
      </w:r>
    </w:p>
    <w:p w14:paraId="5255C140" w14:textId="77777777" w:rsidR="00DF55C4" w:rsidRPr="008752B8" w:rsidRDefault="00DF55C4" w:rsidP="008752B8">
      <w:pPr>
        <w:jc w:val="both"/>
        <w:rPr>
          <w:rFonts w:ascii="Arial" w:hAnsi="Arial" w:cs="Arial"/>
          <w:sz w:val="20"/>
          <w:szCs w:val="20"/>
        </w:rPr>
      </w:pPr>
      <w:r w:rsidRPr="0085103C">
        <w:rPr>
          <w:rFonts w:ascii="Arial" w:hAnsi="Arial" w:cs="Arial"/>
          <w:sz w:val="20"/>
          <w:szCs w:val="20"/>
        </w:rPr>
        <w:t>Delovanje varnega pristana poteka na naslednji način</w:t>
      </w:r>
      <w:r w:rsidRPr="008752B8">
        <w:rPr>
          <w:rFonts w:ascii="Arial" w:hAnsi="Arial" w:cs="Arial"/>
          <w:sz w:val="20"/>
          <w:szCs w:val="20"/>
        </w:rPr>
        <w:t xml:space="preserve">: </w:t>
      </w:r>
      <w:r w:rsidRPr="002B7251">
        <w:rPr>
          <w:rFonts w:ascii="Arial" w:hAnsi="Arial"/>
          <w:b/>
          <w:sz w:val="20"/>
          <w:u w:val="single"/>
        </w:rPr>
        <w:t>Znesek dodatnega davka UTPR za jurisdikcijo UPE se med prehodnim obdobjem za vsako proračunsko leto šteje, da je nič, če ima jurisdikcija UPE (nominalno) davčno stopnjo za pravne osebe, ki znaša vsaj 20 odstotkov.</w:t>
      </w:r>
    </w:p>
    <w:p w14:paraId="3EE3A564" w14:textId="77777777" w:rsidR="00DF55C4" w:rsidRPr="008752B8" w:rsidRDefault="00DF55C4" w:rsidP="008752B8">
      <w:pPr>
        <w:jc w:val="both"/>
        <w:rPr>
          <w:rFonts w:ascii="Arial" w:hAnsi="Arial" w:cs="Arial"/>
          <w:sz w:val="20"/>
          <w:szCs w:val="20"/>
        </w:rPr>
      </w:pPr>
      <w:r w:rsidRPr="008752B8">
        <w:rPr>
          <w:rFonts w:ascii="Arial" w:hAnsi="Arial" w:cs="Arial"/>
          <w:sz w:val="20"/>
          <w:szCs w:val="20"/>
        </w:rPr>
        <w:t>Preizkus nominalne stopnje 20 odstotkov zagotavlja, da imajo koristi od tega varnega pristana le MNE skupine, katerih subjekti v sestavi so v jurisdikciji s sistemom davka od dohodka pravnih oseb in dovolj visoko stopnjo davka od dobička pravnih oseb.</w:t>
      </w:r>
    </w:p>
    <w:p w14:paraId="3E4CD1CF" w14:textId="77777777" w:rsidR="00594EE3" w:rsidRDefault="00DF55C4" w:rsidP="008752B8">
      <w:pPr>
        <w:jc w:val="both"/>
        <w:rPr>
          <w:rFonts w:ascii="Arial" w:hAnsi="Arial" w:cs="Arial"/>
          <w:sz w:val="20"/>
          <w:szCs w:val="20"/>
        </w:rPr>
      </w:pPr>
      <w:r w:rsidRPr="008752B8">
        <w:rPr>
          <w:rFonts w:ascii="Arial" w:hAnsi="Arial" w:cs="Arial"/>
          <w:sz w:val="20"/>
          <w:szCs w:val="20"/>
        </w:rPr>
        <w:t xml:space="preserve">Prehodno obdobje pomeni proračunska leta, ki se začnejo pred 31. decembrom 2025, vendar ne vključuje proračunskega leta, ki se konča po 30. juniju 2027. Kratko prehodno obdobje je zasnovano tako, da zagotavlja, da varni pristan ne deluje nespodbudno za jurisdikcije, da sprejmejo pravila </w:t>
      </w:r>
      <w:r w:rsidR="005E1337" w:rsidRPr="008752B8">
        <w:rPr>
          <w:rFonts w:ascii="Arial" w:hAnsi="Arial" w:cs="Arial"/>
          <w:sz w:val="20"/>
          <w:szCs w:val="20"/>
        </w:rPr>
        <w:t>povrhnjega davka</w:t>
      </w:r>
      <w:r w:rsidRPr="008752B8">
        <w:rPr>
          <w:rFonts w:ascii="Arial" w:hAnsi="Arial" w:cs="Arial"/>
          <w:sz w:val="20"/>
          <w:szCs w:val="20"/>
        </w:rPr>
        <w:t xml:space="preserve">, ali kot spodbuda za MNE-skupine, da se preselijo v jurisdikcijo, ki še ni sprejela QDMTT, ali da premaknejo dobiček v subjekte v sestavi v jurisdikcijah UPE, kjer veljajo nižje </w:t>
      </w:r>
      <w:r w:rsidR="005E1337" w:rsidRPr="008752B8">
        <w:rPr>
          <w:rFonts w:ascii="Arial" w:hAnsi="Arial" w:cs="Arial"/>
          <w:sz w:val="20"/>
          <w:szCs w:val="20"/>
        </w:rPr>
        <w:t>dejanske</w:t>
      </w:r>
      <w:r w:rsidRPr="008752B8">
        <w:rPr>
          <w:rFonts w:ascii="Arial" w:hAnsi="Arial" w:cs="Arial"/>
          <w:sz w:val="20"/>
          <w:szCs w:val="20"/>
        </w:rPr>
        <w:t xml:space="preserve"> davčne stopnje. Zato prehodno obdobje ni mogoče podaljšati.</w:t>
      </w:r>
    </w:p>
    <w:p w14:paraId="2419BBEE" w14:textId="77777777" w:rsidR="00F55188" w:rsidRPr="00077CBF" w:rsidRDefault="009C49FB" w:rsidP="00F55188">
      <w:pPr>
        <w:pStyle w:val="FURSnaslov2"/>
        <w:rPr>
          <w:sz w:val="20"/>
          <w:szCs w:val="20"/>
          <w:lang w:val="sl-SI"/>
        </w:rPr>
      </w:pPr>
      <w:bookmarkStart w:id="32" w:name="_Toc157425325"/>
      <w:r>
        <w:rPr>
          <w:sz w:val="20"/>
          <w:szCs w:val="20"/>
          <w:lang w:val="sl-SI"/>
        </w:rPr>
        <w:t>4</w:t>
      </w:r>
      <w:r w:rsidR="00077CBF" w:rsidRPr="00077CBF">
        <w:rPr>
          <w:sz w:val="20"/>
          <w:szCs w:val="20"/>
          <w:lang w:val="sl-SI"/>
        </w:rPr>
        <w:t>.</w:t>
      </w:r>
      <w:r w:rsidR="001B390A">
        <w:rPr>
          <w:sz w:val="20"/>
          <w:szCs w:val="20"/>
          <w:lang w:val="sl-SI"/>
        </w:rPr>
        <w:t>2.3</w:t>
      </w:r>
      <w:r w:rsidR="00F55188" w:rsidRPr="00077CBF">
        <w:rPr>
          <w:sz w:val="20"/>
          <w:szCs w:val="20"/>
          <w:lang w:val="sl-SI"/>
        </w:rPr>
        <w:t xml:space="preserve"> </w:t>
      </w:r>
      <w:r w:rsidR="008C1D53" w:rsidRPr="00077CBF">
        <w:rPr>
          <w:sz w:val="20"/>
          <w:szCs w:val="20"/>
          <w:lang w:val="sl-SI"/>
        </w:rPr>
        <w:t>Z</w:t>
      </w:r>
      <w:r w:rsidR="008C1D53" w:rsidRPr="00077CBF">
        <w:rPr>
          <w:rFonts w:cs="Arial"/>
          <w:bCs/>
          <w:sz w:val="20"/>
          <w:szCs w:val="20"/>
          <w:lang w:val="sl-SI"/>
        </w:rPr>
        <w:t>manjšanje davka, vključno domačega povrhnjega davka v Sloveniji, po tem zakonu do vrednosti nič v prehodnem obdobju</w:t>
      </w:r>
      <w:bookmarkEnd w:id="32"/>
    </w:p>
    <w:p w14:paraId="0A4B691D" w14:textId="77777777" w:rsidR="00F55188" w:rsidRDefault="00F55188" w:rsidP="00F55188">
      <w:pPr>
        <w:jc w:val="both"/>
        <w:rPr>
          <w:rFonts w:ascii="Arial" w:hAnsi="Arial" w:cs="Arial"/>
          <w:sz w:val="20"/>
          <w:szCs w:val="20"/>
        </w:rPr>
      </w:pPr>
      <w:r>
        <w:rPr>
          <w:rFonts w:ascii="Arial" w:hAnsi="Arial" w:cs="Arial"/>
          <w:sz w:val="20"/>
          <w:szCs w:val="20"/>
        </w:rPr>
        <w:t>Direktiva EU o povrhnjem davku predvideva posebno obravnavo</w:t>
      </w:r>
      <w:r w:rsidR="000F0C55">
        <w:rPr>
          <w:rFonts w:ascii="Arial" w:hAnsi="Arial" w:cs="Arial"/>
          <w:sz w:val="20"/>
          <w:szCs w:val="20"/>
        </w:rPr>
        <w:t xml:space="preserve"> v</w:t>
      </w:r>
      <w:r>
        <w:rPr>
          <w:rFonts w:ascii="Arial" w:hAnsi="Arial" w:cs="Arial"/>
          <w:sz w:val="20"/>
          <w:szCs w:val="20"/>
        </w:rPr>
        <w:t xml:space="preserve"> </w:t>
      </w:r>
      <w:r w:rsidRPr="00F55188">
        <w:rPr>
          <w:rFonts w:ascii="Arial" w:hAnsi="Arial" w:cs="Arial"/>
          <w:sz w:val="20"/>
          <w:szCs w:val="20"/>
        </w:rPr>
        <w:t>posebnem primeru mednarodnih skupin podjetij, ki</w:t>
      </w:r>
      <w:r>
        <w:rPr>
          <w:rFonts w:ascii="Arial" w:hAnsi="Arial" w:cs="Arial"/>
          <w:sz w:val="20"/>
          <w:szCs w:val="20"/>
        </w:rPr>
        <w:t xml:space="preserve"> </w:t>
      </w:r>
      <w:r w:rsidRPr="00F55188">
        <w:rPr>
          <w:rFonts w:ascii="Arial" w:hAnsi="Arial" w:cs="Arial"/>
          <w:sz w:val="20"/>
          <w:szCs w:val="20"/>
        </w:rPr>
        <w:t>so v začetnih fazah svoje mednarodne dejavnosti</w:t>
      </w:r>
      <w:r>
        <w:rPr>
          <w:rFonts w:ascii="Arial" w:hAnsi="Arial" w:cs="Arial"/>
          <w:sz w:val="20"/>
          <w:szCs w:val="20"/>
        </w:rPr>
        <w:t>. Namen te ureditve je,</w:t>
      </w:r>
      <w:r w:rsidRPr="00F55188">
        <w:rPr>
          <w:rFonts w:ascii="Arial" w:hAnsi="Arial" w:cs="Arial"/>
          <w:sz w:val="20"/>
          <w:szCs w:val="20"/>
        </w:rPr>
        <w:t xml:space="preserve"> da </w:t>
      </w:r>
      <w:r>
        <w:rPr>
          <w:rFonts w:ascii="Arial" w:hAnsi="Arial" w:cs="Arial"/>
          <w:sz w:val="20"/>
          <w:szCs w:val="20"/>
        </w:rPr>
        <w:t xml:space="preserve">se </w:t>
      </w:r>
      <w:r w:rsidRPr="00F55188">
        <w:rPr>
          <w:rFonts w:ascii="Arial" w:hAnsi="Arial" w:cs="Arial"/>
          <w:sz w:val="20"/>
          <w:szCs w:val="20"/>
        </w:rPr>
        <w:t>ne odvrača od razvoja čezmejnih dejavnosti mednarodnih</w:t>
      </w:r>
      <w:r>
        <w:rPr>
          <w:rFonts w:ascii="Arial" w:hAnsi="Arial" w:cs="Arial"/>
          <w:sz w:val="20"/>
          <w:szCs w:val="20"/>
        </w:rPr>
        <w:t xml:space="preserve"> </w:t>
      </w:r>
      <w:r w:rsidRPr="00F55188">
        <w:rPr>
          <w:rFonts w:ascii="Arial" w:hAnsi="Arial" w:cs="Arial"/>
          <w:sz w:val="20"/>
          <w:szCs w:val="20"/>
        </w:rPr>
        <w:t xml:space="preserve">skupin podjetij, ki imajo koristi od nizke obdavčitve v svoji domači jurisdikciji, kjer večinoma poslujejo. </w:t>
      </w:r>
    </w:p>
    <w:p w14:paraId="0A0C343D" w14:textId="77777777" w:rsidR="00F55188" w:rsidRDefault="00F55188" w:rsidP="008C1D53">
      <w:pPr>
        <w:jc w:val="both"/>
        <w:rPr>
          <w:rFonts w:ascii="Arial" w:hAnsi="Arial" w:cs="Arial"/>
          <w:sz w:val="20"/>
          <w:szCs w:val="20"/>
        </w:rPr>
      </w:pPr>
      <w:r w:rsidRPr="00F55188">
        <w:rPr>
          <w:rFonts w:ascii="Arial" w:hAnsi="Arial" w:cs="Arial"/>
          <w:sz w:val="20"/>
          <w:szCs w:val="20"/>
        </w:rPr>
        <w:t xml:space="preserve">Zato </w:t>
      </w:r>
      <w:r>
        <w:rPr>
          <w:rFonts w:ascii="Arial" w:hAnsi="Arial" w:cs="Arial"/>
          <w:sz w:val="20"/>
          <w:szCs w:val="20"/>
        </w:rPr>
        <w:t xml:space="preserve">se </w:t>
      </w:r>
      <w:r w:rsidRPr="00F55188">
        <w:rPr>
          <w:rFonts w:ascii="Arial" w:hAnsi="Arial" w:cs="Arial"/>
          <w:sz w:val="20"/>
          <w:szCs w:val="20"/>
        </w:rPr>
        <w:t>nizko obdavčene domače dejavnosti takih mednarodnih skupin podjetij izključi iz uporabe pravil</w:t>
      </w:r>
      <w:r>
        <w:rPr>
          <w:rFonts w:ascii="Arial" w:hAnsi="Arial" w:cs="Arial"/>
          <w:sz w:val="20"/>
          <w:szCs w:val="20"/>
        </w:rPr>
        <w:t xml:space="preserve"> povrhnjega davka</w:t>
      </w:r>
      <w:r w:rsidRPr="00F55188">
        <w:rPr>
          <w:rFonts w:ascii="Arial" w:hAnsi="Arial" w:cs="Arial"/>
          <w:sz w:val="20"/>
          <w:szCs w:val="20"/>
        </w:rPr>
        <w:t xml:space="preserve"> za</w:t>
      </w:r>
      <w:r>
        <w:rPr>
          <w:rFonts w:ascii="Arial" w:hAnsi="Arial" w:cs="Arial"/>
          <w:sz w:val="20"/>
          <w:szCs w:val="20"/>
        </w:rPr>
        <w:t xml:space="preserve"> </w:t>
      </w:r>
      <w:r w:rsidRPr="00F55188">
        <w:rPr>
          <w:rFonts w:ascii="Arial" w:hAnsi="Arial" w:cs="Arial"/>
          <w:sz w:val="20"/>
          <w:szCs w:val="20"/>
        </w:rPr>
        <w:t>prehodno obdobje petih let, če mednarodna skupina podjetij nima subjektov v sestavi v več kot šestih jurisdikcijah.</w:t>
      </w:r>
      <w:r w:rsidR="006F6C12">
        <w:rPr>
          <w:rFonts w:ascii="Arial" w:hAnsi="Arial" w:cs="Arial"/>
          <w:sz w:val="20"/>
          <w:szCs w:val="20"/>
        </w:rPr>
        <w:t xml:space="preserve"> </w:t>
      </w:r>
      <w:r w:rsidR="006F6C12" w:rsidRPr="00F55188">
        <w:rPr>
          <w:rFonts w:ascii="Arial" w:hAnsi="Arial" w:cs="Arial"/>
          <w:sz w:val="20"/>
          <w:szCs w:val="20"/>
        </w:rPr>
        <w:t>Da</w:t>
      </w:r>
      <w:r w:rsidR="006F6C12">
        <w:rPr>
          <w:rFonts w:ascii="Arial" w:hAnsi="Arial" w:cs="Arial"/>
          <w:sz w:val="20"/>
          <w:szCs w:val="20"/>
        </w:rPr>
        <w:t xml:space="preserve"> se</w:t>
      </w:r>
      <w:r w:rsidR="006F6C12" w:rsidRPr="00F55188">
        <w:rPr>
          <w:rFonts w:ascii="Arial" w:hAnsi="Arial" w:cs="Arial"/>
          <w:sz w:val="20"/>
          <w:szCs w:val="20"/>
        </w:rPr>
        <w:t xml:space="preserve"> zagotovi enak</w:t>
      </w:r>
      <w:r w:rsidR="006F6C12">
        <w:rPr>
          <w:rFonts w:ascii="Arial" w:hAnsi="Arial" w:cs="Arial"/>
          <w:sz w:val="20"/>
          <w:szCs w:val="20"/>
        </w:rPr>
        <w:t>a</w:t>
      </w:r>
      <w:r w:rsidR="006F6C12" w:rsidRPr="00F55188">
        <w:rPr>
          <w:rFonts w:ascii="Arial" w:hAnsi="Arial" w:cs="Arial"/>
          <w:sz w:val="20"/>
          <w:szCs w:val="20"/>
        </w:rPr>
        <w:t xml:space="preserve"> obravnav</w:t>
      </w:r>
      <w:r w:rsidR="006F6C12">
        <w:rPr>
          <w:rFonts w:ascii="Arial" w:hAnsi="Arial" w:cs="Arial"/>
          <w:sz w:val="20"/>
          <w:szCs w:val="20"/>
        </w:rPr>
        <w:t>a</w:t>
      </w:r>
      <w:r w:rsidR="006F6C12" w:rsidRPr="00F55188">
        <w:rPr>
          <w:rFonts w:ascii="Arial" w:hAnsi="Arial" w:cs="Arial"/>
          <w:sz w:val="20"/>
          <w:szCs w:val="20"/>
        </w:rPr>
        <w:t xml:space="preserve"> velikih domačih skupin, </w:t>
      </w:r>
      <w:r w:rsidR="006F6C12">
        <w:rPr>
          <w:rFonts w:ascii="Arial" w:hAnsi="Arial" w:cs="Arial"/>
          <w:sz w:val="20"/>
          <w:szCs w:val="20"/>
        </w:rPr>
        <w:t>se je</w:t>
      </w:r>
      <w:r w:rsidR="006F6C12" w:rsidRPr="00F55188">
        <w:rPr>
          <w:rFonts w:ascii="Arial" w:hAnsi="Arial" w:cs="Arial"/>
          <w:sz w:val="20"/>
          <w:szCs w:val="20"/>
        </w:rPr>
        <w:t xml:space="preserve"> za prehodno obdobje petih let izključi</w:t>
      </w:r>
      <w:r w:rsidR="006F6C12">
        <w:rPr>
          <w:rFonts w:ascii="Arial" w:hAnsi="Arial" w:cs="Arial"/>
          <w:sz w:val="20"/>
          <w:szCs w:val="20"/>
        </w:rPr>
        <w:t>l</w:t>
      </w:r>
      <w:r w:rsidR="006F6C12" w:rsidRPr="00F55188">
        <w:rPr>
          <w:rFonts w:ascii="Arial" w:hAnsi="Arial" w:cs="Arial"/>
          <w:sz w:val="20"/>
          <w:szCs w:val="20"/>
        </w:rPr>
        <w:t xml:space="preserve"> tudi</w:t>
      </w:r>
      <w:r w:rsidR="006F6C12">
        <w:rPr>
          <w:rFonts w:ascii="Arial" w:hAnsi="Arial" w:cs="Arial"/>
          <w:sz w:val="20"/>
          <w:szCs w:val="20"/>
        </w:rPr>
        <w:t xml:space="preserve"> </w:t>
      </w:r>
      <w:r w:rsidR="006F6C12" w:rsidRPr="00F55188">
        <w:rPr>
          <w:rFonts w:ascii="Arial" w:hAnsi="Arial" w:cs="Arial"/>
          <w:sz w:val="20"/>
          <w:szCs w:val="20"/>
        </w:rPr>
        <w:t>dohodek iz dejavnosti takih skupin.</w:t>
      </w:r>
      <w:r w:rsidR="006F6C12">
        <w:rPr>
          <w:rFonts w:ascii="Arial" w:hAnsi="Arial" w:cs="Arial"/>
          <w:sz w:val="20"/>
          <w:szCs w:val="20"/>
        </w:rPr>
        <w:t xml:space="preserve"> ZMD to ugodnost doseže </w:t>
      </w:r>
      <w:r w:rsidR="006F6C12">
        <w:rPr>
          <w:rFonts w:ascii="Arial" w:hAnsi="Arial" w:cs="Arial"/>
          <w:sz w:val="20"/>
          <w:szCs w:val="20"/>
        </w:rPr>
        <w:lastRenderedPageBreak/>
        <w:t xml:space="preserve">tako, da se za subjekte, ki lahko na ravni </w:t>
      </w:r>
      <w:r w:rsidR="00855382">
        <w:rPr>
          <w:rFonts w:ascii="Arial" w:hAnsi="Arial" w:cs="Arial"/>
          <w:sz w:val="20"/>
          <w:szCs w:val="20"/>
        </w:rPr>
        <w:t>skupine</w:t>
      </w:r>
      <w:r w:rsidR="006F6C12">
        <w:rPr>
          <w:rFonts w:ascii="Arial" w:hAnsi="Arial" w:cs="Arial"/>
          <w:sz w:val="20"/>
          <w:szCs w:val="20"/>
        </w:rPr>
        <w:t xml:space="preserve"> uveljavljajo to izjemo šteje, da je davek, ki ga morajo plačati po pravilu IIR, UTPR ali QDMTT nič.</w:t>
      </w:r>
      <w:r>
        <w:rPr>
          <w:rFonts w:ascii="Arial" w:hAnsi="Arial" w:cs="Arial"/>
          <w:sz w:val="20"/>
          <w:szCs w:val="20"/>
        </w:rPr>
        <w:t xml:space="preserve"> </w:t>
      </w:r>
      <w:r w:rsidR="00121933" w:rsidRPr="00121933">
        <w:rPr>
          <w:rFonts w:ascii="Arial" w:hAnsi="Arial" w:cs="Arial"/>
          <w:sz w:val="20"/>
          <w:szCs w:val="20"/>
        </w:rPr>
        <w:t xml:space="preserve">To pomeni, da skupina ni dolžna izračunavati stopenj obdavčitve svojih subjektov v sestavi in ni potrebno izračunati zneska povrhnjega davka, ki bi bil plačljiv, če izključitev ne bi </w:t>
      </w:r>
      <w:r w:rsidR="00121933" w:rsidRPr="00356C7A">
        <w:rPr>
          <w:rFonts w:ascii="Arial" w:hAnsi="Arial" w:cs="Arial"/>
          <w:sz w:val="20"/>
          <w:szCs w:val="20"/>
        </w:rPr>
        <w:t xml:space="preserve">veljala. Skupina navedeno zmanjšanje povrhnjega davka uveljavlja v Sloveniji preko odkljukane opcije v obračunu domačega povrhnjega davka in povrhnjega davka, podatke v zvezi z </w:t>
      </w:r>
      <w:r w:rsidR="007E733C" w:rsidRPr="00356C7A">
        <w:rPr>
          <w:rFonts w:ascii="Arial" w:hAnsi="Arial" w:cs="Arial"/>
          <w:sz w:val="20"/>
          <w:szCs w:val="20"/>
        </w:rPr>
        <w:t>opcijo pa poroča v okviru informativnega obrazca za obračun.</w:t>
      </w:r>
      <w:r w:rsidR="007E733C">
        <w:rPr>
          <w:rFonts w:ascii="Arial" w:hAnsi="Arial" w:cs="Arial"/>
          <w:sz w:val="20"/>
          <w:szCs w:val="20"/>
        </w:rPr>
        <w:t xml:space="preserve"> </w:t>
      </w:r>
      <w:r w:rsidR="00121933">
        <w:rPr>
          <w:rFonts w:ascii="Arial" w:hAnsi="Arial" w:cs="Arial"/>
          <w:sz w:val="20"/>
          <w:szCs w:val="20"/>
        </w:rPr>
        <w:t xml:space="preserve"> </w:t>
      </w:r>
    </w:p>
    <w:p w14:paraId="113CAC34" w14:textId="77777777" w:rsidR="00F55188" w:rsidRDefault="00F55188" w:rsidP="008C1D53">
      <w:pPr>
        <w:jc w:val="both"/>
        <w:rPr>
          <w:rFonts w:ascii="Arial" w:hAnsi="Arial" w:cs="Arial"/>
          <w:sz w:val="20"/>
          <w:szCs w:val="20"/>
        </w:rPr>
      </w:pPr>
      <w:r>
        <w:rPr>
          <w:rFonts w:ascii="Arial" w:hAnsi="Arial" w:cs="Arial"/>
          <w:sz w:val="20"/>
          <w:szCs w:val="20"/>
        </w:rPr>
        <w:t>Gre torej za ugodnost izključitve iz sistema uporabe povrhnjega davka za subjekte v sestavi v Sloveniji, ki jo lahko le-ti</w:t>
      </w:r>
      <w:r w:rsidR="00855382">
        <w:rPr>
          <w:rFonts w:ascii="Arial" w:hAnsi="Arial" w:cs="Arial"/>
          <w:sz w:val="20"/>
          <w:szCs w:val="20"/>
        </w:rPr>
        <w:t xml:space="preserve"> za celo skupino</w:t>
      </w:r>
      <w:r>
        <w:rPr>
          <w:rFonts w:ascii="Arial" w:hAnsi="Arial" w:cs="Arial"/>
          <w:sz w:val="20"/>
          <w:szCs w:val="20"/>
        </w:rPr>
        <w:t xml:space="preserve"> uporabijo </w:t>
      </w:r>
      <w:r w:rsidR="008C1D53">
        <w:rPr>
          <w:rFonts w:ascii="Arial" w:hAnsi="Arial" w:cs="Arial"/>
          <w:sz w:val="20"/>
          <w:szCs w:val="20"/>
        </w:rPr>
        <w:t xml:space="preserve">v začetni fazi delovanja. Ker Direktiva EU uveljavlja v pravilu IIR tudi domači IIR (ki velja za krovne matične subjekte same in njihove subjekte v sestavi v isti jurisdikciji oziroma za velike domače skupine), Direktiva EU predpisuje širšo izključitev v začetni fazi delovanja, saj poleg izključitve pravila UTPR velja omejeno tudi za IIR pravilo. </w:t>
      </w:r>
      <w:r w:rsidR="00121933">
        <w:rPr>
          <w:rFonts w:ascii="Arial" w:hAnsi="Arial" w:cs="Arial"/>
          <w:sz w:val="20"/>
          <w:szCs w:val="20"/>
        </w:rPr>
        <w:t>Pravilo IIR je tako izključeno tako za mednarodne skupine kot za velike domače skupine.</w:t>
      </w:r>
    </w:p>
    <w:p w14:paraId="5FA70887" w14:textId="77777777" w:rsidR="00121933" w:rsidRDefault="00121933" w:rsidP="008C1D53">
      <w:pPr>
        <w:jc w:val="both"/>
        <w:rPr>
          <w:rFonts w:ascii="Arial" w:hAnsi="Arial" w:cs="Arial"/>
          <w:sz w:val="20"/>
          <w:szCs w:val="20"/>
        </w:rPr>
      </w:pPr>
      <w:r>
        <w:rPr>
          <w:rFonts w:ascii="Arial" w:hAnsi="Arial" w:cs="Arial"/>
          <w:sz w:val="20"/>
          <w:szCs w:val="20"/>
        </w:rPr>
        <w:t>Poleg tega pa ZMD predpisuje enako možnost tudi za izključitev obveznosti izračuna domačega povrhnjega davka, kot to jasno izhaja iz šestega odstavka 17. člena ZMD.</w:t>
      </w:r>
    </w:p>
    <w:p w14:paraId="25FF0161" w14:textId="77777777" w:rsidR="008C1D53" w:rsidRDefault="008C1D53" w:rsidP="008C1D53">
      <w:pPr>
        <w:jc w:val="both"/>
        <w:rPr>
          <w:rFonts w:ascii="Arial" w:hAnsi="Arial" w:cs="Arial"/>
          <w:sz w:val="20"/>
          <w:szCs w:val="20"/>
        </w:rPr>
      </w:pPr>
      <w:r>
        <w:rPr>
          <w:rFonts w:ascii="Arial" w:hAnsi="Arial" w:cs="Arial"/>
          <w:sz w:val="20"/>
          <w:szCs w:val="20"/>
        </w:rPr>
        <w:t>Za mednarodne skupine podjetij se bo izključitev uporabila v prvih petih letih začetne faze mednarodne dejavnosti. Za velik</w:t>
      </w:r>
      <w:r w:rsidR="000F0C55">
        <w:rPr>
          <w:rFonts w:ascii="Arial" w:hAnsi="Arial" w:cs="Arial"/>
          <w:sz w:val="20"/>
          <w:szCs w:val="20"/>
        </w:rPr>
        <w:t>e</w:t>
      </w:r>
      <w:r>
        <w:rPr>
          <w:rFonts w:ascii="Arial" w:hAnsi="Arial" w:cs="Arial"/>
          <w:sz w:val="20"/>
          <w:szCs w:val="20"/>
        </w:rPr>
        <w:t xml:space="preserve"> domače skupine pa se bo uporabljala v prvih petih letih, od prvega dneva poslovnega leta, v katerem skupina prvič spada </w:t>
      </w:r>
      <w:r w:rsidR="000F0C55">
        <w:rPr>
          <w:rFonts w:ascii="Arial" w:hAnsi="Arial" w:cs="Arial"/>
          <w:sz w:val="20"/>
          <w:szCs w:val="20"/>
        </w:rPr>
        <w:t>v</w:t>
      </w:r>
      <w:r>
        <w:rPr>
          <w:rFonts w:ascii="Arial" w:hAnsi="Arial" w:cs="Arial"/>
          <w:sz w:val="20"/>
          <w:szCs w:val="20"/>
        </w:rPr>
        <w:t xml:space="preserve"> področje uporabe zakona.</w:t>
      </w:r>
      <w:r w:rsidR="00855382">
        <w:rPr>
          <w:rFonts w:ascii="Arial" w:hAnsi="Arial" w:cs="Arial"/>
          <w:sz w:val="20"/>
          <w:szCs w:val="20"/>
        </w:rPr>
        <w:t xml:space="preserve"> Pomembno je, da lahko tako ugodnost skupina uveljavlja le enkrat v svojem obdobju delovanja. </w:t>
      </w:r>
    </w:p>
    <w:p w14:paraId="42E4B404" w14:textId="77777777" w:rsidR="008C1D53" w:rsidRPr="008C1D53" w:rsidRDefault="008C1D53" w:rsidP="008C1D53">
      <w:pPr>
        <w:spacing w:after="120"/>
        <w:jc w:val="both"/>
        <w:rPr>
          <w:rFonts w:ascii="Arial" w:hAnsi="Arial" w:cs="Arial"/>
          <w:sz w:val="20"/>
          <w:szCs w:val="20"/>
        </w:rPr>
      </w:pPr>
      <w:r>
        <w:rPr>
          <w:rFonts w:ascii="Arial" w:hAnsi="Arial" w:cs="Arial"/>
          <w:sz w:val="20"/>
          <w:szCs w:val="20"/>
        </w:rPr>
        <w:t xml:space="preserve">Za mednarodne skupine je torej pomembno kaj se šteje kot začetna faza delovanja, medtem, ko pri velikih domačih skupina ta pogoj ni pomemben, saj se pogoji začetne faze vežejo na mednarodne vidike poslovanja. </w:t>
      </w:r>
      <w:r w:rsidRPr="008C1D53">
        <w:rPr>
          <w:rFonts w:ascii="Arial" w:hAnsi="Arial" w:cs="Arial"/>
          <w:sz w:val="20"/>
          <w:szCs w:val="20"/>
        </w:rPr>
        <w:t>Za mednarodno skupino podjetij se šteje, da je v začetni fazi svoje mednarodne dejavnosti, če za poslovno leto velja, da:</w:t>
      </w:r>
    </w:p>
    <w:p w14:paraId="5ADAC5C2" w14:textId="77777777" w:rsidR="008C1D53" w:rsidRPr="008C1D53" w:rsidRDefault="008C1D53" w:rsidP="008C1D53">
      <w:pPr>
        <w:spacing w:after="120"/>
        <w:rPr>
          <w:rFonts w:ascii="Arial" w:hAnsi="Arial" w:cs="Arial"/>
          <w:sz w:val="20"/>
          <w:szCs w:val="20"/>
        </w:rPr>
      </w:pPr>
      <w:r w:rsidRPr="008C1D53">
        <w:rPr>
          <w:rFonts w:ascii="Arial" w:hAnsi="Arial" w:cs="Arial"/>
          <w:sz w:val="20"/>
          <w:szCs w:val="20"/>
        </w:rPr>
        <w:t>1.</w:t>
      </w:r>
      <w:r w:rsidRPr="008C1D53">
        <w:rPr>
          <w:rFonts w:ascii="Arial" w:hAnsi="Arial" w:cs="Arial"/>
          <w:sz w:val="20"/>
          <w:szCs w:val="20"/>
        </w:rPr>
        <w:tab/>
        <w:t xml:space="preserve"> ima subjekte v sestavi v največ šestih jurisdikcijah in</w:t>
      </w:r>
    </w:p>
    <w:p w14:paraId="15E1882F" w14:textId="77777777" w:rsidR="008C1D53" w:rsidRDefault="008C1D53" w:rsidP="008C1D53">
      <w:pPr>
        <w:spacing w:after="120"/>
        <w:jc w:val="both"/>
        <w:rPr>
          <w:rFonts w:ascii="Arial" w:hAnsi="Arial" w:cs="Arial"/>
          <w:sz w:val="20"/>
          <w:szCs w:val="20"/>
        </w:rPr>
      </w:pPr>
      <w:r w:rsidRPr="008C1D53">
        <w:rPr>
          <w:rFonts w:ascii="Arial" w:hAnsi="Arial" w:cs="Arial"/>
          <w:sz w:val="20"/>
          <w:szCs w:val="20"/>
        </w:rPr>
        <w:t>2.</w:t>
      </w:r>
      <w:r w:rsidRPr="008C1D53">
        <w:rPr>
          <w:rFonts w:ascii="Arial" w:hAnsi="Arial" w:cs="Arial"/>
          <w:sz w:val="20"/>
          <w:szCs w:val="20"/>
        </w:rPr>
        <w:tab/>
        <w:t xml:space="preserve"> vsota knjigovodskih vrednosti opredmetenih sredstev vseh subjektov v sestavi mednarodne skupine podjetij, ki se nahajajo v vseh jurisdikcijah, razen referenčni jurisdikciji, ne presega 50.000.000 eurov.</w:t>
      </w:r>
    </w:p>
    <w:p w14:paraId="08322B59" w14:textId="77777777" w:rsidR="008C1D53" w:rsidRDefault="008C1D53" w:rsidP="008C1D53">
      <w:pPr>
        <w:spacing w:after="120"/>
        <w:jc w:val="both"/>
        <w:rPr>
          <w:rFonts w:ascii="Arial" w:hAnsi="Arial" w:cs="Arial"/>
          <w:sz w:val="20"/>
          <w:szCs w:val="20"/>
        </w:rPr>
      </w:pPr>
      <w:r>
        <w:rPr>
          <w:rFonts w:ascii="Arial" w:hAnsi="Arial" w:cs="Arial"/>
          <w:sz w:val="20"/>
          <w:szCs w:val="20"/>
        </w:rPr>
        <w:t xml:space="preserve">Referenčna jurisdikcija iz druge točke je posebej opredeljena, kot </w:t>
      </w:r>
      <w:r w:rsidRPr="008C1D53">
        <w:rPr>
          <w:rFonts w:ascii="Arial" w:hAnsi="Arial" w:cs="Arial"/>
          <w:sz w:val="20"/>
          <w:szCs w:val="20"/>
        </w:rPr>
        <w:t>jurisdikcij</w:t>
      </w:r>
      <w:r w:rsidR="000F0C55">
        <w:rPr>
          <w:rFonts w:ascii="Arial" w:hAnsi="Arial" w:cs="Arial"/>
          <w:sz w:val="20"/>
          <w:szCs w:val="20"/>
        </w:rPr>
        <w:t>a</w:t>
      </w:r>
      <w:r w:rsidRPr="008C1D53">
        <w:rPr>
          <w:rFonts w:ascii="Arial" w:hAnsi="Arial" w:cs="Arial"/>
          <w:sz w:val="20"/>
          <w:szCs w:val="20"/>
        </w:rPr>
        <w:t>, v kateri imajo subjekti v sestavi mednarodne skupine podjetij najvišjo skupno vrednost opredmetenih sredstev v poslovnem letu, v katerem mednarodna skupina podjetij prvič spada v področje uporabe tega zakona. Skupna vrednost opredmetenih sredstev v jurisdikciji je vsota knjigovodskih vrednosti vseh opredmetenih sredstev vseh subjektov v sestavi mednarodne skupine podjetij, ki se nahajajo v tej jurisdikciji.</w:t>
      </w:r>
    </w:p>
    <w:p w14:paraId="07B5B89F" w14:textId="77777777" w:rsidR="008C1D53" w:rsidRDefault="006F6C12" w:rsidP="007E733C">
      <w:pPr>
        <w:spacing w:after="120"/>
        <w:jc w:val="both"/>
        <w:rPr>
          <w:rFonts w:ascii="Arial" w:hAnsi="Arial" w:cs="Arial"/>
          <w:sz w:val="20"/>
          <w:szCs w:val="20"/>
        </w:rPr>
      </w:pPr>
      <w:r>
        <w:rPr>
          <w:rFonts w:ascii="Arial" w:hAnsi="Arial" w:cs="Arial"/>
          <w:sz w:val="20"/>
          <w:szCs w:val="20"/>
        </w:rPr>
        <w:t xml:space="preserve">Tako za mednarodne skupine kot velike domače skupine bo pa izjemnega pomena kdaj </w:t>
      </w:r>
      <w:r w:rsidR="00855382">
        <w:rPr>
          <w:rFonts w:ascii="Arial" w:hAnsi="Arial" w:cs="Arial"/>
          <w:sz w:val="20"/>
          <w:szCs w:val="20"/>
        </w:rPr>
        <w:t>začne teči 5 letno obdobje za ugodnost</w:t>
      </w:r>
      <w:r>
        <w:rPr>
          <w:rFonts w:ascii="Arial" w:hAnsi="Arial" w:cs="Arial"/>
          <w:sz w:val="20"/>
          <w:szCs w:val="20"/>
        </w:rPr>
        <w:t xml:space="preserve">. </w:t>
      </w:r>
      <w:r w:rsidR="00855382">
        <w:rPr>
          <w:rFonts w:ascii="Arial" w:hAnsi="Arial" w:cs="Arial"/>
          <w:sz w:val="20"/>
          <w:szCs w:val="20"/>
        </w:rPr>
        <w:t>Bistvena so naslednja pravila:</w:t>
      </w:r>
    </w:p>
    <w:p w14:paraId="61786395" w14:textId="77777777" w:rsidR="006F6C12" w:rsidRPr="00121933" w:rsidRDefault="006F6C12">
      <w:pPr>
        <w:pStyle w:val="Odstavekseznama"/>
        <w:numPr>
          <w:ilvl w:val="0"/>
          <w:numId w:val="37"/>
        </w:numPr>
        <w:spacing w:after="120"/>
        <w:ind w:left="142" w:hanging="142"/>
        <w:jc w:val="both"/>
        <w:rPr>
          <w:rFonts w:ascii="Arial" w:hAnsi="Arial" w:cs="Arial"/>
          <w:sz w:val="20"/>
          <w:szCs w:val="20"/>
        </w:rPr>
      </w:pPr>
      <w:r w:rsidRPr="00121933">
        <w:rPr>
          <w:rFonts w:ascii="Arial" w:hAnsi="Arial" w:cs="Arial"/>
          <w:sz w:val="20"/>
          <w:szCs w:val="20"/>
        </w:rPr>
        <w:t>Obdobje petih let iz 1. točke prvega odstavka in drugega odstavka tega člena se začne z začetkom poslovnega leta, v katerem mednarodna skupina podjetij prvič spada v področje uporabe te direktive.</w:t>
      </w:r>
    </w:p>
    <w:p w14:paraId="62913154" w14:textId="77777777" w:rsidR="00855382" w:rsidRDefault="00855382" w:rsidP="007E733C">
      <w:pPr>
        <w:spacing w:after="120"/>
        <w:ind w:left="142"/>
        <w:jc w:val="both"/>
        <w:rPr>
          <w:rFonts w:ascii="Arial" w:hAnsi="Arial" w:cs="Arial"/>
          <w:sz w:val="20"/>
          <w:szCs w:val="20"/>
        </w:rPr>
      </w:pPr>
      <w:r>
        <w:rPr>
          <w:rFonts w:ascii="Arial" w:hAnsi="Arial" w:cs="Arial"/>
          <w:sz w:val="20"/>
          <w:szCs w:val="20"/>
        </w:rPr>
        <w:t xml:space="preserve">Za ponazoritev, v primeru, da mednarodna skupina ali velika domača skupina </w:t>
      </w:r>
      <w:r w:rsidR="005774BF">
        <w:rPr>
          <w:rFonts w:ascii="Arial" w:hAnsi="Arial" w:cs="Arial"/>
          <w:sz w:val="20"/>
          <w:szCs w:val="20"/>
        </w:rPr>
        <w:t>ob zaključku leta 2023</w:t>
      </w:r>
      <w:r>
        <w:rPr>
          <w:rFonts w:ascii="Arial" w:hAnsi="Arial" w:cs="Arial"/>
          <w:sz w:val="20"/>
          <w:szCs w:val="20"/>
        </w:rPr>
        <w:t xml:space="preserve"> izpolnjuje pogoje za obseg, kar bi pomenilo, da se v letu 2024 ugotovi, da </w:t>
      </w:r>
      <w:r w:rsidR="005774BF">
        <w:rPr>
          <w:rFonts w:ascii="Arial" w:hAnsi="Arial" w:cs="Arial"/>
          <w:sz w:val="20"/>
          <w:szCs w:val="20"/>
        </w:rPr>
        <w:t xml:space="preserve">je v zadnjih štirih letih vsaj dvakrat presegla prag 750 milijonov evrov iz 6. člena ZMD, pri čemer izpolnjuje tudi pogoje za začetno fazo delovanja (pri mednarodnih skupinah), potem se šteje, da je prvo leto 5 letnega obdobja začet 1.1.2024. </w:t>
      </w:r>
    </w:p>
    <w:p w14:paraId="771E5A6C" w14:textId="77777777" w:rsidR="005774BF" w:rsidRPr="006F6C12" w:rsidRDefault="005774BF" w:rsidP="007E733C">
      <w:pPr>
        <w:spacing w:after="120"/>
        <w:ind w:left="142"/>
        <w:jc w:val="both"/>
        <w:rPr>
          <w:rFonts w:ascii="Arial" w:hAnsi="Arial" w:cs="Arial"/>
          <w:sz w:val="20"/>
          <w:szCs w:val="20"/>
        </w:rPr>
      </w:pPr>
      <w:r>
        <w:rPr>
          <w:rFonts w:ascii="Arial" w:hAnsi="Arial" w:cs="Arial"/>
          <w:sz w:val="20"/>
          <w:szCs w:val="20"/>
        </w:rPr>
        <w:t>V primeru, da skupina ugotovi, da so pogoji izpolnjeni šele ob zaključku leta 2025, potem se bo 5 letno obdobje začelo 1.1.2026.</w:t>
      </w:r>
    </w:p>
    <w:p w14:paraId="627FEB8D" w14:textId="77777777" w:rsidR="006F6C12" w:rsidRPr="00121933" w:rsidRDefault="006F6C12">
      <w:pPr>
        <w:pStyle w:val="Odstavekseznama"/>
        <w:numPr>
          <w:ilvl w:val="0"/>
          <w:numId w:val="37"/>
        </w:numPr>
        <w:spacing w:after="120"/>
        <w:ind w:left="142" w:hanging="142"/>
        <w:jc w:val="both"/>
        <w:rPr>
          <w:rFonts w:ascii="Arial" w:hAnsi="Arial" w:cs="Arial"/>
          <w:sz w:val="20"/>
          <w:szCs w:val="20"/>
        </w:rPr>
      </w:pPr>
      <w:r w:rsidRPr="00121933">
        <w:rPr>
          <w:rFonts w:ascii="Arial" w:hAnsi="Arial" w:cs="Arial"/>
          <w:sz w:val="20"/>
          <w:szCs w:val="20"/>
        </w:rPr>
        <w:t>Pri tem se za mednarodne skupine podjetij, ki bi 23. decembra 202</w:t>
      </w:r>
      <w:r w:rsidR="00855382" w:rsidRPr="00121933">
        <w:rPr>
          <w:rFonts w:ascii="Arial" w:hAnsi="Arial" w:cs="Arial"/>
          <w:sz w:val="20"/>
          <w:szCs w:val="20"/>
        </w:rPr>
        <w:t>2</w:t>
      </w:r>
      <w:r w:rsidRPr="00121933">
        <w:rPr>
          <w:rFonts w:ascii="Arial" w:hAnsi="Arial" w:cs="Arial"/>
          <w:sz w:val="20"/>
          <w:szCs w:val="20"/>
        </w:rPr>
        <w:t xml:space="preserve"> spadale v področje uporabe tega zakona, petletno obdobje </w:t>
      </w:r>
      <w:r w:rsidR="00855382" w:rsidRPr="00121933">
        <w:rPr>
          <w:rFonts w:ascii="Arial" w:hAnsi="Arial" w:cs="Arial"/>
          <w:sz w:val="20"/>
          <w:szCs w:val="20"/>
        </w:rPr>
        <w:t xml:space="preserve">za potrebe uporabe pravila IIR </w:t>
      </w:r>
      <w:r w:rsidRPr="00121933">
        <w:rPr>
          <w:rFonts w:ascii="Arial" w:hAnsi="Arial" w:cs="Arial"/>
          <w:sz w:val="20"/>
          <w:szCs w:val="20"/>
        </w:rPr>
        <w:t>začne 31. decembra 2023.</w:t>
      </w:r>
    </w:p>
    <w:p w14:paraId="607C660C" w14:textId="77777777" w:rsidR="005774BF" w:rsidRPr="006F6C12" w:rsidRDefault="005774BF" w:rsidP="007E733C">
      <w:pPr>
        <w:spacing w:after="120"/>
        <w:ind w:left="142"/>
        <w:jc w:val="both"/>
        <w:rPr>
          <w:rFonts w:ascii="Arial" w:hAnsi="Arial" w:cs="Arial"/>
          <w:sz w:val="20"/>
          <w:szCs w:val="20"/>
        </w:rPr>
      </w:pPr>
      <w:r>
        <w:rPr>
          <w:rFonts w:ascii="Arial" w:hAnsi="Arial" w:cs="Arial"/>
          <w:sz w:val="20"/>
          <w:szCs w:val="20"/>
        </w:rPr>
        <w:t>V primeru, da bi se ugotovilo, da skupine spadajo v področje uporabe tega zakona v okviru pravila IIR že dne 23.12.2022, kar je datum uveljavitve direktive, se petletno obdobje začne 31.12.2023.</w:t>
      </w:r>
    </w:p>
    <w:p w14:paraId="1F63D4CB" w14:textId="77777777" w:rsidR="005774BF" w:rsidRPr="000F0C55" w:rsidRDefault="006F6C12" w:rsidP="008F6A83">
      <w:pPr>
        <w:pStyle w:val="Odstavekseznama"/>
        <w:numPr>
          <w:ilvl w:val="0"/>
          <w:numId w:val="37"/>
        </w:numPr>
        <w:spacing w:after="120"/>
        <w:ind w:left="142" w:hanging="142"/>
        <w:jc w:val="both"/>
        <w:rPr>
          <w:rFonts w:ascii="Arial" w:hAnsi="Arial" w:cs="Arial"/>
          <w:sz w:val="20"/>
          <w:szCs w:val="20"/>
        </w:rPr>
      </w:pPr>
      <w:r w:rsidRPr="000F0C55">
        <w:rPr>
          <w:rFonts w:ascii="Arial" w:hAnsi="Arial" w:cs="Arial"/>
          <w:sz w:val="20"/>
          <w:szCs w:val="20"/>
        </w:rPr>
        <w:t>Pri tem se za mednarodne skupine podjetij, ki bi 23. decembra 202</w:t>
      </w:r>
      <w:r w:rsidR="00855382" w:rsidRPr="000F0C55">
        <w:rPr>
          <w:rFonts w:ascii="Arial" w:hAnsi="Arial" w:cs="Arial"/>
          <w:sz w:val="20"/>
          <w:szCs w:val="20"/>
        </w:rPr>
        <w:t>2</w:t>
      </w:r>
      <w:r w:rsidRPr="000F0C55">
        <w:rPr>
          <w:rFonts w:ascii="Arial" w:hAnsi="Arial" w:cs="Arial"/>
          <w:sz w:val="20"/>
          <w:szCs w:val="20"/>
        </w:rPr>
        <w:t xml:space="preserve"> spadale v področje uporabe tega zakona, petletno obdobje </w:t>
      </w:r>
      <w:r w:rsidR="00855382" w:rsidRPr="000F0C55">
        <w:rPr>
          <w:rFonts w:ascii="Arial" w:hAnsi="Arial" w:cs="Arial"/>
          <w:sz w:val="20"/>
          <w:szCs w:val="20"/>
        </w:rPr>
        <w:t>za potrebe uporabe UTPR</w:t>
      </w:r>
      <w:r w:rsidRPr="000F0C55">
        <w:rPr>
          <w:rFonts w:ascii="Arial" w:hAnsi="Arial" w:cs="Arial"/>
          <w:sz w:val="20"/>
          <w:szCs w:val="20"/>
        </w:rPr>
        <w:t xml:space="preserve"> začne 31. decembra 2024</w:t>
      </w:r>
      <w:r w:rsidR="000F0C55">
        <w:rPr>
          <w:rFonts w:ascii="Arial" w:hAnsi="Arial" w:cs="Arial"/>
          <w:sz w:val="20"/>
          <w:szCs w:val="20"/>
        </w:rPr>
        <w:t>, k</w:t>
      </w:r>
      <w:r w:rsidR="005774BF" w:rsidRPr="000F0C55">
        <w:rPr>
          <w:rFonts w:ascii="Arial" w:hAnsi="Arial" w:cs="Arial"/>
          <w:sz w:val="20"/>
          <w:szCs w:val="20"/>
        </w:rPr>
        <w:t>er se UTPR začne uporabljati z en</w:t>
      </w:r>
      <w:r w:rsidR="00121933" w:rsidRPr="000F0C55">
        <w:rPr>
          <w:rFonts w:ascii="Arial" w:hAnsi="Arial" w:cs="Arial"/>
          <w:sz w:val="20"/>
          <w:szCs w:val="20"/>
        </w:rPr>
        <w:t>o</w:t>
      </w:r>
      <w:r w:rsidR="005774BF" w:rsidRPr="000F0C55">
        <w:rPr>
          <w:rFonts w:ascii="Arial" w:hAnsi="Arial" w:cs="Arial"/>
          <w:sz w:val="20"/>
          <w:szCs w:val="20"/>
        </w:rPr>
        <w:t xml:space="preserve">letnim zamikom glede na pravilo IIR in domači povrhnji davek. </w:t>
      </w:r>
    </w:p>
    <w:p w14:paraId="53E741F1" w14:textId="77777777" w:rsidR="006F6C12" w:rsidRDefault="006F6C12">
      <w:pPr>
        <w:pStyle w:val="Odstavekseznama"/>
        <w:numPr>
          <w:ilvl w:val="0"/>
          <w:numId w:val="37"/>
        </w:numPr>
        <w:spacing w:after="120"/>
        <w:ind w:left="142" w:hanging="142"/>
        <w:jc w:val="both"/>
        <w:rPr>
          <w:rFonts w:ascii="Arial" w:hAnsi="Arial" w:cs="Arial"/>
          <w:sz w:val="20"/>
          <w:szCs w:val="20"/>
        </w:rPr>
      </w:pPr>
      <w:r w:rsidRPr="00121933">
        <w:rPr>
          <w:rFonts w:ascii="Arial" w:hAnsi="Arial" w:cs="Arial"/>
          <w:sz w:val="20"/>
          <w:szCs w:val="20"/>
        </w:rPr>
        <w:lastRenderedPageBreak/>
        <w:t>Pri tem se za velike domače skupine, ki bi 23. decembra 202</w:t>
      </w:r>
      <w:r w:rsidR="00855382" w:rsidRPr="00121933">
        <w:rPr>
          <w:rFonts w:ascii="Arial" w:hAnsi="Arial" w:cs="Arial"/>
          <w:sz w:val="20"/>
          <w:szCs w:val="20"/>
        </w:rPr>
        <w:t>2</w:t>
      </w:r>
      <w:r w:rsidRPr="00121933">
        <w:rPr>
          <w:rFonts w:ascii="Arial" w:hAnsi="Arial" w:cs="Arial"/>
          <w:sz w:val="20"/>
          <w:szCs w:val="20"/>
        </w:rPr>
        <w:t xml:space="preserve"> spadale v področje uporabe tega zakona, petletno obdobje začne 31. decembra 2023.</w:t>
      </w:r>
    </w:p>
    <w:p w14:paraId="69D99E5A" w14:textId="77777777" w:rsidR="009C49FB" w:rsidRDefault="009C49FB" w:rsidP="009C49FB">
      <w:pPr>
        <w:spacing w:after="120"/>
        <w:jc w:val="both"/>
        <w:rPr>
          <w:rFonts w:ascii="Arial" w:hAnsi="Arial" w:cs="Arial"/>
          <w:b/>
          <w:bCs/>
          <w:sz w:val="20"/>
          <w:szCs w:val="20"/>
        </w:rPr>
      </w:pPr>
      <w:r w:rsidRPr="009C49FB">
        <w:rPr>
          <w:rFonts w:ascii="Arial" w:hAnsi="Arial" w:cs="Arial"/>
          <w:b/>
          <w:bCs/>
          <w:sz w:val="20"/>
          <w:szCs w:val="20"/>
        </w:rPr>
        <w:t xml:space="preserve">4.3. De </w:t>
      </w:r>
      <w:proofErr w:type="spellStart"/>
      <w:r w:rsidRPr="009C49FB">
        <w:rPr>
          <w:rFonts w:ascii="Arial" w:hAnsi="Arial" w:cs="Arial"/>
          <w:b/>
          <w:bCs/>
          <w:sz w:val="20"/>
          <w:szCs w:val="20"/>
        </w:rPr>
        <w:t>minimis</w:t>
      </w:r>
      <w:proofErr w:type="spellEnd"/>
      <w:r w:rsidRPr="009C49FB">
        <w:rPr>
          <w:rFonts w:ascii="Arial" w:hAnsi="Arial" w:cs="Arial"/>
          <w:b/>
          <w:bCs/>
          <w:sz w:val="20"/>
          <w:szCs w:val="20"/>
        </w:rPr>
        <w:t xml:space="preserve"> </w:t>
      </w:r>
    </w:p>
    <w:p w14:paraId="5C9CE0CC" w14:textId="77777777" w:rsidR="009C49FB" w:rsidRPr="00421356" w:rsidRDefault="00E21C38" w:rsidP="009C49FB">
      <w:pPr>
        <w:spacing w:after="120"/>
        <w:jc w:val="both"/>
        <w:rPr>
          <w:rFonts w:ascii="Arial" w:hAnsi="Arial" w:cs="Arial"/>
          <w:sz w:val="20"/>
          <w:szCs w:val="20"/>
        </w:rPr>
      </w:pPr>
      <w:r w:rsidRPr="00421356">
        <w:rPr>
          <w:rFonts w:ascii="Arial" w:hAnsi="Arial" w:cs="Arial"/>
          <w:sz w:val="20"/>
          <w:szCs w:val="20"/>
        </w:rPr>
        <w:t xml:space="preserve">Ne glede na pravila o </w:t>
      </w:r>
      <w:r w:rsidR="00421356" w:rsidRPr="00421356">
        <w:rPr>
          <w:rFonts w:ascii="Arial" w:hAnsi="Arial" w:cs="Arial"/>
          <w:sz w:val="20"/>
          <w:szCs w:val="20"/>
        </w:rPr>
        <w:t>izračunavanju</w:t>
      </w:r>
      <w:r w:rsidRPr="00421356">
        <w:rPr>
          <w:rFonts w:ascii="Arial" w:hAnsi="Arial" w:cs="Arial"/>
          <w:sz w:val="20"/>
          <w:szCs w:val="20"/>
        </w:rPr>
        <w:t xml:space="preserve"> povrhnjega davka lahko </w:t>
      </w:r>
      <w:proofErr w:type="spellStart"/>
      <w:r w:rsidRPr="00421356">
        <w:rPr>
          <w:rFonts w:ascii="Arial" w:hAnsi="Arial" w:cs="Arial"/>
          <w:sz w:val="20"/>
          <w:szCs w:val="20"/>
        </w:rPr>
        <w:t>vložniški</w:t>
      </w:r>
      <w:proofErr w:type="spellEnd"/>
      <w:r w:rsidRPr="00421356">
        <w:rPr>
          <w:rFonts w:ascii="Arial" w:hAnsi="Arial" w:cs="Arial"/>
          <w:sz w:val="20"/>
          <w:szCs w:val="20"/>
        </w:rPr>
        <w:t xml:space="preserve"> subjekt v sestavi (glej 65. člen</w:t>
      </w:r>
      <w:r w:rsidR="000F0C55">
        <w:rPr>
          <w:rFonts w:ascii="Arial" w:hAnsi="Arial" w:cs="Arial"/>
          <w:sz w:val="20"/>
          <w:szCs w:val="20"/>
        </w:rPr>
        <w:t xml:space="preserve"> ZMD</w:t>
      </w:r>
      <w:r w:rsidRPr="00421356">
        <w:rPr>
          <w:rFonts w:ascii="Arial" w:hAnsi="Arial" w:cs="Arial"/>
          <w:sz w:val="20"/>
          <w:szCs w:val="20"/>
        </w:rPr>
        <w:t xml:space="preserve"> za opredelitev </w:t>
      </w:r>
      <w:proofErr w:type="spellStart"/>
      <w:r w:rsidRPr="00421356">
        <w:rPr>
          <w:rFonts w:ascii="Arial" w:hAnsi="Arial" w:cs="Arial"/>
          <w:sz w:val="20"/>
          <w:szCs w:val="20"/>
        </w:rPr>
        <w:t>vložniškega</w:t>
      </w:r>
      <w:proofErr w:type="spellEnd"/>
      <w:r w:rsidRPr="00421356">
        <w:rPr>
          <w:rFonts w:ascii="Arial" w:hAnsi="Arial" w:cs="Arial"/>
          <w:sz w:val="20"/>
          <w:szCs w:val="20"/>
        </w:rPr>
        <w:t xml:space="preserve"> subjekta), izbere, da je povrhnji davek, ki ga je treba plačati za subjekte v sestavi, ki se nahajajo v </w:t>
      </w:r>
      <w:r w:rsidR="00421356" w:rsidRPr="00421356">
        <w:rPr>
          <w:rFonts w:ascii="Arial" w:hAnsi="Arial" w:cs="Arial"/>
          <w:sz w:val="20"/>
          <w:szCs w:val="20"/>
        </w:rPr>
        <w:t>jurisdikciji</w:t>
      </w:r>
      <w:r w:rsidRPr="00421356">
        <w:rPr>
          <w:rFonts w:ascii="Arial" w:hAnsi="Arial" w:cs="Arial"/>
          <w:sz w:val="20"/>
          <w:szCs w:val="20"/>
        </w:rPr>
        <w:t>, v poslovnem letu enak nič, če v takem poslovnem letu:</w:t>
      </w:r>
    </w:p>
    <w:p w14:paraId="0968E6DA" w14:textId="77777777" w:rsidR="00E21C38" w:rsidRPr="00421356" w:rsidRDefault="00421356" w:rsidP="009C49FB">
      <w:pPr>
        <w:spacing w:after="120"/>
        <w:jc w:val="both"/>
        <w:rPr>
          <w:rFonts w:ascii="Arial" w:hAnsi="Arial" w:cs="Arial"/>
          <w:sz w:val="20"/>
          <w:szCs w:val="20"/>
        </w:rPr>
      </w:pPr>
      <w:r w:rsidRPr="00421356">
        <w:rPr>
          <w:rFonts w:ascii="Arial" w:hAnsi="Arial" w:cs="Arial"/>
          <w:sz w:val="20"/>
          <w:szCs w:val="20"/>
        </w:rPr>
        <w:t>1. povprečni kvalificirani prihodek vseh subjektov v sestavi, ki se nahajajo v taki jurisdikciji, znaša manj kot 10.000.000 EUR, ter</w:t>
      </w:r>
    </w:p>
    <w:p w14:paraId="186CEC86" w14:textId="77777777" w:rsidR="00421356" w:rsidRDefault="00421356" w:rsidP="009C49FB">
      <w:pPr>
        <w:spacing w:after="120"/>
        <w:jc w:val="both"/>
        <w:rPr>
          <w:rFonts w:ascii="Arial" w:hAnsi="Arial" w:cs="Arial"/>
          <w:sz w:val="20"/>
          <w:szCs w:val="20"/>
        </w:rPr>
      </w:pPr>
      <w:r w:rsidRPr="00421356">
        <w:rPr>
          <w:rFonts w:ascii="Arial" w:hAnsi="Arial" w:cs="Arial"/>
          <w:sz w:val="20"/>
          <w:szCs w:val="20"/>
        </w:rPr>
        <w:t xml:space="preserve">2. je povprečni kvalificirani dohodek ali izguba vseh subjektov v sestavi v taki jurisdikciji enaka izgubi ali znaša manj kot 1 000 000 EUR. </w:t>
      </w:r>
    </w:p>
    <w:p w14:paraId="25BA946B" w14:textId="77777777" w:rsidR="00421356" w:rsidRDefault="00421356" w:rsidP="009C49FB">
      <w:pPr>
        <w:spacing w:after="120"/>
        <w:jc w:val="both"/>
        <w:rPr>
          <w:rFonts w:ascii="Arial" w:hAnsi="Arial" w:cs="Arial"/>
          <w:sz w:val="20"/>
          <w:szCs w:val="20"/>
        </w:rPr>
      </w:pPr>
      <w:r>
        <w:rPr>
          <w:rFonts w:ascii="Arial" w:hAnsi="Arial" w:cs="Arial"/>
          <w:sz w:val="20"/>
          <w:szCs w:val="20"/>
        </w:rPr>
        <w:t xml:space="preserve">Pravilo torej določa, da se za subjekte v sestavi, ki se nahajajo v določeni jurisdikciji, za določeno poročevalsko obdobje šteje, da je povrhnji davek nič, kadar vsi subjekti v sestavi, ki se nahajajo v isti jurisdikciji, izpolnjujejo pogoje De </w:t>
      </w:r>
      <w:proofErr w:type="spellStart"/>
      <w:r>
        <w:rPr>
          <w:rFonts w:ascii="Arial" w:hAnsi="Arial" w:cs="Arial"/>
          <w:sz w:val="20"/>
          <w:szCs w:val="20"/>
        </w:rPr>
        <w:t>minimis</w:t>
      </w:r>
      <w:proofErr w:type="spellEnd"/>
      <w:r>
        <w:rPr>
          <w:rFonts w:ascii="Arial" w:hAnsi="Arial" w:cs="Arial"/>
          <w:sz w:val="20"/>
          <w:szCs w:val="20"/>
        </w:rPr>
        <w:t xml:space="preserve"> izjeme. Učinek De </w:t>
      </w:r>
      <w:proofErr w:type="spellStart"/>
      <w:r>
        <w:rPr>
          <w:rFonts w:ascii="Arial" w:hAnsi="Arial" w:cs="Arial"/>
          <w:sz w:val="20"/>
          <w:szCs w:val="20"/>
        </w:rPr>
        <w:t>minimis</w:t>
      </w:r>
      <w:proofErr w:type="spellEnd"/>
      <w:r>
        <w:rPr>
          <w:rFonts w:ascii="Arial" w:hAnsi="Arial" w:cs="Arial"/>
          <w:sz w:val="20"/>
          <w:szCs w:val="20"/>
        </w:rPr>
        <w:t xml:space="preserve"> izjeme je tudi, da ni potrebe, da skupina izračuna dejansko davčno stopnjo subjektov v sestavi, ki se nahajajo v jurisdikciji, ki izpolnjujejo pogoje za De </w:t>
      </w:r>
      <w:proofErr w:type="spellStart"/>
      <w:r>
        <w:rPr>
          <w:rFonts w:ascii="Arial" w:hAnsi="Arial" w:cs="Arial"/>
          <w:sz w:val="20"/>
          <w:szCs w:val="20"/>
        </w:rPr>
        <w:t>minimis</w:t>
      </w:r>
      <w:proofErr w:type="spellEnd"/>
      <w:r>
        <w:rPr>
          <w:rFonts w:ascii="Arial" w:hAnsi="Arial" w:cs="Arial"/>
          <w:sz w:val="20"/>
          <w:szCs w:val="20"/>
        </w:rPr>
        <w:t xml:space="preserve">. Prav tako ni treba izračunati zneska povrhnjega davka, ki bi bil dolžan, če izjema ne bi veljala. </w:t>
      </w:r>
    </w:p>
    <w:p w14:paraId="01DC8825" w14:textId="77777777" w:rsidR="00421356" w:rsidRDefault="00421356" w:rsidP="009C49FB">
      <w:pPr>
        <w:spacing w:after="120"/>
        <w:jc w:val="both"/>
        <w:rPr>
          <w:rFonts w:ascii="Arial" w:hAnsi="Arial" w:cs="Arial"/>
          <w:sz w:val="20"/>
          <w:szCs w:val="20"/>
        </w:rPr>
      </w:pPr>
      <w:r>
        <w:rPr>
          <w:rFonts w:ascii="Arial" w:hAnsi="Arial" w:cs="Arial"/>
          <w:sz w:val="20"/>
          <w:szCs w:val="20"/>
        </w:rPr>
        <w:t>Povprečni kvalificirani prihodek ali povprečni kvalificirani dohodek ali izguba iz zgornjih točk je povprečje kvalificiranega prihodka ali kvalificiranega dohodka ali izgube subjektov v sestavi, ki se nahajajo v jurisdikciji, za poslovno leto in dve predhodni poslovni leti. Pri tem velja, da se, če v jurisdikciji v prvem ali drugem predhodnem poslovnem letu ali ali v obeh ni subjektov v sestavi s kvalificiranim prihodkom ali kvalificirano izgubo, taka poslovna leta izključijo iz izračuna povprečja kvalificiranega prihodka ali kvalificiranega dohodka ali izgube v tej jurisdikciji.</w:t>
      </w:r>
    </w:p>
    <w:p w14:paraId="045F9A8F" w14:textId="77777777" w:rsidR="00421356" w:rsidRDefault="00421356" w:rsidP="00512CBE">
      <w:pPr>
        <w:spacing w:after="120"/>
        <w:jc w:val="both"/>
        <w:rPr>
          <w:rFonts w:ascii="Arial" w:hAnsi="Arial" w:cs="Arial"/>
          <w:sz w:val="20"/>
          <w:szCs w:val="20"/>
        </w:rPr>
      </w:pPr>
      <w:r>
        <w:rPr>
          <w:rFonts w:ascii="Arial" w:hAnsi="Arial" w:cs="Arial"/>
          <w:sz w:val="20"/>
          <w:szCs w:val="20"/>
        </w:rPr>
        <w:t xml:space="preserve">V nadaljevanju je podan praktični primer učinkovanja izjeme De </w:t>
      </w:r>
      <w:proofErr w:type="spellStart"/>
      <w:r>
        <w:rPr>
          <w:rFonts w:ascii="Arial" w:hAnsi="Arial" w:cs="Arial"/>
          <w:sz w:val="20"/>
          <w:szCs w:val="20"/>
        </w:rPr>
        <w:t>minimis</w:t>
      </w:r>
      <w:proofErr w:type="spellEnd"/>
      <w:r>
        <w:rPr>
          <w:rFonts w:ascii="Arial" w:hAnsi="Arial" w:cs="Arial"/>
          <w:sz w:val="20"/>
          <w:szCs w:val="20"/>
        </w:rPr>
        <w:t>:</w:t>
      </w:r>
    </w:p>
    <w:p w14:paraId="62B90C62" w14:textId="77777777" w:rsidR="00421356" w:rsidRDefault="00421356" w:rsidP="00512CBE">
      <w:pPr>
        <w:pStyle w:val="Naslov1"/>
      </w:pPr>
      <w:r>
        <w:t xml:space="preserve">Primer 4 Izključitev De </w:t>
      </w:r>
      <w:proofErr w:type="spellStart"/>
      <w:r>
        <w:t>minimis</w:t>
      </w:r>
      <w:proofErr w:type="spellEnd"/>
      <w:r>
        <w:t xml:space="preserve"> – kratko poročevalsko leto</w:t>
      </w:r>
    </w:p>
    <w:p w14:paraId="701CF16B" w14:textId="77777777" w:rsidR="00421356" w:rsidRDefault="00421356" w:rsidP="009C49FB">
      <w:pPr>
        <w:spacing w:after="120"/>
        <w:jc w:val="both"/>
        <w:rPr>
          <w:rFonts w:ascii="Arial" w:hAnsi="Arial" w:cs="Arial"/>
          <w:sz w:val="20"/>
          <w:szCs w:val="20"/>
        </w:rPr>
      </w:pPr>
      <w:r>
        <w:rPr>
          <w:rFonts w:ascii="Arial" w:hAnsi="Arial" w:cs="Arial"/>
          <w:sz w:val="20"/>
          <w:szCs w:val="20"/>
        </w:rPr>
        <w:t>1. Ta primer ponazarja, kako se izračunane kvalificirane povprečne prihodke in povprečne kvalifi</w:t>
      </w:r>
      <w:r w:rsidR="00D25B79">
        <w:rPr>
          <w:rFonts w:ascii="Arial" w:hAnsi="Arial" w:cs="Arial"/>
          <w:sz w:val="20"/>
          <w:szCs w:val="20"/>
        </w:rPr>
        <w:t>ci</w:t>
      </w:r>
      <w:r>
        <w:rPr>
          <w:rFonts w:ascii="Arial" w:hAnsi="Arial" w:cs="Arial"/>
          <w:sz w:val="20"/>
          <w:szCs w:val="20"/>
        </w:rPr>
        <w:t xml:space="preserve">rane dohodke prilagodi v primeru kratkega obračunskega obdobja. </w:t>
      </w:r>
    </w:p>
    <w:p w14:paraId="21668105" w14:textId="77777777" w:rsidR="00421356" w:rsidRDefault="00421356" w:rsidP="009C49FB">
      <w:pPr>
        <w:spacing w:after="120"/>
        <w:jc w:val="both"/>
        <w:rPr>
          <w:rFonts w:ascii="Arial" w:hAnsi="Arial" w:cs="Arial"/>
          <w:sz w:val="20"/>
          <w:szCs w:val="20"/>
        </w:rPr>
      </w:pPr>
      <w:r>
        <w:rPr>
          <w:rFonts w:ascii="Arial" w:hAnsi="Arial" w:cs="Arial"/>
          <w:sz w:val="20"/>
          <w:szCs w:val="20"/>
        </w:rPr>
        <w:t>2. Predpostavljamo, da skupina ABC koledarsko leto uporablja kot svoje obračunsko leto in ima samo en subjekt v sestavi v jurisdikciji B, B Co. B Co, ki je bil ustanovljen 1. julija v letu 1 ter je imel kvalificirane prihodke v višini 1 milijona EUR in kvalificirani dohodek v višini 50.000 EUR v letu 1. Predpostavimo, da ima B Co v drugem letu kvalificirane prihodke v višini 1 milijona EUR in kvalificiran</w:t>
      </w:r>
      <w:r w:rsidR="00305E2D">
        <w:rPr>
          <w:rFonts w:ascii="Arial" w:hAnsi="Arial" w:cs="Arial"/>
          <w:sz w:val="20"/>
          <w:szCs w:val="20"/>
        </w:rPr>
        <w:t xml:space="preserve"> dohodek v višini 100.000 EUR. V tretjem letu pa</w:t>
      </w:r>
      <w:r>
        <w:rPr>
          <w:rFonts w:ascii="Arial" w:hAnsi="Arial" w:cs="Arial"/>
          <w:sz w:val="20"/>
          <w:szCs w:val="20"/>
        </w:rPr>
        <w:t xml:space="preserve"> prihodke v višini 3 milijonov EUR in kvalificirano izgubo v </w:t>
      </w:r>
      <w:r w:rsidR="00D25B79">
        <w:rPr>
          <w:rFonts w:ascii="Arial" w:hAnsi="Arial" w:cs="Arial"/>
          <w:sz w:val="20"/>
          <w:szCs w:val="20"/>
        </w:rPr>
        <w:t>višini 200,000 EUR. Družba B Co ustvarja kvalificirani prihodek, kvalificirani dohodek in kvalificirano izgubo samo v jurisdikciji B. V primeru ponazarjamo, kako se opravi izračun in presodi, da je povrhnji davek za družbo B Co enak nič za proračunsko leto 3.</w:t>
      </w:r>
    </w:p>
    <w:p w14:paraId="74706D10" w14:textId="77777777" w:rsidR="00D25B79" w:rsidRDefault="00D25B79" w:rsidP="009C49FB">
      <w:pPr>
        <w:spacing w:after="120"/>
        <w:jc w:val="both"/>
        <w:rPr>
          <w:rFonts w:ascii="Arial" w:hAnsi="Arial" w:cs="Arial"/>
          <w:sz w:val="20"/>
          <w:szCs w:val="20"/>
        </w:rPr>
      </w:pPr>
      <w:r>
        <w:rPr>
          <w:rFonts w:ascii="Arial" w:hAnsi="Arial" w:cs="Arial"/>
          <w:sz w:val="20"/>
          <w:szCs w:val="20"/>
        </w:rPr>
        <w:t xml:space="preserve">3 Izračun povprečnih zneskov v skladu z De </w:t>
      </w:r>
      <w:proofErr w:type="spellStart"/>
      <w:r>
        <w:rPr>
          <w:rFonts w:ascii="Arial" w:hAnsi="Arial" w:cs="Arial"/>
          <w:sz w:val="20"/>
          <w:szCs w:val="20"/>
        </w:rPr>
        <w:t>minimis</w:t>
      </w:r>
      <w:proofErr w:type="spellEnd"/>
      <w:r>
        <w:rPr>
          <w:rFonts w:ascii="Arial" w:hAnsi="Arial" w:cs="Arial"/>
          <w:sz w:val="20"/>
          <w:szCs w:val="20"/>
        </w:rPr>
        <w:t xml:space="preserve"> pravili temelji na predpostavki, da davčna leta trajaj</w:t>
      </w:r>
      <w:r w:rsidR="00305E2D">
        <w:rPr>
          <w:rFonts w:ascii="Arial" w:hAnsi="Arial" w:cs="Arial"/>
          <w:sz w:val="20"/>
          <w:szCs w:val="20"/>
        </w:rPr>
        <w:t>o enako dolgo</w:t>
      </w:r>
      <w:r>
        <w:rPr>
          <w:rFonts w:ascii="Arial" w:hAnsi="Arial" w:cs="Arial"/>
          <w:sz w:val="20"/>
          <w:szCs w:val="20"/>
        </w:rPr>
        <w:t xml:space="preserve">. Če je eno davčno leto krajše, se povprečje izračuna z ustrezno prilagoditvijo kvalificiranih prihodkov in dohodkov (ali izgube) sorazmerno z obdobjem, ki ga zajema kratko obračunsko leto na 12-mesečno obdobje. Zato se bodo v letu 1 kvalificirani prihodki in dohodek za leto 1 pomnožili z 2 (=12/6) za namene določitve povprečnih letnih kvalificiranih prihodkov in dohodek, saj sta bila kvalificirani prihodek in dohodek družbe B Co realizirana v šestih mesecih (od 1. julija do 31. decembra). </w:t>
      </w:r>
    </w:p>
    <w:p w14:paraId="1814ED42" w14:textId="77777777" w:rsidR="0007412C" w:rsidRDefault="0007412C" w:rsidP="009C49FB">
      <w:pPr>
        <w:spacing w:after="120"/>
        <w:jc w:val="both"/>
        <w:rPr>
          <w:rFonts w:ascii="Arial" w:hAnsi="Arial" w:cs="Arial"/>
          <w:sz w:val="20"/>
          <w:szCs w:val="20"/>
        </w:rPr>
      </w:pPr>
      <w:r>
        <w:rPr>
          <w:rFonts w:ascii="Arial" w:hAnsi="Arial" w:cs="Arial"/>
          <w:sz w:val="20"/>
          <w:szCs w:val="20"/>
        </w:rPr>
        <w:t>4. Povprečje se izračuna na naslednji način:</w:t>
      </w:r>
    </w:p>
    <w:p w14:paraId="75DECCEC" w14:textId="77777777" w:rsidR="0007412C" w:rsidRDefault="0007412C" w:rsidP="009C49FB">
      <w:pPr>
        <w:spacing w:after="120"/>
        <w:jc w:val="both"/>
        <w:rPr>
          <w:rFonts w:ascii="Arial" w:hAnsi="Arial" w:cs="Arial"/>
          <w:sz w:val="20"/>
          <w:szCs w:val="20"/>
        </w:rPr>
      </w:pPr>
      <w:r>
        <w:rPr>
          <w:rFonts w:ascii="Arial" w:hAnsi="Arial" w:cs="Arial"/>
          <w:sz w:val="20"/>
          <w:szCs w:val="20"/>
        </w:rPr>
        <w:t>Triletni povprečni kvalificirani prihodki za to jurisdikcijo so:</w:t>
      </w:r>
    </w:p>
    <w:p w14:paraId="7F6872AA" w14:textId="77777777" w:rsidR="0007412C" w:rsidRPr="0007412C" w:rsidRDefault="00000000" w:rsidP="009C49FB">
      <w:pPr>
        <w:spacing w:after="120"/>
        <w:jc w:val="both"/>
        <w:rPr>
          <w:rFonts w:ascii="Arial" w:eastAsiaTheme="minorEastAsia" w:hAnsi="Arial" w:cs="Arial"/>
          <w:sz w:val="20"/>
          <w:szCs w:val="20"/>
        </w:rPr>
      </w:pPr>
      <m:oMathPara>
        <m:oMath>
          <m:f>
            <m:fPr>
              <m:ctrlPr>
                <w:rPr>
                  <w:rFonts w:ascii="Cambria Math" w:hAnsi="Cambria Math" w:cs="Arial"/>
                  <w:i/>
                  <w:sz w:val="20"/>
                  <w:szCs w:val="20"/>
                </w:rPr>
              </m:ctrlPr>
            </m:fPr>
            <m:num>
              <m:d>
                <m:dPr>
                  <m:ctrlPr>
                    <w:rPr>
                      <w:rFonts w:ascii="Cambria Math" w:hAnsi="Cambria Math" w:cs="Arial"/>
                      <w:i/>
                      <w:sz w:val="20"/>
                      <w:szCs w:val="20"/>
                    </w:rPr>
                  </m:ctrlPr>
                </m:dPr>
                <m:e>
                  <m:r>
                    <w:rPr>
                      <w:rFonts w:ascii="Cambria Math" w:hAnsi="Cambria Math" w:cs="Arial"/>
                      <w:sz w:val="20"/>
                      <w:szCs w:val="20"/>
                    </w:rPr>
                    <m:t>2x1mil</m:t>
                  </m:r>
                </m:e>
              </m:d>
              <m:r>
                <w:rPr>
                  <w:rFonts w:ascii="Cambria Math" w:hAnsi="Cambria Math" w:cs="Arial"/>
                  <w:sz w:val="20"/>
                  <w:szCs w:val="20"/>
                </w:rPr>
                <m:t>+1mil+3mil</m:t>
              </m:r>
            </m:num>
            <m:den>
              <m:r>
                <w:rPr>
                  <w:rFonts w:ascii="Cambria Math" w:hAnsi="Cambria Math" w:cs="Arial"/>
                  <w:sz w:val="20"/>
                  <w:szCs w:val="20"/>
                </w:rPr>
                <m:t>3</m:t>
              </m:r>
            </m:den>
          </m:f>
          <m:r>
            <w:rPr>
              <w:rFonts w:ascii="Cambria Math" w:hAnsi="Cambria Math" w:cs="Arial"/>
              <w:sz w:val="20"/>
              <w:szCs w:val="20"/>
            </w:rPr>
            <m:t>=2 milijona EUR</m:t>
          </m:r>
        </m:oMath>
      </m:oMathPara>
    </w:p>
    <w:p w14:paraId="6503EA8D" w14:textId="77777777" w:rsidR="0007412C" w:rsidRDefault="0007412C" w:rsidP="009C49FB">
      <w:pPr>
        <w:spacing w:after="120"/>
        <w:jc w:val="both"/>
        <w:rPr>
          <w:rFonts w:ascii="Arial" w:eastAsiaTheme="minorEastAsia" w:hAnsi="Arial" w:cs="Arial"/>
          <w:sz w:val="20"/>
          <w:szCs w:val="20"/>
        </w:rPr>
      </w:pPr>
      <w:r>
        <w:rPr>
          <w:rFonts w:ascii="Arial" w:eastAsiaTheme="minorEastAsia" w:hAnsi="Arial" w:cs="Arial"/>
          <w:sz w:val="20"/>
          <w:szCs w:val="20"/>
        </w:rPr>
        <w:t xml:space="preserve">Triletni povprečni kvalificirani dohodki ali izgube za to jurisdikcijo pa so: </w:t>
      </w:r>
    </w:p>
    <w:p w14:paraId="624A1ABB" w14:textId="77777777" w:rsidR="0007412C" w:rsidRPr="00421356" w:rsidRDefault="00000000" w:rsidP="009C49FB">
      <w:pPr>
        <w:spacing w:after="120"/>
        <w:jc w:val="both"/>
        <w:rPr>
          <w:rFonts w:ascii="Arial" w:hAnsi="Arial" w:cs="Arial"/>
          <w:sz w:val="20"/>
          <w:szCs w:val="20"/>
        </w:rPr>
      </w:pPr>
      <m:oMathPara>
        <m:oMath>
          <m:f>
            <m:fPr>
              <m:ctrlPr>
                <w:rPr>
                  <w:rFonts w:ascii="Cambria Math" w:hAnsi="Cambria Math" w:cs="Arial"/>
                  <w:i/>
                  <w:sz w:val="20"/>
                  <w:szCs w:val="20"/>
                </w:rPr>
              </m:ctrlPr>
            </m:fPr>
            <m:num>
              <m:d>
                <m:dPr>
                  <m:ctrlPr>
                    <w:rPr>
                      <w:rFonts w:ascii="Cambria Math" w:hAnsi="Cambria Math" w:cs="Arial"/>
                      <w:i/>
                      <w:sz w:val="20"/>
                      <w:szCs w:val="20"/>
                    </w:rPr>
                  </m:ctrlPr>
                </m:dPr>
                <m:e>
                  <m:r>
                    <w:rPr>
                      <w:rFonts w:ascii="Cambria Math" w:hAnsi="Cambria Math" w:cs="Arial"/>
                      <w:sz w:val="20"/>
                      <w:szCs w:val="20"/>
                    </w:rPr>
                    <m:t>2x50,000)</m:t>
                  </m:r>
                </m:e>
              </m:d>
              <m:r>
                <w:rPr>
                  <w:rFonts w:ascii="Cambria Math" w:hAnsi="Cambria Math" w:cs="Arial"/>
                  <w:sz w:val="20"/>
                  <w:szCs w:val="20"/>
                </w:rPr>
                <m:t>+100,000+(-200,000)</m:t>
              </m:r>
            </m:num>
            <m:den>
              <m:r>
                <w:rPr>
                  <w:rFonts w:ascii="Cambria Math" w:hAnsi="Cambria Math" w:cs="Arial"/>
                  <w:sz w:val="20"/>
                  <w:szCs w:val="20"/>
                </w:rPr>
                <m:t>3</m:t>
              </m:r>
            </m:den>
          </m:f>
          <m:r>
            <w:rPr>
              <w:rFonts w:ascii="Cambria Math" w:hAnsi="Cambria Math" w:cs="Arial"/>
              <w:sz w:val="20"/>
              <w:szCs w:val="20"/>
            </w:rPr>
            <m:t>=0 EUR</m:t>
          </m:r>
        </m:oMath>
      </m:oMathPara>
    </w:p>
    <w:p w14:paraId="4FF06D45" w14:textId="77777777" w:rsidR="0007412C" w:rsidRDefault="0007412C">
      <w:pPr>
        <w:rPr>
          <w:rFonts w:ascii="Arial" w:hAnsi="Arial" w:cs="Arial"/>
          <w:sz w:val="20"/>
          <w:szCs w:val="20"/>
        </w:rPr>
      </w:pPr>
      <w:r>
        <w:rPr>
          <w:rFonts w:ascii="Arial" w:hAnsi="Arial" w:cs="Arial"/>
          <w:sz w:val="20"/>
          <w:szCs w:val="20"/>
        </w:rPr>
        <w:lastRenderedPageBreak/>
        <w:t xml:space="preserve">5. Povprečni kvalificirani prihodki jurisdikcije B znašajo manj kot 10 milijona EUR, povprečni dohodek ali izguba jurisdikcije B pa znaša manj kot 1 milijona EUR. Posledično se šteje, da je najvišji davek za družbo B Co nič za leto 3, če subjekt v sestavi uporabi to opcijo skladno s pravili povrhnjega davka. </w:t>
      </w:r>
    </w:p>
    <w:p w14:paraId="559CDB23" w14:textId="77777777" w:rsidR="00594EE3" w:rsidRDefault="00594EE3">
      <w:pPr>
        <w:rPr>
          <w:rFonts w:ascii="Arial" w:hAnsi="Arial" w:cs="Arial"/>
          <w:sz w:val="20"/>
          <w:szCs w:val="20"/>
        </w:rPr>
      </w:pPr>
      <w:r>
        <w:rPr>
          <w:rFonts w:ascii="Arial" w:hAnsi="Arial" w:cs="Arial"/>
          <w:sz w:val="20"/>
          <w:szCs w:val="20"/>
        </w:rPr>
        <w:br w:type="page"/>
      </w:r>
    </w:p>
    <w:p w14:paraId="7D8FBD34" w14:textId="77777777" w:rsidR="00DB65D9" w:rsidRPr="008F3623" w:rsidRDefault="00D9667C" w:rsidP="0057227B">
      <w:pPr>
        <w:pStyle w:val="FURSnaslov2"/>
        <w:jc w:val="both"/>
      </w:pPr>
      <w:bookmarkStart w:id="33" w:name="_Toc157425326"/>
      <w:r>
        <w:rPr>
          <w:lang w:val="sl-SI"/>
        </w:rPr>
        <w:lastRenderedPageBreak/>
        <w:t>5</w:t>
      </w:r>
      <w:r w:rsidR="0057227B" w:rsidRPr="00356C7A">
        <w:rPr>
          <w:lang w:val="sl-SI"/>
        </w:rPr>
        <w:t>.0</w:t>
      </w:r>
      <w:r w:rsidR="009F748F" w:rsidRPr="005E0991">
        <w:rPr>
          <w:sz w:val="22"/>
          <w:szCs w:val="22"/>
          <w:lang w:val="sl-SI"/>
        </w:rPr>
        <w:t xml:space="preserve"> </w:t>
      </w:r>
      <w:proofErr w:type="spellStart"/>
      <w:r w:rsidR="001D7257">
        <w:t>Upravno</w:t>
      </w:r>
      <w:proofErr w:type="spellEnd"/>
      <w:r w:rsidR="001D7257">
        <w:t xml:space="preserve"> - </w:t>
      </w:r>
      <w:proofErr w:type="spellStart"/>
      <w:r w:rsidR="001D7257">
        <w:t>a</w:t>
      </w:r>
      <w:r w:rsidR="00237DFD" w:rsidRPr="008F3623">
        <w:t>dministrativni</w:t>
      </w:r>
      <w:proofErr w:type="spellEnd"/>
      <w:r w:rsidR="00237DFD" w:rsidRPr="008F3623">
        <w:t xml:space="preserve"> </w:t>
      </w:r>
      <w:proofErr w:type="spellStart"/>
      <w:r w:rsidR="00237DFD" w:rsidRPr="008F3623">
        <w:t>vidiki</w:t>
      </w:r>
      <w:proofErr w:type="spellEnd"/>
      <w:r w:rsidR="00237DFD" w:rsidRPr="008F3623">
        <w:t xml:space="preserve"> in </w:t>
      </w:r>
      <w:proofErr w:type="spellStart"/>
      <w:r w:rsidR="00237DFD" w:rsidRPr="008F3623">
        <w:t>postopek</w:t>
      </w:r>
      <w:proofErr w:type="spellEnd"/>
      <w:r w:rsidR="00237DFD" w:rsidRPr="008F3623">
        <w:t xml:space="preserve"> </w:t>
      </w:r>
      <w:proofErr w:type="spellStart"/>
      <w:r w:rsidR="00237DFD" w:rsidRPr="008F3623">
        <w:t>pobiranja</w:t>
      </w:r>
      <w:proofErr w:type="spellEnd"/>
      <w:r w:rsidR="00237DFD" w:rsidRPr="008F3623">
        <w:t xml:space="preserve"> </w:t>
      </w:r>
      <w:proofErr w:type="spellStart"/>
      <w:r w:rsidR="00237DFD" w:rsidRPr="008F3623">
        <w:t>povrhnjega</w:t>
      </w:r>
      <w:proofErr w:type="spellEnd"/>
      <w:r w:rsidR="00237DFD" w:rsidRPr="008F3623">
        <w:t xml:space="preserve"> </w:t>
      </w:r>
      <w:proofErr w:type="spellStart"/>
      <w:r w:rsidR="00237DFD" w:rsidRPr="008F3623">
        <w:t>davka</w:t>
      </w:r>
      <w:bookmarkEnd w:id="33"/>
      <w:proofErr w:type="spellEnd"/>
    </w:p>
    <w:p w14:paraId="0E5A7EE3" w14:textId="77777777" w:rsidR="001D7257" w:rsidRDefault="001D7257" w:rsidP="00DB65D9">
      <w:pPr>
        <w:jc w:val="both"/>
        <w:rPr>
          <w:rFonts w:ascii="Arial" w:hAnsi="Arial" w:cs="Arial"/>
          <w:sz w:val="20"/>
          <w:szCs w:val="20"/>
        </w:rPr>
      </w:pPr>
      <w:r>
        <w:rPr>
          <w:rFonts w:ascii="Arial" w:hAnsi="Arial" w:cs="Arial"/>
          <w:sz w:val="20"/>
          <w:szCs w:val="20"/>
        </w:rPr>
        <w:t>ZMD je v svoje določbe vnesel način izpolnjevanja obveznosti po sistemu povrhnjega davka. V zvezi z upravno-administrativnimi obveznostmi obstajajo tri skupine obveznosti, ki jih morajo upoštevati subjekti v sestavi, ki so v okviru sistema povrhnjega davka:</w:t>
      </w:r>
    </w:p>
    <w:p w14:paraId="40C27BD8" w14:textId="77777777" w:rsidR="00DB65D9" w:rsidRDefault="001D7257">
      <w:pPr>
        <w:pStyle w:val="Odstavekseznama"/>
        <w:numPr>
          <w:ilvl w:val="0"/>
          <w:numId w:val="29"/>
        </w:numPr>
        <w:jc w:val="both"/>
        <w:rPr>
          <w:rFonts w:ascii="Arial" w:hAnsi="Arial" w:cs="Arial"/>
          <w:sz w:val="20"/>
          <w:szCs w:val="20"/>
        </w:rPr>
      </w:pPr>
      <w:r>
        <w:rPr>
          <w:rFonts w:ascii="Arial" w:hAnsi="Arial" w:cs="Arial"/>
          <w:sz w:val="20"/>
          <w:szCs w:val="20"/>
        </w:rPr>
        <w:t xml:space="preserve">Obveznost predložitve informativnega obrazca za obračun, ali tako imenovani Globe </w:t>
      </w:r>
      <w:proofErr w:type="spellStart"/>
      <w:r>
        <w:rPr>
          <w:rFonts w:ascii="Arial" w:hAnsi="Arial" w:cs="Arial"/>
          <w:sz w:val="20"/>
          <w:szCs w:val="20"/>
        </w:rPr>
        <w:t>Information</w:t>
      </w:r>
      <w:proofErr w:type="spellEnd"/>
      <w:r>
        <w:rPr>
          <w:rFonts w:ascii="Arial" w:hAnsi="Arial" w:cs="Arial"/>
          <w:sz w:val="20"/>
          <w:szCs w:val="20"/>
        </w:rPr>
        <w:t xml:space="preserve"> </w:t>
      </w:r>
      <w:proofErr w:type="spellStart"/>
      <w:r>
        <w:rPr>
          <w:rFonts w:ascii="Arial" w:hAnsi="Arial" w:cs="Arial"/>
          <w:sz w:val="20"/>
          <w:szCs w:val="20"/>
        </w:rPr>
        <w:t>Return</w:t>
      </w:r>
      <w:proofErr w:type="spellEnd"/>
      <w:r w:rsidR="00551835">
        <w:rPr>
          <w:rFonts w:ascii="Arial" w:hAnsi="Arial" w:cs="Arial"/>
          <w:sz w:val="20"/>
          <w:szCs w:val="20"/>
        </w:rPr>
        <w:t xml:space="preserve"> (GIR)</w:t>
      </w:r>
      <w:r>
        <w:rPr>
          <w:rFonts w:ascii="Arial" w:hAnsi="Arial" w:cs="Arial"/>
          <w:sz w:val="20"/>
          <w:szCs w:val="20"/>
        </w:rPr>
        <w:t>;</w:t>
      </w:r>
    </w:p>
    <w:p w14:paraId="0015DBD9" w14:textId="77777777" w:rsidR="001D7257" w:rsidRDefault="001D7257">
      <w:pPr>
        <w:pStyle w:val="Odstavekseznama"/>
        <w:numPr>
          <w:ilvl w:val="0"/>
          <w:numId w:val="29"/>
        </w:numPr>
        <w:jc w:val="both"/>
        <w:rPr>
          <w:rFonts w:ascii="Arial" w:hAnsi="Arial" w:cs="Arial"/>
          <w:sz w:val="20"/>
          <w:szCs w:val="20"/>
        </w:rPr>
      </w:pPr>
      <w:r>
        <w:rPr>
          <w:rFonts w:ascii="Arial" w:hAnsi="Arial" w:cs="Arial"/>
          <w:sz w:val="20"/>
          <w:szCs w:val="20"/>
        </w:rPr>
        <w:t>Obračun povrhnjega davka po pravilu o vključitvi dohodka (IIR) ali po pravilu o prenizko obdavčenih dobičkih (UTPR);</w:t>
      </w:r>
    </w:p>
    <w:p w14:paraId="619FC728" w14:textId="77777777" w:rsidR="001D7257" w:rsidRDefault="001D7257">
      <w:pPr>
        <w:pStyle w:val="Odstavekseznama"/>
        <w:numPr>
          <w:ilvl w:val="0"/>
          <w:numId w:val="29"/>
        </w:numPr>
        <w:jc w:val="both"/>
        <w:rPr>
          <w:rFonts w:ascii="Arial" w:hAnsi="Arial" w:cs="Arial"/>
          <w:sz w:val="20"/>
          <w:szCs w:val="20"/>
        </w:rPr>
      </w:pPr>
      <w:r>
        <w:rPr>
          <w:rFonts w:ascii="Arial" w:hAnsi="Arial" w:cs="Arial"/>
          <w:sz w:val="20"/>
          <w:szCs w:val="20"/>
        </w:rPr>
        <w:t>Obračun domačega povrhnjega davka (QDMTT).</w:t>
      </w:r>
    </w:p>
    <w:p w14:paraId="49A833A1" w14:textId="77777777" w:rsidR="001D7257" w:rsidRDefault="001D7257" w:rsidP="00E7738F">
      <w:pPr>
        <w:jc w:val="both"/>
        <w:rPr>
          <w:rFonts w:ascii="Arial" w:hAnsi="Arial" w:cs="Arial"/>
          <w:sz w:val="20"/>
          <w:szCs w:val="20"/>
        </w:rPr>
      </w:pPr>
      <w:r>
        <w:rPr>
          <w:rFonts w:ascii="Arial" w:hAnsi="Arial" w:cs="Arial"/>
          <w:sz w:val="20"/>
          <w:szCs w:val="20"/>
        </w:rPr>
        <w:t>Za vse subjekte v sestavi v Sloveniji, ne glede na njihov položaj v strukturi skupine, bo bistvena ugotovitev ali so sami nizko-obdavčeni subjekti (LTCE) – torej ali je njihova</w:t>
      </w:r>
      <w:r w:rsidR="00D844F7">
        <w:rPr>
          <w:rFonts w:ascii="Arial" w:hAnsi="Arial" w:cs="Arial"/>
          <w:sz w:val="20"/>
          <w:szCs w:val="20"/>
        </w:rPr>
        <w:t xml:space="preserve"> jurisdikcijska</w:t>
      </w:r>
      <w:r>
        <w:rPr>
          <w:rFonts w:ascii="Arial" w:hAnsi="Arial" w:cs="Arial"/>
          <w:sz w:val="20"/>
          <w:szCs w:val="20"/>
        </w:rPr>
        <w:t xml:space="preserve"> dejanska davčna stopnja, izračunana po pravilih povrhnjega davka, nižja od minimalne davčne stopnje</w:t>
      </w:r>
      <w:r w:rsidR="00D844F7">
        <w:rPr>
          <w:rFonts w:ascii="Arial" w:hAnsi="Arial" w:cs="Arial"/>
          <w:sz w:val="20"/>
          <w:szCs w:val="20"/>
        </w:rPr>
        <w:t xml:space="preserve"> in imajo presežni dobiček za jurisdikcijo</w:t>
      </w:r>
      <w:r>
        <w:rPr>
          <w:rFonts w:ascii="Arial" w:hAnsi="Arial" w:cs="Arial"/>
          <w:sz w:val="20"/>
          <w:szCs w:val="20"/>
        </w:rPr>
        <w:t>. Če so LTCE, potem bodo primarno dolžni obračunati domači povrhnji davek, skladno s pravili o domačem povrhnjem davku.</w:t>
      </w:r>
    </w:p>
    <w:p w14:paraId="54D196C1" w14:textId="3431BEB9" w:rsidR="001D7257" w:rsidRDefault="002854D7" w:rsidP="00E7738F">
      <w:pPr>
        <w:jc w:val="both"/>
        <w:rPr>
          <w:rFonts w:ascii="Arial" w:hAnsi="Arial" w:cs="Arial"/>
          <w:sz w:val="20"/>
          <w:szCs w:val="20"/>
        </w:rPr>
      </w:pPr>
      <w:r>
        <w:rPr>
          <w:rFonts w:ascii="Arial" w:hAnsi="Arial" w:cs="Arial"/>
          <w:sz w:val="20"/>
          <w:szCs w:val="20"/>
        </w:rPr>
        <w:t>S</w:t>
      </w:r>
      <w:r w:rsidR="001D7257">
        <w:rPr>
          <w:rFonts w:ascii="Arial" w:hAnsi="Arial" w:cs="Arial"/>
          <w:sz w:val="20"/>
          <w:szCs w:val="20"/>
        </w:rPr>
        <w:t>ubjekt</w:t>
      </w:r>
      <w:r>
        <w:rPr>
          <w:rFonts w:ascii="Arial" w:hAnsi="Arial" w:cs="Arial"/>
          <w:sz w:val="20"/>
          <w:szCs w:val="20"/>
        </w:rPr>
        <w:t>i</w:t>
      </w:r>
      <w:r w:rsidR="001D7257">
        <w:rPr>
          <w:rFonts w:ascii="Arial" w:hAnsi="Arial" w:cs="Arial"/>
          <w:sz w:val="20"/>
          <w:szCs w:val="20"/>
        </w:rPr>
        <w:t xml:space="preserve"> v sestavi, ki imajo status krovnega matičnega subjekta (UPE ali KMS), vmesnega matičnega subjekta (IPE) ali matičnega subjekta v delni lasti (POPE), morajo ugotoviti ali so dolžni </w:t>
      </w:r>
      <w:r w:rsidR="009D1465">
        <w:rPr>
          <w:rFonts w:ascii="Arial" w:hAnsi="Arial" w:cs="Arial"/>
          <w:sz w:val="20"/>
          <w:szCs w:val="20"/>
        </w:rPr>
        <w:t xml:space="preserve">po </w:t>
      </w:r>
      <w:r w:rsidR="001D7257">
        <w:rPr>
          <w:rFonts w:ascii="Arial" w:hAnsi="Arial" w:cs="Arial"/>
          <w:sz w:val="20"/>
          <w:szCs w:val="20"/>
        </w:rPr>
        <w:t xml:space="preserve">popravilih IIR obračunati in plačati povrhnji davek v Sloveniji. Načeloma bo ta obveznost padla na UPE v zvezi z njihovimi subjekti v sestavi, ki se nahajajo tako v Sloveniji (Slovenija je uvedla tudi </w:t>
      </w:r>
      <w:r w:rsidR="00551835">
        <w:rPr>
          <w:rFonts w:ascii="Arial" w:hAnsi="Arial" w:cs="Arial"/>
          <w:sz w:val="20"/>
          <w:szCs w:val="20"/>
        </w:rPr>
        <w:t xml:space="preserve">domači IIR) ali v tujini. </w:t>
      </w:r>
    </w:p>
    <w:p w14:paraId="07916034" w14:textId="77777777" w:rsidR="00551835" w:rsidRDefault="00551835" w:rsidP="00E7738F">
      <w:pPr>
        <w:jc w:val="both"/>
        <w:rPr>
          <w:rFonts w:ascii="Arial" w:hAnsi="Arial" w:cs="Arial"/>
          <w:sz w:val="20"/>
          <w:szCs w:val="20"/>
        </w:rPr>
      </w:pPr>
      <w:r>
        <w:rPr>
          <w:rFonts w:ascii="Arial" w:hAnsi="Arial" w:cs="Arial"/>
          <w:sz w:val="20"/>
          <w:szCs w:val="20"/>
        </w:rPr>
        <w:t xml:space="preserve">V primeru, da se po pravilu IIR ni v celoti plačal povrhnji davek, kar bo nastopilo predvsem v primerih, ko so matični subjekti v jurisdikcijah, ki niso uvedle obveznosti plačila povrhnjega davka po pravilu IIR, bo ta obveznost padla na subjekte v sestavi po pravilu UTPR. </w:t>
      </w:r>
    </w:p>
    <w:p w14:paraId="6F24688E" w14:textId="77777777" w:rsidR="00551835" w:rsidRPr="001D7257" w:rsidRDefault="00551835" w:rsidP="00E7738F">
      <w:pPr>
        <w:jc w:val="both"/>
        <w:rPr>
          <w:rFonts w:ascii="Arial" w:hAnsi="Arial" w:cs="Arial"/>
          <w:sz w:val="20"/>
          <w:szCs w:val="20"/>
        </w:rPr>
      </w:pPr>
      <w:r>
        <w:rPr>
          <w:rFonts w:ascii="Arial" w:hAnsi="Arial" w:cs="Arial"/>
          <w:sz w:val="20"/>
          <w:szCs w:val="20"/>
        </w:rPr>
        <w:t xml:space="preserve">Obveznost povrhnjega davka po pravilih IIR ali UTPR se obračuna z obračunom povrhnjega davka, pri čemer se navede po katerem pravilu subjekt v sestavi obračunava obveznost. </w:t>
      </w:r>
    </w:p>
    <w:p w14:paraId="62CBFC3B" w14:textId="77777777" w:rsidR="00DB65D9" w:rsidRDefault="00FD02A5" w:rsidP="00E7738F">
      <w:pPr>
        <w:jc w:val="both"/>
        <w:rPr>
          <w:rFonts w:ascii="Arial" w:hAnsi="Arial" w:cs="Arial"/>
          <w:sz w:val="20"/>
          <w:szCs w:val="20"/>
        </w:rPr>
      </w:pPr>
      <w:r>
        <w:rPr>
          <w:rFonts w:ascii="Arial" w:hAnsi="Arial" w:cs="Arial"/>
          <w:sz w:val="20"/>
          <w:szCs w:val="20"/>
        </w:rPr>
        <w:t xml:space="preserve">Ne glede na to, ali bo subjekt v sestavi dolžan predložiti obračun domačega povrhnjega davka (QDMTT) ali obračun povrhnjega davka, bo morala skupina predložiti informativni obrazec za obračun (GIR). GIR je namreč osrednji poročevalski dokument v okviru sistema povrhnjega davka. </w:t>
      </w:r>
    </w:p>
    <w:p w14:paraId="46984BF5" w14:textId="77777777" w:rsidR="00E7738F" w:rsidRDefault="00E7738F" w:rsidP="00E7738F">
      <w:pPr>
        <w:jc w:val="both"/>
        <w:rPr>
          <w:rFonts w:ascii="Arial" w:hAnsi="Arial" w:cs="Arial"/>
          <w:sz w:val="20"/>
          <w:szCs w:val="20"/>
        </w:rPr>
      </w:pPr>
      <w:r>
        <w:rPr>
          <w:rFonts w:ascii="Arial" w:hAnsi="Arial" w:cs="Arial"/>
          <w:sz w:val="20"/>
          <w:szCs w:val="20"/>
        </w:rPr>
        <w:t>V nadaljevanju obravnavamo upravno-administrativne vidike vseh zgornjih dokumentov. Na tem mestu pa podajamo povzetek upravnih obveznosti v zvezi s povrhnjim davkom:</w:t>
      </w:r>
    </w:p>
    <w:tbl>
      <w:tblPr>
        <w:tblStyle w:val="Tabelamrea"/>
        <w:tblW w:w="0" w:type="auto"/>
        <w:tblLook w:val="04A0" w:firstRow="1" w:lastRow="0" w:firstColumn="1" w:lastColumn="0" w:noHBand="0" w:noVBand="1"/>
      </w:tblPr>
      <w:tblGrid>
        <w:gridCol w:w="3016"/>
        <w:gridCol w:w="3017"/>
        <w:gridCol w:w="3027"/>
      </w:tblGrid>
      <w:tr w:rsidR="00E7738F" w14:paraId="722A632B" w14:textId="77777777" w:rsidTr="00E7738F">
        <w:tc>
          <w:tcPr>
            <w:tcW w:w="3070" w:type="dxa"/>
            <w:shd w:val="clear" w:color="auto" w:fill="BFBFBF" w:themeFill="background1" w:themeFillShade="BF"/>
          </w:tcPr>
          <w:p w14:paraId="5BA6DEC1" w14:textId="77777777" w:rsidR="00E7738F" w:rsidRDefault="00E7738F" w:rsidP="00E7738F">
            <w:pPr>
              <w:jc w:val="both"/>
              <w:rPr>
                <w:rFonts w:ascii="Arial" w:hAnsi="Arial" w:cs="Arial"/>
                <w:sz w:val="20"/>
                <w:szCs w:val="20"/>
              </w:rPr>
            </w:pPr>
            <w:r>
              <w:rPr>
                <w:rFonts w:ascii="Arial" w:hAnsi="Arial" w:cs="Arial"/>
                <w:sz w:val="20"/>
                <w:szCs w:val="20"/>
              </w:rPr>
              <w:t>Obveznost</w:t>
            </w:r>
          </w:p>
        </w:tc>
        <w:tc>
          <w:tcPr>
            <w:tcW w:w="3070" w:type="dxa"/>
            <w:shd w:val="clear" w:color="auto" w:fill="BFBFBF" w:themeFill="background1" w:themeFillShade="BF"/>
          </w:tcPr>
          <w:p w14:paraId="2BBC6968" w14:textId="77777777" w:rsidR="00E7738F" w:rsidRDefault="00E7738F" w:rsidP="00E7738F">
            <w:pPr>
              <w:jc w:val="both"/>
              <w:rPr>
                <w:rFonts w:ascii="Arial" w:hAnsi="Arial" w:cs="Arial"/>
                <w:sz w:val="20"/>
                <w:szCs w:val="20"/>
              </w:rPr>
            </w:pPr>
            <w:r>
              <w:rPr>
                <w:rFonts w:ascii="Arial" w:hAnsi="Arial" w:cs="Arial"/>
                <w:sz w:val="20"/>
                <w:szCs w:val="20"/>
              </w:rPr>
              <w:t>Rok</w:t>
            </w:r>
          </w:p>
        </w:tc>
        <w:tc>
          <w:tcPr>
            <w:tcW w:w="3070" w:type="dxa"/>
            <w:shd w:val="clear" w:color="auto" w:fill="BFBFBF" w:themeFill="background1" w:themeFillShade="BF"/>
          </w:tcPr>
          <w:p w14:paraId="762485B5" w14:textId="77777777" w:rsidR="00E7738F" w:rsidRDefault="00E7738F" w:rsidP="00E7738F">
            <w:pPr>
              <w:jc w:val="both"/>
              <w:rPr>
                <w:rFonts w:ascii="Arial" w:hAnsi="Arial" w:cs="Arial"/>
                <w:sz w:val="20"/>
                <w:szCs w:val="20"/>
              </w:rPr>
            </w:pPr>
            <w:r>
              <w:rPr>
                <w:rFonts w:ascii="Arial" w:hAnsi="Arial" w:cs="Arial"/>
                <w:sz w:val="20"/>
                <w:szCs w:val="20"/>
              </w:rPr>
              <w:t>Način izpolnitve</w:t>
            </w:r>
          </w:p>
        </w:tc>
      </w:tr>
      <w:tr w:rsidR="00E7738F" w14:paraId="3D96C8C9" w14:textId="77777777" w:rsidTr="00E7738F">
        <w:tc>
          <w:tcPr>
            <w:tcW w:w="3070" w:type="dxa"/>
          </w:tcPr>
          <w:p w14:paraId="5F2B508C" w14:textId="77777777" w:rsidR="00E7738F" w:rsidRDefault="00E7738F" w:rsidP="00E7738F">
            <w:pPr>
              <w:jc w:val="both"/>
              <w:rPr>
                <w:rFonts w:ascii="Arial" w:hAnsi="Arial" w:cs="Arial"/>
                <w:sz w:val="20"/>
                <w:szCs w:val="20"/>
              </w:rPr>
            </w:pPr>
            <w:r>
              <w:rPr>
                <w:rFonts w:ascii="Arial" w:hAnsi="Arial" w:cs="Arial"/>
                <w:sz w:val="20"/>
                <w:szCs w:val="20"/>
              </w:rPr>
              <w:t>Informativni obrazec za obračun - GIR</w:t>
            </w:r>
          </w:p>
        </w:tc>
        <w:tc>
          <w:tcPr>
            <w:tcW w:w="3070" w:type="dxa"/>
          </w:tcPr>
          <w:p w14:paraId="1BBDE24E" w14:textId="77777777" w:rsidR="00E7738F" w:rsidRDefault="00E7738F" w:rsidP="00E7738F">
            <w:pPr>
              <w:jc w:val="both"/>
              <w:rPr>
                <w:rFonts w:ascii="Arial" w:hAnsi="Arial" w:cs="Arial"/>
                <w:sz w:val="20"/>
                <w:szCs w:val="20"/>
              </w:rPr>
            </w:pPr>
            <w:r>
              <w:rPr>
                <w:rFonts w:ascii="Arial" w:hAnsi="Arial" w:cs="Arial"/>
                <w:sz w:val="20"/>
                <w:szCs w:val="20"/>
              </w:rPr>
              <w:t>15 mesecev po zaključku poslovnega leta poročanja. Za prvo leto je rok podaljšan na 18 mesecev – torej najkasneje do 30.6.202</w:t>
            </w:r>
            <w:r w:rsidR="0093777B">
              <w:rPr>
                <w:rFonts w:ascii="Arial" w:hAnsi="Arial" w:cs="Arial"/>
                <w:sz w:val="20"/>
                <w:szCs w:val="20"/>
              </w:rPr>
              <w:t>6.</w:t>
            </w:r>
          </w:p>
          <w:p w14:paraId="5E9F7CD6" w14:textId="77777777" w:rsidR="00FA3B00" w:rsidRPr="00EA79FD" w:rsidRDefault="00EA79FD" w:rsidP="00E7738F">
            <w:pPr>
              <w:jc w:val="both"/>
              <w:rPr>
                <w:rFonts w:ascii="Arial" w:hAnsi="Arial" w:cs="Arial"/>
                <w:sz w:val="18"/>
                <w:szCs w:val="18"/>
              </w:rPr>
            </w:pPr>
            <w:r w:rsidRPr="00EA79FD">
              <w:rPr>
                <w:rFonts w:ascii="Arial" w:hAnsi="Arial" w:cs="Arial"/>
                <w:sz w:val="18"/>
                <w:szCs w:val="18"/>
              </w:rPr>
              <w:t>*</w:t>
            </w:r>
            <w:r>
              <w:rPr>
                <w:rFonts w:ascii="Arial" w:hAnsi="Arial" w:cs="Arial"/>
                <w:sz w:val="18"/>
                <w:szCs w:val="18"/>
              </w:rPr>
              <w:t xml:space="preserve">obveznost jurisdikcije poročanja: </w:t>
            </w:r>
            <w:r w:rsidR="00FA3B00" w:rsidRPr="00EA79FD">
              <w:rPr>
                <w:rFonts w:ascii="Arial" w:hAnsi="Arial" w:cs="Arial"/>
                <w:sz w:val="18"/>
                <w:szCs w:val="18"/>
              </w:rPr>
              <w:t>3 mesece (6 mesecev za prvo let</w:t>
            </w:r>
            <w:r w:rsidRPr="00EA79FD">
              <w:rPr>
                <w:rFonts w:ascii="Arial" w:hAnsi="Arial" w:cs="Arial"/>
                <w:sz w:val="18"/>
                <w:szCs w:val="18"/>
              </w:rPr>
              <w:t>o</w:t>
            </w:r>
            <w:r w:rsidR="00FA3B00" w:rsidRPr="00EA79FD">
              <w:rPr>
                <w:rFonts w:ascii="Arial" w:hAnsi="Arial" w:cs="Arial"/>
                <w:sz w:val="18"/>
                <w:szCs w:val="18"/>
              </w:rPr>
              <w:t>) za mednarodno izmenjavo podatkov v primeru centralnega poročanja po poteku roka za predložitev GIR.</w:t>
            </w:r>
          </w:p>
        </w:tc>
        <w:tc>
          <w:tcPr>
            <w:tcW w:w="3070" w:type="dxa"/>
          </w:tcPr>
          <w:p w14:paraId="278507EB" w14:textId="77777777" w:rsidR="00E7738F" w:rsidRDefault="0093777B" w:rsidP="00E7738F">
            <w:pPr>
              <w:jc w:val="both"/>
              <w:rPr>
                <w:rFonts w:ascii="Arial" w:hAnsi="Arial" w:cs="Arial"/>
                <w:sz w:val="20"/>
                <w:szCs w:val="20"/>
              </w:rPr>
            </w:pPr>
            <w:r>
              <w:rPr>
                <w:rFonts w:ascii="Arial" w:hAnsi="Arial" w:cs="Arial"/>
                <w:sz w:val="20"/>
                <w:szCs w:val="20"/>
              </w:rPr>
              <w:t>Primarno: vsak subjekt v sestavi predloži GIR elektronsko z vsemi potrebnimi podatki;</w:t>
            </w:r>
          </w:p>
          <w:p w14:paraId="358D849C" w14:textId="77777777" w:rsidR="0093777B" w:rsidRDefault="0093777B" w:rsidP="00E7738F">
            <w:pPr>
              <w:jc w:val="both"/>
              <w:rPr>
                <w:rFonts w:ascii="Arial" w:hAnsi="Arial" w:cs="Arial"/>
                <w:sz w:val="20"/>
                <w:szCs w:val="20"/>
              </w:rPr>
            </w:pPr>
            <w:r>
              <w:rPr>
                <w:rFonts w:ascii="Arial" w:hAnsi="Arial" w:cs="Arial"/>
                <w:sz w:val="20"/>
                <w:szCs w:val="20"/>
              </w:rPr>
              <w:t>Administrativne poenostavitve:</w:t>
            </w:r>
          </w:p>
          <w:p w14:paraId="11251E08" w14:textId="77777777" w:rsidR="0093777B" w:rsidRDefault="0093777B">
            <w:pPr>
              <w:pStyle w:val="Odstavekseznama"/>
              <w:numPr>
                <w:ilvl w:val="0"/>
                <w:numId w:val="29"/>
              </w:numPr>
              <w:ind w:left="96" w:hanging="141"/>
              <w:jc w:val="both"/>
              <w:rPr>
                <w:rFonts w:ascii="Arial" w:hAnsi="Arial" w:cs="Arial"/>
                <w:sz w:val="20"/>
                <w:szCs w:val="20"/>
              </w:rPr>
            </w:pPr>
            <w:r>
              <w:rPr>
                <w:rFonts w:ascii="Arial" w:hAnsi="Arial" w:cs="Arial"/>
                <w:sz w:val="20"/>
                <w:szCs w:val="20"/>
              </w:rPr>
              <w:t xml:space="preserve">Lokalni </w:t>
            </w:r>
            <w:proofErr w:type="spellStart"/>
            <w:r>
              <w:rPr>
                <w:rFonts w:ascii="Arial" w:hAnsi="Arial" w:cs="Arial"/>
                <w:sz w:val="20"/>
                <w:szCs w:val="20"/>
              </w:rPr>
              <w:t>vložniški</w:t>
            </w:r>
            <w:proofErr w:type="spellEnd"/>
            <w:r>
              <w:rPr>
                <w:rFonts w:ascii="Arial" w:hAnsi="Arial" w:cs="Arial"/>
                <w:sz w:val="20"/>
                <w:szCs w:val="20"/>
              </w:rPr>
              <w:t xml:space="preserve"> subjekt</w:t>
            </w:r>
            <w:r w:rsidR="00330ADC">
              <w:rPr>
                <w:rFonts w:ascii="Arial" w:hAnsi="Arial" w:cs="Arial"/>
                <w:sz w:val="20"/>
                <w:szCs w:val="20"/>
              </w:rPr>
              <w:t xml:space="preserve"> ali imenovani lokalni subjekt</w:t>
            </w:r>
            <w:r>
              <w:rPr>
                <w:rFonts w:ascii="Arial" w:hAnsi="Arial" w:cs="Arial"/>
                <w:sz w:val="20"/>
                <w:szCs w:val="20"/>
              </w:rPr>
              <w:t>;</w:t>
            </w:r>
          </w:p>
          <w:p w14:paraId="57FDC5B6" w14:textId="77777777" w:rsidR="0093777B" w:rsidRPr="0093777B" w:rsidRDefault="00330ADC">
            <w:pPr>
              <w:pStyle w:val="Odstavekseznama"/>
              <w:numPr>
                <w:ilvl w:val="0"/>
                <w:numId w:val="29"/>
              </w:numPr>
              <w:ind w:left="96" w:hanging="141"/>
              <w:jc w:val="both"/>
              <w:rPr>
                <w:rFonts w:ascii="Arial" w:hAnsi="Arial" w:cs="Arial"/>
                <w:sz w:val="20"/>
                <w:szCs w:val="20"/>
              </w:rPr>
            </w:pPr>
            <w:r>
              <w:rPr>
                <w:rFonts w:ascii="Arial" w:hAnsi="Arial" w:cs="Arial"/>
                <w:sz w:val="20"/>
                <w:szCs w:val="20"/>
              </w:rPr>
              <w:t xml:space="preserve">Krovni matični subjekt ali imenovani </w:t>
            </w:r>
            <w:proofErr w:type="spellStart"/>
            <w:r>
              <w:rPr>
                <w:rFonts w:ascii="Arial" w:hAnsi="Arial" w:cs="Arial"/>
                <w:sz w:val="20"/>
                <w:szCs w:val="20"/>
              </w:rPr>
              <w:t>vložniški</w:t>
            </w:r>
            <w:proofErr w:type="spellEnd"/>
            <w:r>
              <w:rPr>
                <w:rFonts w:ascii="Arial" w:hAnsi="Arial" w:cs="Arial"/>
                <w:sz w:val="20"/>
                <w:szCs w:val="20"/>
              </w:rPr>
              <w:t xml:space="preserve"> subjekt</w:t>
            </w:r>
            <w:r w:rsidR="0093777B">
              <w:rPr>
                <w:rFonts w:ascii="Arial" w:hAnsi="Arial" w:cs="Arial"/>
                <w:sz w:val="20"/>
                <w:szCs w:val="20"/>
              </w:rPr>
              <w:t>.</w:t>
            </w:r>
          </w:p>
        </w:tc>
      </w:tr>
      <w:tr w:rsidR="00E7738F" w14:paraId="2E61114A" w14:textId="77777777" w:rsidTr="00E7738F">
        <w:tc>
          <w:tcPr>
            <w:tcW w:w="3070" w:type="dxa"/>
          </w:tcPr>
          <w:p w14:paraId="5CA18F8C" w14:textId="77777777" w:rsidR="00E7738F" w:rsidRDefault="00E7738F" w:rsidP="00E7738F">
            <w:pPr>
              <w:jc w:val="both"/>
              <w:rPr>
                <w:rFonts w:ascii="Arial" w:hAnsi="Arial" w:cs="Arial"/>
                <w:sz w:val="20"/>
                <w:szCs w:val="20"/>
              </w:rPr>
            </w:pPr>
            <w:r>
              <w:rPr>
                <w:rFonts w:ascii="Arial" w:hAnsi="Arial" w:cs="Arial"/>
                <w:sz w:val="20"/>
                <w:szCs w:val="20"/>
              </w:rPr>
              <w:t>Obračun domačega povrhnjega davka</w:t>
            </w:r>
          </w:p>
        </w:tc>
        <w:tc>
          <w:tcPr>
            <w:tcW w:w="3070" w:type="dxa"/>
          </w:tcPr>
          <w:p w14:paraId="3D0CE778" w14:textId="77777777" w:rsidR="00E7738F" w:rsidRDefault="0093777B" w:rsidP="00E7738F">
            <w:pPr>
              <w:jc w:val="both"/>
              <w:rPr>
                <w:rFonts w:ascii="Arial" w:hAnsi="Arial" w:cs="Arial"/>
                <w:sz w:val="20"/>
                <w:szCs w:val="20"/>
              </w:rPr>
            </w:pPr>
            <w:r>
              <w:rPr>
                <w:rFonts w:ascii="Arial" w:hAnsi="Arial" w:cs="Arial"/>
                <w:sz w:val="20"/>
                <w:szCs w:val="20"/>
              </w:rPr>
              <w:t>15 mesecev po zaključku poslovnega leta poročanja. Za prvo leto je rok podaljšan na 18 mesecev – torej najkasneje do 30.6.2026.</w:t>
            </w:r>
          </w:p>
        </w:tc>
        <w:tc>
          <w:tcPr>
            <w:tcW w:w="3070" w:type="dxa"/>
          </w:tcPr>
          <w:p w14:paraId="3318B8DE" w14:textId="1C83A37C" w:rsidR="00E7738F" w:rsidRDefault="0093777B" w:rsidP="00E7738F">
            <w:pPr>
              <w:jc w:val="both"/>
              <w:rPr>
                <w:rFonts w:ascii="Arial" w:hAnsi="Arial" w:cs="Arial"/>
                <w:sz w:val="20"/>
                <w:szCs w:val="20"/>
              </w:rPr>
            </w:pPr>
            <w:r>
              <w:rPr>
                <w:rFonts w:ascii="Arial" w:hAnsi="Arial" w:cs="Arial"/>
                <w:sz w:val="20"/>
                <w:szCs w:val="20"/>
              </w:rPr>
              <w:t xml:space="preserve">Primarno: vsak subjekt v sestavi </w:t>
            </w:r>
            <w:r w:rsidR="009D1465">
              <w:rPr>
                <w:rFonts w:ascii="Arial" w:hAnsi="Arial" w:cs="Arial"/>
                <w:sz w:val="20"/>
                <w:szCs w:val="20"/>
              </w:rPr>
              <w:t xml:space="preserve">(v Sloveniji) </w:t>
            </w:r>
            <w:r>
              <w:rPr>
                <w:rFonts w:ascii="Arial" w:hAnsi="Arial" w:cs="Arial"/>
                <w:sz w:val="20"/>
                <w:szCs w:val="20"/>
              </w:rPr>
              <w:t>predloži obračun po elektronski poti;</w:t>
            </w:r>
          </w:p>
          <w:p w14:paraId="5678E10F" w14:textId="77777777" w:rsidR="0093777B" w:rsidRDefault="0093777B" w:rsidP="00E7738F">
            <w:pPr>
              <w:jc w:val="both"/>
              <w:rPr>
                <w:rFonts w:ascii="Arial" w:hAnsi="Arial" w:cs="Arial"/>
                <w:sz w:val="20"/>
                <w:szCs w:val="20"/>
              </w:rPr>
            </w:pPr>
            <w:r>
              <w:rPr>
                <w:rFonts w:ascii="Arial" w:hAnsi="Arial" w:cs="Arial"/>
                <w:sz w:val="20"/>
                <w:szCs w:val="20"/>
              </w:rPr>
              <w:t>Administrativne poenostavitve:</w:t>
            </w:r>
          </w:p>
          <w:p w14:paraId="765ED011" w14:textId="77777777" w:rsidR="0093777B" w:rsidRPr="0093777B" w:rsidRDefault="0093777B">
            <w:pPr>
              <w:pStyle w:val="Odstavekseznama"/>
              <w:numPr>
                <w:ilvl w:val="0"/>
                <w:numId w:val="29"/>
              </w:numPr>
              <w:ind w:left="96" w:hanging="96"/>
              <w:jc w:val="both"/>
              <w:rPr>
                <w:rFonts w:ascii="Arial" w:hAnsi="Arial" w:cs="Arial"/>
                <w:sz w:val="20"/>
                <w:szCs w:val="20"/>
              </w:rPr>
            </w:pPr>
            <w:r>
              <w:rPr>
                <w:rFonts w:ascii="Arial" w:hAnsi="Arial" w:cs="Arial"/>
                <w:sz w:val="20"/>
                <w:szCs w:val="20"/>
              </w:rPr>
              <w:t xml:space="preserve">Lokalni </w:t>
            </w:r>
            <w:proofErr w:type="spellStart"/>
            <w:r>
              <w:rPr>
                <w:rFonts w:ascii="Arial" w:hAnsi="Arial" w:cs="Arial"/>
                <w:sz w:val="20"/>
                <w:szCs w:val="20"/>
              </w:rPr>
              <w:t>vložniški</w:t>
            </w:r>
            <w:proofErr w:type="spellEnd"/>
            <w:r>
              <w:rPr>
                <w:rFonts w:ascii="Arial" w:hAnsi="Arial" w:cs="Arial"/>
                <w:sz w:val="20"/>
                <w:szCs w:val="20"/>
              </w:rPr>
              <w:t xml:space="preserve"> subjekt s solidarno odgovornostjo plačila;</w:t>
            </w:r>
          </w:p>
        </w:tc>
      </w:tr>
      <w:tr w:rsidR="00E7738F" w14:paraId="12F74E7C" w14:textId="77777777" w:rsidTr="00E7738F">
        <w:tc>
          <w:tcPr>
            <w:tcW w:w="3070" w:type="dxa"/>
          </w:tcPr>
          <w:p w14:paraId="5CE11A20" w14:textId="77777777" w:rsidR="00E7738F" w:rsidRDefault="00E7738F" w:rsidP="00E7738F">
            <w:pPr>
              <w:jc w:val="both"/>
              <w:rPr>
                <w:rFonts w:ascii="Arial" w:hAnsi="Arial" w:cs="Arial"/>
                <w:sz w:val="20"/>
                <w:szCs w:val="20"/>
              </w:rPr>
            </w:pPr>
            <w:r>
              <w:rPr>
                <w:rFonts w:ascii="Arial" w:hAnsi="Arial" w:cs="Arial"/>
                <w:sz w:val="20"/>
                <w:szCs w:val="20"/>
              </w:rPr>
              <w:t>Obračun povrhnjega davka</w:t>
            </w:r>
          </w:p>
        </w:tc>
        <w:tc>
          <w:tcPr>
            <w:tcW w:w="3070" w:type="dxa"/>
          </w:tcPr>
          <w:p w14:paraId="42B41A16" w14:textId="77777777" w:rsidR="00E7738F" w:rsidRDefault="0093777B" w:rsidP="00D9667C">
            <w:pPr>
              <w:spacing w:after="120"/>
              <w:jc w:val="both"/>
              <w:rPr>
                <w:rFonts w:ascii="Arial" w:hAnsi="Arial" w:cs="Arial"/>
                <w:sz w:val="20"/>
                <w:szCs w:val="20"/>
              </w:rPr>
            </w:pPr>
            <w:r>
              <w:rPr>
                <w:rFonts w:ascii="Arial" w:hAnsi="Arial" w:cs="Arial"/>
                <w:sz w:val="20"/>
                <w:szCs w:val="20"/>
              </w:rPr>
              <w:t>1</w:t>
            </w:r>
            <w:r w:rsidR="00EA79FD">
              <w:rPr>
                <w:rFonts w:ascii="Arial" w:hAnsi="Arial" w:cs="Arial"/>
                <w:sz w:val="20"/>
                <w:szCs w:val="20"/>
              </w:rPr>
              <w:t>6</w:t>
            </w:r>
            <w:r>
              <w:rPr>
                <w:rFonts w:ascii="Arial" w:hAnsi="Arial" w:cs="Arial"/>
                <w:sz w:val="20"/>
                <w:szCs w:val="20"/>
              </w:rPr>
              <w:t xml:space="preserve"> mesecev</w:t>
            </w:r>
            <w:r w:rsidR="00EA79FD">
              <w:rPr>
                <w:rFonts w:ascii="Arial" w:hAnsi="Arial" w:cs="Arial"/>
                <w:sz w:val="20"/>
                <w:szCs w:val="20"/>
              </w:rPr>
              <w:t xml:space="preserve"> (15 mesecev +30 dni)</w:t>
            </w:r>
            <w:r>
              <w:rPr>
                <w:rFonts w:ascii="Arial" w:hAnsi="Arial" w:cs="Arial"/>
                <w:sz w:val="20"/>
                <w:szCs w:val="20"/>
              </w:rPr>
              <w:t xml:space="preserve"> po zaključku poslovnega leta poročanja. Za prvo leto je rok podaljšan na 1</w:t>
            </w:r>
            <w:r w:rsidR="00EA79FD">
              <w:rPr>
                <w:rFonts w:ascii="Arial" w:hAnsi="Arial" w:cs="Arial"/>
                <w:sz w:val="20"/>
                <w:szCs w:val="20"/>
              </w:rPr>
              <w:t>9</w:t>
            </w:r>
            <w:r>
              <w:rPr>
                <w:rFonts w:ascii="Arial" w:hAnsi="Arial" w:cs="Arial"/>
                <w:sz w:val="20"/>
                <w:szCs w:val="20"/>
              </w:rPr>
              <w:t xml:space="preserve"> mesecev</w:t>
            </w:r>
            <w:r w:rsidR="00EA79FD">
              <w:rPr>
                <w:rFonts w:ascii="Arial" w:hAnsi="Arial" w:cs="Arial"/>
                <w:sz w:val="20"/>
                <w:szCs w:val="20"/>
              </w:rPr>
              <w:t xml:space="preserve"> </w:t>
            </w:r>
            <w:r w:rsidR="00EA79FD">
              <w:rPr>
                <w:rFonts w:ascii="Arial" w:hAnsi="Arial" w:cs="Arial"/>
                <w:sz w:val="20"/>
                <w:szCs w:val="20"/>
              </w:rPr>
              <w:lastRenderedPageBreak/>
              <w:t>(18 mesecev + 30 dni)</w:t>
            </w:r>
            <w:r>
              <w:rPr>
                <w:rFonts w:ascii="Arial" w:hAnsi="Arial" w:cs="Arial"/>
                <w:sz w:val="20"/>
                <w:szCs w:val="20"/>
              </w:rPr>
              <w:t xml:space="preserve"> – torej najkasneje do 30.</w:t>
            </w:r>
            <w:r w:rsidR="00EA79FD">
              <w:rPr>
                <w:rFonts w:ascii="Arial" w:hAnsi="Arial" w:cs="Arial"/>
                <w:sz w:val="20"/>
                <w:szCs w:val="20"/>
              </w:rPr>
              <w:t>7</w:t>
            </w:r>
            <w:r>
              <w:rPr>
                <w:rFonts w:ascii="Arial" w:hAnsi="Arial" w:cs="Arial"/>
                <w:sz w:val="20"/>
                <w:szCs w:val="20"/>
              </w:rPr>
              <w:t>.2026.</w:t>
            </w:r>
          </w:p>
        </w:tc>
        <w:tc>
          <w:tcPr>
            <w:tcW w:w="3070" w:type="dxa"/>
          </w:tcPr>
          <w:p w14:paraId="12599D61" w14:textId="77777777" w:rsidR="00E7738F" w:rsidRDefault="0093777B" w:rsidP="00E7738F">
            <w:pPr>
              <w:jc w:val="both"/>
              <w:rPr>
                <w:rFonts w:ascii="Arial" w:hAnsi="Arial" w:cs="Arial"/>
                <w:sz w:val="20"/>
                <w:szCs w:val="20"/>
              </w:rPr>
            </w:pPr>
            <w:r>
              <w:rPr>
                <w:rFonts w:ascii="Arial" w:hAnsi="Arial" w:cs="Arial"/>
                <w:sz w:val="20"/>
                <w:szCs w:val="20"/>
              </w:rPr>
              <w:lastRenderedPageBreak/>
              <w:t>Izključno: vsak subjekt v sestavi po elektronski poti.</w:t>
            </w:r>
          </w:p>
        </w:tc>
      </w:tr>
    </w:tbl>
    <w:p w14:paraId="348AA006" w14:textId="77777777" w:rsidR="00E7738F" w:rsidRPr="00FC493D" w:rsidRDefault="00D9667C" w:rsidP="00FC493D">
      <w:pPr>
        <w:pStyle w:val="FURSnaslov2"/>
        <w:spacing w:before="240"/>
        <w:rPr>
          <w:rFonts w:cs="Arial"/>
          <w:b w:val="0"/>
          <w:sz w:val="22"/>
          <w:szCs w:val="22"/>
        </w:rPr>
      </w:pPr>
      <w:r w:rsidRPr="00FC493D">
        <w:rPr>
          <w:rFonts w:cs="Arial"/>
          <w:bCs/>
          <w:sz w:val="22"/>
          <w:szCs w:val="22"/>
        </w:rPr>
        <w:t>5</w:t>
      </w:r>
      <w:r w:rsidR="00D844F7" w:rsidRPr="00FC493D">
        <w:rPr>
          <w:rFonts w:cs="Arial"/>
          <w:bCs/>
          <w:sz w:val="22"/>
          <w:szCs w:val="22"/>
        </w:rPr>
        <w:t>.1.</w:t>
      </w:r>
      <w:r w:rsidR="00A84C11" w:rsidRPr="00FC493D">
        <w:rPr>
          <w:rFonts w:cs="Arial"/>
          <w:b w:val="0"/>
          <w:sz w:val="22"/>
          <w:szCs w:val="22"/>
        </w:rPr>
        <w:t xml:space="preserve"> </w:t>
      </w:r>
      <w:proofErr w:type="spellStart"/>
      <w:r w:rsidR="00A84C11" w:rsidRPr="00FC493D">
        <w:rPr>
          <w:rStyle w:val="FURSnaslov2Znak"/>
          <w:rFonts w:eastAsiaTheme="minorHAnsi"/>
          <w:b/>
          <w:sz w:val="22"/>
          <w:szCs w:val="22"/>
        </w:rPr>
        <w:t>Informa</w:t>
      </w:r>
      <w:r w:rsidR="00DE1C6B" w:rsidRPr="00FC493D">
        <w:rPr>
          <w:rStyle w:val="FURSnaslov2Znak"/>
          <w:rFonts w:eastAsiaTheme="minorHAnsi"/>
          <w:b/>
          <w:sz w:val="22"/>
          <w:szCs w:val="22"/>
        </w:rPr>
        <w:t>tivni</w:t>
      </w:r>
      <w:proofErr w:type="spellEnd"/>
      <w:r w:rsidR="00A84C11" w:rsidRPr="00FC493D">
        <w:rPr>
          <w:rStyle w:val="FURSnaslov2Znak"/>
          <w:rFonts w:eastAsiaTheme="minorHAnsi"/>
          <w:b/>
          <w:sz w:val="22"/>
          <w:szCs w:val="22"/>
        </w:rPr>
        <w:t xml:space="preserve"> </w:t>
      </w:r>
      <w:proofErr w:type="spellStart"/>
      <w:r w:rsidR="00A84C11" w:rsidRPr="00FC493D">
        <w:rPr>
          <w:rStyle w:val="FURSnaslov2Znak"/>
          <w:rFonts w:eastAsiaTheme="minorHAnsi"/>
          <w:b/>
          <w:sz w:val="22"/>
          <w:szCs w:val="22"/>
        </w:rPr>
        <w:t>obrazec</w:t>
      </w:r>
      <w:proofErr w:type="spellEnd"/>
      <w:r w:rsidR="00A84C11" w:rsidRPr="00FC493D">
        <w:rPr>
          <w:rStyle w:val="FURSnaslov2Znak"/>
          <w:rFonts w:eastAsiaTheme="minorHAnsi"/>
          <w:b/>
          <w:sz w:val="22"/>
          <w:szCs w:val="22"/>
        </w:rPr>
        <w:t xml:space="preserve"> za </w:t>
      </w:r>
      <w:proofErr w:type="spellStart"/>
      <w:r w:rsidR="00A84C11" w:rsidRPr="00FC493D">
        <w:rPr>
          <w:rStyle w:val="FURSnaslov2Znak"/>
          <w:rFonts w:eastAsiaTheme="minorHAnsi"/>
          <w:b/>
          <w:sz w:val="22"/>
          <w:szCs w:val="22"/>
        </w:rPr>
        <w:t>obračun</w:t>
      </w:r>
      <w:proofErr w:type="spellEnd"/>
      <w:r w:rsidR="00A84C11" w:rsidRPr="00FC493D">
        <w:rPr>
          <w:rStyle w:val="FURSnaslov2Znak"/>
          <w:rFonts w:eastAsiaTheme="minorHAnsi"/>
          <w:b/>
          <w:sz w:val="22"/>
          <w:szCs w:val="22"/>
        </w:rPr>
        <w:t xml:space="preserve"> </w:t>
      </w:r>
      <w:proofErr w:type="spellStart"/>
      <w:r w:rsidR="00A84C11" w:rsidRPr="00FC493D">
        <w:rPr>
          <w:rStyle w:val="FURSnaslov2Znak"/>
          <w:rFonts w:eastAsiaTheme="minorHAnsi"/>
          <w:b/>
          <w:sz w:val="22"/>
          <w:szCs w:val="22"/>
        </w:rPr>
        <w:t>povrhnjega</w:t>
      </w:r>
      <w:proofErr w:type="spellEnd"/>
      <w:r w:rsidR="00A84C11" w:rsidRPr="00FC493D">
        <w:rPr>
          <w:rStyle w:val="FURSnaslov2Znak"/>
          <w:rFonts w:eastAsiaTheme="minorHAnsi"/>
          <w:b/>
          <w:sz w:val="22"/>
          <w:szCs w:val="22"/>
        </w:rPr>
        <w:t xml:space="preserve"> </w:t>
      </w:r>
      <w:proofErr w:type="spellStart"/>
      <w:r w:rsidR="00A84C11" w:rsidRPr="00FC493D">
        <w:rPr>
          <w:rStyle w:val="FURSnaslov2Znak"/>
          <w:rFonts w:eastAsiaTheme="minorHAnsi"/>
          <w:b/>
          <w:sz w:val="22"/>
          <w:szCs w:val="22"/>
        </w:rPr>
        <w:t>davka</w:t>
      </w:r>
      <w:proofErr w:type="spellEnd"/>
    </w:p>
    <w:p w14:paraId="4529C9C4" w14:textId="77777777" w:rsidR="00DB65D9" w:rsidRDefault="00BD1B5D" w:rsidP="00330ADC">
      <w:pPr>
        <w:jc w:val="both"/>
        <w:rPr>
          <w:rFonts w:ascii="Arial" w:hAnsi="Arial" w:cs="Arial"/>
          <w:sz w:val="20"/>
          <w:szCs w:val="20"/>
        </w:rPr>
      </w:pPr>
      <w:bookmarkStart w:id="34" w:name="_Hlk153967444"/>
      <w:r>
        <w:rPr>
          <w:rFonts w:ascii="Arial" w:hAnsi="Arial" w:cs="Arial"/>
          <w:sz w:val="20"/>
          <w:szCs w:val="20"/>
        </w:rPr>
        <w:t>Informa</w:t>
      </w:r>
      <w:r w:rsidR="00330ADC">
        <w:rPr>
          <w:rFonts w:ascii="Arial" w:hAnsi="Arial" w:cs="Arial"/>
          <w:sz w:val="20"/>
          <w:szCs w:val="20"/>
        </w:rPr>
        <w:t>tivni</w:t>
      </w:r>
      <w:r>
        <w:rPr>
          <w:rFonts w:ascii="Arial" w:hAnsi="Arial" w:cs="Arial"/>
          <w:sz w:val="20"/>
          <w:szCs w:val="20"/>
        </w:rPr>
        <w:t xml:space="preserve"> obrazec za obračun povrhnjega davka je osrednji poročevalski dokument, ki bo finančni upravi zagotavljal vse podatke za potrebe analize tveganj z vidika povrhnjega davka in kontrolne podatke za preveritev pravilnosti predloženih obračunov za povrhnji in domači povrhnji davek.</w:t>
      </w:r>
      <w:bookmarkEnd w:id="34"/>
      <w:r>
        <w:rPr>
          <w:rFonts w:ascii="Arial" w:hAnsi="Arial" w:cs="Arial"/>
          <w:sz w:val="20"/>
          <w:szCs w:val="20"/>
        </w:rPr>
        <w:t xml:space="preserve"> </w:t>
      </w:r>
    </w:p>
    <w:p w14:paraId="6F2E37E5" w14:textId="77777777" w:rsidR="00BD1B5D" w:rsidRPr="00330ADC" w:rsidRDefault="00BD1B5D" w:rsidP="00330ADC">
      <w:pPr>
        <w:jc w:val="both"/>
        <w:rPr>
          <w:rFonts w:ascii="Arial" w:hAnsi="Arial" w:cs="Arial"/>
          <w:sz w:val="20"/>
          <w:szCs w:val="20"/>
        </w:rPr>
      </w:pPr>
      <w:r>
        <w:rPr>
          <w:rFonts w:ascii="Arial" w:hAnsi="Arial" w:cs="Arial"/>
          <w:sz w:val="20"/>
          <w:szCs w:val="20"/>
        </w:rPr>
        <w:t>Skladno z določbami ZMD mora informacijski obrazec za obračun vsebovati naslednje glavne podatke:</w:t>
      </w:r>
    </w:p>
    <w:tbl>
      <w:tblPr>
        <w:tblW w:w="5000" w:type="pct"/>
        <w:tblCellMar>
          <w:left w:w="0" w:type="dxa"/>
          <w:right w:w="0" w:type="dxa"/>
        </w:tblCellMar>
        <w:tblLook w:val="04A0" w:firstRow="1" w:lastRow="0" w:firstColumn="1" w:lastColumn="0" w:noHBand="0" w:noVBand="1"/>
      </w:tblPr>
      <w:tblGrid>
        <w:gridCol w:w="167"/>
        <w:gridCol w:w="8903"/>
      </w:tblGrid>
      <w:tr w:rsidR="00BD1B5D" w:rsidRPr="00330ADC" w14:paraId="3B2C5930" w14:textId="77777777" w:rsidTr="00833CD8">
        <w:tc>
          <w:tcPr>
            <w:tcW w:w="0" w:type="auto"/>
            <w:shd w:val="clear" w:color="auto" w:fill="auto"/>
            <w:hideMark/>
          </w:tcPr>
          <w:p w14:paraId="5B234845" w14:textId="77777777" w:rsidR="00BD1B5D" w:rsidRPr="00330ADC" w:rsidRDefault="00BD1B5D" w:rsidP="00833CD8">
            <w:pPr>
              <w:spacing w:before="120" w:after="0" w:line="240" w:lineRule="auto"/>
              <w:jc w:val="both"/>
              <w:rPr>
                <w:rFonts w:ascii="Arial" w:eastAsia="Times New Roman" w:hAnsi="Arial" w:cs="Arial"/>
                <w:sz w:val="20"/>
                <w:szCs w:val="20"/>
                <w:lang w:eastAsia="sl-SI"/>
              </w:rPr>
            </w:pPr>
            <w:r w:rsidRPr="00330ADC">
              <w:rPr>
                <w:rFonts w:ascii="Arial" w:eastAsia="Times New Roman" w:hAnsi="Arial" w:cs="Arial"/>
                <w:sz w:val="20"/>
                <w:szCs w:val="20"/>
                <w:lang w:eastAsia="sl-SI"/>
              </w:rPr>
              <w:t>1.</w:t>
            </w:r>
          </w:p>
        </w:tc>
        <w:tc>
          <w:tcPr>
            <w:tcW w:w="0" w:type="auto"/>
            <w:shd w:val="clear" w:color="auto" w:fill="auto"/>
            <w:hideMark/>
          </w:tcPr>
          <w:p w14:paraId="73987779" w14:textId="77777777" w:rsidR="00BD1B5D" w:rsidRPr="00330ADC" w:rsidRDefault="00BD1B5D" w:rsidP="00833CD8">
            <w:pPr>
              <w:spacing w:before="120" w:after="0" w:line="240" w:lineRule="auto"/>
              <w:jc w:val="both"/>
              <w:rPr>
                <w:rFonts w:ascii="Arial" w:eastAsia="Times New Roman" w:hAnsi="Arial" w:cs="Arial"/>
                <w:sz w:val="20"/>
                <w:szCs w:val="20"/>
                <w:lang w:eastAsia="sl-SI"/>
              </w:rPr>
            </w:pPr>
            <w:r w:rsidRPr="00330ADC">
              <w:rPr>
                <w:rFonts w:ascii="Arial" w:eastAsia="Times New Roman" w:hAnsi="Arial" w:cs="Arial"/>
                <w:sz w:val="20"/>
                <w:szCs w:val="20"/>
                <w:lang w:eastAsia="sl-SI"/>
              </w:rPr>
              <w:t xml:space="preserve"> identifikacijske podatke subjektov v sestavi, vključno z njihovimi morebitnimi davčnimi številkami, jurisdikcijo, v kateri se nahajajo, in njihovim statusom v skladu s pravili iz tega zakona;</w:t>
            </w:r>
          </w:p>
        </w:tc>
      </w:tr>
    </w:tbl>
    <w:p w14:paraId="2F666692" w14:textId="77777777" w:rsidR="00BD1B5D" w:rsidRPr="00330ADC" w:rsidRDefault="00BD1B5D" w:rsidP="00BD1B5D">
      <w:pPr>
        <w:shd w:val="clear" w:color="auto" w:fill="FFFFFF"/>
        <w:spacing w:after="0" w:line="240" w:lineRule="auto"/>
        <w:rPr>
          <w:rFonts w:ascii="Arial" w:eastAsia="Times New Roman" w:hAnsi="Arial" w:cs="Arial"/>
          <w:sz w:val="20"/>
          <w:szCs w:val="20"/>
          <w:lang w:eastAsia="sl-SI"/>
        </w:rPr>
      </w:pPr>
    </w:p>
    <w:tbl>
      <w:tblPr>
        <w:tblW w:w="5000" w:type="pct"/>
        <w:tblCellMar>
          <w:left w:w="0" w:type="dxa"/>
          <w:right w:w="0" w:type="dxa"/>
        </w:tblCellMar>
        <w:tblLook w:val="04A0" w:firstRow="1" w:lastRow="0" w:firstColumn="1" w:lastColumn="0" w:noHBand="0" w:noVBand="1"/>
      </w:tblPr>
      <w:tblGrid>
        <w:gridCol w:w="167"/>
        <w:gridCol w:w="8903"/>
      </w:tblGrid>
      <w:tr w:rsidR="00BD1B5D" w:rsidRPr="00330ADC" w14:paraId="01F3E606" w14:textId="77777777" w:rsidTr="00833CD8">
        <w:tc>
          <w:tcPr>
            <w:tcW w:w="0" w:type="auto"/>
            <w:shd w:val="clear" w:color="auto" w:fill="auto"/>
            <w:hideMark/>
          </w:tcPr>
          <w:p w14:paraId="0679CA9B" w14:textId="77777777" w:rsidR="00BD1B5D" w:rsidRPr="00330ADC" w:rsidRDefault="00BD1B5D" w:rsidP="00833CD8">
            <w:pPr>
              <w:spacing w:before="120" w:after="0" w:line="240" w:lineRule="auto"/>
              <w:jc w:val="both"/>
              <w:rPr>
                <w:rFonts w:ascii="Arial" w:eastAsia="Times New Roman" w:hAnsi="Arial" w:cs="Arial"/>
                <w:sz w:val="20"/>
                <w:szCs w:val="20"/>
                <w:lang w:eastAsia="sl-SI"/>
              </w:rPr>
            </w:pPr>
            <w:r w:rsidRPr="00330ADC">
              <w:rPr>
                <w:rFonts w:ascii="Arial" w:eastAsia="Times New Roman" w:hAnsi="Arial" w:cs="Arial"/>
                <w:sz w:val="20"/>
                <w:szCs w:val="20"/>
                <w:lang w:eastAsia="sl-SI"/>
              </w:rPr>
              <w:t>2.</w:t>
            </w:r>
          </w:p>
        </w:tc>
        <w:tc>
          <w:tcPr>
            <w:tcW w:w="0" w:type="auto"/>
            <w:shd w:val="clear" w:color="auto" w:fill="auto"/>
            <w:hideMark/>
          </w:tcPr>
          <w:p w14:paraId="095E4E70" w14:textId="77777777" w:rsidR="00BD1B5D" w:rsidRPr="00330ADC" w:rsidRDefault="00BD1B5D" w:rsidP="00833CD8">
            <w:pPr>
              <w:spacing w:before="120" w:after="0" w:line="240" w:lineRule="auto"/>
              <w:jc w:val="both"/>
              <w:rPr>
                <w:rFonts w:ascii="Arial" w:eastAsia="Times New Roman" w:hAnsi="Arial" w:cs="Arial"/>
                <w:sz w:val="20"/>
                <w:szCs w:val="20"/>
                <w:lang w:eastAsia="sl-SI"/>
              </w:rPr>
            </w:pPr>
            <w:r w:rsidRPr="00330ADC">
              <w:rPr>
                <w:rFonts w:ascii="Arial" w:eastAsia="Times New Roman" w:hAnsi="Arial" w:cs="Arial"/>
                <w:sz w:val="20"/>
                <w:szCs w:val="20"/>
                <w:lang w:eastAsia="sl-SI"/>
              </w:rPr>
              <w:t xml:space="preserve"> informacije o osnovni korporacijski strukturi mednarodne skupine podjetij ali velike domače skupine, vključno z nadzorujočimi deleži v subjektih v sestavi, ki jih posedujejo drugi subjekti v sestavi;</w:t>
            </w:r>
          </w:p>
        </w:tc>
      </w:tr>
    </w:tbl>
    <w:p w14:paraId="04CC24AA" w14:textId="77777777" w:rsidR="00BD1B5D" w:rsidRPr="00330ADC" w:rsidRDefault="00BD1B5D" w:rsidP="00BD1B5D">
      <w:pPr>
        <w:shd w:val="clear" w:color="auto" w:fill="FFFFFF"/>
        <w:spacing w:after="0" w:line="240" w:lineRule="auto"/>
        <w:rPr>
          <w:rFonts w:ascii="Arial" w:eastAsia="Times New Roman" w:hAnsi="Arial" w:cs="Arial"/>
          <w:sz w:val="20"/>
          <w:szCs w:val="20"/>
          <w:lang w:eastAsia="sl-SI"/>
        </w:rPr>
      </w:pPr>
    </w:p>
    <w:tbl>
      <w:tblPr>
        <w:tblW w:w="5000" w:type="pct"/>
        <w:tblCellMar>
          <w:left w:w="0" w:type="dxa"/>
          <w:right w:w="0" w:type="dxa"/>
        </w:tblCellMar>
        <w:tblLook w:val="04A0" w:firstRow="1" w:lastRow="0" w:firstColumn="1" w:lastColumn="0" w:noHBand="0" w:noVBand="1"/>
      </w:tblPr>
      <w:tblGrid>
        <w:gridCol w:w="167"/>
        <w:gridCol w:w="8903"/>
      </w:tblGrid>
      <w:tr w:rsidR="00BD1B5D" w:rsidRPr="00330ADC" w14:paraId="7C22D617" w14:textId="77777777" w:rsidTr="00833CD8">
        <w:tc>
          <w:tcPr>
            <w:tcW w:w="0" w:type="auto"/>
            <w:shd w:val="clear" w:color="auto" w:fill="auto"/>
            <w:hideMark/>
          </w:tcPr>
          <w:p w14:paraId="26A72EE1" w14:textId="77777777" w:rsidR="00BD1B5D" w:rsidRPr="00330ADC" w:rsidRDefault="00BD1B5D" w:rsidP="00833CD8">
            <w:pPr>
              <w:spacing w:before="120" w:after="0" w:line="240" w:lineRule="auto"/>
              <w:jc w:val="both"/>
              <w:rPr>
                <w:rFonts w:ascii="Arial" w:eastAsia="Times New Roman" w:hAnsi="Arial" w:cs="Arial"/>
                <w:sz w:val="20"/>
                <w:szCs w:val="20"/>
                <w:lang w:eastAsia="sl-SI"/>
              </w:rPr>
            </w:pPr>
            <w:r w:rsidRPr="00330ADC">
              <w:rPr>
                <w:rFonts w:ascii="Arial" w:eastAsia="Times New Roman" w:hAnsi="Arial" w:cs="Arial"/>
                <w:sz w:val="20"/>
                <w:szCs w:val="20"/>
                <w:lang w:eastAsia="sl-SI"/>
              </w:rPr>
              <w:t>3.</w:t>
            </w:r>
          </w:p>
        </w:tc>
        <w:tc>
          <w:tcPr>
            <w:tcW w:w="0" w:type="auto"/>
            <w:shd w:val="clear" w:color="auto" w:fill="auto"/>
            <w:hideMark/>
          </w:tcPr>
          <w:p w14:paraId="76BE4325" w14:textId="77777777" w:rsidR="00BD1B5D" w:rsidRPr="00330ADC" w:rsidRDefault="00BD1B5D" w:rsidP="00833CD8">
            <w:pPr>
              <w:spacing w:before="120" w:after="0" w:line="240" w:lineRule="auto"/>
              <w:jc w:val="both"/>
              <w:rPr>
                <w:rFonts w:ascii="Arial" w:eastAsia="Times New Roman" w:hAnsi="Arial" w:cs="Arial"/>
                <w:sz w:val="20"/>
                <w:szCs w:val="20"/>
                <w:lang w:eastAsia="sl-SI"/>
              </w:rPr>
            </w:pPr>
            <w:r w:rsidRPr="00330ADC">
              <w:rPr>
                <w:rFonts w:ascii="Arial" w:eastAsia="Times New Roman" w:hAnsi="Arial" w:cs="Arial"/>
                <w:sz w:val="20"/>
                <w:szCs w:val="20"/>
                <w:lang w:eastAsia="sl-SI"/>
              </w:rPr>
              <w:t xml:space="preserve"> informacije, potrebne za izračun dejanske davčne stopnje za vsako jurisdikcijo in povrhnjega davka vsakega subjekta v sestavi, povrhnjega davka člana skupine skupnega podviga, dodelitve zneska povrhnjega davka posamezni jurisdikciji na podlagi pravila o vključitvi dohodkov in pravila o prenizko obdavčenih dobičkih, ter</w:t>
            </w:r>
            <w:r w:rsidRPr="00330ADC">
              <w:rPr>
                <w:rFonts w:cs="Arial"/>
                <w:sz w:val="20"/>
                <w:szCs w:val="20"/>
                <w:lang w:eastAsia="sl-SI"/>
              </w:rPr>
              <w:t xml:space="preserve"> </w:t>
            </w:r>
            <w:r w:rsidRPr="00330ADC">
              <w:rPr>
                <w:rFonts w:ascii="Arial" w:eastAsia="Times New Roman" w:hAnsi="Arial" w:cs="Arial"/>
                <w:sz w:val="20"/>
                <w:szCs w:val="20"/>
                <w:lang w:eastAsia="sl-SI"/>
              </w:rPr>
              <w:t xml:space="preserve"> </w:t>
            </w:r>
          </w:p>
        </w:tc>
      </w:tr>
    </w:tbl>
    <w:p w14:paraId="5F7C2B50" w14:textId="77777777" w:rsidR="00BD1B5D" w:rsidRPr="00330ADC" w:rsidRDefault="00BD1B5D" w:rsidP="00BD1B5D">
      <w:pPr>
        <w:pStyle w:val="Odstavekseznama"/>
        <w:shd w:val="clear" w:color="auto" w:fill="FFFFFF"/>
        <w:spacing w:after="0" w:line="240" w:lineRule="auto"/>
        <w:ind w:left="2629"/>
        <w:rPr>
          <w:rFonts w:ascii="Arial" w:eastAsia="Times New Roman" w:hAnsi="Arial" w:cs="Arial"/>
          <w:sz w:val="20"/>
          <w:szCs w:val="20"/>
          <w:lang w:eastAsia="sl-SI"/>
        </w:rPr>
      </w:pPr>
    </w:p>
    <w:tbl>
      <w:tblPr>
        <w:tblW w:w="4892" w:type="pct"/>
        <w:tblCellMar>
          <w:left w:w="0" w:type="dxa"/>
          <w:right w:w="0" w:type="dxa"/>
        </w:tblCellMar>
        <w:tblLook w:val="04A0" w:firstRow="1" w:lastRow="0" w:firstColumn="1" w:lastColumn="0" w:noHBand="0" w:noVBand="1"/>
      </w:tblPr>
      <w:tblGrid>
        <w:gridCol w:w="195"/>
        <w:gridCol w:w="8679"/>
      </w:tblGrid>
      <w:tr w:rsidR="00BD1B5D" w:rsidRPr="00330ADC" w14:paraId="7ACF6216" w14:textId="77777777" w:rsidTr="005933A6">
        <w:trPr>
          <w:trHeight w:val="494"/>
        </w:trPr>
        <w:tc>
          <w:tcPr>
            <w:tcW w:w="110" w:type="pct"/>
            <w:shd w:val="clear" w:color="auto" w:fill="auto"/>
            <w:hideMark/>
          </w:tcPr>
          <w:p w14:paraId="399678C0" w14:textId="77777777" w:rsidR="00BD1B5D" w:rsidRPr="00330ADC" w:rsidRDefault="00BD1B5D" w:rsidP="00833CD8">
            <w:pPr>
              <w:spacing w:before="120" w:after="0" w:line="240" w:lineRule="auto"/>
              <w:jc w:val="both"/>
              <w:rPr>
                <w:rFonts w:ascii="Arial" w:eastAsia="Times New Roman" w:hAnsi="Arial" w:cs="Arial"/>
                <w:sz w:val="20"/>
                <w:szCs w:val="20"/>
                <w:lang w:eastAsia="sl-SI"/>
              </w:rPr>
            </w:pPr>
            <w:r w:rsidRPr="00330ADC">
              <w:rPr>
                <w:rFonts w:ascii="Arial" w:eastAsia="Times New Roman" w:hAnsi="Arial" w:cs="Arial"/>
                <w:sz w:val="20"/>
                <w:szCs w:val="20"/>
                <w:lang w:eastAsia="sl-SI"/>
              </w:rPr>
              <w:t xml:space="preserve">4. </w:t>
            </w:r>
          </w:p>
        </w:tc>
        <w:tc>
          <w:tcPr>
            <w:tcW w:w="0" w:type="auto"/>
            <w:shd w:val="clear" w:color="auto" w:fill="auto"/>
            <w:hideMark/>
          </w:tcPr>
          <w:p w14:paraId="5CA32BAD" w14:textId="77777777" w:rsidR="00BD1B5D" w:rsidRPr="00330ADC" w:rsidRDefault="00BD1B5D" w:rsidP="005933A6">
            <w:pPr>
              <w:spacing w:before="120" w:after="0" w:line="240" w:lineRule="auto"/>
              <w:ind w:left="157"/>
              <w:jc w:val="both"/>
              <w:rPr>
                <w:rFonts w:ascii="Arial" w:eastAsia="Times New Roman" w:hAnsi="Arial" w:cs="Arial"/>
                <w:sz w:val="20"/>
                <w:szCs w:val="20"/>
                <w:lang w:eastAsia="sl-SI"/>
              </w:rPr>
            </w:pPr>
            <w:r w:rsidRPr="00330ADC">
              <w:rPr>
                <w:rFonts w:ascii="Arial" w:eastAsia="Times New Roman" w:hAnsi="Arial" w:cs="Arial"/>
                <w:sz w:val="20"/>
                <w:szCs w:val="20"/>
                <w:lang w:eastAsia="sl-SI"/>
              </w:rPr>
              <w:t>popis opcij, izbranih v skladu s tem zakonom.</w:t>
            </w:r>
          </w:p>
        </w:tc>
      </w:tr>
    </w:tbl>
    <w:p w14:paraId="00F2E8D2" w14:textId="77777777" w:rsidR="00BD1B5D" w:rsidRDefault="00BD1B5D" w:rsidP="00D9667C">
      <w:pPr>
        <w:spacing w:after="0"/>
        <w:rPr>
          <w:rFonts w:ascii="Arial" w:hAnsi="Arial" w:cs="Arial"/>
          <w:sz w:val="20"/>
          <w:szCs w:val="20"/>
        </w:rPr>
      </w:pPr>
    </w:p>
    <w:p w14:paraId="01DA7977" w14:textId="77777777" w:rsidR="002A5891" w:rsidRPr="00332EE9" w:rsidRDefault="00BD1B5D" w:rsidP="00D9667C">
      <w:pPr>
        <w:jc w:val="both"/>
        <w:rPr>
          <w:rFonts w:ascii="Arial" w:hAnsi="Arial" w:cs="Arial"/>
          <w:sz w:val="20"/>
          <w:szCs w:val="20"/>
        </w:rPr>
      </w:pPr>
      <w:r>
        <w:rPr>
          <w:rFonts w:ascii="Arial" w:hAnsi="Arial" w:cs="Arial"/>
          <w:sz w:val="20"/>
          <w:szCs w:val="20"/>
        </w:rPr>
        <w:t xml:space="preserve">Navedeni sklopi podatkov so podrobneje razdelani v </w:t>
      </w:r>
      <w:r w:rsidRPr="00332EE9">
        <w:rPr>
          <w:rFonts w:ascii="Arial" w:hAnsi="Arial" w:cs="Arial"/>
          <w:sz w:val="20"/>
          <w:szCs w:val="20"/>
        </w:rPr>
        <w:t xml:space="preserve">Obrazcu informativnega obrazca za obračun, ki je priloga Pravilnika o informativnem obrazcu za obračun. Navedeni obrazec se v celoti zgleduje po zgradbi Informativnega obračuna GLOBE (Globe </w:t>
      </w:r>
      <w:proofErr w:type="spellStart"/>
      <w:r w:rsidRPr="00332EE9">
        <w:rPr>
          <w:rFonts w:ascii="Arial" w:hAnsi="Arial" w:cs="Arial"/>
          <w:sz w:val="20"/>
          <w:szCs w:val="20"/>
        </w:rPr>
        <w:t>Information</w:t>
      </w:r>
      <w:proofErr w:type="spellEnd"/>
      <w:r w:rsidRPr="00332EE9">
        <w:rPr>
          <w:rFonts w:ascii="Arial" w:hAnsi="Arial" w:cs="Arial"/>
          <w:sz w:val="20"/>
          <w:szCs w:val="20"/>
        </w:rPr>
        <w:t xml:space="preserve"> </w:t>
      </w:r>
      <w:proofErr w:type="spellStart"/>
      <w:r w:rsidRPr="00332EE9">
        <w:rPr>
          <w:rFonts w:ascii="Arial" w:hAnsi="Arial" w:cs="Arial"/>
          <w:sz w:val="20"/>
          <w:szCs w:val="20"/>
        </w:rPr>
        <w:t>Return</w:t>
      </w:r>
      <w:proofErr w:type="spellEnd"/>
      <w:r w:rsidR="000F0C55">
        <w:rPr>
          <w:rFonts w:ascii="Arial" w:hAnsi="Arial" w:cs="Arial"/>
          <w:sz w:val="20"/>
          <w:szCs w:val="20"/>
        </w:rPr>
        <w:t xml:space="preserve"> - GIR</w:t>
      </w:r>
      <w:r w:rsidRPr="00332EE9">
        <w:rPr>
          <w:rFonts w:ascii="Arial" w:hAnsi="Arial" w:cs="Arial"/>
          <w:sz w:val="20"/>
          <w:szCs w:val="20"/>
        </w:rPr>
        <w:t>), ki ga je pripravil OECD</w:t>
      </w:r>
      <w:r w:rsidR="004A68A8" w:rsidRPr="00332EE9">
        <w:rPr>
          <w:rFonts w:ascii="Arial" w:hAnsi="Arial" w:cs="Arial"/>
          <w:sz w:val="20"/>
          <w:szCs w:val="20"/>
        </w:rPr>
        <w:t>, in je z njim skladen</w:t>
      </w:r>
      <w:r w:rsidRPr="00332EE9">
        <w:rPr>
          <w:rFonts w:ascii="Arial" w:hAnsi="Arial" w:cs="Arial"/>
          <w:sz w:val="20"/>
          <w:szCs w:val="20"/>
        </w:rPr>
        <w:t>. Slednji obrazec GIR je namenjen zagotavljanju enotnega poročanja, tako z vidika vsebine kot tudi z vidika postopka poročanja.</w:t>
      </w:r>
      <w:r w:rsidR="004A68A8" w:rsidRPr="00332EE9">
        <w:rPr>
          <w:rStyle w:val="Sprotnaopomba-sklic"/>
          <w:rFonts w:ascii="Arial" w:hAnsi="Arial" w:cs="Arial"/>
          <w:sz w:val="20"/>
          <w:szCs w:val="20"/>
        </w:rPr>
        <w:footnoteReference w:id="4"/>
      </w:r>
      <w:r w:rsidRPr="00332EE9">
        <w:rPr>
          <w:rFonts w:ascii="Arial" w:hAnsi="Arial" w:cs="Arial"/>
          <w:sz w:val="20"/>
          <w:szCs w:val="20"/>
        </w:rPr>
        <w:t xml:space="preserve"> </w:t>
      </w:r>
    </w:p>
    <w:p w14:paraId="35726E0C" w14:textId="77777777" w:rsidR="00BD1B5D" w:rsidRPr="00332EE9" w:rsidRDefault="00BD1B5D" w:rsidP="002A5891">
      <w:pPr>
        <w:jc w:val="both"/>
        <w:rPr>
          <w:rFonts w:ascii="Arial" w:hAnsi="Arial" w:cs="Arial"/>
          <w:sz w:val="20"/>
          <w:szCs w:val="20"/>
        </w:rPr>
      </w:pPr>
      <w:r w:rsidRPr="00332EE9">
        <w:rPr>
          <w:rFonts w:ascii="Arial" w:hAnsi="Arial" w:cs="Arial"/>
          <w:sz w:val="20"/>
          <w:szCs w:val="20"/>
        </w:rPr>
        <w:t>Ker so podatki, ki jih morajo poročati v sklopu informativnega obrazca za obračun, podrobneje obrazloženi v zgornjih vsebinskih sklopih ter v samem metodološkem navodilu za izpolnjevanja obrazca v okviru pravilnika, so v nadaljevanju podane splošne informacije o postopku poročanja.</w:t>
      </w:r>
      <w:r w:rsidR="004A68A8" w:rsidRPr="00332EE9">
        <w:rPr>
          <w:rStyle w:val="Sprotnaopomba-sklic"/>
          <w:rFonts w:ascii="Arial" w:hAnsi="Arial" w:cs="Arial"/>
          <w:sz w:val="20"/>
          <w:szCs w:val="20"/>
        </w:rPr>
        <w:footnoteReference w:id="5"/>
      </w:r>
      <w:r w:rsidRPr="00332EE9">
        <w:rPr>
          <w:rFonts w:ascii="Arial" w:hAnsi="Arial" w:cs="Arial"/>
          <w:sz w:val="20"/>
          <w:szCs w:val="20"/>
        </w:rPr>
        <w:t xml:space="preserve"> </w:t>
      </w:r>
    </w:p>
    <w:p w14:paraId="01F4A0F5" w14:textId="77777777" w:rsidR="002A5891" w:rsidRPr="00392FD4" w:rsidRDefault="00D9667C" w:rsidP="00BD1B5D">
      <w:pPr>
        <w:pStyle w:val="FURSnaslov2"/>
        <w:rPr>
          <w:sz w:val="22"/>
          <w:szCs w:val="22"/>
          <w:lang w:val="sl-SI"/>
        </w:rPr>
      </w:pPr>
      <w:bookmarkStart w:id="35" w:name="_Toc157425327"/>
      <w:r>
        <w:rPr>
          <w:sz w:val="22"/>
          <w:szCs w:val="22"/>
          <w:lang w:val="sl-SI"/>
        </w:rPr>
        <w:t>5</w:t>
      </w:r>
      <w:r w:rsidR="00BD1B5D" w:rsidRPr="00332EE9">
        <w:rPr>
          <w:sz w:val="22"/>
          <w:szCs w:val="22"/>
          <w:lang w:val="sl-SI"/>
        </w:rPr>
        <w:t>.1.1. Postopek poročanja podatkov o povrhnjem davku</w:t>
      </w:r>
      <w:bookmarkEnd w:id="35"/>
      <w:r w:rsidR="00BD1B5D" w:rsidRPr="00392FD4">
        <w:rPr>
          <w:sz w:val="22"/>
          <w:szCs w:val="22"/>
          <w:lang w:val="sl-SI"/>
        </w:rPr>
        <w:t xml:space="preserve"> </w:t>
      </w:r>
    </w:p>
    <w:p w14:paraId="20CF9306" w14:textId="77777777" w:rsidR="00AE3E30" w:rsidRPr="00CA771D" w:rsidRDefault="00AE3E30" w:rsidP="00CA771D">
      <w:pPr>
        <w:jc w:val="both"/>
        <w:rPr>
          <w:rFonts w:ascii="Arial" w:hAnsi="Arial" w:cs="Arial"/>
          <w:sz w:val="20"/>
          <w:szCs w:val="20"/>
        </w:rPr>
      </w:pPr>
      <w:r w:rsidRPr="00CA771D">
        <w:rPr>
          <w:rFonts w:ascii="Arial" w:hAnsi="Arial" w:cs="Arial"/>
          <w:sz w:val="20"/>
          <w:szCs w:val="20"/>
        </w:rPr>
        <w:t>a) Poročanje s strani subjektov v sestavi</w:t>
      </w:r>
    </w:p>
    <w:p w14:paraId="5648139D" w14:textId="77777777" w:rsidR="002A5891" w:rsidRPr="00CA771D" w:rsidRDefault="002A5891" w:rsidP="00CA771D">
      <w:pPr>
        <w:jc w:val="both"/>
        <w:rPr>
          <w:rFonts w:ascii="Arial" w:hAnsi="Arial" w:cs="Arial"/>
          <w:sz w:val="20"/>
          <w:szCs w:val="20"/>
        </w:rPr>
      </w:pPr>
      <w:r w:rsidRPr="00CA771D">
        <w:rPr>
          <w:rFonts w:ascii="Arial" w:hAnsi="Arial" w:cs="Arial"/>
          <w:sz w:val="20"/>
          <w:szCs w:val="20"/>
        </w:rPr>
        <w:t>Informativni obrazec za obračun mora v predpisani obliki in vsebini predložiti vsak subjekt v sestavi, ki se nahaja v Sloveniji</w:t>
      </w:r>
      <w:r w:rsidR="008A43EB" w:rsidRPr="00CA771D">
        <w:rPr>
          <w:rFonts w:ascii="Arial" w:hAnsi="Arial" w:cs="Arial"/>
          <w:sz w:val="20"/>
          <w:szCs w:val="20"/>
        </w:rPr>
        <w:t>, razen, če je obveznost poročanja prenesena na drugi subjekt</w:t>
      </w:r>
      <w:r w:rsidRPr="00CA771D">
        <w:rPr>
          <w:rFonts w:ascii="Arial" w:hAnsi="Arial" w:cs="Arial"/>
          <w:sz w:val="20"/>
          <w:szCs w:val="20"/>
        </w:rPr>
        <w:t xml:space="preserve">. </w:t>
      </w:r>
      <w:r w:rsidR="008A43EB" w:rsidRPr="00CA771D">
        <w:rPr>
          <w:rFonts w:ascii="Arial" w:hAnsi="Arial" w:cs="Arial"/>
          <w:sz w:val="20"/>
          <w:szCs w:val="20"/>
        </w:rPr>
        <w:t>Obveznost za predložitev informativnega obrazca</w:t>
      </w:r>
      <w:r w:rsidRPr="00CA771D">
        <w:rPr>
          <w:rFonts w:ascii="Arial" w:hAnsi="Arial" w:cs="Arial"/>
          <w:sz w:val="20"/>
          <w:szCs w:val="20"/>
        </w:rPr>
        <w:t xml:space="preserve"> imajo subjekti ne glede na to, ali so v konkretnem obračunskem obdobju dejansko dolžni plačati povrhnji davek, ali</w:t>
      </w:r>
      <w:r w:rsidR="008A43EB" w:rsidRPr="00CA771D">
        <w:rPr>
          <w:rFonts w:ascii="Arial" w:hAnsi="Arial" w:cs="Arial"/>
          <w:sz w:val="20"/>
          <w:szCs w:val="20"/>
        </w:rPr>
        <w:t xml:space="preserve"> pa</w:t>
      </w:r>
      <w:r w:rsidRPr="00CA771D">
        <w:rPr>
          <w:rFonts w:ascii="Arial" w:hAnsi="Arial" w:cs="Arial"/>
          <w:sz w:val="20"/>
          <w:szCs w:val="20"/>
        </w:rPr>
        <w:t xml:space="preserve"> se šteje, da je povrhnji davek nič, ali</w:t>
      </w:r>
      <w:r w:rsidR="008A43EB" w:rsidRPr="00CA771D">
        <w:rPr>
          <w:rFonts w:ascii="Arial" w:hAnsi="Arial" w:cs="Arial"/>
          <w:sz w:val="20"/>
          <w:szCs w:val="20"/>
        </w:rPr>
        <w:t xml:space="preserve"> pa</w:t>
      </w:r>
      <w:r w:rsidRPr="00CA771D">
        <w:rPr>
          <w:rFonts w:ascii="Arial" w:hAnsi="Arial" w:cs="Arial"/>
          <w:sz w:val="20"/>
          <w:szCs w:val="20"/>
        </w:rPr>
        <w:t xml:space="preserve"> njihova dejanska davčna stopnja presega minimalno davčno stopnjo.</w:t>
      </w:r>
      <w:r w:rsidR="00AE3E30" w:rsidRPr="00CA771D">
        <w:rPr>
          <w:rFonts w:ascii="Arial" w:hAnsi="Arial" w:cs="Arial"/>
          <w:sz w:val="20"/>
          <w:szCs w:val="20"/>
        </w:rPr>
        <w:t xml:space="preserve"> Namen informativnega obrazca je v tem, da se finančnim upravam predloži podatke, na podlagi katerih se lahko ugotovi pravilnost predloženega obračuna povrhnjega davka in domačega povrhnjega davka.</w:t>
      </w:r>
      <w:r w:rsidRPr="00CA771D">
        <w:rPr>
          <w:rFonts w:ascii="Arial" w:hAnsi="Arial" w:cs="Arial"/>
          <w:sz w:val="20"/>
          <w:szCs w:val="20"/>
        </w:rPr>
        <w:t xml:space="preserve"> Izključeni subjekti se ne štejejo za subjekt v sestavi in tako niso dolžni predlagati informativnega obrazca za obračun, razen, če se jih določi kot </w:t>
      </w:r>
      <w:proofErr w:type="spellStart"/>
      <w:r w:rsidRPr="00CA771D">
        <w:rPr>
          <w:rFonts w:ascii="Arial" w:hAnsi="Arial" w:cs="Arial"/>
          <w:sz w:val="20"/>
          <w:szCs w:val="20"/>
        </w:rPr>
        <w:t>vložniške</w:t>
      </w:r>
      <w:proofErr w:type="spellEnd"/>
      <w:r w:rsidRPr="00CA771D">
        <w:rPr>
          <w:rFonts w:ascii="Arial" w:hAnsi="Arial" w:cs="Arial"/>
          <w:sz w:val="20"/>
          <w:szCs w:val="20"/>
        </w:rPr>
        <w:t xml:space="preserve"> subjekte. </w:t>
      </w:r>
    </w:p>
    <w:p w14:paraId="262554FD" w14:textId="77777777" w:rsidR="00AE3E30" w:rsidRPr="00CA771D" w:rsidRDefault="00AE3E30" w:rsidP="00CA771D">
      <w:pPr>
        <w:jc w:val="both"/>
        <w:rPr>
          <w:rFonts w:ascii="Arial" w:hAnsi="Arial" w:cs="Arial"/>
          <w:sz w:val="20"/>
          <w:szCs w:val="20"/>
        </w:rPr>
      </w:pPr>
      <w:r w:rsidRPr="00CA771D">
        <w:rPr>
          <w:rFonts w:ascii="Arial" w:hAnsi="Arial" w:cs="Arial"/>
          <w:sz w:val="20"/>
          <w:szCs w:val="20"/>
        </w:rPr>
        <w:t>Subjekti v sestavi bodo morali informativni obrazec za obračun predložiti v roku 15 mesecev od zaključka poslovnega leta poročanja. Za prvo leto je predpisan daljši rok za poročanje</w:t>
      </w:r>
      <w:r w:rsidR="00CA771D">
        <w:rPr>
          <w:rFonts w:ascii="Arial" w:hAnsi="Arial" w:cs="Arial"/>
          <w:sz w:val="20"/>
          <w:szCs w:val="20"/>
        </w:rPr>
        <w:t>,</w:t>
      </w:r>
      <w:r w:rsidRPr="00CA771D">
        <w:rPr>
          <w:rFonts w:ascii="Arial" w:hAnsi="Arial" w:cs="Arial"/>
          <w:sz w:val="20"/>
          <w:szCs w:val="20"/>
        </w:rPr>
        <w:t xml:space="preserve"> in sicer 18 mesecev. Torej, prvo leto za katero se uporablja ZMD je 2024 in to bo tudi prvo leto poročanja za subjekte, ki bodo spadali v okvir povrhnjega davka. </w:t>
      </w:r>
      <w:r w:rsidR="004A68A8">
        <w:rPr>
          <w:rFonts w:ascii="Arial" w:hAnsi="Arial" w:cs="Arial"/>
          <w:sz w:val="20"/>
          <w:szCs w:val="20"/>
        </w:rPr>
        <w:t xml:space="preserve">Upoštevajoč, da bo poročanje podatkov preko </w:t>
      </w:r>
      <w:r w:rsidR="004A68A8">
        <w:rPr>
          <w:rFonts w:ascii="Arial" w:hAnsi="Arial" w:cs="Arial"/>
          <w:sz w:val="20"/>
          <w:szCs w:val="20"/>
        </w:rPr>
        <w:lastRenderedPageBreak/>
        <w:t xml:space="preserve">informativnega obrazca za obračun velikokrat potekalo preko krovnega matičnega subjekta ali imenovanega </w:t>
      </w:r>
      <w:proofErr w:type="spellStart"/>
      <w:r w:rsidR="004A68A8">
        <w:rPr>
          <w:rFonts w:ascii="Arial" w:hAnsi="Arial" w:cs="Arial"/>
          <w:sz w:val="20"/>
          <w:szCs w:val="20"/>
        </w:rPr>
        <w:t>vložniškega</w:t>
      </w:r>
      <w:proofErr w:type="spellEnd"/>
      <w:r w:rsidR="004A68A8">
        <w:rPr>
          <w:rFonts w:ascii="Arial" w:hAnsi="Arial" w:cs="Arial"/>
          <w:sz w:val="20"/>
          <w:szCs w:val="20"/>
        </w:rPr>
        <w:t xml:space="preserve"> subjekta, bodo subjekti lahko poročali te podatke </w:t>
      </w:r>
      <w:r w:rsidR="00302788">
        <w:rPr>
          <w:rFonts w:ascii="Arial" w:hAnsi="Arial" w:cs="Arial"/>
          <w:sz w:val="20"/>
          <w:szCs w:val="20"/>
        </w:rPr>
        <w:t>do</w:t>
      </w:r>
      <w:r w:rsidR="004A68A8">
        <w:rPr>
          <w:rFonts w:ascii="Arial" w:hAnsi="Arial" w:cs="Arial"/>
          <w:sz w:val="20"/>
          <w:szCs w:val="20"/>
        </w:rPr>
        <w:t xml:space="preserve"> 30.6.2026, ne glede na začetek teka 18 mesečnega roka</w:t>
      </w:r>
      <w:r w:rsidR="00302788">
        <w:rPr>
          <w:rFonts w:ascii="Arial" w:hAnsi="Arial" w:cs="Arial"/>
          <w:sz w:val="20"/>
          <w:szCs w:val="20"/>
        </w:rPr>
        <w:t>.</w:t>
      </w:r>
      <w:r w:rsidR="00302788" w:rsidRPr="00302788">
        <w:rPr>
          <w:rFonts w:ascii="Arial" w:hAnsi="Arial" w:cs="Arial"/>
          <w:sz w:val="20"/>
          <w:szCs w:val="20"/>
        </w:rPr>
        <w:t xml:space="preserve"> </w:t>
      </w:r>
      <w:r w:rsidR="00302788">
        <w:rPr>
          <w:rFonts w:ascii="Arial" w:hAnsi="Arial" w:cs="Arial"/>
          <w:sz w:val="20"/>
          <w:szCs w:val="20"/>
        </w:rPr>
        <w:t>Tako se bo v prvem letu veljave sistema minimalnega davka štelo, da je rok za predložitev informativnega obrazca za obračun 18 mesecev po</w:t>
      </w:r>
      <w:r w:rsidR="00302788" w:rsidRPr="00CA771D">
        <w:rPr>
          <w:rFonts w:ascii="Arial" w:hAnsi="Arial" w:cs="Arial"/>
          <w:sz w:val="20"/>
          <w:szCs w:val="20"/>
        </w:rPr>
        <w:t xml:space="preserve"> 31.12.2024,</w:t>
      </w:r>
      <w:r w:rsidR="00302788">
        <w:rPr>
          <w:rFonts w:ascii="Arial" w:hAnsi="Arial" w:cs="Arial"/>
          <w:sz w:val="20"/>
          <w:szCs w:val="20"/>
        </w:rPr>
        <w:t xml:space="preserve"> kar pomeni, da </w:t>
      </w:r>
      <w:r w:rsidR="00302788" w:rsidRPr="00CA771D">
        <w:rPr>
          <w:rFonts w:ascii="Arial" w:hAnsi="Arial" w:cs="Arial"/>
          <w:sz w:val="20"/>
          <w:szCs w:val="20"/>
        </w:rPr>
        <w:t>bo rok za predložitev informativnega obrazca za obračun potekel 30.6.2026.</w:t>
      </w:r>
    </w:p>
    <w:p w14:paraId="013A376B" w14:textId="77777777" w:rsidR="00AE3E30" w:rsidRPr="00CA771D" w:rsidRDefault="00AE3E30" w:rsidP="00CA771D">
      <w:pPr>
        <w:jc w:val="both"/>
        <w:rPr>
          <w:rFonts w:ascii="Arial" w:hAnsi="Arial" w:cs="Arial"/>
          <w:sz w:val="20"/>
          <w:szCs w:val="20"/>
        </w:rPr>
      </w:pPr>
      <w:r w:rsidRPr="00CA771D">
        <w:rPr>
          <w:rFonts w:ascii="Arial" w:hAnsi="Arial" w:cs="Arial"/>
          <w:sz w:val="20"/>
          <w:szCs w:val="20"/>
        </w:rPr>
        <w:t>Informativni obrazec za obračun se bo predlagal na elektronski način, in sicer v standardni predlogi</w:t>
      </w:r>
      <w:r w:rsidR="008D3DD9">
        <w:rPr>
          <w:rFonts w:ascii="Arial" w:hAnsi="Arial" w:cs="Arial"/>
          <w:sz w:val="20"/>
          <w:szCs w:val="20"/>
        </w:rPr>
        <w:t xml:space="preserve"> kot jo predvideva OECD</w:t>
      </w:r>
      <w:r w:rsidRPr="00CA771D">
        <w:rPr>
          <w:rFonts w:ascii="Arial" w:hAnsi="Arial" w:cs="Arial"/>
          <w:sz w:val="20"/>
          <w:szCs w:val="20"/>
        </w:rPr>
        <w:t xml:space="preserve">. </w:t>
      </w:r>
    </w:p>
    <w:p w14:paraId="316CBE9E" w14:textId="77777777" w:rsidR="00AE3E30" w:rsidRPr="00CA771D" w:rsidRDefault="00AE3E30" w:rsidP="00CA771D">
      <w:pPr>
        <w:jc w:val="both"/>
        <w:rPr>
          <w:rFonts w:ascii="Arial" w:hAnsi="Arial" w:cs="Arial"/>
          <w:sz w:val="20"/>
          <w:szCs w:val="20"/>
        </w:rPr>
      </w:pPr>
      <w:r w:rsidRPr="00CA771D">
        <w:rPr>
          <w:rFonts w:ascii="Arial" w:hAnsi="Arial" w:cs="Arial"/>
          <w:sz w:val="20"/>
          <w:szCs w:val="20"/>
        </w:rPr>
        <w:t>b) Centralno poročanje – poenostavitev poročanja</w:t>
      </w:r>
      <w:r w:rsidR="009346AC">
        <w:rPr>
          <w:rFonts w:ascii="Arial" w:hAnsi="Arial" w:cs="Arial"/>
          <w:sz w:val="20"/>
          <w:szCs w:val="20"/>
        </w:rPr>
        <w:t xml:space="preserve"> informativnega obrazca za obračun</w:t>
      </w:r>
    </w:p>
    <w:p w14:paraId="33D97676" w14:textId="77777777" w:rsidR="008A43EB" w:rsidRPr="00CA771D" w:rsidRDefault="00E10777" w:rsidP="00CA771D">
      <w:pPr>
        <w:jc w:val="both"/>
        <w:rPr>
          <w:rFonts w:ascii="Arial" w:hAnsi="Arial" w:cs="Arial"/>
          <w:sz w:val="20"/>
          <w:szCs w:val="20"/>
        </w:rPr>
      </w:pPr>
      <w:r w:rsidRPr="00CA771D">
        <w:rPr>
          <w:rFonts w:ascii="Arial" w:hAnsi="Arial" w:cs="Arial"/>
          <w:sz w:val="20"/>
          <w:szCs w:val="20"/>
        </w:rPr>
        <w:t>Subjekt</w:t>
      </w:r>
      <w:r w:rsidR="000F33A6">
        <w:rPr>
          <w:rFonts w:ascii="Arial" w:hAnsi="Arial" w:cs="Arial"/>
          <w:sz w:val="20"/>
          <w:szCs w:val="20"/>
        </w:rPr>
        <w:t>i</w:t>
      </w:r>
      <w:r w:rsidRPr="00CA771D">
        <w:rPr>
          <w:rFonts w:ascii="Arial" w:hAnsi="Arial" w:cs="Arial"/>
          <w:sz w:val="20"/>
          <w:szCs w:val="20"/>
        </w:rPr>
        <w:t>, ki so dolžni predložiti</w:t>
      </w:r>
      <w:r w:rsidR="00302788">
        <w:rPr>
          <w:rFonts w:ascii="Arial" w:hAnsi="Arial" w:cs="Arial"/>
          <w:sz w:val="20"/>
          <w:szCs w:val="20"/>
        </w:rPr>
        <w:t xml:space="preserve"> informativni obrazec za</w:t>
      </w:r>
      <w:r w:rsidRPr="00CA771D">
        <w:rPr>
          <w:rFonts w:ascii="Arial" w:hAnsi="Arial" w:cs="Arial"/>
          <w:sz w:val="20"/>
          <w:szCs w:val="20"/>
        </w:rPr>
        <w:t xml:space="preserve"> obračun</w:t>
      </w:r>
      <w:r w:rsidR="00CA771D">
        <w:rPr>
          <w:rFonts w:ascii="Arial" w:hAnsi="Arial" w:cs="Arial"/>
          <w:sz w:val="20"/>
          <w:szCs w:val="20"/>
        </w:rPr>
        <w:t>, so skladno z</w:t>
      </w:r>
      <w:r w:rsidRPr="00CA771D">
        <w:rPr>
          <w:rFonts w:ascii="Arial" w:hAnsi="Arial" w:cs="Arial"/>
          <w:sz w:val="20"/>
          <w:szCs w:val="20"/>
        </w:rPr>
        <w:t xml:space="preserve"> ZMD </w:t>
      </w:r>
      <w:proofErr w:type="spellStart"/>
      <w:r w:rsidRPr="00CA771D">
        <w:rPr>
          <w:rFonts w:ascii="Arial" w:hAnsi="Arial" w:cs="Arial"/>
          <w:sz w:val="20"/>
          <w:szCs w:val="20"/>
        </w:rPr>
        <w:t>vložniški</w:t>
      </w:r>
      <w:proofErr w:type="spellEnd"/>
      <w:r w:rsidRPr="00CA771D">
        <w:rPr>
          <w:rFonts w:ascii="Arial" w:hAnsi="Arial" w:cs="Arial"/>
          <w:sz w:val="20"/>
          <w:szCs w:val="20"/>
        </w:rPr>
        <w:t xml:space="preserve"> subjekti. Vloga </w:t>
      </w:r>
      <w:proofErr w:type="spellStart"/>
      <w:r w:rsidRPr="00CA771D">
        <w:rPr>
          <w:rFonts w:ascii="Arial" w:hAnsi="Arial" w:cs="Arial"/>
          <w:sz w:val="20"/>
          <w:szCs w:val="20"/>
        </w:rPr>
        <w:t>vložniškega</w:t>
      </w:r>
      <w:proofErr w:type="spellEnd"/>
      <w:r w:rsidRPr="00CA771D">
        <w:rPr>
          <w:rFonts w:ascii="Arial" w:hAnsi="Arial" w:cs="Arial"/>
          <w:sz w:val="20"/>
          <w:szCs w:val="20"/>
        </w:rPr>
        <w:t xml:space="preserve"> subjekta se lahko spremeni glede na način poročanja, ki so predvideni po zakonu in ki ga izberejo zavezanci. </w:t>
      </w:r>
      <w:r w:rsidR="008A43EB" w:rsidRPr="00CA771D">
        <w:rPr>
          <w:rFonts w:ascii="Arial" w:hAnsi="Arial" w:cs="Arial"/>
          <w:sz w:val="20"/>
          <w:szCs w:val="20"/>
        </w:rPr>
        <w:t xml:space="preserve">Ne glede na primarno obveznost vsakega posameznega subjekta, da predloži </w:t>
      </w:r>
      <w:r w:rsidR="00AE3E30" w:rsidRPr="00CA771D">
        <w:rPr>
          <w:rFonts w:ascii="Arial" w:hAnsi="Arial" w:cs="Arial"/>
          <w:sz w:val="20"/>
          <w:szCs w:val="20"/>
        </w:rPr>
        <w:t xml:space="preserve">informativni obrazec, imajo subjekti v sestavi možnost, da to obveznost delegirajo na drugega subjekta v skupini. Možnost je dana tako na lokalni centralni ravni kot na mednarodni centralni ravni. </w:t>
      </w:r>
    </w:p>
    <w:p w14:paraId="38A261A6" w14:textId="77777777" w:rsidR="00AE3E30" w:rsidRPr="00CA771D" w:rsidRDefault="00AE3E30" w:rsidP="00CA771D">
      <w:pPr>
        <w:jc w:val="both"/>
        <w:rPr>
          <w:rFonts w:ascii="Arial" w:hAnsi="Arial" w:cs="Arial"/>
          <w:sz w:val="20"/>
          <w:szCs w:val="20"/>
        </w:rPr>
      </w:pPr>
      <w:r w:rsidRPr="00CA771D">
        <w:rPr>
          <w:rFonts w:ascii="Arial" w:hAnsi="Arial" w:cs="Arial"/>
          <w:sz w:val="20"/>
          <w:szCs w:val="20"/>
        </w:rPr>
        <w:t>Na lokalni centralni ravni lahko informativni obrazec za obračun v imenu subjekta v sestavi predloži imenovani lokalni subjekt. Imenova</w:t>
      </w:r>
      <w:r w:rsidR="00685DF0">
        <w:rPr>
          <w:rFonts w:ascii="Arial" w:hAnsi="Arial" w:cs="Arial"/>
          <w:sz w:val="20"/>
          <w:szCs w:val="20"/>
        </w:rPr>
        <w:t>n</w:t>
      </w:r>
      <w:r w:rsidRPr="00CA771D">
        <w:rPr>
          <w:rFonts w:ascii="Arial" w:hAnsi="Arial" w:cs="Arial"/>
          <w:sz w:val="20"/>
          <w:szCs w:val="20"/>
        </w:rPr>
        <w:t xml:space="preserve">i lokalni subjekt v imenu vseh subjektov v sestavi, ki se nahajajo v Sloveniji, v roku iz prejšnjega odstavka obvesti pristojni davčni organ o imenovanju za vložitev informativnega obrazca za obračun. Slednje obvestilo bo predvideno v okviru obrazca za predložitev informativnega obrazca za obračun. Imenovani lokalni </w:t>
      </w:r>
      <w:proofErr w:type="spellStart"/>
      <w:r w:rsidRPr="00CA771D">
        <w:rPr>
          <w:rFonts w:ascii="Arial" w:hAnsi="Arial" w:cs="Arial"/>
          <w:sz w:val="20"/>
          <w:szCs w:val="20"/>
        </w:rPr>
        <w:t>vložniški</w:t>
      </w:r>
      <w:proofErr w:type="spellEnd"/>
      <w:r w:rsidRPr="00CA771D">
        <w:rPr>
          <w:rFonts w:ascii="Arial" w:hAnsi="Arial" w:cs="Arial"/>
          <w:sz w:val="20"/>
          <w:szCs w:val="20"/>
        </w:rPr>
        <w:t xml:space="preserve"> subjekt bo tako v roku </w:t>
      </w:r>
      <w:r w:rsidR="00E10777" w:rsidRPr="00CA771D">
        <w:rPr>
          <w:rFonts w:ascii="Arial" w:hAnsi="Arial" w:cs="Arial"/>
          <w:sz w:val="20"/>
          <w:szCs w:val="20"/>
        </w:rPr>
        <w:t>15 mesecev (18 za prvo leto veljavnosti povrhnjega davka) predložil informativni obraze</w:t>
      </w:r>
      <w:r w:rsidR="00685DF0">
        <w:rPr>
          <w:rFonts w:ascii="Arial" w:hAnsi="Arial" w:cs="Arial"/>
          <w:sz w:val="20"/>
          <w:szCs w:val="20"/>
        </w:rPr>
        <w:t>c</w:t>
      </w:r>
      <w:r w:rsidR="00E10777" w:rsidRPr="00CA771D">
        <w:rPr>
          <w:rFonts w:ascii="Arial" w:hAnsi="Arial" w:cs="Arial"/>
          <w:sz w:val="20"/>
          <w:szCs w:val="20"/>
        </w:rPr>
        <w:t xml:space="preserve"> za obračun za vse subjekte v sestavi, ki se nahajajo v Sloveniji. </w:t>
      </w:r>
    </w:p>
    <w:p w14:paraId="4888F828" w14:textId="77777777" w:rsidR="00CA771D" w:rsidRDefault="00E10777" w:rsidP="00CA771D">
      <w:pPr>
        <w:jc w:val="both"/>
        <w:rPr>
          <w:rFonts w:ascii="Arial" w:hAnsi="Arial" w:cs="Arial"/>
          <w:sz w:val="20"/>
          <w:szCs w:val="20"/>
        </w:rPr>
      </w:pPr>
      <w:r w:rsidRPr="00CA771D">
        <w:rPr>
          <w:rFonts w:ascii="Arial" w:hAnsi="Arial" w:cs="Arial"/>
          <w:sz w:val="20"/>
          <w:szCs w:val="20"/>
        </w:rPr>
        <w:t>Na mednarodni centralni ravni se lahko</w:t>
      </w:r>
      <w:r w:rsidR="00356C7A">
        <w:rPr>
          <w:rFonts w:ascii="Arial" w:hAnsi="Arial" w:cs="Arial"/>
          <w:sz w:val="20"/>
          <w:szCs w:val="20"/>
        </w:rPr>
        <w:t xml:space="preserve"> za poročanje</w:t>
      </w:r>
      <w:r w:rsidRPr="00CA771D">
        <w:rPr>
          <w:rFonts w:ascii="Arial" w:hAnsi="Arial" w:cs="Arial"/>
          <w:sz w:val="20"/>
          <w:szCs w:val="20"/>
        </w:rPr>
        <w:t xml:space="preserve"> imenuje</w:t>
      </w:r>
      <w:r w:rsidR="00356C7A">
        <w:rPr>
          <w:rFonts w:ascii="Arial" w:hAnsi="Arial" w:cs="Arial"/>
          <w:sz w:val="20"/>
          <w:szCs w:val="20"/>
        </w:rPr>
        <w:t xml:space="preserve"> ali </w:t>
      </w:r>
      <w:r w:rsidRPr="00CA771D">
        <w:rPr>
          <w:rFonts w:ascii="Arial" w:hAnsi="Arial" w:cs="Arial"/>
          <w:sz w:val="20"/>
          <w:szCs w:val="20"/>
        </w:rPr>
        <w:t xml:space="preserve">krovni matični subjekt, kar bo verjetno najbolj pogosti način mednarodnega centralnega poročanja, ali drug imenovani </w:t>
      </w:r>
      <w:proofErr w:type="spellStart"/>
      <w:r w:rsidRPr="00CA771D">
        <w:rPr>
          <w:rFonts w:ascii="Arial" w:hAnsi="Arial" w:cs="Arial"/>
          <w:sz w:val="20"/>
          <w:szCs w:val="20"/>
        </w:rPr>
        <w:t>vložniški</w:t>
      </w:r>
      <w:proofErr w:type="spellEnd"/>
      <w:r w:rsidRPr="00CA771D">
        <w:rPr>
          <w:rFonts w:ascii="Arial" w:hAnsi="Arial" w:cs="Arial"/>
          <w:sz w:val="20"/>
          <w:szCs w:val="20"/>
        </w:rPr>
        <w:t xml:space="preserve"> subjekt, ki je lahko katerikoli subjekt v skupini, tudi izključeni subjekt</w:t>
      </w:r>
      <w:r w:rsidR="009346AC">
        <w:rPr>
          <w:rFonts w:ascii="Arial" w:hAnsi="Arial" w:cs="Arial"/>
          <w:sz w:val="20"/>
          <w:szCs w:val="20"/>
        </w:rPr>
        <w:t>.</w:t>
      </w:r>
      <w:r w:rsidRPr="00CA771D">
        <w:rPr>
          <w:rFonts w:ascii="Arial" w:hAnsi="Arial" w:cs="Arial"/>
          <w:sz w:val="20"/>
          <w:szCs w:val="20"/>
        </w:rPr>
        <w:t xml:space="preserve"> </w:t>
      </w:r>
    </w:p>
    <w:p w14:paraId="49A4E668" w14:textId="77777777" w:rsidR="00A36E48" w:rsidRDefault="00E10777" w:rsidP="00CA771D">
      <w:pPr>
        <w:jc w:val="both"/>
        <w:rPr>
          <w:rFonts w:ascii="Arial" w:hAnsi="Arial" w:cs="Arial"/>
          <w:sz w:val="20"/>
          <w:szCs w:val="20"/>
        </w:rPr>
      </w:pPr>
      <w:r w:rsidRPr="00CA771D">
        <w:rPr>
          <w:rFonts w:ascii="Arial" w:hAnsi="Arial" w:cs="Arial"/>
          <w:sz w:val="20"/>
          <w:szCs w:val="20"/>
        </w:rPr>
        <w:t>V primeru, da se subjekti v sestavi, ki se nahajajo v Sloveniji dogovorijo v okviru skupine za mednarodno centralno poročanje, bodo o tem morali obvestiti</w:t>
      </w:r>
      <w:r w:rsidR="00CA771D">
        <w:rPr>
          <w:rFonts w:ascii="Arial" w:hAnsi="Arial" w:cs="Arial"/>
          <w:sz w:val="20"/>
          <w:szCs w:val="20"/>
        </w:rPr>
        <w:t xml:space="preserve"> svojo lokalno</w:t>
      </w:r>
      <w:r w:rsidRPr="00CA771D">
        <w:rPr>
          <w:rFonts w:ascii="Arial" w:hAnsi="Arial" w:cs="Arial"/>
          <w:sz w:val="20"/>
          <w:szCs w:val="20"/>
        </w:rPr>
        <w:t xml:space="preserve"> finančno upravo. To bodo naredili preko posebnega obvestila o identiteti subjekta, ki vlaga informativni obrazec za obračun, in o jurisdikciji, v kateri se ta nahaja. To obvestilo bo del obračuna </w:t>
      </w:r>
      <w:r w:rsidR="00CA771D">
        <w:rPr>
          <w:rFonts w:ascii="Arial" w:hAnsi="Arial" w:cs="Arial"/>
          <w:sz w:val="20"/>
          <w:szCs w:val="20"/>
        </w:rPr>
        <w:t>(domačega)</w:t>
      </w:r>
      <w:r w:rsidRPr="00CA771D">
        <w:rPr>
          <w:rFonts w:ascii="Arial" w:hAnsi="Arial" w:cs="Arial"/>
          <w:sz w:val="20"/>
          <w:szCs w:val="20"/>
        </w:rPr>
        <w:t xml:space="preserve"> povrhnjega davka, ki ga morajo predložiti vsi subjekti v sestavi, ki se nahajajo v Sloveniji, ne glede na to, ali je za obdobje, za katero predloži obračun, dolž</w:t>
      </w:r>
      <w:r w:rsidR="00685DF0">
        <w:rPr>
          <w:rFonts w:ascii="Arial" w:hAnsi="Arial" w:cs="Arial"/>
          <w:sz w:val="20"/>
          <w:szCs w:val="20"/>
        </w:rPr>
        <w:t>a</w:t>
      </w:r>
      <w:r w:rsidRPr="00CA771D">
        <w:rPr>
          <w:rFonts w:ascii="Arial" w:hAnsi="Arial" w:cs="Arial"/>
          <w:sz w:val="20"/>
          <w:szCs w:val="20"/>
        </w:rPr>
        <w:t xml:space="preserve">n plačati </w:t>
      </w:r>
      <w:r w:rsidR="00CA771D">
        <w:rPr>
          <w:rFonts w:ascii="Arial" w:hAnsi="Arial" w:cs="Arial"/>
          <w:sz w:val="20"/>
          <w:szCs w:val="20"/>
        </w:rPr>
        <w:t>(</w:t>
      </w:r>
      <w:r w:rsidRPr="00CA771D">
        <w:rPr>
          <w:rFonts w:ascii="Arial" w:hAnsi="Arial" w:cs="Arial"/>
          <w:sz w:val="20"/>
          <w:szCs w:val="20"/>
        </w:rPr>
        <w:t>domači</w:t>
      </w:r>
      <w:r w:rsidR="00CA771D">
        <w:rPr>
          <w:rFonts w:ascii="Arial" w:hAnsi="Arial" w:cs="Arial"/>
          <w:sz w:val="20"/>
          <w:szCs w:val="20"/>
        </w:rPr>
        <w:t>)</w:t>
      </w:r>
      <w:r w:rsidRPr="00CA771D">
        <w:rPr>
          <w:rFonts w:ascii="Arial" w:hAnsi="Arial" w:cs="Arial"/>
          <w:sz w:val="20"/>
          <w:szCs w:val="20"/>
        </w:rPr>
        <w:t xml:space="preserve"> povrhnji davek ali ne</w:t>
      </w:r>
      <w:r w:rsidR="009346AC">
        <w:rPr>
          <w:rFonts w:ascii="Arial" w:hAnsi="Arial" w:cs="Arial"/>
          <w:sz w:val="20"/>
          <w:szCs w:val="20"/>
        </w:rPr>
        <w:t>, in to v istem roku, kot je določen za predložitev informativnega obrazca za obračun</w:t>
      </w:r>
      <w:r w:rsidRPr="00CA771D">
        <w:rPr>
          <w:rFonts w:ascii="Arial" w:hAnsi="Arial" w:cs="Arial"/>
          <w:sz w:val="20"/>
          <w:szCs w:val="20"/>
        </w:rPr>
        <w:t xml:space="preserve">. </w:t>
      </w:r>
    </w:p>
    <w:p w14:paraId="5627EF62" w14:textId="77777777" w:rsidR="00CA771D" w:rsidRDefault="00CA771D" w:rsidP="00CA771D">
      <w:pPr>
        <w:jc w:val="both"/>
        <w:rPr>
          <w:rFonts w:ascii="Arial" w:hAnsi="Arial" w:cs="Arial"/>
          <w:sz w:val="20"/>
          <w:szCs w:val="20"/>
        </w:rPr>
      </w:pPr>
      <w:r>
        <w:rPr>
          <w:rFonts w:ascii="Arial" w:hAnsi="Arial" w:cs="Arial"/>
          <w:sz w:val="20"/>
          <w:szCs w:val="20"/>
        </w:rPr>
        <w:t xml:space="preserve">Poenostavitev poročanja je pri centralnem </w:t>
      </w:r>
      <w:r w:rsidR="002819D6">
        <w:rPr>
          <w:rFonts w:ascii="Arial" w:hAnsi="Arial" w:cs="Arial"/>
          <w:sz w:val="20"/>
          <w:szCs w:val="20"/>
        </w:rPr>
        <w:t>mednarodnem</w:t>
      </w:r>
      <w:r>
        <w:rPr>
          <w:rFonts w:ascii="Arial" w:hAnsi="Arial" w:cs="Arial"/>
          <w:sz w:val="20"/>
          <w:szCs w:val="20"/>
        </w:rPr>
        <w:t xml:space="preserve"> vlaganju v tem, da informativnega obrazca za obračun ni treba predložiti s strani vsakega subjekta v sestavi oziroma v vsaki posamezni jurisdikciji, ampak se predloži v eni jurisdikciji. </w:t>
      </w:r>
      <w:r w:rsidR="002819D6">
        <w:rPr>
          <w:rFonts w:ascii="Arial" w:hAnsi="Arial" w:cs="Arial"/>
          <w:sz w:val="20"/>
          <w:szCs w:val="20"/>
        </w:rPr>
        <w:t>Navedena jurisdikcija (torej finančna uprava</w:t>
      </w:r>
      <w:r w:rsidR="009346AC">
        <w:rPr>
          <w:rFonts w:ascii="Arial" w:hAnsi="Arial" w:cs="Arial"/>
          <w:sz w:val="20"/>
          <w:szCs w:val="20"/>
        </w:rPr>
        <w:t xml:space="preserve"> v poročevalski jurisdikciji</w:t>
      </w:r>
      <w:r w:rsidR="002819D6">
        <w:rPr>
          <w:rFonts w:ascii="Arial" w:hAnsi="Arial" w:cs="Arial"/>
          <w:sz w:val="20"/>
          <w:szCs w:val="20"/>
        </w:rPr>
        <w:t>) poskrbi, da so vlož</w:t>
      </w:r>
      <w:r w:rsidR="00685DF0">
        <w:rPr>
          <w:rFonts w:ascii="Arial" w:hAnsi="Arial" w:cs="Arial"/>
          <w:sz w:val="20"/>
          <w:szCs w:val="20"/>
        </w:rPr>
        <w:t>e</w:t>
      </w:r>
      <w:r w:rsidR="002819D6">
        <w:rPr>
          <w:rFonts w:ascii="Arial" w:hAnsi="Arial" w:cs="Arial"/>
          <w:sz w:val="20"/>
          <w:szCs w:val="20"/>
        </w:rPr>
        <w:t xml:space="preserve">ne informacije izmenjane skladno z opredelitvijo </w:t>
      </w:r>
      <w:proofErr w:type="spellStart"/>
      <w:r w:rsidR="002819D6">
        <w:rPr>
          <w:rFonts w:ascii="Arial" w:hAnsi="Arial" w:cs="Arial"/>
          <w:sz w:val="20"/>
          <w:szCs w:val="20"/>
        </w:rPr>
        <w:t>vložniškega</w:t>
      </w:r>
      <w:proofErr w:type="spellEnd"/>
      <w:r w:rsidR="002819D6">
        <w:rPr>
          <w:rFonts w:ascii="Arial" w:hAnsi="Arial" w:cs="Arial"/>
          <w:sz w:val="20"/>
          <w:szCs w:val="20"/>
        </w:rPr>
        <w:t xml:space="preserve"> subjekta, katere informacije se izmenjajo z določenimi jurisdikcijami in skladno s pravili o </w:t>
      </w:r>
      <w:proofErr w:type="spellStart"/>
      <w:r w:rsidR="002819D6">
        <w:rPr>
          <w:rFonts w:ascii="Arial" w:hAnsi="Arial" w:cs="Arial"/>
          <w:sz w:val="20"/>
          <w:szCs w:val="20"/>
        </w:rPr>
        <w:t>diseminaciji</w:t>
      </w:r>
      <w:proofErr w:type="spellEnd"/>
      <w:r w:rsidR="002819D6">
        <w:rPr>
          <w:rFonts w:ascii="Arial" w:hAnsi="Arial" w:cs="Arial"/>
          <w:sz w:val="20"/>
          <w:szCs w:val="20"/>
        </w:rPr>
        <w:t xml:space="preserve"> podatkov, ki jih je sprejel OECD in so prenesene v Pravilnik o informativnem obrazcu za obračun</w:t>
      </w:r>
      <w:r w:rsidR="000F153C">
        <w:rPr>
          <w:rStyle w:val="Sprotnaopomba-sklic"/>
          <w:rFonts w:ascii="Arial" w:hAnsi="Arial" w:cs="Arial"/>
          <w:sz w:val="20"/>
          <w:szCs w:val="20"/>
        </w:rPr>
        <w:footnoteReference w:id="6"/>
      </w:r>
      <w:r w:rsidR="002819D6">
        <w:rPr>
          <w:rFonts w:ascii="Arial" w:hAnsi="Arial" w:cs="Arial"/>
          <w:sz w:val="20"/>
          <w:szCs w:val="20"/>
        </w:rPr>
        <w:t xml:space="preserve">. </w:t>
      </w:r>
    </w:p>
    <w:p w14:paraId="55176701" w14:textId="77777777" w:rsidR="002819D6" w:rsidRDefault="002819D6" w:rsidP="00CA771D">
      <w:pPr>
        <w:jc w:val="both"/>
        <w:rPr>
          <w:rFonts w:ascii="Arial" w:hAnsi="Arial" w:cs="Arial"/>
          <w:sz w:val="20"/>
          <w:szCs w:val="20"/>
        </w:rPr>
      </w:pPr>
      <w:r>
        <w:rPr>
          <w:rFonts w:ascii="Arial" w:hAnsi="Arial" w:cs="Arial"/>
          <w:sz w:val="20"/>
          <w:szCs w:val="20"/>
        </w:rPr>
        <w:t>Finančne uprave, ki bodo zadolžene za izvedbo mednarodne izmenjave</w:t>
      </w:r>
      <w:r w:rsidR="000F153C">
        <w:rPr>
          <w:rFonts w:ascii="Arial" w:hAnsi="Arial" w:cs="Arial"/>
          <w:sz w:val="20"/>
          <w:szCs w:val="20"/>
        </w:rPr>
        <w:t>,</w:t>
      </w:r>
      <w:r>
        <w:rPr>
          <w:rFonts w:ascii="Arial" w:hAnsi="Arial" w:cs="Arial"/>
          <w:sz w:val="20"/>
          <w:szCs w:val="20"/>
        </w:rPr>
        <w:t xml:space="preserve"> bodo izvedle mednarodno izmenjavo skladno z opredelitvijo </w:t>
      </w:r>
      <w:proofErr w:type="spellStart"/>
      <w:r>
        <w:rPr>
          <w:rFonts w:ascii="Arial" w:hAnsi="Arial" w:cs="Arial"/>
          <w:sz w:val="20"/>
          <w:szCs w:val="20"/>
        </w:rPr>
        <w:t>vložniškega</w:t>
      </w:r>
      <w:proofErr w:type="spellEnd"/>
      <w:r>
        <w:rPr>
          <w:rFonts w:ascii="Arial" w:hAnsi="Arial" w:cs="Arial"/>
          <w:sz w:val="20"/>
          <w:szCs w:val="20"/>
        </w:rPr>
        <w:t xml:space="preserve"> subjekta, če bo z opredeljenimi jurisdikcijami sklenjen </w:t>
      </w:r>
      <w:r w:rsidR="005A4591" w:rsidRPr="005A4591">
        <w:rPr>
          <w:rFonts w:ascii="Arial" w:hAnsi="Arial" w:cs="Arial"/>
          <w:sz w:val="20"/>
          <w:szCs w:val="20"/>
        </w:rPr>
        <w:t>veljavni kvalificirani sporazum med pristojnimi organi</w:t>
      </w:r>
      <w:r w:rsidR="005A4591">
        <w:rPr>
          <w:rFonts w:ascii="Arial" w:hAnsi="Arial" w:cs="Arial"/>
          <w:sz w:val="20"/>
          <w:szCs w:val="20"/>
        </w:rPr>
        <w:t xml:space="preserve">. </w:t>
      </w:r>
      <w:r w:rsidR="005A4591" w:rsidRPr="005A4591">
        <w:rPr>
          <w:rFonts w:ascii="Arial" w:hAnsi="Arial" w:cs="Arial"/>
          <w:sz w:val="20"/>
          <w:szCs w:val="20"/>
        </w:rPr>
        <w:t>V primeru, da slovenski davčni organ ne prejme informativnega obrazca za obračun skladno z določbami</w:t>
      </w:r>
      <w:r w:rsidR="005A4591">
        <w:rPr>
          <w:rFonts w:ascii="Arial" w:hAnsi="Arial" w:cs="Arial"/>
          <w:sz w:val="20"/>
          <w:szCs w:val="20"/>
        </w:rPr>
        <w:t xml:space="preserve"> takega</w:t>
      </w:r>
      <w:r w:rsidR="005A4591" w:rsidRPr="005A4591">
        <w:rPr>
          <w:rFonts w:ascii="Arial" w:hAnsi="Arial" w:cs="Arial"/>
          <w:sz w:val="20"/>
          <w:szCs w:val="20"/>
        </w:rPr>
        <w:t xml:space="preserve"> kvalificiranega sporazuma med pristojnimi organi, se šteje, da pogoji za uporabo </w:t>
      </w:r>
      <w:r w:rsidR="005A4591">
        <w:rPr>
          <w:rFonts w:ascii="Arial" w:hAnsi="Arial" w:cs="Arial"/>
          <w:sz w:val="20"/>
          <w:szCs w:val="20"/>
        </w:rPr>
        <w:t>centralnega mednarodnega poročanja</w:t>
      </w:r>
      <w:r w:rsidR="005A4591" w:rsidRPr="005A4591">
        <w:rPr>
          <w:rFonts w:ascii="Arial" w:hAnsi="Arial" w:cs="Arial"/>
          <w:sz w:val="20"/>
          <w:szCs w:val="20"/>
        </w:rPr>
        <w:t xml:space="preserve"> niso izpolnjeni</w:t>
      </w:r>
      <w:r w:rsidR="005A4591">
        <w:rPr>
          <w:rFonts w:ascii="Arial" w:hAnsi="Arial" w:cs="Arial"/>
          <w:sz w:val="20"/>
          <w:szCs w:val="20"/>
        </w:rPr>
        <w:t xml:space="preserve">. V tem primeru se ponovno »vklopi« osnovna obveznost vsakega posameznega subjekta v sestavi, da predloži izpolnjen informativni obrazec za obračun. </w:t>
      </w:r>
    </w:p>
    <w:p w14:paraId="7DD77A7C" w14:textId="77777777" w:rsidR="005A4591" w:rsidRDefault="005A4591" w:rsidP="00CA771D">
      <w:pPr>
        <w:jc w:val="both"/>
        <w:rPr>
          <w:rFonts w:ascii="Arial" w:hAnsi="Arial" w:cs="Arial"/>
          <w:sz w:val="20"/>
          <w:szCs w:val="20"/>
        </w:rPr>
      </w:pPr>
      <w:r>
        <w:rPr>
          <w:rFonts w:ascii="Arial" w:hAnsi="Arial" w:cs="Arial"/>
          <w:sz w:val="20"/>
          <w:szCs w:val="20"/>
        </w:rPr>
        <w:t>V prejšnjem odstavku so torej določeni pogoji, pod katerimi bo lahko steklo centralno mednarodno poročanje informativnega obrazca:</w:t>
      </w:r>
    </w:p>
    <w:p w14:paraId="4E82E12E" w14:textId="77777777" w:rsidR="005A4591" w:rsidRDefault="005A4591">
      <w:pPr>
        <w:pStyle w:val="Odstavekseznama"/>
        <w:numPr>
          <w:ilvl w:val="0"/>
          <w:numId w:val="29"/>
        </w:numPr>
        <w:jc w:val="both"/>
        <w:rPr>
          <w:rFonts w:ascii="Arial" w:hAnsi="Arial" w:cs="Arial"/>
          <w:sz w:val="20"/>
          <w:szCs w:val="20"/>
        </w:rPr>
      </w:pPr>
      <w:r w:rsidRPr="005A4591">
        <w:rPr>
          <w:rFonts w:ascii="Arial" w:hAnsi="Arial" w:cs="Arial"/>
          <w:b/>
          <w:bCs/>
          <w:sz w:val="20"/>
          <w:szCs w:val="20"/>
        </w:rPr>
        <w:lastRenderedPageBreak/>
        <w:t xml:space="preserve">Sklenjen mora biti veljavni kvalificiran sporazum med pristojnimi organi. </w:t>
      </w:r>
      <w:r>
        <w:rPr>
          <w:rFonts w:ascii="Arial" w:hAnsi="Arial" w:cs="Arial"/>
          <w:sz w:val="20"/>
          <w:szCs w:val="20"/>
        </w:rPr>
        <w:t xml:space="preserve">Navedeni pogoj bo morala preveriti pristojna finančna uprava jurisdikcije poročanja (torej jurisdikcije, v kateri je lociran centralni mednarodni </w:t>
      </w:r>
      <w:proofErr w:type="spellStart"/>
      <w:r>
        <w:rPr>
          <w:rFonts w:ascii="Arial" w:hAnsi="Arial" w:cs="Arial"/>
          <w:sz w:val="20"/>
          <w:szCs w:val="20"/>
        </w:rPr>
        <w:t>vložniški</w:t>
      </w:r>
      <w:proofErr w:type="spellEnd"/>
      <w:r>
        <w:rPr>
          <w:rFonts w:ascii="Arial" w:hAnsi="Arial" w:cs="Arial"/>
          <w:sz w:val="20"/>
          <w:szCs w:val="20"/>
        </w:rPr>
        <w:t xml:space="preserve"> subjekt). V primeru, da z določeno opredeljeno jurisdikcijo ni sklenjen kvalificiran sporazum med pristojnimi organi, pa jo je </w:t>
      </w:r>
      <w:proofErr w:type="spellStart"/>
      <w:r>
        <w:rPr>
          <w:rFonts w:ascii="Arial" w:hAnsi="Arial" w:cs="Arial"/>
          <w:sz w:val="20"/>
          <w:szCs w:val="20"/>
        </w:rPr>
        <w:t>vložniški</w:t>
      </w:r>
      <w:proofErr w:type="spellEnd"/>
      <w:r>
        <w:rPr>
          <w:rFonts w:ascii="Arial" w:hAnsi="Arial" w:cs="Arial"/>
          <w:sz w:val="20"/>
          <w:szCs w:val="20"/>
        </w:rPr>
        <w:t xml:space="preserve"> subjekt opredelil kot jurisdikcijo, s katero se morajo deliti podatki, izmenjava ne bo stekla in bo obveljala obveznost za lokalno poročanje. OECD je v okviru svojega dela sprejel</w:t>
      </w:r>
      <w:r w:rsidR="00047C93">
        <w:rPr>
          <w:rFonts w:ascii="Arial" w:hAnsi="Arial" w:cs="Arial"/>
          <w:sz w:val="20"/>
          <w:szCs w:val="20"/>
        </w:rPr>
        <w:t xml:space="preserve"> </w:t>
      </w:r>
      <w:proofErr w:type="spellStart"/>
      <w:r w:rsidR="00047C93">
        <w:rPr>
          <w:rFonts w:ascii="Arial" w:hAnsi="Arial" w:cs="Arial"/>
          <w:sz w:val="20"/>
          <w:szCs w:val="20"/>
        </w:rPr>
        <w:t>Mutual</w:t>
      </w:r>
      <w:proofErr w:type="spellEnd"/>
      <w:r w:rsidR="00047C93">
        <w:rPr>
          <w:rFonts w:ascii="Arial" w:hAnsi="Arial" w:cs="Arial"/>
          <w:sz w:val="20"/>
          <w:szCs w:val="20"/>
        </w:rPr>
        <w:t xml:space="preserve"> </w:t>
      </w:r>
      <w:proofErr w:type="spellStart"/>
      <w:r w:rsidR="00047C93">
        <w:rPr>
          <w:rFonts w:ascii="Arial" w:hAnsi="Arial" w:cs="Arial"/>
          <w:sz w:val="20"/>
          <w:szCs w:val="20"/>
        </w:rPr>
        <w:t>Competent</w:t>
      </w:r>
      <w:proofErr w:type="spellEnd"/>
      <w:r w:rsidR="00047C93">
        <w:rPr>
          <w:rFonts w:ascii="Arial" w:hAnsi="Arial" w:cs="Arial"/>
          <w:sz w:val="20"/>
          <w:szCs w:val="20"/>
        </w:rPr>
        <w:t xml:space="preserve"> </w:t>
      </w:r>
      <w:proofErr w:type="spellStart"/>
      <w:r w:rsidR="00047C93">
        <w:rPr>
          <w:rFonts w:ascii="Arial" w:hAnsi="Arial" w:cs="Arial"/>
          <w:sz w:val="20"/>
          <w:szCs w:val="20"/>
        </w:rPr>
        <w:t>Authority</w:t>
      </w:r>
      <w:proofErr w:type="spellEnd"/>
      <w:r w:rsidR="00047C93">
        <w:rPr>
          <w:rFonts w:ascii="Arial" w:hAnsi="Arial" w:cs="Arial"/>
          <w:sz w:val="20"/>
          <w:szCs w:val="20"/>
        </w:rPr>
        <w:t xml:space="preserve"> </w:t>
      </w:r>
      <w:proofErr w:type="spellStart"/>
      <w:r w:rsidR="00047C93">
        <w:rPr>
          <w:rFonts w:ascii="Arial" w:hAnsi="Arial" w:cs="Arial"/>
          <w:sz w:val="20"/>
          <w:szCs w:val="20"/>
        </w:rPr>
        <w:t>Agreement</w:t>
      </w:r>
      <w:proofErr w:type="spellEnd"/>
      <w:r>
        <w:rPr>
          <w:rFonts w:ascii="Arial" w:hAnsi="Arial" w:cs="Arial"/>
          <w:sz w:val="20"/>
          <w:szCs w:val="20"/>
        </w:rPr>
        <w:t xml:space="preserve"> </w:t>
      </w:r>
      <w:r w:rsidR="00047C93">
        <w:rPr>
          <w:rFonts w:ascii="Arial" w:hAnsi="Arial" w:cs="Arial"/>
          <w:sz w:val="20"/>
          <w:szCs w:val="20"/>
        </w:rPr>
        <w:t>(</w:t>
      </w:r>
      <w:r>
        <w:rPr>
          <w:rFonts w:ascii="Arial" w:hAnsi="Arial" w:cs="Arial"/>
          <w:sz w:val="20"/>
          <w:szCs w:val="20"/>
        </w:rPr>
        <w:t>MCAA</w:t>
      </w:r>
      <w:r w:rsidR="00047C93">
        <w:rPr>
          <w:rFonts w:ascii="Arial" w:hAnsi="Arial" w:cs="Arial"/>
          <w:sz w:val="20"/>
          <w:szCs w:val="20"/>
        </w:rPr>
        <w:t xml:space="preserve">), h kateremu je pristopila tudi Slovenija in, ki je mišljen kot podlaga za </w:t>
      </w:r>
      <w:r w:rsidR="00685DF0">
        <w:rPr>
          <w:rFonts w:ascii="Arial" w:hAnsi="Arial" w:cs="Arial"/>
          <w:sz w:val="20"/>
          <w:szCs w:val="20"/>
        </w:rPr>
        <w:t>avtomatično</w:t>
      </w:r>
      <w:r w:rsidR="00047C93">
        <w:rPr>
          <w:rFonts w:ascii="Arial" w:hAnsi="Arial" w:cs="Arial"/>
          <w:sz w:val="20"/>
          <w:szCs w:val="20"/>
        </w:rPr>
        <w:t xml:space="preserve"> izmenjavo podatkov GIR v skladu z dogovorjenim </w:t>
      </w:r>
      <w:proofErr w:type="spellStart"/>
      <w:r w:rsidR="00047C93">
        <w:rPr>
          <w:rFonts w:ascii="Arial" w:hAnsi="Arial" w:cs="Arial"/>
          <w:sz w:val="20"/>
          <w:szCs w:val="20"/>
        </w:rPr>
        <w:t>diseminacijskim</w:t>
      </w:r>
      <w:proofErr w:type="spellEnd"/>
      <w:r w:rsidR="00047C93">
        <w:rPr>
          <w:rFonts w:ascii="Arial" w:hAnsi="Arial" w:cs="Arial"/>
          <w:sz w:val="20"/>
          <w:szCs w:val="20"/>
        </w:rPr>
        <w:t xml:space="preserve"> pristopom. Seznam držav pristopnic k sporazumu je objavljen na</w:t>
      </w:r>
      <w:r w:rsidR="00FE481F">
        <w:rPr>
          <w:rFonts w:ascii="Arial" w:hAnsi="Arial" w:cs="Arial"/>
          <w:sz w:val="20"/>
          <w:szCs w:val="20"/>
        </w:rPr>
        <w:t xml:space="preserve"> spletnih straneh OECD.</w:t>
      </w:r>
      <w:r w:rsidR="00FE481F">
        <w:rPr>
          <w:rStyle w:val="Sprotnaopomba-sklic"/>
          <w:rFonts w:ascii="Arial" w:hAnsi="Arial" w:cs="Arial"/>
          <w:sz w:val="20"/>
          <w:szCs w:val="20"/>
        </w:rPr>
        <w:footnoteReference w:id="7"/>
      </w:r>
      <w:r w:rsidR="00047C93">
        <w:rPr>
          <w:rFonts w:ascii="Arial" w:hAnsi="Arial" w:cs="Arial"/>
          <w:sz w:val="20"/>
          <w:szCs w:val="20"/>
        </w:rPr>
        <w:t xml:space="preserve"> </w:t>
      </w:r>
    </w:p>
    <w:p w14:paraId="0E057E8D" w14:textId="77777777" w:rsidR="00047C93" w:rsidRDefault="00047C93">
      <w:pPr>
        <w:pStyle w:val="Odstavekseznama"/>
        <w:numPr>
          <w:ilvl w:val="0"/>
          <w:numId w:val="29"/>
        </w:numPr>
        <w:jc w:val="both"/>
        <w:rPr>
          <w:rFonts w:ascii="Arial" w:hAnsi="Arial" w:cs="Arial"/>
          <w:sz w:val="20"/>
          <w:szCs w:val="20"/>
        </w:rPr>
      </w:pPr>
      <w:r>
        <w:rPr>
          <w:rFonts w:ascii="Arial" w:hAnsi="Arial" w:cs="Arial"/>
          <w:b/>
          <w:bCs/>
          <w:sz w:val="20"/>
          <w:szCs w:val="20"/>
        </w:rPr>
        <w:t>Izmenjava podatkov mora dejansko steči.</w:t>
      </w:r>
      <w:r>
        <w:rPr>
          <w:rFonts w:ascii="Arial" w:hAnsi="Arial" w:cs="Arial"/>
          <w:sz w:val="20"/>
          <w:szCs w:val="20"/>
        </w:rPr>
        <w:t xml:space="preserve"> Ne zadošča torej, da je v veljavi kvalificiran sporazum med pristojnimi organi, izmenjava opredeljenih podatkov se mora dejansko izvesti. To pomeni, da mora </w:t>
      </w:r>
      <w:proofErr w:type="spellStart"/>
      <w:r>
        <w:rPr>
          <w:rFonts w:ascii="Arial" w:hAnsi="Arial" w:cs="Arial"/>
          <w:sz w:val="20"/>
          <w:szCs w:val="20"/>
        </w:rPr>
        <w:t>vložniški</w:t>
      </w:r>
      <w:proofErr w:type="spellEnd"/>
      <w:r>
        <w:rPr>
          <w:rFonts w:ascii="Arial" w:hAnsi="Arial" w:cs="Arial"/>
          <w:sz w:val="20"/>
          <w:szCs w:val="20"/>
        </w:rPr>
        <w:t xml:space="preserve"> subjekt dejansko predložiti ustrezne predpisane podatke (podatkovne točke po standardizirani predlogi GIR, kot jo je pripravil in sprejel OECD, ki so enake podatkovnim točkam informativnega obrazca) in, da je finančna uprava</w:t>
      </w:r>
      <w:r w:rsidR="00FE481F">
        <w:rPr>
          <w:rFonts w:ascii="Arial" w:hAnsi="Arial" w:cs="Arial"/>
          <w:sz w:val="20"/>
          <w:szCs w:val="20"/>
        </w:rPr>
        <w:t xml:space="preserve"> iz poročevalske jurisdikcije</w:t>
      </w:r>
      <w:r>
        <w:rPr>
          <w:rFonts w:ascii="Arial" w:hAnsi="Arial" w:cs="Arial"/>
          <w:sz w:val="20"/>
          <w:szCs w:val="20"/>
        </w:rPr>
        <w:t xml:space="preserve"> te podatke dejansko posredovala opredeljenim jurisdikcijam. V nasprotnem primeru se ponovno vzpostavi lokalna obveznost poročanja v vsaki posamezni državi oziroma za vsakega posameznega subjekta v sestavi. </w:t>
      </w:r>
      <w:r w:rsidR="00AD4AF7">
        <w:rPr>
          <w:rFonts w:ascii="Arial" w:hAnsi="Arial" w:cs="Arial"/>
          <w:sz w:val="20"/>
          <w:szCs w:val="20"/>
        </w:rPr>
        <w:t>OECD je v okviru MCAA dogovoril, da je razumni rok za izmenjavo takih podatkov 3 mesecev po poteku roka za predložitev podatkov (za prvo leto</w:t>
      </w:r>
      <w:r w:rsidR="00FE481F">
        <w:rPr>
          <w:rFonts w:ascii="Arial" w:hAnsi="Arial" w:cs="Arial"/>
          <w:sz w:val="20"/>
          <w:szCs w:val="20"/>
        </w:rPr>
        <w:t xml:space="preserve"> veljave</w:t>
      </w:r>
      <w:r w:rsidR="00AD4AF7">
        <w:rPr>
          <w:rFonts w:ascii="Arial" w:hAnsi="Arial" w:cs="Arial"/>
          <w:sz w:val="20"/>
          <w:szCs w:val="20"/>
        </w:rPr>
        <w:t xml:space="preserve"> je predvideno daljše obdobje, in sicer 6 mesecev).</w:t>
      </w:r>
      <w:r w:rsidR="00FE481F">
        <w:rPr>
          <w:rStyle w:val="Sprotnaopomba-sklic"/>
          <w:rFonts w:ascii="Arial" w:hAnsi="Arial" w:cs="Arial"/>
          <w:sz w:val="20"/>
          <w:szCs w:val="20"/>
        </w:rPr>
        <w:footnoteReference w:id="8"/>
      </w:r>
      <w:r w:rsidR="00AD4AF7">
        <w:rPr>
          <w:rFonts w:ascii="Arial" w:hAnsi="Arial" w:cs="Arial"/>
          <w:sz w:val="20"/>
          <w:szCs w:val="20"/>
        </w:rPr>
        <w:t xml:space="preserve"> </w:t>
      </w:r>
    </w:p>
    <w:p w14:paraId="03D49CBA" w14:textId="77777777" w:rsidR="00AD4AF7" w:rsidRDefault="00AD4AF7" w:rsidP="00AD4AF7">
      <w:pPr>
        <w:jc w:val="both"/>
        <w:rPr>
          <w:rFonts w:ascii="Arial" w:hAnsi="Arial" w:cs="Arial"/>
          <w:sz w:val="20"/>
          <w:szCs w:val="20"/>
        </w:rPr>
      </w:pPr>
      <w:r>
        <w:rPr>
          <w:rFonts w:ascii="Arial" w:hAnsi="Arial" w:cs="Arial"/>
          <w:sz w:val="20"/>
          <w:szCs w:val="20"/>
        </w:rPr>
        <w:t>Spodaj je podan praktični prikaz obveznosti predložitve podatkov po sistemu centralnega poročanja:</w:t>
      </w:r>
    </w:p>
    <w:p w14:paraId="0E8D3336" w14:textId="77777777" w:rsidR="007F5A1B" w:rsidRPr="00DA4299" w:rsidRDefault="007F5A1B" w:rsidP="00DA4299">
      <w:pPr>
        <w:pStyle w:val="FURSnaslov2"/>
        <w:rPr>
          <w:i/>
          <w:iCs/>
          <w:sz w:val="20"/>
          <w:szCs w:val="20"/>
          <w:lang w:val="sl-SI"/>
        </w:rPr>
      </w:pPr>
      <w:bookmarkStart w:id="36" w:name="_Toc157425328"/>
      <w:bookmarkStart w:id="37" w:name="_Hlk148002247"/>
      <w:r w:rsidRPr="00DA4299">
        <w:rPr>
          <w:i/>
          <w:iCs/>
          <w:sz w:val="20"/>
          <w:szCs w:val="20"/>
          <w:lang w:val="sl-SI"/>
        </w:rPr>
        <w:t xml:space="preserve">Primer </w:t>
      </w:r>
      <w:r w:rsidR="00527153">
        <w:rPr>
          <w:i/>
          <w:iCs/>
          <w:sz w:val="20"/>
          <w:szCs w:val="20"/>
          <w:lang w:val="sl-SI"/>
        </w:rPr>
        <w:t>4</w:t>
      </w:r>
      <w:r w:rsidR="00DA4299" w:rsidRPr="00DA4299">
        <w:rPr>
          <w:i/>
          <w:iCs/>
          <w:sz w:val="20"/>
          <w:szCs w:val="20"/>
          <w:lang w:val="sl-SI"/>
        </w:rPr>
        <w:t xml:space="preserve"> – Centralno mednarodno poročanje</w:t>
      </w:r>
      <w:bookmarkEnd w:id="36"/>
    </w:p>
    <w:p w14:paraId="59F25577" w14:textId="77777777" w:rsidR="007F5A1B" w:rsidRPr="00DA4299" w:rsidRDefault="007F5A1B" w:rsidP="00AD4AF7">
      <w:pPr>
        <w:jc w:val="both"/>
        <w:rPr>
          <w:rFonts w:ascii="Arial" w:hAnsi="Arial" w:cs="Arial"/>
          <w:i/>
          <w:iCs/>
          <w:sz w:val="20"/>
          <w:szCs w:val="20"/>
        </w:rPr>
      </w:pPr>
      <w:r w:rsidRPr="00DA4299">
        <w:rPr>
          <w:rFonts w:ascii="Arial" w:hAnsi="Arial" w:cs="Arial"/>
          <w:i/>
          <w:iCs/>
          <w:sz w:val="20"/>
          <w:szCs w:val="20"/>
        </w:rPr>
        <w:t>1. Mednarodna skupina</w:t>
      </w:r>
      <w:r w:rsidR="00356C7A">
        <w:rPr>
          <w:rFonts w:ascii="Arial" w:hAnsi="Arial" w:cs="Arial"/>
          <w:i/>
          <w:iCs/>
          <w:sz w:val="20"/>
          <w:szCs w:val="20"/>
        </w:rPr>
        <w:t>,</w:t>
      </w:r>
      <w:r w:rsidRPr="00DA4299">
        <w:rPr>
          <w:rFonts w:ascii="Arial" w:hAnsi="Arial" w:cs="Arial"/>
          <w:i/>
          <w:iCs/>
          <w:sz w:val="20"/>
          <w:szCs w:val="20"/>
        </w:rPr>
        <w:t xml:space="preserve"> v kateri je A Co krovni matični subjekt, B Co, C Co in D Co pa subjekti v sestavi skupine. B Co se nahaja v Sloveniji, ki ima z Jurisdikcijo A sklenjen kvalificiran mednarodni sporazum za izmenjavo podatkov (obe državi sta vzajemno pristopili k MCAA). Slovenija pa nima takšnega sporazuma sklenjenega z</w:t>
      </w:r>
      <w:r w:rsidR="00356C7A">
        <w:rPr>
          <w:rFonts w:ascii="Arial" w:hAnsi="Arial" w:cs="Arial"/>
          <w:i/>
          <w:iCs/>
          <w:sz w:val="20"/>
          <w:szCs w:val="20"/>
        </w:rPr>
        <w:t xml:space="preserve"> jurisdikcijama</w:t>
      </w:r>
      <w:r w:rsidRPr="00DA4299">
        <w:rPr>
          <w:rFonts w:ascii="Arial" w:hAnsi="Arial" w:cs="Arial"/>
          <w:i/>
          <w:iCs/>
          <w:sz w:val="20"/>
          <w:szCs w:val="20"/>
        </w:rPr>
        <w:t xml:space="preserve"> C Co in D Co. </w:t>
      </w:r>
    </w:p>
    <w:p w14:paraId="40C58E92" w14:textId="77777777" w:rsidR="00AD4AF7" w:rsidRPr="00DA4299" w:rsidRDefault="00AD4AF7" w:rsidP="00AD4AF7">
      <w:pPr>
        <w:jc w:val="both"/>
        <w:rPr>
          <w:rFonts w:ascii="Arial" w:hAnsi="Arial" w:cs="Arial"/>
          <w:i/>
          <w:iCs/>
          <w:sz w:val="20"/>
          <w:szCs w:val="20"/>
        </w:rPr>
      </w:pPr>
      <w:r w:rsidRPr="00DA4299">
        <w:rPr>
          <w:rFonts w:ascii="Arial" w:hAnsi="Arial" w:cs="Arial"/>
          <w:i/>
          <w:iCs/>
          <w:sz w:val="20"/>
          <w:szCs w:val="20"/>
        </w:rPr>
        <w:t xml:space="preserve"> </w:t>
      </w:r>
      <w:r w:rsidR="00FE28AF">
        <w:rPr>
          <w:rFonts w:ascii="Arial" w:hAnsi="Arial" w:cs="Arial"/>
          <w:i/>
          <w:iCs/>
          <w:noProof/>
          <w:sz w:val="20"/>
          <w:szCs w:val="20"/>
          <w:lang w:eastAsia="sl-SI"/>
        </w:rPr>
        <w:drawing>
          <wp:inline distT="0" distB="0" distL="0" distR="0" wp14:anchorId="06D7F1EE" wp14:editId="2568EA90">
            <wp:extent cx="5607685" cy="35509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4643" cy="3574323"/>
                    </a:xfrm>
                    <a:prstGeom prst="rect">
                      <a:avLst/>
                    </a:prstGeom>
                    <a:noFill/>
                  </pic:spPr>
                </pic:pic>
              </a:graphicData>
            </a:graphic>
          </wp:inline>
        </w:drawing>
      </w:r>
    </w:p>
    <w:p w14:paraId="75FB56CB" w14:textId="77777777" w:rsidR="007F5A1B" w:rsidRPr="00DA4299" w:rsidRDefault="007F5A1B" w:rsidP="00AD4AF7">
      <w:pPr>
        <w:jc w:val="both"/>
        <w:rPr>
          <w:rFonts w:ascii="Arial" w:hAnsi="Arial" w:cs="Arial"/>
          <w:i/>
          <w:iCs/>
          <w:sz w:val="20"/>
          <w:szCs w:val="20"/>
        </w:rPr>
      </w:pPr>
      <w:r w:rsidRPr="00DA4299">
        <w:rPr>
          <w:rFonts w:ascii="Arial" w:hAnsi="Arial" w:cs="Arial"/>
          <w:i/>
          <w:iCs/>
          <w:sz w:val="20"/>
          <w:szCs w:val="20"/>
        </w:rPr>
        <w:t xml:space="preserve">2. B Co je v letu 2024 nizko-obdavčen subjekt v sestavi, kar pomeni, da bo v Sloveniji, ki je uvedla tudi obveznost QDMTT, za leto 2024 nastala obveznost izračuna in plačila domačega povrhnjega davka. </w:t>
      </w:r>
      <w:r w:rsidRPr="00DA4299">
        <w:rPr>
          <w:rFonts w:ascii="Arial" w:hAnsi="Arial" w:cs="Arial"/>
          <w:i/>
          <w:iCs/>
          <w:sz w:val="20"/>
          <w:szCs w:val="20"/>
        </w:rPr>
        <w:lastRenderedPageBreak/>
        <w:t xml:space="preserve">Skupina se odloči in A Co imenuje kot mednarodni centralni </w:t>
      </w:r>
      <w:proofErr w:type="spellStart"/>
      <w:r w:rsidRPr="00DA4299">
        <w:rPr>
          <w:rFonts w:ascii="Arial" w:hAnsi="Arial" w:cs="Arial"/>
          <w:i/>
          <w:iCs/>
          <w:sz w:val="20"/>
          <w:szCs w:val="20"/>
        </w:rPr>
        <w:t>vložniški</w:t>
      </w:r>
      <w:proofErr w:type="spellEnd"/>
      <w:r w:rsidRPr="00DA4299">
        <w:rPr>
          <w:rFonts w:ascii="Arial" w:hAnsi="Arial" w:cs="Arial"/>
          <w:i/>
          <w:iCs/>
          <w:sz w:val="20"/>
          <w:szCs w:val="20"/>
        </w:rPr>
        <w:t xml:space="preserve"> subjekt, ki bo za vse subjekte v sestavi pripravil in vložil GIR v jurisdikciji A. </w:t>
      </w:r>
    </w:p>
    <w:p w14:paraId="463DAF31" w14:textId="77777777" w:rsidR="007F5A1B" w:rsidRPr="00DA4299" w:rsidRDefault="007F5A1B" w:rsidP="00AD4AF7">
      <w:pPr>
        <w:jc w:val="both"/>
        <w:rPr>
          <w:rFonts w:ascii="Arial" w:hAnsi="Arial" w:cs="Arial"/>
          <w:i/>
          <w:iCs/>
          <w:sz w:val="20"/>
          <w:szCs w:val="20"/>
        </w:rPr>
      </w:pPr>
      <w:r w:rsidRPr="00DA4299">
        <w:rPr>
          <w:rFonts w:ascii="Arial" w:hAnsi="Arial" w:cs="Arial"/>
          <w:i/>
          <w:iCs/>
          <w:sz w:val="20"/>
          <w:szCs w:val="20"/>
        </w:rPr>
        <w:t>3. B Co mora do 30.6.2026 (za prvo leto je predvidenih 18 mesecev za predložitev informativnega obrazca za obračun in obračunov za povrhnji in domači povrhnji davek) v Sloveniji predložiti obračun domačega povrhnjega davka, na katerem obračuna davčno obveznost do minimalne davčne stopnje. B Co nima obveznosti po IIR pravilu, ker ni matični subjekt, prav tako nima obveznosti po UTPR pravilu, ker A Co kot krovni matični subjekt za nizko obdavčene subjekte obračuna in plača povrhnji davek. Zato B Co v Sloveniji do 30.6.2026 v Sloveniji</w:t>
      </w:r>
      <w:r w:rsidR="00FE28AF">
        <w:rPr>
          <w:rFonts w:ascii="Arial" w:hAnsi="Arial" w:cs="Arial"/>
          <w:i/>
          <w:iCs/>
          <w:sz w:val="20"/>
          <w:szCs w:val="20"/>
        </w:rPr>
        <w:t xml:space="preserve"> ni dolžan</w:t>
      </w:r>
      <w:r w:rsidRPr="00DA4299">
        <w:rPr>
          <w:rFonts w:ascii="Arial" w:hAnsi="Arial" w:cs="Arial"/>
          <w:i/>
          <w:iCs/>
          <w:sz w:val="20"/>
          <w:szCs w:val="20"/>
        </w:rPr>
        <w:t xml:space="preserve"> predložil obračun </w:t>
      </w:r>
      <w:r w:rsidR="00DE1C6B" w:rsidRPr="00DA4299">
        <w:rPr>
          <w:rFonts w:ascii="Arial" w:hAnsi="Arial" w:cs="Arial"/>
          <w:i/>
          <w:iCs/>
          <w:sz w:val="20"/>
          <w:szCs w:val="20"/>
        </w:rPr>
        <w:t>povrhnjega davka</w:t>
      </w:r>
      <w:r w:rsidRPr="00DA4299">
        <w:rPr>
          <w:rFonts w:ascii="Arial" w:hAnsi="Arial" w:cs="Arial"/>
          <w:i/>
          <w:iCs/>
          <w:sz w:val="20"/>
          <w:szCs w:val="20"/>
        </w:rPr>
        <w:t>, ker nima obveznosti za povrhnji davek po IIR in UTPR. V obračun</w:t>
      </w:r>
      <w:r w:rsidR="00FE28AF">
        <w:rPr>
          <w:rFonts w:ascii="Arial" w:hAnsi="Arial" w:cs="Arial"/>
          <w:i/>
          <w:iCs/>
          <w:sz w:val="20"/>
          <w:szCs w:val="20"/>
        </w:rPr>
        <w:t>u domačega povrhnjega davka</w:t>
      </w:r>
      <w:r w:rsidRPr="00DA4299">
        <w:rPr>
          <w:rFonts w:ascii="Arial" w:hAnsi="Arial" w:cs="Arial"/>
          <w:i/>
          <w:iCs/>
          <w:sz w:val="20"/>
          <w:szCs w:val="20"/>
        </w:rPr>
        <w:t xml:space="preserve"> bo B Co označil, da bo informativni obrazec za obračun izmenjan centralno s strani jurisdikcije A, kjer je </w:t>
      </w:r>
      <w:proofErr w:type="spellStart"/>
      <w:r w:rsidRPr="00DA4299">
        <w:rPr>
          <w:rFonts w:ascii="Arial" w:hAnsi="Arial" w:cs="Arial"/>
          <w:i/>
          <w:iCs/>
          <w:sz w:val="20"/>
          <w:szCs w:val="20"/>
        </w:rPr>
        <w:t>vložniški</w:t>
      </w:r>
      <w:proofErr w:type="spellEnd"/>
      <w:r w:rsidRPr="00DA4299">
        <w:rPr>
          <w:rFonts w:ascii="Arial" w:hAnsi="Arial" w:cs="Arial"/>
          <w:i/>
          <w:iCs/>
          <w:sz w:val="20"/>
          <w:szCs w:val="20"/>
        </w:rPr>
        <w:t xml:space="preserve"> subjekt A Co. </w:t>
      </w:r>
    </w:p>
    <w:p w14:paraId="4776D7F9" w14:textId="77777777" w:rsidR="007F5A1B" w:rsidRPr="00DA4299" w:rsidRDefault="007F5A1B" w:rsidP="00AD4AF7">
      <w:pPr>
        <w:jc w:val="both"/>
        <w:rPr>
          <w:rFonts w:ascii="Arial" w:hAnsi="Arial" w:cs="Arial"/>
          <w:i/>
          <w:iCs/>
          <w:sz w:val="20"/>
          <w:szCs w:val="20"/>
        </w:rPr>
      </w:pPr>
      <w:r w:rsidRPr="00DA4299">
        <w:rPr>
          <w:rFonts w:ascii="Arial" w:hAnsi="Arial" w:cs="Arial"/>
          <w:i/>
          <w:iCs/>
          <w:sz w:val="20"/>
          <w:szCs w:val="20"/>
        </w:rPr>
        <w:t>4. A Co do 30.6.2026 (18 mesecev</w:t>
      </w:r>
      <w:r w:rsidR="00A66358" w:rsidRPr="00DA4299">
        <w:rPr>
          <w:rFonts w:ascii="Arial" w:hAnsi="Arial" w:cs="Arial"/>
          <w:i/>
          <w:iCs/>
          <w:sz w:val="20"/>
          <w:szCs w:val="20"/>
        </w:rPr>
        <w:t xml:space="preserve"> po zaključku poslovnega leta poročanja) predloži GIR v jurisdikciji A. Jurisdikcija A mora v roku 6 mesecev (v naslednjih letih pa v 3. mesecih) izmenjati te podatke z drugimi </w:t>
      </w:r>
      <w:r w:rsidR="005933A6" w:rsidRPr="00DA4299">
        <w:rPr>
          <w:rFonts w:ascii="Arial" w:hAnsi="Arial" w:cs="Arial"/>
          <w:i/>
          <w:iCs/>
          <w:sz w:val="20"/>
          <w:szCs w:val="20"/>
        </w:rPr>
        <w:t>jurisdikcijami</w:t>
      </w:r>
      <w:r w:rsidR="00A66358" w:rsidRPr="00DA4299">
        <w:rPr>
          <w:rFonts w:ascii="Arial" w:hAnsi="Arial" w:cs="Arial"/>
          <w:i/>
          <w:iCs/>
          <w:sz w:val="20"/>
          <w:szCs w:val="20"/>
        </w:rPr>
        <w:t xml:space="preserve">, skladno z MCAA. Slovenija do 31.12.2026 prejme podatke GIR, ki jih na podlagi podatkovnih točk in splošnih informacij uporabi pri kontroli pravilnosti </w:t>
      </w:r>
      <w:r w:rsidR="007C57AE">
        <w:rPr>
          <w:rFonts w:ascii="Arial" w:hAnsi="Arial" w:cs="Arial"/>
          <w:i/>
          <w:iCs/>
          <w:sz w:val="20"/>
          <w:szCs w:val="20"/>
        </w:rPr>
        <w:t>glede (ne)obveznosti predložitve obračuna povrhnjega davka in pravilnosti izračunov v</w:t>
      </w:r>
      <w:r w:rsidR="00A66358" w:rsidRPr="00DA4299">
        <w:rPr>
          <w:rFonts w:ascii="Arial" w:hAnsi="Arial" w:cs="Arial"/>
          <w:i/>
          <w:iCs/>
          <w:sz w:val="20"/>
          <w:szCs w:val="20"/>
        </w:rPr>
        <w:t xml:space="preserve"> obračun</w:t>
      </w:r>
      <w:r w:rsidR="007C57AE">
        <w:rPr>
          <w:rFonts w:ascii="Arial" w:hAnsi="Arial" w:cs="Arial"/>
          <w:i/>
          <w:iCs/>
          <w:sz w:val="20"/>
          <w:szCs w:val="20"/>
        </w:rPr>
        <w:t>u za</w:t>
      </w:r>
      <w:r w:rsidR="00A66358" w:rsidRPr="00DA4299">
        <w:rPr>
          <w:rFonts w:ascii="Arial" w:hAnsi="Arial" w:cs="Arial"/>
          <w:i/>
          <w:iCs/>
          <w:sz w:val="20"/>
          <w:szCs w:val="20"/>
        </w:rPr>
        <w:t xml:space="preserve"> domači povrhnji davek. </w:t>
      </w:r>
    </w:p>
    <w:p w14:paraId="354837E3" w14:textId="77777777" w:rsidR="00A66358" w:rsidRPr="007C57AE" w:rsidRDefault="00A66358" w:rsidP="00A66358">
      <w:pPr>
        <w:jc w:val="both"/>
        <w:rPr>
          <w:rFonts w:ascii="Arial" w:hAnsi="Arial" w:cs="Arial"/>
          <w:b/>
          <w:bCs/>
          <w:i/>
          <w:iCs/>
          <w:sz w:val="20"/>
          <w:szCs w:val="20"/>
        </w:rPr>
      </w:pPr>
      <w:r w:rsidRPr="007C57AE">
        <w:rPr>
          <w:rFonts w:ascii="Arial" w:hAnsi="Arial" w:cs="Arial"/>
          <w:b/>
          <w:bCs/>
          <w:i/>
          <w:iCs/>
          <w:sz w:val="20"/>
          <w:szCs w:val="20"/>
        </w:rPr>
        <w:t xml:space="preserve">Primer </w:t>
      </w:r>
      <w:r w:rsidR="00356C7A">
        <w:rPr>
          <w:rFonts w:ascii="Arial" w:hAnsi="Arial" w:cs="Arial"/>
          <w:b/>
          <w:bCs/>
          <w:i/>
          <w:iCs/>
          <w:sz w:val="20"/>
          <w:szCs w:val="20"/>
        </w:rPr>
        <w:t>5</w:t>
      </w:r>
      <w:r w:rsidR="007C57AE">
        <w:rPr>
          <w:rFonts w:ascii="Arial" w:hAnsi="Arial" w:cs="Arial"/>
          <w:b/>
          <w:bCs/>
          <w:i/>
          <w:iCs/>
          <w:sz w:val="20"/>
          <w:szCs w:val="20"/>
        </w:rPr>
        <w:t xml:space="preserve"> – Centralno mednarodno poročanje 2</w:t>
      </w:r>
    </w:p>
    <w:p w14:paraId="2E94BD6F" w14:textId="77777777" w:rsidR="00A66358" w:rsidRPr="00DA4299" w:rsidRDefault="00A66358" w:rsidP="00AD4AF7">
      <w:pPr>
        <w:jc w:val="both"/>
        <w:rPr>
          <w:rFonts w:ascii="Arial" w:hAnsi="Arial" w:cs="Arial"/>
          <w:i/>
          <w:iCs/>
          <w:sz w:val="20"/>
          <w:szCs w:val="20"/>
        </w:rPr>
      </w:pPr>
      <w:r w:rsidRPr="00DA4299">
        <w:rPr>
          <w:rFonts w:ascii="Arial" w:hAnsi="Arial" w:cs="Arial"/>
          <w:i/>
          <w:iCs/>
          <w:sz w:val="20"/>
          <w:szCs w:val="20"/>
        </w:rPr>
        <w:t xml:space="preserve">1. Dejstva so enaka kot pri prejšnjem primeru, z razliko, da se mednarodna skupina odloči, da bo za </w:t>
      </w:r>
      <w:proofErr w:type="spellStart"/>
      <w:r w:rsidRPr="00DA4299">
        <w:rPr>
          <w:rFonts w:ascii="Arial" w:hAnsi="Arial" w:cs="Arial"/>
          <w:i/>
          <w:iCs/>
          <w:sz w:val="20"/>
          <w:szCs w:val="20"/>
        </w:rPr>
        <w:t>vložniški</w:t>
      </w:r>
      <w:proofErr w:type="spellEnd"/>
      <w:r w:rsidRPr="00DA4299">
        <w:rPr>
          <w:rFonts w:ascii="Arial" w:hAnsi="Arial" w:cs="Arial"/>
          <w:i/>
          <w:iCs/>
          <w:sz w:val="20"/>
          <w:szCs w:val="20"/>
        </w:rPr>
        <w:t xml:space="preserve"> subjekt imenovala D Co, s katerim Slovenija nima kvalificiranega mednarodnega sporazuma za izmenjavo podatkov. </w:t>
      </w:r>
    </w:p>
    <w:p w14:paraId="1B34071F" w14:textId="77777777" w:rsidR="00A66358" w:rsidRPr="00DA4299" w:rsidRDefault="00A66358" w:rsidP="00AD4AF7">
      <w:pPr>
        <w:jc w:val="both"/>
        <w:rPr>
          <w:rFonts w:ascii="Arial" w:hAnsi="Arial" w:cs="Arial"/>
          <w:i/>
          <w:iCs/>
          <w:sz w:val="20"/>
          <w:szCs w:val="20"/>
        </w:rPr>
      </w:pPr>
      <w:r w:rsidRPr="00DA4299">
        <w:rPr>
          <w:rFonts w:ascii="Arial" w:hAnsi="Arial" w:cs="Arial"/>
          <w:i/>
          <w:iCs/>
          <w:sz w:val="20"/>
          <w:szCs w:val="20"/>
        </w:rPr>
        <w:t>2. B Co mora do 30.6.2026 predložiti poleg obračunov tudi informativni obrazec za obračun, ker niso izpolnjeni pogoji za centralno mednarodno poročanje, saj med Slovenijo in državo</w:t>
      </w:r>
      <w:r w:rsidR="007C57AE">
        <w:rPr>
          <w:rFonts w:ascii="Arial" w:hAnsi="Arial" w:cs="Arial"/>
          <w:i/>
          <w:iCs/>
          <w:sz w:val="20"/>
          <w:szCs w:val="20"/>
        </w:rPr>
        <w:t xml:space="preserve"> imenovanega</w:t>
      </w:r>
      <w:r w:rsidRPr="00DA4299">
        <w:rPr>
          <w:rFonts w:ascii="Arial" w:hAnsi="Arial" w:cs="Arial"/>
          <w:i/>
          <w:iCs/>
          <w:sz w:val="20"/>
          <w:szCs w:val="20"/>
        </w:rPr>
        <w:t xml:space="preserve"> </w:t>
      </w:r>
      <w:proofErr w:type="spellStart"/>
      <w:r w:rsidRPr="00DA4299">
        <w:rPr>
          <w:rFonts w:ascii="Arial" w:hAnsi="Arial" w:cs="Arial"/>
          <w:i/>
          <w:iCs/>
          <w:sz w:val="20"/>
          <w:szCs w:val="20"/>
        </w:rPr>
        <w:t>vložniškega</w:t>
      </w:r>
      <w:proofErr w:type="spellEnd"/>
      <w:r w:rsidRPr="00DA4299">
        <w:rPr>
          <w:rFonts w:ascii="Arial" w:hAnsi="Arial" w:cs="Arial"/>
          <w:i/>
          <w:iCs/>
          <w:sz w:val="20"/>
          <w:szCs w:val="20"/>
        </w:rPr>
        <w:t xml:space="preserve"> subjekta ni sklenjen</w:t>
      </w:r>
      <w:r w:rsidR="00E10530">
        <w:rPr>
          <w:rFonts w:ascii="Arial" w:hAnsi="Arial" w:cs="Arial"/>
          <w:i/>
          <w:iCs/>
          <w:sz w:val="20"/>
          <w:szCs w:val="20"/>
        </w:rPr>
        <w:t>ega</w:t>
      </w:r>
      <w:r w:rsidRPr="00DA4299">
        <w:rPr>
          <w:rFonts w:ascii="Arial" w:hAnsi="Arial" w:cs="Arial"/>
          <w:i/>
          <w:iCs/>
          <w:sz w:val="20"/>
          <w:szCs w:val="20"/>
        </w:rPr>
        <w:t xml:space="preserve"> kvalificiran</w:t>
      </w:r>
      <w:r w:rsidR="00E10530">
        <w:rPr>
          <w:rFonts w:ascii="Arial" w:hAnsi="Arial" w:cs="Arial"/>
          <w:i/>
          <w:iCs/>
          <w:sz w:val="20"/>
          <w:szCs w:val="20"/>
        </w:rPr>
        <w:t>ega</w:t>
      </w:r>
      <w:r w:rsidRPr="00DA4299">
        <w:rPr>
          <w:rFonts w:ascii="Arial" w:hAnsi="Arial" w:cs="Arial"/>
          <w:i/>
          <w:iCs/>
          <w:sz w:val="20"/>
          <w:szCs w:val="20"/>
        </w:rPr>
        <w:t xml:space="preserve"> mednarodn</w:t>
      </w:r>
      <w:r w:rsidR="00E10530">
        <w:rPr>
          <w:rFonts w:ascii="Arial" w:hAnsi="Arial" w:cs="Arial"/>
          <w:i/>
          <w:iCs/>
          <w:sz w:val="20"/>
          <w:szCs w:val="20"/>
        </w:rPr>
        <w:t>ega</w:t>
      </w:r>
      <w:r w:rsidRPr="00DA4299">
        <w:rPr>
          <w:rFonts w:ascii="Arial" w:hAnsi="Arial" w:cs="Arial"/>
          <w:i/>
          <w:iCs/>
          <w:sz w:val="20"/>
          <w:szCs w:val="20"/>
        </w:rPr>
        <w:t xml:space="preserve"> sporazum</w:t>
      </w:r>
      <w:r w:rsidR="00E10530">
        <w:rPr>
          <w:rFonts w:ascii="Arial" w:hAnsi="Arial" w:cs="Arial"/>
          <w:i/>
          <w:iCs/>
          <w:sz w:val="20"/>
          <w:szCs w:val="20"/>
        </w:rPr>
        <w:t>a</w:t>
      </w:r>
      <w:r w:rsidRPr="00DA4299">
        <w:rPr>
          <w:rFonts w:ascii="Arial" w:hAnsi="Arial" w:cs="Arial"/>
          <w:i/>
          <w:iCs/>
          <w:sz w:val="20"/>
          <w:szCs w:val="20"/>
        </w:rPr>
        <w:t xml:space="preserve"> za izmenjavo podatkov. Pri tem bi morala tudi jurisdikcija D</w:t>
      </w:r>
      <w:r w:rsidR="00DE1C6B" w:rsidRPr="00DA4299">
        <w:rPr>
          <w:rFonts w:ascii="Arial" w:hAnsi="Arial" w:cs="Arial"/>
          <w:i/>
          <w:iCs/>
          <w:sz w:val="20"/>
          <w:szCs w:val="20"/>
        </w:rPr>
        <w:t xml:space="preserve"> (skladno z dogovorom o </w:t>
      </w:r>
      <w:proofErr w:type="spellStart"/>
      <w:r w:rsidR="00DE1C6B" w:rsidRPr="00DA4299">
        <w:rPr>
          <w:rFonts w:ascii="Arial" w:hAnsi="Arial" w:cs="Arial"/>
          <w:i/>
          <w:iCs/>
          <w:sz w:val="20"/>
          <w:szCs w:val="20"/>
        </w:rPr>
        <w:t>diseminaciji</w:t>
      </w:r>
      <w:proofErr w:type="spellEnd"/>
      <w:r w:rsidR="005933A6">
        <w:rPr>
          <w:rFonts w:ascii="Arial" w:hAnsi="Arial" w:cs="Arial"/>
          <w:i/>
          <w:iCs/>
          <w:sz w:val="20"/>
          <w:szCs w:val="20"/>
        </w:rPr>
        <w:t xml:space="preserve"> podatkov v okviru mednarodne izmenjave</w:t>
      </w:r>
      <w:r w:rsidR="00DE1C6B" w:rsidRPr="00DA4299">
        <w:rPr>
          <w:rFonts w:ascii="Arial" w:hAnsi="Arial" w:cs="Arial"/>
          <w:i/>
          <w:iCs/>
          <w:sz w:val="20"/>
          <w:szCs w:val="20"/>
        </w:rPr>
        <w:t>)</w:t>
      </w:r>
      <w:r w:rsidRPr="00DA4299">
        <w:rPr>
          <w:rFonts w:ascii="Arial" w:hAnsi="Arial" w:cs="Arial"/>
          <w:i/>
          <w:iCs/>
          <w:sz w:val="20"/>
          <w:szCs w:val="20"/>
        </w:rPr>
        <w:t xml:space="preserve"> preveriti opredeljene jurisdikcije za izmenjavo in </w:t>
      </w:r>
      <w:proofErr w:type="spellStart"/>
      <w:r w:rsidRPr="00DA4299">
        <w:rPr>
          <w:rFonts w:ascii="Arial" w:hAnsi="Arial" w:cs="Arial"/>
          <w:i/>
          <w:iCs/>
          <w:sz w:val="20"/>
          <w:szCs w:val="20"/>
        </w:rPr>
        <w:t>vložniškega</w:t>
      </w:r>
      <w:proofErr w:type="spellEnd"/>
      <w:r w:rsidRPr="00DA4299">
        <w:rPr>
          <w:rFonts w:ascii="Arial" w:hAnsi="Arial" w:cs="Arial"/>
          <w:i/>
          <w:iCs/>
          <w:sz w:val="20"/>
          <w:szCs w:val="20"/>
        </w:rPr>
        <w:t xml:space="preserve"> subjekta opozoriti, da za Slovenijo niso izpolnjeni pogoji za izmenjavo informacij.</w:t>
      </w:r>
    </w:p>
    <w:p w14:paraId="3601E1CA" w14:textId="77777777" w:rsidR="00A66358" w:rsidRPr="007C57AE" w:rsidRDefault="00A66358" w:rsidP="00AD4AF7">
      <w:pPr>
        <w:jc w:val="both"/>
        <w:rPr>
          <w:rFonts w:ascii="Arial" w:hAnsi="Arial" w:cs="Arial"/>
          <w:b/>
          <w:bCs/>
          <w:i/>
          <w:iCs/>
          <w:sz w:val="20"/>
          <w:szCs w:val="20"/>
        </w:rPr>
      </w:pPr>
      <w:bookmarkStart w:id="38" w:name="_Hlk148002543"/>
      <w:r w:rsidRPr="007C57AE">
        <w:rPr>
          <w:rFonts w:ascii="Arial" w:hAnsi="Arial" w:cs="Arial"/>
          <w:b/>
          <w:bCs/>
          <w:i/>
          <w:iCs/>
          <w:sz w:val="20"/>
          <w:szCs w:val="20"/>
        </w:rPr>
        <w:t xml:space="preserve">Primer </w:t>
      </w:r>
      <w:r w:rsidR="00356C7A">
        <w:rPr>
          <w:rFonts w:ascii="Arial" w:hAnsi="Arial" w:cs="Arial"/>
          <w:b/>
          <w:bCs/>
          <w:i/>
          <w:iCs/>
          <w:sz w:val="20"/>
          <w:szCs w:val="20"/>
        </w:rPr>
        <w:t>6</w:t>
      </w:r>
      <w:r w:rsidR="00DA4299" w:rsidRPr="007C57AE">
        <w:rPr>
          <w:rFonts w:ascii="Arial" w:hAnsi="Arial" w:cs="Arial"/>
          <w:b/>
          <w:bCs/>
          <w:i/>
          <w:iCs/>
          <w:sz w:val="20"/>
          <w:szCs w:val="20"/>
        </w:rPr>
        <w:t xml:space="preserve"> – Centralno mednarodno poročanje </w:t>
      </w:r>
      <w:r w:rsidR="007C57AE" w:rsidRPr="007C57AE">
        <w:rPr>
          <w:rFonts w:ascii="Arial" w:hAnsi="Arial" w:cs="Arial"/>
          <w:b/>
          <w:bCs/>
          <w:i/>
          <w:iCs/>
          <w:sz w:val="20"/>
          <w:szCs w:val="20"/>
        </w:rPr>
        <w:t>3</w:t>
      </w:r>
    </w:p>
    <w:p w14:paraId="013FDEB3" w14:textId="77777777" w:rsidR="00A66358" w:rsidRPr="00DA4299" w:rsidRDefault="00A66358" w:rsidP="00A66358">
      <w:pPr>
        <w:jc w:val="both"/>
        <w:rPr>
          <w:rFonts w:ascii="Arial" w:hAnsi="Arial" w:cs="Arial"/>
          <w:i/>
          <w:iCs/>
          <w:sz w:val="20"/>
          <w:szCs w:val="20"/>
        </w:rPr>
      </w:pPr>
      <w:r w:rsidRPr="00DA4299">
        <w:rPr>
          <w:rFonts w:ascii="Arial" w:hAnsi="Arial" w:cs="Arial"/>
          <w:i/>
          <w:iCs/>
          <w:sz w:val="20"/>
          <w:szCs w:val="20"/>
        </w:rPr>
        <w:t xml:space="preserve">1. Dejstva so enaka kot pri zgornjem primeru, </w:t>
      </w:r>
      <w:bookmarkEnd w:id="37"/>
      <w:r w:rsidRPr="00DA4299">
        <w:rPr>
          <w:rFonts w:ascii="Arial" w:hAnsi="Arial" w:cs="Arial"/>
          <w:i/>
          <w:iCs/>
          <w:sz w:val="20"/>
          <w:szCs w:val="20"/>
        </w:rPr>
        <w:t xml:space="preserve">z razliko, da se mednarodna skupina odloči, da bo za </w:t>
      </w:r>
      <w:proofErr w:type="spellStart"/>
      <w:r w:rsidRPr="00DA4299">
        <w:rPr>
          <w:rFonts w:ascii="Arial" w:hAnsi="Arial" w:cs="Arial"/>
          <w:i/>
          <w:iCs/>
          <w:sz w:val="20"/>
          <w:szCs w:val="20"/>
        </w:rPr>
        <w:t>vložniški</w:t>
      </w:r>
      <w:proofErr w:type="spellEnd"/>
      <w:r w:rsidRPr="00DA4299">
        <w:rPr>
          <w:rFonts w:ascii="Arial" w:hAnsi="Arial" w:cs="Arial"/>
          <w:i/>
          <w:iCs/>
          <w:sz w:val="20"/>
          <w:szCs w:val="20"/>
        </w:rPr>
        <w:t xml:space="preserve"> subjekt imenovala B Co v Sloveniji.</w:t>
      </w:r>
    </w:p>
    <w:p w14:paraId="0A4F241D" w14:textId="77777777" w:rsidR="00A66358" w:rsidRDefault="00A66358" w:rsidP="00A66358">
      <w:pPr>
        <w:jc w:val="both"/>
        <w:rPr>
          <w:rFonts w:ascii="Arial" w:hAnsi="Arial" w:cs="Arial"/>
          <w:i/>
          <w:iCs/>
          <w:sz w:val="20"/>
          <w:szCs w:val="20"/>
        </w:rPr>
      </w:pPr>
      <w:r w:rsidRPr="00DA4299">
        <w:rPr>
          <w:rFonts w:ascii="Arial" w:hAnsi="Arial" w:cs="Arial"/>
          <w:i/>
          <w:iCs/>
          <w:sz w:val="20"/>
          <w:szCs w:val="20"/>
        </w:rPr>
        <w:t xml:space="preserve">2. V predloženem Informativnem obrazcu za obračun, ki ga mora </w:t>
      </w:r>
      <w:r w:rsidR="007C57AE">
        <w:rPr>
          <w:rFonts w:ascii="Arial" w:hAnsi="Arial" w:cs="Arial"/>
          <w:i/>
          <w:iCs/>
          <w:sz w:val="20"/>
          <w:szCs w:val="20"/>
        </w:rPr>
        <w:t xml:space="preserve">B Co </w:t>
      </w:r>
      <w:r w:rsidRPr="00DA4299">
        <w:rPr>
          <w:rFonts w:ascii="Arial" w:hAnsi="Arial" w:cs="Arial"/>
          <w:i/>
          <w:iCs/>
          <w:sz w:val="20"/>
          <w:szCs w:val="20"/>
        </w:rPr>
        <w:t xml:space="preserve">predložiti do 30.6.2026 za leto 2024, B Co opredeli jurisdikcije A, C in D kot jurisdikcije, katerim se posreduje predložene podatke v okviru mednarodne izmenjave podatkov. Ker Slovenija nima sklenjenih kvalificiranih mednarodnih sporazumov za izmenjavo podatkov z jurisdikcijama C in D, </w:t>
      </w:r>
      <w:r w:rsidR="00DE1C6B" w:rsidRPr="00DA4299">
        <w:rPr>
          <w:rFonts w:ascii="Arial" w:hAnsi="Arial" w:cs="Arial"/>
          <w:i/>
          <w:iCs/>
          <w:sz w:val="20"/>
          <w:szCs w:val="20"/>
        </w:rPr>
        <w:t xml:space="preserve">se bodo podatki izmenjali le z jurisdikcijo A. </w:t>
      </w:r>
      <w:proofErr w:type="spellStart"/>
      <w:r w:rsidR="00DE1C6B" w:rsidRPr="00DA4299">
        <w:rPr>
          <w:rFonts w:ascii="Arial" w:hAnsi="Arial" w:cs="Arial"/>
          <w:i/>
          <w:iCs/>
          <w:sz w:val="20"/>
          <w:szCs w:val="20"/>
        </w:rPr>
        <w:t>Vložniški</w:t>
      </w:r>
      <w:proofErr w:type="spellEnd"/>
      <w:r w:rsidR="00DE1C6B" w:rsidRPr="00DA4299">
        <w:rPr>
          <w:rFonts w:ascii="Arial" w:hAnsi="Arial" w:cs="Arial"/>
          <w:i/>
          <w:iCs/>
          <w:sz w:val="20"/>
          <w:szCs w:val="20"/>
        </w:rPr>
        <w:t xml:space="preserve"> subjekt B Co bo s strani finančne uprave v Sloveniji obveščen, da pogoji za izmenjavo z jurisdikcijama C in D niso izpolnjeni. Ker izmenjava dejansko ne bo stekla, bo D Co moral v svoji jurisdikciji izpolni</w:t>
      </w:r>
      <w:r w:rsidR="00685DF0">
        <w:rPr>
          <w:rFonts w:ascii="Arial" w:hAnsi="Arial" w:cs="Arial"/>
          <w:i/>
          <w:iCs/>
          <w:sz w:val="20"/>
          <w:szCs w:val="20"/>
        </w:rPr>
        <w:t>t</w:t>
      </w:r>
      <w:r w:rsidR="00DE1C6B" w:rsidRPr="00DA4299">
        <w:rPr>
          <w:rFonts w:ascii="Arial" w:hAnsi="Arial" w:cs="Arial"/>
          <w:i/>
          <w:iCs/>
          <w:sz w:val="20"/>
          <w:szCs w:val="20"/>
        </w:rPr>
        <w:t xml:space="preserve">i lokalne poročevalske obveznosti, medtem, ko v C Co niso implementirana pravila GLOBE. </w:t>
      </w:r>
    </w:p>
    <w:p w14:paraId="19293106" w14:textId="77777777" w:rsidR="00A66358" w:rsidRPr="00CE06DA" w:rsidRDefault="00D9667C" w:rsidP="008273B0">
      <w:pPr>
        <w:pStyle w:val="FURSnaslov2"/>
        <w:rPr>
          <w:sz w:val="22"/>
          <w:szCs w:val="22"/>
          <w:lang w:val="sl-SI"/>
        </w:rPr>
      </w:pPr>
      <w:bookmarkStart w:id="39" w:name="_Toc157425329"/>
      <w:bookmarkEnd w:id="38"/>
      <w:r>
        <w:rPr>
          <w:sz w:val="22"/>
          <w:szCs w:val="22"/>
          <w:lang w:val="sl-SI"/>
        </w:rPr>
        <w:t>5</w:t>
      </w:r>
      <w:r w:rsidR="00DE1C6B" w:rsidRPr="00CE06DA">
        <w:rPr>
          <w:sz w:val="22"/>
          <w:szCs w:val="22"/>
          <w:lang w:val="sl-SI"/>
        </w:rPr>
        <w:t>.2. Obračun domačega povrhnjega davka</w:t>
      </w:r>
      <w:bookmarkEnd w:id="39"/>
    </w:p>
    <w:p w14:paraId="5C4A72E8" w14:textId="77777777" w:rsidR="00CB0DE4" w:rsidRDefault="00DE1C6B" w:rsidP="00AD4AF7">
      <w:pPr>
        <w:jc w:val="both"/>
        <w:rPr>
          <w:rFonts w:ascii="Arial" w:hAnsi="Arial" w:cs="Arial"/>
          <w:sz w:val="20"/>
          <w:szCs w:val="20"/>
        </w:rPr>
      </w:pPr>
      <w:r>
        <w:rPr>
          <w:rFonts w:ascii="Arial" w:hAnsi="Arial" w:cs="Arial"/>
          <w:sz w:val="20"/>
          <w:szCs w:val="20"/>
        </w:rPr>
        <w:t>Glede na zasnovo sistema povrhnjega davka je treba</w:t>
      </w:r>
      <w:r w:rsidR="00CB0DE4">
        <w:rPr>
          <w:rFonts w:ascii="Arial" w:hAnsi="Arial" w:cs="Arial"/>
          <w:sz w:val="20"/>
          <w:szCs w:val="20"/>
        </w:rPr>
        <w:t xml:space="preserve"> z vidika Slovenije</w:t>
      </w:r>
      <w:r>
        <w:rPr>
          <w:rFonts w:ascii="Arial" w:hAnsi="Arial" w:cs="Arial"/>
          <w:sz w:val="20"/>
          <w:szCs w:val="20"/>
        </w:rPr>
        <w:t xml:space="preserve"> ločiti dve vrsti domačega povrhnjega davka. </w:t>
      </w:r>
    </w:p>
    <w:p w14:paraId="2F27078F" w14:textId="77777777" w:rsidR="00DE1C6B" w:rsidRDefault="00DE1C6B" w:rsidP="00AD4AF7">
      <w:pPr>
        <w:jc w:val="both"/>
        <w:rPr>
          <w:rFonts w:ascii="Arial" w:hAnsi="Arial" w:cs="Arial"/>
          <w:sz w:val="20"/>
          <w:szCs w:val="20"/>
        </w:rPr>
      </w:pPr>
      <w:r>
        <w:rPr>
          <w:rFonts w:ascii="Arial" w:hAnsi="Arial" w:cs="Arial"/>
          <w:sz w:val="20"/>
          <w:szCs w:val="20"/>
        </w:rPr>
        <w:t xml:space="preserve">Prva vrsta je domači povrhnji davek, ki ga plačujejo </w:t>
      </w:r>
      <w:r w:rsidR="00CB0DE4">
        <w:rPr>
          <w:rFonts w:ascii="Arial" w:hAnsi="Arial" w:cs="Arial"/>
          <w:sz w:val="20"/>
          <w:szCs w:val="20"/>
        </w:rPr>
        <w:t>subjekti</w:t>
      </w:r>
      <w:r>
        <w:rPr>
          <w:rFonts w:ascii="Arial" w:hAnsi="Arial" w:cs="Arial"/>
          <w:sz w:val="20"/>
          <w:szCs w:val="20"/>
        </w:rPr>
        <w:t xml:space="preserve"> v sestavi izven Slovenije in se bo upošteval pri izračunu obveznosti za povrhnji davek</w:t>
      </w:r>
      <w:r w:rsidR="00CB0DE4">
        <w:rPr>
          <w:rFonts w:ascii="Arial" w:hAnsi="Arial" w:cs="Arial"/>
          <w:sz w:val="20"/>
          <w:szCs w:val="20"/>
        </w:rPr>
        <w:t xml:space="preserve"> morebitnega slovenskega</w:t>
      </w:r>
      <w:r>
        <w:rPr>
          <w:rFonts w:ascii="Arial" w:hAnsi="Arial" w:cs="Arial"/>
          <w:sz w:val="20"/>
          <w:szCs w:val="20"/>
        </w:rPr>
        <w:t xml:space="preserve"> matičnega subjekta po pravilu IIR</w:t>
      </w:r>
      <w:r w:rsidR="001605E7">
        <w:rPr>
          <w:rFonts w:ascii="Arial" w:hAnsi="Arial" w:cs="Arial"/>
          <w:sz w:val="20"/>
          <w:szCs w:val="20"/>
        </w:rPr>
        <w:t xml:space="preserve"> ali pri drugih subjektih po pravilu UTPR (tuji domači povrhnji davek)</w:t>
      </w:r>
      <w:r w:rsidR="00CB0DE4">
        <w:rPr>
          <w:rFonts w:ascii="Arial" w:hAnsi="Arial" w:cs="Arial"/>
          <w:sz w:val="20"/>
          <w:szCs w:val="20"/>
        </w:rPr>
        <w:t xml:space="preserve">. Tuji domači povrhnji davek se bo </w:t>
      </w:r>
      <w:r w:rsidR="001605E7">
        <w:rPr>
          <w:rFonts w:ascii="Arial" w:hAnsi="Arial" w:cs="Arial"/>
          <w:sz w:val="20"/>
          <w:szCs w:val="20"/>
        </w:rPr>
        <w:t xml:space="preserve">lahko </w:t>
      </w:r>
      <w:r w:rsidR="00CB0DE4">
        <w:rPr>
          <w:rFonts w:ascii="Arial" w:hAnsi="Arial" w:cs="Arial"/>
          <w:sz w:val="20"/>
          <w:szCs w:val="20"/>
        </w:rPr>
        <w:t>upošteval na tri načine:</w:t>
      </w:r>
    </w:p>
    <w:p w14:paraId="0759CFDF" w14:textId="77777777" w:rsidR="00CB0DE4" w:rsidRDefault="00CB0DE4">
      <w:pPr>
        <w:pStyle w:val="Odstavekseznama"/>
        <w:numPr>
          <w:ilvl w:val="0"/>
          <w:numId w:val="29"/>
        </w:numPr>
        <w:jc w:val="both"/>
        <w:rPr>
          <w:rFonts w:ascii="Arial" w:hAnsi="Arial" w:cs="Arial"/>
          <w:sz w:val="20"/>
          <w:szCs w:val="20"/>
        </w:rPr>
      </w:pPr>
      <w:r>
        <w:rPr>
          <w:rFonts w:ascii="Arial" w:hAnsi="Arial" w:cs="Arial"/>
          <w:sz w:val="20"/>
          <w:szCs w:val="20"/>
        </w:rPr>
        <w:t>kot zajeti davek – do te situacije bo prihajalo, ko tuji domači povrhnji davek ne bo imel kvalificiranega statusa</w:t>
      </w:r>
      <w:r w:rsidR="007C57AE">
        <w:rPr>
          <w:rFonts w:ascii="Arial" w:hAnsi="Arial" w:cs="Arial"/>
          <w:sz w:val="20"/>
          <w:szCs w:val="20"/>
        </w:rPr>
        <w:t xml:space="preserve"> vendar bo izpolnjeval pogoje za zajeti davek</w:t>
      </w:r>
      <w:r>
        <w:rPr>
          <w:rFonts w:ascii="Arial" w:hAnsi="Arial" w:cs="Arial"/>
          <w:sz w:val="20"/>
          <w:szCs w:val="20"/>
        </w:rPr>
        <w:t xml:space="preserve">. </w:t>
      </w:r>
    </w:p>
    <w:p w14:paraId="1B88461A" w14:textId="77777777" w:rsidR="00CB0DE4" w:rsidRDefault="00CB0DE4">
      <w:pPr>
        <w:pStyle w:val="Odstavekseznama"/>
        <w:numPr>
          <w:ilvl w:val="0"/>
          <w:numId w:val="29"/>
        </w:numPr>
        <w:jc w:val="both"/>
        <w:rPr>
          <w:rFonts w:ascii="Arial" w:hAnsi="Arial" w:cs="Arial"/>
          <w:sz w:val="20"/>
          <w:szCs w:val="20"/>
        </w:rPr>
      </w:pPr>
      <w:r>
        <w:rPr>
          <w:rFonts w:ascii="Arial" w:hAnsi="Arial" w:cs="Arial"/>
          <w:sz w:val="20"/>
          <w:szCs w:val="20"/>
        </w:rPr>
        <w:lastRenderedPageBreak/>
        <w:t>kot kvalificirani domači povrhnji davek pri izračunu obveznosti za povrhnji davek. To preprosto pomeni, da se bo v formuli za izračun jurisdikcijske obveznosti</w:t>
      </w:r>
      <w:r w:rsidR="001605E7">
        <w:rPr>
          <w:rFonts w:ascii="Arial" w:hAnsi="Arial" w:cs="Arial"/>
          <w:sz w:val="20"/>
          <w:szCs w:val="20"/>
        </w:rPr>
        <w:t xml:space="preserve"> za povrhnji davek odštel domači povrhnji davek, ki je bil plačan v tej jurisdikciji;</w:t>
      </w:r>
    </w:p>
    <w:p w14:paraId="55F60DBD" w14:textId="77777777" w:rsidR="001605E7" w:rsidRDefault="001605E7">
      <w:pPr>
        <w:pStyle w:val="Odstavekseznama"/>
        <w:numPr>
          <w:ilvl w:val="0"/>
          <w:numId w:val="29"/>
        </w:numPr>
        <w:jc w:val="both"/>
        <w:rPr>
          <w:rFonts w:ascii="Arial" w:hAnsi="Arial" w:cs="Arial"/>
          <w:sz w:val="20"/>
          <w:szCs w:val="20"/>
        </w:rPr>
      </w:pPr>
      <w:r>
        <w:rPr>
          <w:rFonts w:ascii="Arial" w:hAnsi="Arial" w:cs="Arial"/>
          <w:sz w:val="20"/>
          <w:szCs w:val="20"/>
        </w:rPr>
        <w:t xml:space="preserve">kot varni pristan domačega povrhnjega davka. Konkretno to pomeni, da subjekti v sestavi ne bodo dolžni izračunavati povrhnjega davka po pravilih IIR in UTPR (oziroma se bo štelo, da je povrhnji davek nič) za jurisdikcijo, ki ji je bil priznan status kvalificiranega domačega povrhnjega davka za potrebe varnega pristana. </w:t>
      </w:r>
    </w:p>
    <w:p w14:paraId="5B79F1A3" w14:textId="77777777" w:rsidR="001605E7" w:rsidRDefault="001605E7" w:rsidP="001605E7">
      <w:pPr>
        <w:jc w:val="both"/>
        <w:rPr>
          <w:rFonts w:ascii="Arial" w:hAnsi="Arial" w:cs="Arial"/>
          <w:sz w:val="20"/>
          <w:szCs w:val="20"/>
        </w:rPr>
      </w:pPr>
      <w:r>
        <w:rPr>
          <w:rFonts w:ascii="Arial" w:hAnsi="Arial" w:cs="Arial"/>
          <w:sz w:val="20"/>
          <w:szCs w:val="20"/>
        </w:rPr>
        <w:t>Druga vrsta je domači povrhnji davek, ki ga bodo izračunavali in plačali subjekti v sestavi, ki se nahajajo v Sloveniji</w:t>
      </w:r>
      <w:r w:rsidR="00272BF6">
        <w:rPr>
          <w:rFonts w:ascii="Arial" w:hAnsi="Arial" w:cs="Arial"/>
          <w:sz w:val="20"/>
          <w:szCs w:val="20"/>
        </w:rPr>
        <w:t xml:space="preserve"> (slovenski domači povrhnji davek)</w:t>
      </w:r>
      <w:r>
        <w:rPr>
          <w:rFonts w:ascii="Arial" w:hAnsi="Arial" w:cs="Arial"/>
          <w:sz w:val="20"/>
          <w:szCs w:val="20"/>
        </w:rPr>
        <w:t>. Za to vrsto domačega povrhnjega davka je v ZMD predviden poseben obračun domačega povrhnjega davka, ki ga morajo subjekti v sestavi iz Slovenije predložiti skladno z upravno-procesnimi določbami ZMD</w:t>
      </w:r>
      <w:r w:rsidR="00272BF6">
        <w:rPr>
          <w:rFonts w:ascii="Arial" w:hAnsi="Arial" w:cs="Arial"/>
          <w:sz w:val="20"/>
          <w:szCs w:val="20"/>
        </w:rPr>
        <w:t xml:space="preserve"> in se ga plačuje v Sloveniji</w:t>
      </w:r>
      <w:r>
        <w:rPr>
          <w:rFonts w:ascii="Arial" w:hAnsi="Arial" w:cs="Arial"/>
          <w:sz w:val="20"/>
          <w:szCs w:val="20"/>
        </w:rPr>
        <w:t xml:space="preserve">. </w:t>
      </w:r>
      <w:r w:rsidR="002373BA">
        <w:rPr>
          <w:rFonts w:ascii="Arial" w:hAnsi="Arial" w:cs="Arial"/>
          <w:sz w:val="20"/>
          <w:szCs w:val="20"/>
        </w:rPr>
        <w:t xml:space="preserve">V nadaljevanju je obravnavan postopek obračunavanja slovenskega domačega povrhnjega davka. </w:t>
      </w:r>
    </w:p>
    <w:p w14:paraId="7037DC38" w14:textId="77777777" w:rsidR="008273B0" w:rsidRPr="00DA4299" w:rsidRDefault="00D9667C" w:rsidP="00DA4299">
      <w:pPr>
        <w:pStyle w:val="FURSnaslov2"/>
        <w:rPr>
          <w:sz w:val="20"/>
          <w:szCs w:val="20"/>
          <w:lang w:val="sl-SI"/>
        </w:rPr>
      </w:pPr>
      <w:bookmarkStart w:id="40" w:name="_Toc157425330"/>
      <w:r>
        <w:rPr>
          <w:sz w:val="20"/>
          <w:szCs w:val="20"/>
          <w:lang w:val="sl-SI"/>
        </w:rPr>
        <w:t>5</w:t>
      </w:r>
      <w:r w:rsidR="008273B0" w:rsidRPr="00DA4299">
        <w:rPr>
          <w:sz w:val="20"/>
          <w:szCs w:val="20"/>
          <w:lang w:val="sl-SI"/>
        </w:rPr>
        <w:t xml:space="preserve">.2.1. </w:t>
      </w:r>
      <w:r w:rsidR="00873B56">
        <w:rPr>
          <w:sz w:val="20"/>
          <w:szCs w:val="20"/>
          <w:lang w:val="sl-SI"/>
        </w:rPr>
        <w:t>Obveznost predložitve o</w:t>
      </w:r>
      <w:r w:rsidR="008273B0" w:rsidRPr="00DA4299">
        <w:rPr>
          <w:sz w:val="20"/>
          <w:szCs w:val="20"/>
          <w:lang w:val="sl-SI"/>
        </w:rPr>
        <w:t>bračun</w:t>
      </w:r>
      <w:r w:rsidR="00873B56">
        <w:rPr>
          <w:sz w:val="20"/>
          <w:szCs w:val="20"/>
          <w:lang w:val="sl-SI"/>
        </w:rPr>
        <w:t>a</w:t>
      </w:r>
      <w:r w:rsidR="008273B0" w:rsidRPr="00DA4299">
        <w:rPr>
          <w:sz w:val="20"/>
          <w:szCs w:val="20"/>
          <w:lang w:val="sl-SI"/>
        </w:rPr>
        <w:t xml:space="preserve"> domačega povrhnjega davka</w:t>
      </w:r>
      <w:bookmarkEnd w:id="40"/>
    </w:p>
    <w:p w14:paraId="2A0840AA" w14:textId="77777777" w:rsidR="008273B0" w:rsidRPr="00DA4299" w:rsidRDefault="008273B0" w:rsidP="008273B0">
      <w:pPr>
        <w:spacing w:after="120"/>
        <w:jc w:val="both"/>
        <w:rPr>
          <w:rFonts w:ascii="Arial" w:eastAsia="Times New Roman" w:hAnsi="Arial" w:cs="Arial"/>
          <w:color w:val="000000"/>
          <w:sz w:val="20"/>
          <w:szCs w:val="20"/>
          <w:lang w:eastAsia="sl-SI"/>
        </w:rPr>
      </w:pPr>
      <w:r w:rsidRPr="00DA4299">
        <w:rPr>
          <w:rFonts w:ascii="Arial" w:eastAsia="Times New Roman" w:hAnsi="Arial" w:cs="Arial"/>
          <w:color w:val="000000"/>
          <w:sz w:val="20"/>
          <w:szCs w:val="20"/>
          <w:lang w:eastAsia="sl-SI"/>
        </w:rPr>
        <w:t>Zavezanec za domači povrhnji davek v Sloveniji mora v 15</w:t>
      </w:r>
      <w:r w:rsidR="00973D15">
        <w:rPr>
          <w:rFonts w:ascii="Arial" w:eastAsia="Times New Roman" w:hAnsi="Arial" w:cs="Arial"/>
          <w:color w:val="000000"/>
          <w:sz w:val="20"/>
          <w:szCs w:val="20"/>
          <w:lang w:eastAsia="sl-SI"/>
        </w:rPr>
        <w:t>.</w:t>
      </w:r>
      <w:r w:rsidRPr="00DA4299">
        <w:rPr>
          <w:rFonts w:ascii="Arial" w:eastAsia="Times New Roman" w:hAnsi="Arial" w:cs="Arial"/>
          <w:color w:val="000000"/>
          <w:sz w:val="20"/>
          <w:szCs w:val="20"/>
          <w:lang w:eastAsia="sl-SI"/>
        </w:rPr>
        <w:t xml:space="preserve"> mesecih po zaključku poslovnega leta poročanja predložiti obračun domačega povrhnjega davka v Sloveniji, ki se šteje za davčni obračun. Za prvo leto je skladno s sistemom predložitve informativnega obrazca za obračun predpisano daljše 18 mesečno obdobje. To pomeni, da bo za leto 2024 zavezanec za domači povrhnji davek moral predložiti obračun domačega povrhnjega davka do 30.6.2026. </w:t>
      </w:r>
    </w:p>
    <w:p w14:paraId="19A57807" w14:textId="77777777" w:rsidR="008273B0" w:rsidRPr="00DA4299" w:rsidRDefault="008273B0" w:rsidP="008273B0">
      <w:pPr>
        <w:spacing w:after="120"/>
        <w:jc w:val="both"/>
        <w:rPr>
          <w:rFonts w:ascii="Arial" w:eastAsia="Times New Roman" w:hAnsi="Arial" w:cs="Arial"/>
          <w:color w:val="000000"/>
          <w:sz w:val="20"/>
          <w:szCs w:val="20"/>
          <w:lang w:eastAsia="sl-SI"/>
        </w:rPr>
      </w:pPr>
      <w:r w:rsidRPr="006205A8">
        <w:rPr>
          <w:rFonts w:ascii="Arial" w:eastAsia="Times New Roman" w:hAnsi="Arial" w:cs="Arial"/>
          <w:color w:val="000000"/>
          <w:sz w:val="20"/>
          <w:szCs w:val="20"/>
          <w:lang w:eastAsia="sl-SI"/>
        </w:rPr>
        <w:t xml:space="preserve">Zavezanec za domači povrhnji davek mora davčnemu organu predložiti obračun davka ne glede na to, ali je za obdobje, za katero predloži obračun, dolžan plačati domači povrhnji davek ali ne. Namen absolutne zaveze za predložitev obračuna, ne glede na dejansko obveznost plačila davka, je predvidena za namene poročanja glede obveznosti za plačilo domačega povrhnjega davka v Sloveniji. </w:t>
      </w:r>
      <w:r w:rsidR="00730402" w:rsidRPr="006205A8">
        <w:rPr>
          <w:rFonts w:ascii="Arial" w:eastAsia="Times New Roman" w:hAnsi="Arial" w:cs="Arial"/>
          <w:color w:val="000000"/>
          <w:sz w:val="20"/>
          <w:szCs w:val="20"/>
          <w:lang w:eastAsia="sl-SI"/>
        </w:rPr>
        <w:t>Takšen sistem dolžnosti predlaganja davčnega obračuna ne glede na morebitno oprostitev, nastanek davčne</w:t>
      </w:r>
      <w:r w:rsidR="00730402">
        <w:rPr>
          <w:rFonts w:ascii="Arial" w:eastAsia="Times New Roman" w:hAnsi="Arial" w:cs="Arial"/>
          <w:color w:val="000000"/>
          <w:sz w:val="20"/>
          <w:szCs w:val="20"/>
          <w:lang w:eastAsia="sl-SI"/>
        </w:rPr>
        <w:t xml:space="preserve"> obveznosti ali terjatve je skladna s sistemom davčnih obračun</w:t>
      </w:r>
      <w:r w:rsidR="00973D15">
        <w:rPr>
          <w:rFonts w:ascii="Arial" w:eastAsia="Times New Roman" w:hAnsi="Arial" w:cs="Arial"/>
          <w:color w:val="000000"/>
          <w:sz w:val="20"/>
          <w:szCs w:val="20"/>
          <w:lang w:eastAsia="sl-SI"/>
        </w:rPr>
        <w:t>ov</w:t>
      </w:r>
      <w:r w:rsidR="00730402">
        <w:rPr>
          <w:rFonts w:ascii="Arial" w:eastAsia="Times New Roman" w:hAnsi="Arial" w:cs="Arial"/>
          <w:color w:val="000000"/>
          <w:sz w:val="20"/>
          <w:szCs w:val="20"/>
          <w:lang w:eastAsia="sl-SI"/>
        </w:rPr>
        <w:t xml:space="preserve"> po 51. členu ZDavP-2. </w:t>
      </w:r>
      <w:r w:rsidRPr="00DA4299">
        <w:rPr>
          <w:rFonts w:ascii="Arial" w:eastAsia="Times New Roman" w:hAnsi="Arial" w:cs="Arial"/>
          <w:color w:val="000000"/>
          <w:sz w:val="20"/>
          <w:szCs w:val="20"/>
          <w:lang w:eastAsia="sl-SI"/>
        </w:rPr>
        <w:t xml:space="preserve">Pravilnost obračunanega domačega povrhnjega davka se bo preverjala preko informacij informativnega obrazca za obračun. </w:t>
      </w:r>
    </w:p>
    <w:p w14:paraId="7BFA55D8" w14:textId="77777777" w:rsidR="008C78BC" w:rsidRPr="00DA4299" w:rsidRDefault="008273B0" w:rsidP="008273B0">
      <w:pPr>
        <w:spacing w:after="120"/>
        <w:jc w:val="both"/>
        <w:rPr>
          <w:rFonts w:ascii="Arial" w:eastAsia="Times New Roman" w:hAnsi="Arial" w:cs="Arial"/>
          <w:color w:val="000000"/>
          <w:sz w:val="20"/>
          <w:szCs w:val="20"/>
          <w:lang w:eastAsia="sl-SI"/>
        </w:rPr>
      </w:pPr>
      <w:r w:rsidRPr="00DA4299">
        <w:rPr>
          <w:rFonts w:ascii="Arial" w:eastAsia="Times New Roman" w:hAnsi="Arial" w:cs="Arial"/>
          <w:color w:val="000000"/>
          <w:sz w:val="20"/>
          <w:szCs w:val="20"/>
          <w:lang w:eastAsia="sl-SI"/>
        </w:rPr>
        <w:t>Kot izhaja zgoraj je primarna obveznost za predložitev obračuna domačega povrhnjega davka na vsakem posameznem zavezancu za davek. Zakonodajalec pa je predpisal administrativno razbremenitev po vzoru poročanja informacij iz informativnega obrazca za obračun.</w:t>
      </w:r>
      <w:r w:rsidR="008C78BC" w:rsidRPr="00DA4299">
        <w:rPr>
          <w:rFonts w:ascii="Arial" w:eastAsia="Times New Roman" w:hAnsi="Arial" w:cs="Arial"/>
          <w:color w:val="000000"/>
          <w:sz w:val="20"/>
          <w:szCs w:val="20"/>
          <w:lang w:eastAsia="sl-SI"/>
        </w:rPr>
        <w:t xml:space="preserve"> Tako lahko</w:t>
      </w:r>
      <w:r w:rsidRPr="00DA4299">
        <w:rPr>
          <w:rFonts w:ascii="Arial" w:eastAsia="Times New Roman" w:hAnsi="Arial" w:cs="Arial"/>
          <w:color w:val="000000"/>
          <w:sz w:val="20"/>
          <w:szCs w:val="20"/>
          <w:lang w:eastAsia="sl-SI"/>
        </w:rPr>
        <w:t xml:space="preserve"> </w:t>
      </w:r>
      <w:r w:rsidR="008C78BC" w:rsidRPr="00DA4299">
        <w:rPr>
          <w:rFonts w:ascii="Arial" w:eastAsia="Times New Roman" w:hAnsi="Arial" w:cs="Arial"/>
          <w:color w:val="000000"/>
          <w:sz w:val="20"/>
          <w:szCs w:val="20"/>
          <w:lang w:eastAsia="sl-SI"/>
        </w:rPr>
        <w:t>z</w:t>
      </w:r>
      <w:r w:rsidRPr="00DA4299">
        <w:rPr>
          <w:rFonts w:ascii="Arial" w:eastAsia="Times New Roman" w:hAnsi="Arial" w:cs="Arial"/>
          <w:color w:val="000000"/>
          <w:sz w:val="20"/>
          <w:szCs w:val="20"/>
          <w:lang w:eastAsia="sl-SI"/>
        </w:rPr>
        <w:t xml:space="preserve">avezanci za davek, ki so subjekti v sestavi iste mednarodne skupine ali velike domače skupine, izmed sebe imenujejo </w:t>
      </w:r>
      <w:proofErr w:type="spellStart"/>
      <w:r w:rsidRPr="00DA4299">
        <w:rPr>
          <w:rFonts w:ascii="Arial" w:eastAsia="Times New Roman" w:hAnsi="Arial" w:cs="Arial"/>
          <w:color w:val="000000"/>
          <w:sz w:val="20"/>
          <w:szCs w:val="20"/>
          <w:lang w:eastAsia="sl-SI"/>
        </w:rPr>
        <w:t>vložniški</w:t>
      </w:r>
      <w:proofErr w:type="spellEnd"/>
      <w:r w:rsidRPr="00DA4299">
        <w:rPr>
          <w:rFonts w:ascii="Arial" w:eastAsia="Times New Roman" w:hAnsi="Arial" w:cs="Arial"/>
          <w:color w:val="000000"/>
          <w:sz w:val="20"/>
          <w:szCs w:val="20"/>
          <w:lang w:eastAsia="sl-SI"/>
        </w:rPr>
        <w:t xml:space="preserve"> subjekt, da predloži obračun domačega povrhnjega davka v imenu vseh. </w:t>
      </w:r>
      <w:r w:rsidR="008C78BC" w:rsidRPr="00DA4299">
        <w:rPr>
          <w:rFonts w:ascii="Arial" w:eastAsia="Times New Roman" w:hAnsi="Arial" w:cs="Arial"/>
          <w:color w:val="000000"/>
          <w:sz w:val="20"/>
          <w:szCs w:val="20"/>
          <w:lang w:eastAsia="sl-SI"/>
        </w:rPr>
        <w:t xml:space="preserve">Glede na dikcijo ZMD je tak </w:t>
      </w:r>
      <w:proofErr w:type="spellStart"/>
      <w:r w:rsidR="008C78BC" w:rsidRPr="00DA4299">
        <w:rPr>
          <w:rFonts w:ascii="Arial" w:eastAsia="Times New Roman" w:hAnsi="Arial" w:cs="Arial"/>
          <w:color w:val="000000"/>
          <w:sz w:val="20"/>
          <w:szCs w:val="20"/>
          <w:lang w:eastAsia="sl-SI"/>
        </w:rPr>
        <w:t>vložniški</w:t>
      </w:r>
      <w:proofErr w:type="spellEnd"/>
      <w:r w:rsidR="008C78BC" w:rsidRPr="00DA4299">
        <w:rPr>
          <w:rFonts w:ascii="Arial" w:eastAsia="Times New Roman" w:hAnsi="Arial" w:cs="Arial"/>
          <w:color w:val="000000"/>
          <w:sz w:val="20"/>
          <w:szCs w:val="20"/>
          <w:lang w:eastAsia="sl-SI"/>
        </w:rPr>
        <w:t xml:space="preserve"> subjekt lahko le subjekt v sestavi, ki se nahaja v Sloveniji. </w:t>
      </w:r>
    </w:p>
    <w:p w14:paraId="4DBC2D3D" w14:textId="77777777" w:rsidR="008C78BC" w:rsidRPr="00DA4299" w:rsidRDefault="008273B0" w:rsidP="008273B0">
      <w:pPr>
        <w:spacing w:after="120"/>
        <w:jc w:val="both"/>
        <w:rPr>
          <w:rFonts w:ascii="Arial" w:eastAsia="Times New Roman" w:hAnsi="Arial" w:cs="Arial"/>
          <w:color w:val="000000"/>
          <w:sz w:val="20"/>
          <w:szCs w:val="20"/>
          <w:lang w:eastAsia="sl-SI"/>
        </w:rPr>
      </w:pPr>
      <w:proofErr w:type="spellStart"/>
      <w:r w:rsidRPr="00DA4299">
        <w:rPr>
          <w:rFonts w:ascii="Arial" w:eastAsia="Times New Roman" w:hAnsi="Arial" w:cs="Arial"/>
          <w:color w:val="000000"/>
          <w:sz w:val="20"/>
          <w:szCs w:val="20"/>
          <w:lang w:eastAsia="sl-SI"/>
        </w:rPr>
        <w:t>Vložniški</w:t>
      </w:r>
      <w:proofErr w:type="spellEnd"/>
      <w:r w:rsidRPr="00DA4299">
        <w:rPr>
          <w:rFonts w:ascii="Arial" w:eastAsia="Times New Roman" w:hAnsi="Arial" w:cs="Arial"/>
          <w:color w:val="000000"/>
          <w:sz w:val="20"/>
          <w:szCs w:val="20"/>
          <w:lang w:eastAsia="sl-SI"/>
        </w:rPr>
        <w:t xml:space="preserve"> subjekt mora v</w:t>
      </w:r>
      <w:r w:rsidR="008C78BC" w:rsidRPr="00DA4299">
        <w:rPr>
          <w:rFonts w:ascii="Arial" w:eastAsia="Times New Roman" w:hAnsi="Arial" w:cs="Arial"/>
          <w:color w:val="000000"/>
          <w:sz w:val="20"/>
          <w:szCs w:val="20"/>
          <w:lang w:eastAsia="sl-SI"/>
        </w:rPr>
        <w:t xml:space="preserve"> istem</w:t>
      </w:r>
      <w:r w:rsidRPr="00DA4299">
        <w:rPr>
          <w:rFonts w:ascii="Arial" w:eastAsia="Times New Roman" w:hAnsi="Arial" w:cs="Arial"/>
          <w:color w:val="000000"/>
          <w:sz w:val="20"/>
          <w:szCs w:val="20"/>
          <w:lang w:eastAsia="sl-SI"/>
        </w:rPr>
        <w:t xml:space="preserve"> roku </w:t>
      </w:r>
      <w:r w:rsidR="008C78BC" w:rsidRPr="00DA4299">
        <w:rPr>
          <w:rFonts w:ascii="Arial" w:eastAsia="Times New Roman" w:hAnsi="Arial" w:cs="Arial"/>
          <w:color w:val="000000"/>
          <w:sz w:val="20"/>
          <w:szCs w:val="20"/>
          <w:lang w:eastAsia="sl-SI"/>
        </w:rPr>
        <w:t>predl</w:t>
      </w:r>
      <w:r w:rsidRPr="00DA4299">
        <w:rPr>
          <w:rFonts w:ascii="Arial" w:eastAsia="Times New Roman" w:hAnsi="Arial" w:cs="Arial"/>
          <w:color w:val="000000"/>
          <w:sz w:val="20"/>
          <w:szCs w:val="20"/>
          <w:lang w:eastAsia="sl-SI"/>
        </w:rPr>
        <w:t xml:space="preserve">ožiti davčni obračun, v katerem obračuna domači povrhnji davek za vse subjekte v sestavi mednarodne skupine, ki se nahajajo v Sloveniji, ali velike domače skupine. </w:t>
      </w:r>
    </w:p>
    <w:p w14:paraId="47205B0C" w14:textId="77777777" w:rsidR="008273B0" w:rsidRPr="00DA4299" w:rsidRDefault="008C78BC" w:rsidP="008273B0">
      <w:pPr>
        <w:spacing w:after="120"/>
        <w:jc w:val="both"/>
        <w:rPr>
          <w:rFonts w:ascii="Arial" w:eastAsia="Times New Roman" w:hAnsi="Arial" w:cs="Arial"/>
          <w:color w:val="000000"/>
          <w:sz w:val="20"/>
          <w:szCs w:val="20"/>
          <w:lang w:eastAsia="sl-SI"/>
        </w:rPr>
      </w:pPr>
      <w:r w:rsidRPr="00DA4299">
        <w:rPr>
          <w:rFonts w:ascii="Arial" w:eastAsia="Times New Roman" w:hAnsi="Arial" w:cs="Arial"/>
          <w:color w:val="000000"/>
          <w:sz w:val="20"/>
          <w:szCs w:val="20"/>
          <w:lang w:eastAsia="sl-SI"/>
        </w:rPr>
        <w:t>Ta administrativna poenostavitev ima dve posebnosti:</w:t>
      </w:r>
    </w:p>
    <w:p w14:paraId="3F51A5B0" w14:textId="77777777" w:rsidR="008C78BC" w:rsidRPr="00DA4299" w:rsidRDefault="008C78BC" w:rsidP="008273B0">
      <w:pPr>
        <w:spacing w:after="120"/>
        <w:jc w:val="both"/>
        <w:rPr>
          <w:rFonts w:ascii="Arial" w:eastAsia="Times New Roman" w:hAnsi="Arial" w:cs="Arial"/>
          <w:color w:val="000000"/>
          <w:sz w:val="20"/>
          <w:szCs w:val="20"/>
          <w:lang w:eastAsia="sl-SI"/>
        </w:rPr>
      </w:pPr>
      <w:r w:rsidRPr="00DA4299">
        <w:rPr>
          <w:rFonts w:ascii="Arial" w:eastAsia="Times New Roman" w:hAnsi="Arial" w:cs="Arial"/>
          <w:color w:val="000000"/>
          <w:sz w:val="20"/>
          <w:szCs w:val="20"/>
          <w:lang w:eastAsia="sl-SI"/>
        </w:rPr>
        <w:t>- Prva posebnost centralnega vlaganja obračuna domačega povrhnjega davka nastopi, č</w:t>
      </w:r>
      <w:r w:rsidR="008273B0" w:rsidRPr="00DA4299">
        <w:rPr>
          <w:rFonts w:ascii="Arial" w:eastAsia="Times New Roman" w:hAnsi="Arial" w:cs="Arial"/>
          <w:color w:val="000000"/>
          <w:sz w:val="20"/>
          <w:szCs w:val="20"/>
          <w:lang w:eastAsia="sl-SI"/>
        </w:rPr>
        <w:t xml:space="preserve">e imenovani </w:t>
      </w:r>
      <w:proofErr w:type="spellStart"/>
      <w:r w:rsidR="008273B0" w:rsidRPr="00DA4299">
        <w:rPr>
          <w:rFonts w:ascii="Arial" w:eastAsia="Times New Roman" w:hAnsi="Arial" w:cs="Arial"/>
          <w:color w:val="000000"/>
          <w:sz w:val="20"/>
          <w:szCs w:val="20"/>
          <w:lang w:eastAsia="sl-SI"/>
        </w:rPr>
        <w:t>vložniški</w:t>
      </w:r>
      <w:proofErr w:type="spellEnd"/>
      <w:r w:rsidR="008273B0" w:rsidRPr="00DA4299">
        <w:rPr>
          <w:rFonts w:ascii="Arial" w:eastAsia="Times New Roman" w:hAnsi="Arial" w:cs="Arial"/>
          <w:color w:val="000000"/>
          <w:sz w:val="20"/>
          <w:szCs w:val="20"/>
          <w:lang w:eastAsia="sl-SI"/>
        </w:rPr>
        <w:t xml:space="preserve"> subjekt ne predloži obračuna domačega povrhnjega davka</w:t>
      </w:r>
      <w:r w:rsidRPr="00DA4299">
        <w:rPr>
          <w:rFonts w:ascii="Arial" w:eastAsia="Times New Roman" w:hAnsi="Arial" w:cs="Arial"/>
          <w:color w:val="000000"/>
          <w:sz w:val="20"/>
          <w:szCs w:val="20"/>
          <w:lang w:eastAsia="sl-SI"/>
        </w:rPr>
        <w:t xml:space="preserve">. V primeru neizpolnitve dolžnosti </w:t>
      </w:r>
      <w:proofErr w:type="spellStart"/>
      <w:r w:rsidRPr="00DA4299">
        <w:rPr>
          <w:rFonts w:ascii="Arial" w:eastAsia="Times New Roman" w:hAnsi="Arial" w:cs="Arial"/>
          <w:color w:val="000000"/>
          <w:sz w:val="20"/>
          <w:szCs w:val="20"/>
          <w:lang w:eastAsia="sl-SI"/>
        </w:rPr>
        <w:t>vložniškega</w:t>
      </w:r>
      <w:proofErr w:type="spellEnd"/>
      <w:r w:rsidRPr="00DA4299">
        <w:rPr>
          <w:rFonts w:ascii="Arial" w:eastAsia="Times New Roman" w:hAnsi="Arial" w:cs="Arial"/>
          <w:color w:val="000000"/>
          <w:sz w:val="20"/>
          <w:szCs w:val="20"/>
          <w:lang w:eastAsia="sl-SI"/>
        </w:rPr>
        <w:t xml:space="preserve"> subjekta</w:t>
      </w:r>
      <w:r w:rsidR="008273B0" w:rsidRPr="00DA4299">
        <w:rPr>
          <w:rFonts w:ascii="Arial" w:eastAsia="Times New Roman" w:hAnsi="Arial" w:cs="Arial"/>
          <w:color w:val="000000"/>
          <w:sz w:val="20"/>
          <w:szCs w:val="20"/>
          <w:lang w:eastAsia="sl-SI"/>
        </w:rPr>
        <w:t xml:space="preserve"> se šteje, da so za predložitev obračuna odgovorni subjekti v sestavi.</w:t>
      </w:r>
      <w:r w:rsidRPr="00DA4299">
        <w:rPr>
          <w:rFonts w:ascii="Arial" w:eastAsia="Times New Roman" w:hAnsi="Arial" w:cs="Arial"/>
          <w:color w:val="000000"/>
          <w:sz w:val="20"/>
          <w:szCs w:val="20"/>
          <w:lang w:eastAsia="sl-SI"/>
        </w:rPr>
        <w:t xml:space="preserve"> V tem primeru mora vsak subjekt v sestavi zase predložiti obračun domačega povrhnjega davka in odgovarjati za morebitno zamudo.</w:t>
      </w:r>
    </w:p>
    <w:p w14:paraId="3A4E31F8" w14:textId="77777777" w:rsidR="008273B0" w:rsidRPr="00DA4299" w:rsidRDefault="008C78BC" w:rsidP="008273B0">
      <w:pPr>
        <w:spacing w:after="120"/>
        <w:jc w:val="both"/>
        <w:rPr>
          <w:rFonts w:ascii="Arial" w:eastAsia="Times New Roman" w:hAnsi="Arial" w:cs="Arial"/>
          <w:color w:val="000000"/>
          <w:sz w:val="20"/>
          <w:szCs w:val="20"/>
          <w:lang w:eastAsia="sl-SI"/>
        </w:rPr>
      </w:pPr>
      <w:r w:rsidRPr="00DA4299">
        <w:rPr>
          <w:rFonts w:ascii="Arial" w:eastAsia="Times New Roman" w:hAnsi="Arial" w:cs="Arial"/>
          <w:color w:val="000000"/>
          <w:sz w:val="20"/>
          <w:szCs w:val="20"/>
          <w:lang w:eastAsia="sl-SI"/>
        </w:rPr>
        <w:t xml:space="preserve">- Druga posebnost pa je, da je v primeru, ko je za predložitev domačega povrhnjega davka v Sloveniji imenovan </w:t>
      </w:r>
      <w:proofErr w:type="spellStart"/>
      <w:r w:rsidRPr="00DA4299">
        <w:rPr>
          <w:rFonts w:ascii="Arial" w:eastAsia="Times New Roman" w:hAnsi="Arial" w:cs="Arial"/>
          <w:color w:val="000000"/>
          <w:sz w:val="20"/>
          <w:szCs w:val="20"/>
          <w:lang w:eastAsia="sl-SI"/>
        </w:rPr>
        <w:t>vložniški</w:t>
      </w:r>
      <w:proofErr w:type="spellEnd"/>
      <w:r w:rsidRPr="00DA4299">
        <w:rPr>
          <w:rFonts w:ascii="Arial" w:eastAsia="Times New Roman" w:hAnsi="Arial" w:cs="Arial"/>
          <w:color w:val="000000"/>
          <w:sz w:val="20"/>
          <w:szCs w:val="20"/>
          <w:lang w:eastAsia="sl-SI"/>
        </w:rPr>
        <w:t xml:space="preserve"> subjekt, so vsi subjekti v sestavi posamezne mednarodne ali domače skupine podjetij</w:t>
      </w:r>
      <w:r w:rsidR="006100F4">
        <w:rPr>
          <w:rFonts w:ascii="Arial" w:eastAsia="Times New Roman" w:hAnsi="Arial" w:cs="Arial"/>
          <w:color w:val="000000"/>
          <w:sz w:val="20"/>
          <w:szCs w:val="20"/>
          <w:lang w:eastAsia="sl-SI"/>
        </w:rPr>
        <w:t>, ki se nahajajo v Sloveniji,</w:t>
      </w:r>
      <w:r w:rsidRPr="00DA4299">
        <w:rPr>
          <w:rFonts w:ascii="Arial" w:eastAsia="Times New Roman" w:hAnsi="Arial" w:cs="Arial"/>
          <w:color w:val="000000"/>
          <w:sz w:val="20"/>
          <w:szCs w:val="20"/>
          <w:lang w:eastAsia="sl-SI"/>
        </w:rPr>
        <w:t xml:space="preserve"> solidarno odgovorni za plačilo celotnega zneska domačega povrhnjega davka. Gre za varnostno določbo, ki preprečuje, da bi se obveznost plačila domačega povrhnjega davka prenesla na subjekt v sestavi v Sloveniji, ki je nelikviden. Posledično, če </w:t>
      </w:r>
      <w:proofErr w:type="spellStart"/>
      <w:r w:rsidRPr="00DA4299">
        <w:rPr>
          <w:rFonts w:ascii="Arial" w:eastAsia="Times New Roman" w:hAnsi="Arial" w:cs="Arial"/>
          <w:color w:val="000000"/>
          <w:sz w:val="20"/>
          <w:szCs w:val="20"/>
          <w:lang w:eastAsia="sl-SI"/>
        </w:rPr>
        <w:t>vložniški</w:t>
      </w:r>
      <w:proofErr w:type="spellEnd"/>
      <w:r w:rsidRPr="00DA4299">
        <w:rPr>
          <w:rFonts w:ascii="Arial" w:eastAsia="Times New Roman" w:hAnsi="Arial" w:cs="Arial"/>
          <w:color w:val="000000"/>
          <w:sz w:val="20"/>
          <w:szCs w:val="20"/>
          <w:lang w:eastAsia="sl-SI"/>
        </w:rPr>
        <w:t xml:space="preserve"> subjekt davka ne plača v zakonskem roku, so za plačilo solidarno zavezani vsi subjekti v sestavi. </w:t>
      </w:r>
    </w:p>
    <w:p w14:paraId="64DFD98C" w14:textId="77777777" w:rsidR="008273B0" w:rsidRPr="00DA4299" w:rsidRDefault="008273B0" w:rsidP="008273B0">
      <w:pPr>
        <w:spacing w:after="120"/>
        <w:jc w:val="both"/>
        <w:rPr>
          <w:rFonts w:ascii="Arial" w:eastAsia="Times New Roman" w:hAnsi="Arial" w:cs="Arial"/>
          <w:color w:val="000000"/>
          <w:sz w:val="20"/>
          <w:szCs w:val="20"/>
          <w:lang w:eastAsia="sl-SI"/>
        </w:rPr>
      </w:pPr>
      <w:r w:rsidRPr="00DA4299">
        <w:rPr>
          <w:rFonts w:ascii="Arial" w:eastAsia="Times New Roman" w:hAnsi="Arial" w:cs="Arial"/>
          <w:color w:val="000000"/>
          <w:sz w:val="20"/>
          <w:szCs w:val="20"/>
          <w:lang w:eastAsia="sl-SI"/>
        </w:rPr>
        <w:t xml:space="preserve">Subjekt v sestavi, ki mora v skladu tem členom predložiti obračun domačega povrhnjega davka, mora domači povrhnji davek v Sloveniji plačati v 30 dneh od predložitve davčnega obračuna. </w:t>
      </w:r>
      <w:r w:rsidR="008C78BC" w:rsidRPr="00DA4299">
        <w:rPr>
          <w:rFonts w:ascii="Arial" w:eastAsia="Times New Roman" w:hAnsi="Arial" w:cs="Arial"/>
          <w:color w:val="000000"/>
          <w:sz w:val="20"/>
          <w:szCs w:val="20"/>
          <w:lang w:eastAsia="sl-SI"/>
        </w:rPr>
        <w:t xml:space="preserve">Če je to </w:t>
      </w:r>
      <w:proofErr w:type="spellStart"/>
      <w:r w:rsidR="008C78BC" w:rsidRPr="00DA4299">
        <w:rPr>
          <w:rFonts w:ascii="Arial" w:eastAsia="Times New Roman" w:hAnsi="Arial" w:cs="Arial"/>
          <w:color w:val="000000"/>
          <w:sz w:val="20"/>
          <w:szCs w:val="20"/>
          <w:lang w:eastAsia="sl-SI"/>
        </w:rPr>
        <w:t>vložniški</w:t>
      </w:r>
      <w:proofErr w:type="spellEnd"/>
      <w:r w:rsidR="008C78BC" w:rsidRPr="00DA4299">
        <w:rPr>
          <w:rFonts w:ascii="Arial" w:eastAsia="Times New Roman" w:hAnsi="Arial" w:cs="Arial"/>
          <w:color w:val="000000"/>
          <w:sz w:val="20"/>
          <w:szCs w:val="20"/>
          <w:lang w:eastAsia="sl-SI"/>
        </w:rPr>
        <w:t xml:space="preserve"> subjekt, ki vloži obračun za vse subjekte v sestavi v Sloveniji, potem mora </w:t>
      </w:r>
      <w:proofErr w:type="spellStart"/>
      <w:r w:rsidR="008C78BC" w:rsidRPr="00DA4299">
        <w:rPr>
          <w:rFonts w:ascii="Arial" w:eastAsia="Times New Roman" w:hAnsi="Arial" w:cs="Arial"/>
          <w:color w:val="000000"/>
          <w:sz w:val="20"/>
          <w:szCs w:val="20"/>
          <w:lang w:eastAsia="sl-SI"/>
        </w:rPr>
        <w:t>vložniški</w:t>
      </w:r>
      <w:proofErr w:type="spellEnd"/>
      <w:r w:rsidR="008C78BC" w:rsidRPr="00DA4299">
        <w:rPr>
          <w:rFonts w:ascii="Arial" w:eastAsia="Times New Roman" w:hAnsi="Arial" w:cs="Arial"/>
          <w:color w:val="000000"/>
          <w:sz w:val="20"/>
          <w:szCs w:val="20"/>
          <w:lang w:eastAsia="sl-SI"/>
        </w:rPr>
        <w:t xml:space="preserve"> subjekt obračunati in plačati obveznost za vse subjekte v sestavi, ki so dolžni izračunati domači povrhnji davek. V primeru </w:t>
      </w:r>
      <w:r w:rsidR="008C78BC" w:rsidRPr="00DA4299">
        <w:rPr>
          <w:rFonts w:ascii="Arial" w:eastAsia="Times New Roman" w:hAnsi="Arial" w:cs="Arial"/>
          <w:color w:val="000000"/>
          <w:sz w:val="20"/>
          <w:szCs w:val="20"/>
          <w:lang w:eastAsia="sl-SI"/>
        </w:rPr>
        <w:lastRenderedPageBreak/>
        <w:t xml:space="preserve">kršitve te obveznosti, obveznost plačila po principu solidarne odgovornosti pade na vse subjekte v sestavi, za katere je ali bi moral biti obračunan in plačan domači povrhnji davek. </w:t>
      </w:r>
    </w:p>
    <w:p w14:paraId="7AA9C39F" w14:textId="77777777" w:rsidR="008273B0" w:rsidRPr="00DA4299" w:rsidRDefault="008C78BC" w:rsidP="008273B0">
      <w:pPr>
        <w:spacing w:after="120" w:line="260" w:lineRule="exact"/>
        <w:jc w:val="both"/>
        <w:rPr>
          <w:rFonts w:ascii="Arial" w:eastAsia="Times New Roman" w:hAnsi="Arial" w:cs="Arial"/>
          <w:color w:val="000000"/>
          <w:sz w:val="20"/>
          <w:szCs w:val="20"/>
          <w:lang w:eastAsia="sl-SI"/>
        </w:rPr>
      </w:pPr>
      <w:r w:rsidRPr="00DA4299">
        <w:rPr>
          <w:rFonts w:ascii="Arial" w:eastAsia="Times New Roman" w:hAnsi="Arial" w:cs="Arial"/>
          <w:color w:val="000000"/>
          <w:sz w:val="20"/>
          <w:szCs w:val="20"/>
          <w:lang w:eastAsia="sl-SI"/>
        </w:rPr>
        <w:t>O</w:t>
      </w:r>
      <w:r w:rsidR="008273B0" w:rsidRPr="00DA4299">
        <w:rPr>
          <w:rFonts w:ascii="Arial" w:eastAsia="Times New Roman" w:hAnsi="Arial" w:cs="Arial"/>
          <w:color w:val="000000"/>
          <w:sz w:val="20"/>
          <w:szCs w:val="20"/>
          <w:lang w:eastAsia="sl-SI"/>
        </w:rPr>
        <w:t>blik</w:t>
      </w:r>
      <w:r w:rsidRPr="00DA4299">
        <w:rPr>
          <w:rFonts w:ascii="Arial" w:eastAsia="Times New Roman" w:hAnsi="Arial" w:cs="Arial"/>
          <w:color w:val="000000"/>
          <w:sz w:val="20"/>
          <w:szCs w:val="20"/>
          <w:lang w:eastAsia="sl-SI"/>
        </w:rPr>
        <w:t>a</w:t>
      </w:r>
      <w:r w:rsidR="008273B0" w:rsidRPr="00DA4299">
        <w:rPr>
          <w:rFonts w:ascii="Arial" w:eastAsia="Times New Roman" w:hAnsi="Arial" w:cs="Arial"/>
          <w:color w:val="000000"/>
          <w:sz w:val="20"/>
          <w:szCs w:val="20"/>
          <w:lang w:eastAsia="sl-SI"/>
        </w:rPr>
        <w:t>, podrobnejš</w:t>
      </w:r>
      <w:r w:rsidRPr="00DA4299">
        <w:rPr>
          <w:rFonts w:ascii="Arial" w:eastAsia="Times New Roman" w:hAnsi="Arial" w:cs="Arial"/>
          <w:color w:val="000000"/>
          <w:sz w:val="20"/>
          <w:szCs w:val="20"/>
          <w:lang w:eastAsia="sl-SI"/>
        </w:rPr>
        <w:t>a</w:t>
      </w:r>
      <w:r w:rsidR="008273B0" w:rsidRPr="00DA4299">
        <w:rPr>
          <w:rFonts w:ascii="Arial" w:eastAsia="Times New Roman" w:hAnsi="Arial" w:cs="Arial"/>
          <w:color w:val="000000"/>
          <w:sz w:val="20"/>
          <w:szCs w:val="20"/>
          <w:lang w:eastAsia="sl-SI"/>
        </w:rPr>
        <w:t xml:space="preserve"> vsebin</w:t>
      </w:r>
      <w:r w:rsidRPr="00DA4299">
        <w:rPr>
          <w:rFonts w:ascii="Arial" w:eastAsia="Times New Roman" w:hAnsi="Arial" w:cs="Arial"/>
          <w:color w:val="000000"/>
          <w:sz w:val="20"/>
          <w:szCs w:val="20"/>
          <w:lang w:eastAsia="sl-SI"/>
        </w:rPr>
        <w:t>a</w:t>
      </w:r>
      <w:r w:rsidR="008273B0" w:rsidRPr="00DA4299">
        <w:rPr>
          <w:rFonts w:ascii="Arial" w:eastAsia="Times New Roman" w:hAnsi="Arial" w:cs="Arial"/>
          <w:color w:val="000000"/>
          <w:sz w:val="20"/>
          <w:szCs w:val="20"/>
          <w:lang w:eastAsia="sl-SI"/>
        </w:rPr>
        <w:t xml:space="preserve"> in način vložitve obračuna domačega povrhnjega davka po tem zakonu</w:t>
      </w:r>
      <w:r w:rsidRPr="00DA4299">
        <w:rPr>
          <w:rFonts w:ascii="Arial" w:eastAsia="Times New Roman" w:hAnsi="Arial" w:cs="Arial"/>
          <w:color w:val="000000"/>
          <w:sz w:val="20"/>
          <w:szCs w:val="20"/>
          <w:lang w:eastAsia="sl-SI"/>
        </w:rPr>
        <w:t xml:space="preserve"> je predpisana v Pravilniku </w:t>
      </w:r>
      <w:r w:rsidR="00C54D82" w:rsidRPr="00DA4299">
        <w:rPr>
          <w:rFonts w:ascii="Arial" w:eastAsia="Times New Roman" w:hAnsi="Arial" w:cs="Arial"/>
          <w:color w:val="000000"/>
          <w:sz w:val="20"/>
          <w:szCs w:val="20"/>
          <w:lang w:eastAsia="sl-SI"/>
        </w:rPr>
        <w:t>o davčnem obračunu domačega povrhnjega davka</w:t>
      </w:r>
      <w:r w:rsidR="008273B0" w:rsidRPr="00DA4299">
        <w:rPr>
          <w:rFonts w:ascii="Arial" w:eastAsia="Times New Roman" w:hAnsi="Arial" w:cs="Arial"/>
          <w:color w:val="000000"/>
          <w:sz w:val="20"/>
          <w:szCs w:val="20"/>
          <w:lang w:eastAsia="sl-SI"/>
        </w:rPr>
        <w:t>. Obrazec obračuna domačega povrhnjega davka vsebuje podatke, ki so podlaga za ugotovitev dejanske davčne stopnje, neto kvalificiranega dohodka in domačega povrhnjega davka.</w:t>
      </w:r>
      <w:r w:rsidR="00C54D82" w:rsidRPr="00DA4299">
        <w:rPr>
          <w:rFonts w:ascii="Arial" w:eastAsia="Times New Roman" w:hAnsi="Arial" w:cs="Arial"/>
          <w:color w:val="000000"/>
          <w:sz w:val="20"/>
          <w:szCs w:val="20"/>
          <w:lang w:eastAsia="sl-SI"/>
        </w:rPr>
        <w:t xml:space="preserve"> Ker je ena od zavez držav v okviru OECD, da ne bodo podvojevala administrativnih obremenitev zavezancev za davek, davčni obračun domačega povrhnjega davka vsebuj samo bistvene (agregirane) podatke po osnovni formuli. Razčlenjene podatke, ki so potrebni za preveritev pravilnosti izračuna, se poroča v okviru Informativnega obrazca za obračun in jih zato ni treba poročati dvakrat.</w:t>
      </w:r>
      <w:r w:rsidR="00207A9C">
        <w:rPr>
          <w:rStyle w:val="Sprotnaopomba-sklic"/>
          <w:rFonts w:ascii="Arial" w:eastAsia="Times New Roman" w:hAnsi="Arial" w:cs="Arial"/>
          <w:color w:val="000000"/>
          <w:sz w:val="20"/>
          <w:szCs w:val="20"/>
          <w:lang w:eastAsia="sl-SI"/>
        </w:rPr>
        <w:footnoteReference w:id="9"/>
      </w:r>
      <w:r w:rsidR="00C54D82" w:rsidRPr="00DA4299">
        <w:rPr>
          <w:rFonts w:ascii="Arial" w:eastAsia="Times New Roman" w:hAnsi="Arial" w:cs="Arial"/>
          <w:color w:val="000000"/>
          <w:sz w:val="20"/>
          <w:szCs w:val="20"/>
          <w:lang w:eastAsia="sl-SI"/>
        </w:rPr>
        <w:t xml:space="preserve"> </w:t>
      </w:r>
      <w:r w:rsidR="008273B0" w:rsidRPr="00DA4299">
        <w:rPr>
          <w:rFonts w:ascii="Arial" w:eastAsia="Times New Roman" w:hAnsi="Arial" w:cs="Arial"/>
          <w:color w:val="000000"/>
          <w:sz w:val="20"/>
          <w:szCs w:val="20"/>
          <w:lang w:eastAsia="sl-SI"/>
        </w:rPr>
        <w:t xml:space="preserve"> </w:t>
      </w:r>
    </w:p>
    <w:p w14:paraId="5DC29CF3" w14:textId="77777777" w:rsidR="008273B0" w:rsidRDefault="00C54D82" w:rsidP="001605E7">
      <w:pPr>
        <w:jc w:val="both"/>
        <w:rPr>
          <w:rFonts w:ascii="Arial" w:hAnsi="Arial" w:cs="Arial"/>
          <w:sz w:val="20"/>
          <w:szCs w:val="20"/>
        </w:rPr>
      </w:pPr>
      <w:bookmarkStart w:id="41" w:name="_Hlk148014337"/>
      <w:r>
        <w:rPr>
          <w:rFonts w:ascii="Arial" w:hAnsi="Arial" w:cs="Arial"/>
          <w:sz w:val="20"/>
          <w:szCs w:val="20"/>
        </w:rPr>
        <w:t>Spodaj je podan prikaz načina poročanja za potrebe davčnega obračuna domačega povrhnjega davka.</w:t>
      </w:r>
    </w:p>
    <w:p w14:paraId="0E0C0F97" w14:textId="77777777" w:rsidR="00C54D82" w:rsidRPr="00DA4299" w:rsidRDefault="00C54D82" w:rsidP="00DA4299">
      <w:pPr>
        <w:pStyle w:val="FURSnaslov2"/>
        <w:rPr>
          <w:i/>
          <w:iCs/>
          <w:sz w:val="20"/>
          <w:szCs w:val="20"/>
          <w:lang w:val="sl-SI"/>
        </w:rPr>
      </w:pPr>
      <w:bookmarkStart w:id="42" w:name="_Toc157425331"/>
      <w:r w:rsidRPr="00DA4299">
        <w:rPr>
          <w:i/>
          <w:iCs/>
          <w:sz w:val="20"/>
          <w:szCs w:val="20"/>
          <w:lang w:val="sl-SI"/>
        </w:rPr>
        <w:t xml:space="preserve">Primer </w:t>
      </w:r>
      <w:r w:rsidR="009B2D6E">
        <w:rPr>
          <w:i/>
          <w:iCs/>
          <w:sz w:val="20"/>
          <w:szCs w:val="20"/>
          <w:lang w:val="sl-SI"/>
        </w:rPr>
        <w:t>5</w:t>
      </w:r>
      <w:r w:rsidRPr="00DA4299">
        <w:rPr>
          <w:i/>
          <w:iCs/>
          <w:sz w:val="20"/>
          <w:szCs w:val="20"/>
          <w:lang w:val="sl-SI"/>
        </w:rPr>
        <w:t xml:space="preserve"> </w:t>
      </w:r>
      <w:r w:rsidR="00DA4299" w:rsidRPr="00DA4299">
        <w:rPr>
          <w:i/>
          <w:iCs/>
          <w:sz w:val="20"/>
          <w:szCs w:val="20"/>
          <w:lang w:val="sl-SI"/>
        </w:rPr>
        <w:t xml:space="preserve"> - Obračun domačega povrhnjega davka</w:t>
      </w:r>
      <w:bookmarkEnd w:id="42"/>
    </w:p>
    <w:p w14:paraId="7FBECA40" w14:textId="77777777" w:rsidR="000E1DA1" w:rsidRDefault="000E1DA1" w:rsidP="001605E7">
      <w:pPr>
        <w:jc w:val="both"/>
        <w:rPr>
          <w:rFonts w:ascii="Arial" w:hAnsi="Arial" w:cs="Arial"/>
          <w:i/>
          <w:iCs/>
          <w:sz w:val="20"/>
          <w:szCs w:val="20"/>
        </w:rPr>
      </w:pPr>
      <w:r w:rsidRPr="00DA4299">
        <w:rPr>
          <w:rFonts w:ascii="Arial" w:hAnsi="Arial" w:cs="Arial"/>
          <w:i/>
          <w:iCs/>
          <w:sz w:val="20"/>
          <w:szCs w:val="20"/>
        </w:rPr>
        <w:t xml:space="preserve">1. Mednarodna skupina ima krovni matični subjekt (UPE) A Co v jurisdikciji A in tri odvisne družbe v Sloveniji B Co, C Co, in D Co. B Co je 100% neposredni lastnik C Co in D Co, torej gre za vmesni matični subjekt. </w:t>
      </w:r>
    </w:p>
    <w:p w14:paraId="5561F482" w14:textId="77777777" w:rsidR="000E1DA1" w:rsidRPr="00DA4299" w:rsidRDefault="00A4474D" w:rsidP="001605E7">
      <w:pPr>
        <w:jc w:val="both"/>
        <w:rPr>
          <w:rFonts w:ascii="Arial" w:hAnsi="Arial" w:cs="Arial"/>
          <w:i/>
          <w:iCs/>
          <w:sz w:val="20"/>
          <w:szCs w:val="20"/>
        </w:rPr>
      </w:pPr>
      <w:r>
        <w:rPr>
          <w:rFonts w:ascii="Arial" w:hAnsi="Arial" w:cs="Arial"/>
          <w:i/>
          <w:iCs/>
          <w:noProof/>
          <w:sz w:val="20"/>
          <w:szCs w:val="20"/>
          <w:lang w:eastAsia="sl-SI"/>
        </w:rPr>
        <w:drawing>
          <wp:inline distT="0" distB="0" distL="0" distR="0" wp14:anchorId="44FB6B82" wp14:editId="7C5821DB">
            <wp:extent cx="5726430" cy="3844617"/>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099" cy="3855137"/>
                    </a:xfrm>
                    <a:prstGeom prst="rect">
                      <a:avLst/>
                    </a:prstGeom>
                    <a:noFill/>
                  </pic:spPr>
                </pic:pic>
              </a:graphicData>
            </a:graphic>
          </wp:inline>
        </w:drawing>
      </w:r>
      <w:r w:rsidR="000E1DA1" w:rsidRPr="00DA4299">
        <w:rPr>
          <w:rFonts w:ascii="Arial" w:hAnsi="Arial" w:cs="Arial"/>
          <w:i/>
          <w:iCs/>
          <w:sz w:val="20"/>
          <w:szCs w:val="20"/>
        </w:rPr>
        <w:t xml:space="preserve">2. B Co in C Co sta nizko-obdavčena subjekta, D Co pa </w:t>
      </w:r>
      <w:r>
        <w:rPr>
          <w:rFonts w:ascii="Arial" w:hAnsi="Arial" w:cs="Arial"/>
          <w:i/>
          <w:iCs/>
          <w:sz w:val="20"/>
          <w:szCs w:val="20"/>
        </w:rPr>
        <w:t>ima ETR višjo od 15%</w:t>
      </w:r>
      <w:r w:rsidR="000E1DA1" w:rsidRPr="00DA4299">
        <w:rPr>
          <w:rFonts w:ascii="Arial" w:hAnsi="Arial" w:cs="Arial"/>
          <w:i/>
          <w:iCs/>
          <w:sz w:val="20"/>
          <w:szCs w:val="20"/>
        </w:rPr>
        <w:t>, vendar jurisdikcijska dejanska davčna stopnja ne presega 15 %. To pomeni, da bo v zvezi s Slovenijo treba najprej izračunati domači povrhnji davek (QDMTT), potem pa bo A Co moral</w:t>
      </w:r>
      <w:r w:rsidR="00FD46A5">
        <w:rPr>
          <w:rFonts w:ascii="Arial" w:hAnsi="Arial" w:cs="Arial"/>
          <w:i/>
          <w:iCs/>
          <w:sz w:val="20"/>
          <w:szCs w:val="20"/>
        </w:rPr>
        <w:t xml:space="preserve"> pri izračunu povrhnjega davka za Slovenijo</w:t>
      </w:r>
      <w:r w:rsidR="000E1DA1" w:rsidRPr="00DA4299">
        <w:rPr>
          <w:rFonts w:ascii="Arial" w:hAnsi="Arial" w:cs="Arial"/>
          <w:i/>
          <w:iCs/>
          <w:sz w:val="20"/>
          <w:szCs w:val="20"/>
        </w:rPr>
        <w:t xml:space="preserve"> ustrezno upoštevati slovenski domači povrhnji davek v jurisdikciji A. Katere so poročevalske obveznosti glede na trenutno situacijo?</w:t>
      </w:r>
    </w:p>
    <w:p w14:paraId="29EDF16D" w14:textId="77777777" w:rsidR="000E1DA1" w:rsidRPr="00DA4299" w:rsidRDefault="000E1DA1" w:rsidP="001605E7">
      <w:pPr>
        <w:jc w:val="both"/>
        <w:rPr>
          <w:rFonts w:ascii="Arial" w:hAnsi="Arial" w:cs="Arial"/>
          <w:i/>
          <w:iCs/>
          <w:sz w:val="20"/>
          <w:szCs w:val="20"/>
        </w:rPr>
      </w:pPr>
      <w:r w:rsidRPr="00DA4299">
        <w:rPr>
          <w:rFonts w:ascii="Arial" w:hAnsi="Arial" w:cs="Arial"/>
          <w:i/>
          <w:iCs/>
          <w:sz w:val="20"/>
          <w:szCs w:val="20"/>
        </w:rPr>
        <w:t>3. V Sloveniji so vsi subjekti v sestavi zavezanci za obračun domačega povrhnjega davka, ki se jim dodeli na podlagi njihovega deleža v jurisdikcijskem kvalificiranem dohodku glede na njihov lastni kvalificirani dohodek. Subjekt</w:t>
      </w:r>
      <w:r w:rsidR="00E10530">
        <w:rPr>
          <w:rFonts w:ascii="Arial" w:hAnsi="Arial" w:cs="Arial"/>
          <w:i/>
          <w:iCs/>
          <w:sz w:val="20"/>
          <w:szCs w:val="20"/>
        </w:rPr>
        <w:t>om</w:t>
      </w:r>
      <w:r w:rsidRPr="00DA4299">
        <w:rPr>
          <w:rFonts w:ascii="Arial" w:hAnsi="Arial" w:cs="Arial"/>
          <w:i/>
          <w:iCs/>
          <w:sz w:val="20"/>
          <w:szCs w:val="20"/>
        </w:rPr>
        <w:t xml:space="preserve"> v sestavi, ki izkazujejo kvalificirano izgubo, se ne dodeli povrhnj</w:t>
      </w:r>
      <w:r w:rsidR="00A4474D">
        <w:rPr>
          <w:rFonts w:ascii="Arial" w:hAnsi="Arial" w:cs="Arial"/>
          <w:i/>
          <w:iCs/>
          <w:sz w:val="20"/>
          <w:szCs w:val="20"/>
        </w:rPr>
        <w:t>ega</w:t>
      </w:r>
      <w:r w:rsidRPr="00DA4299">
        <w:rPr>
          <w:rFonts w:ascii="Arial" w:hAnsi="Arial" w:cs="Arial"/>
          <w:i/>
          <w:iCs/>
          <w:sz w:val="20"/>
          <w:szCs w:val="20"/>
        </w:rPr>
        <w:t xml:space="preserve"> davk</w:t>
      </w:r>
      <w:r w:rsidR="00A4474D">
        <w:rPr>
          <w:rFonts w:ascii="Arial" w:hAnsi="Arial" w:cs="Arial"/>
          <w:i/>
          <w:iCs/>
          <w:sz w:val="20"/>
          <w:szCs w:val="20"/>
        </w:rPr>
        <w:t>a, vendar bodo vseeno morali predložiti obračun domačega povrhnjega davka, iz katerega bo razvidno, da imajo kvalificirano izgubo</w:t>
      </w:r>
      <w:r w:rsidRPr="00DA4299">
        <w:rPr>
          <w:rFonts w:ascii="Arial" w:hAnsi="Arial" w:cs="Arial"/>
          <w:i/>
          <w:iCs/>
          <w:sz w:val="20"/>
          <w:szCs w:val="20"/>
        </w:rPr>
        <w:t xml:space="preserve">. </w:t>
      </w:r>
    </w:p>
    <w:p w14:paraId="2853A00A" w14:textId="77777777" w:rsidR="00FC1F52" w:rsidRPr="00DA4299" w:rsidRDefault="00FC1F52" w:rsidP="001605E7">
      <w:pPr>
        <w:jc w:val="both"/>
        <w:rPr>
          <w:rFonts w:ascii="Arial" w:hAnsi="Arial" w:cs="Arial"/>
          <w:i/>
          <w:iCs/>
          <w:sz w:val="20"/>
          <w:szCs w:val="20"/>
        </w:rPr>
      </w:pPr>
      <w:r w:rsidRPr="00DA4299">
        <w:rPr>
          <w:rFonts w:ascii="Arial" w:hAnsi="Arial" w:cs="Arial"/>
          <w:i/>
          <w:iCs/>
          <w:sz w:val="20"/>
          <w:szCs w:val="20"/>
        </w:rPr>
        <w:lastRenderedPageBreak/>
        <w:t xml:space="preserve">4. Subjekti v sestavi v Sloveniji se dogovorijo, da bo vmesni matični subjekt B Co predložil obračun domačega povrhnjega davka za vse subjekte v sestavi v Sloveniji. Prav tako se mednarodna skupina dogovori, da bo A Co centralni mednarodni </w:t>
      </w:r>
      <w:proofErr w:type="spellStart"/>
      <w:r w:rsidRPr="00DA4299">
        <w:rPr>
          <w:rFonts w:ascii="Arial" w:hAnsi="Arial" w:cs="Arial"/>
          <w:i/>
          <w:iCs/>
          <w:sz w:val="20"/>
          <w:szCs w:val="20"/>
        </w:rPr>
        <w:t>vložniški</w:t>
      </w:r>
      <w:proofErr w:type="spellEnd"/>
      <w:r w:rsidRPr="00DA4299">
        <w:rPr>
          <w:rFonts w:ascii="Arial" w:hAnsi="Arial" w:cs="Arial"/>
          <w:i/>
          <w:iCs/>
          <w:sz w:val="20"/>
          <w:szCs w:val="20"/>
        </w:rPr>
        <w:t xml:space="preserve"> subjekt in bo tako za celotno skupino predložil GIR v jurisdikciji A. </w:t>
      </w:r>
    </w:p>
    <w:p w14:paraId="2B2F7760" w14:textId="77777777" w:rsidR="00FC1F52" w:rsidRPr="00DA4299" w:rsidRDefault="00FC1F52" w:rsidP="001605E7">
      <w:pPr>
        <w:jc w:val="both"/>
        <w:rPr>
          <w:rFonts w:ascii="Arial" w:hAnsi="Arial" w:cs="Arial"/>
          <w:i/>
          <w:iCs/>
          <w:sz w:val="20"/>
          <w:szCs w:val="20"/>
        </w:rPr>
      </w:pPr>
      <w:r w:rsidRPr="00DA4299">
        <w:rPr>
          <w:rFonts w:ascii="Arial" w:hAnsi="Arial" w:cs="Arial"/>
          <w:i/>
          <w:iCs/>
          <w:sz w:val="20"/>
          <w:szCs w:val="20"/>
        </w:rPr>
        <w:t xml:space="preserve">5. B Co mora torej za leto 2024 predložiti obračun domačega povrhnjega davka do 30.6.2026. Do istega dne mora A Co v jurisdikciji A predložiti GIR, ki ga bo jurisdikcija A potem na podlagi MCAA delila s Slovenijo, ki ima pravico do obdavčitve po sistemu QDMTT. </w:t>
      </w:r>
    </w:p>
    <w:p w14:paraId="57036C40" w14:textId="77777777" w:rsidR="00FC1F52" w:rsidRPr="00DA4299" w:rsidRDefault="00FC1F52" w:rsidP="001605E7">
      <w:pPr>
        <w:jc w:val="both"/>
        <w:rPr>
          <w:rFonts w:ascii="Arial" w:hAnsi="Arial" w:cs="Arial"/>
          <w:i/>
          <w:iCs/>
          <w:sz w:val="20"/>
          <w:szCs w:val="20"/>
        </w:rPr>
      </w:pPr>
      <w:r w:rsidRPr="00DA4299">
        <w:rPr>
          <w:rFonts w:ascii="Arial" w:hAnsi="Arial" w:cs="Arial"/>
          <w:i/>
          <w:iCs/>
          <w:sz w:val="20"/>
          <w:szCs w:val="20"/>
        </w:rPr>
        <w:t xml:space="preserve">6. Ker je A Co UPE in ima jurisdikcija A implementirana pravila povrhnjega davka, bo morala A Co v jurisdikciji A predložiti tudi tam predpisan obračun za povrhnji davek po pravilu IIR za Slovenijo. Ker pa je v Sloveniji v veljavi kvalificirano pravilo domačega povrhnjega davka, mora v Sloveniji izračunan in plačan davek jurisdikcija A upoštevati pri izračunu obveznosti povrhnjega davka po pravilu IIR. </w:t>
      </w:r>
      <w:r w:rsidR="00E51F2D">
        <w:rPr>
          <w:rFonts w:ascii="Arial" w:hAnsi="Arial" w:cs="Arial"/>
          <w:i/>
          <w:iCs/>
          <w:sz w:val="20"/>
          <w:szCs w:val="20"/>
        </w:rPr>
        <w:t>Ker je B Co vmesni matični subjekt</w:t>
      </w:r>
      <w:r w:rsidR="00190885" w:rsidRPr="00DA4299">
        <w:rPr>
          <w:rFonts w:ascii="Arial" w:hAnsi="Arial" w:cs="Arial"/>
          <w:i/>
          <w:iCs/>
          <w:sz w:val="20"/>
          <w:szCs w:val="20"/>
        </w:rPr>
        <w:t xml:space="preserve"> v Sloveniji</w:t>
      </w:r>
      <w:r w:rsidR="00E51F2D">
        <w:rPr>
          <w:rFonts w:ascii="Arial" w:hAnsi="Arial" w:cs="Arial"/>
          <w:i/>
          <w:iCs/>
          <w:sz w:val="20"/>
          <w:szCs w:val="20"/>
        </w:rPr>
        <w:t xml:space="preserve">, ki v trenutni zgradbi skupine nima obveznosti po IIR, C Co in D Co pa sta subjekta v </w:t>
      </w:r>
      <w:r w:rsidR="00A330B0">
        <w:rPr>
          <w:rFonts w:ascii="Arial" w:hAnsi="Arial" w:cs="Arial"/>
          <w:i/>
          <w:iCs/>
          <w:sz w:val="20"/>
          <w:szCs w:val="20"/>
        </w:rPr>
        <w:t>sestavi</w:t>
      </w:r>
      <w:r w:rsidR="00E51F2D">
        <w:rPr>
          <w:rFonts w:ascii="Arial" w:hAnsi="Arial" w:cs="Arial"/>
          <w:i/>
          <w:iCs/>
          <w:sz w:val="20"/>
          <w:szCs w:val="20"/>
        </w:rPr>
        <w:t>, ki nimata pravice obdavčevanja po IIR, slovenski subjekti v sestavi niso dolžni pr</w:t>
      </w:r>
      <w:r w:rsidR="00190885" w:rsidRPr="00DA4299">
        <w:rPr>
          <w:rFonts w:ascii="Arial" w:hAnsi="Arial" w:cs="Arial"/>
          <w:i/>
          <w:iCs/>
          <w:sz w:val="20"/>
          <w:szCs w:val="20"/>
        </w:rPr>
        <w:t>edložiti obračun</w:t>
      </w:r>
      <w:r w:rsidR="00E51F2D">
        <w:rPr>
          <w:rFonts w:ascii="Arial" w:hAnsi="Arial" w:cs="Arial"/>
          <w:i/>
          <w:iCs/>
          <w:sz w:val="20"/>
          <w:szCs w:val="20"/>
        </w:rPr>
        <w:t>a</w:t>
      </w:r>
      <w:r w:rsidR="00190885" w:rsidRPr="00DA4299">
        <w:rPr>
          <w:rFonts w:ascii="Arial" w:hAnsi="Arial" w:cs="Arial"/>
          <w:i/>
          <w:iCs/>
          <w:sz w:val="20"/>
          <w:szCs w:val="20"/>
        </w:rPr>
        <w:t xml:space="preserve"> povrhnjega davka, ker niso dolžni plačati povrhnjega davka ne po pravilu IIR niti po pravilu UTPR. </w:t>
      </w:r>
    </w:p>
    <w:p w14:paraId="395CACF1" w14:textId="77777777" w:rsidR="00FC1F52" w:rsidRPr="00DA4299" w:rsidRDefault="00FC1F52" w:rsidP="00DA4299">
      <w:pPr>
        <w:pStyle w:val="FURSnaslov2"/>
        <w:rPr>
          <w:i/>
          <w:iCs/>
          <w:sz w:val="20"/>
          <w:szCs w:val="20"/>
          <w:lang w:val="sl-SI"/>
        </w:rPr>
      </w:pPr>
      <w:bookmarkStart w:id="43" w:name="_Toc157425332"/>
      <w:r w:rsidRPr="00DA4299">
        <w:rPr>
          <w:i/>
          <w:iCs/>
          <w:sz w:val="20"/>
          <w:szCs w:val="20"/>
          <w:lang w:val="sl-SI"/>
        </w:rPr>
        <w:t xml:space="preserve">Primer </w:t>
      </w:r>
      <w:r w:rsidR="009B2D6E">
        <w:rPr>
          <w:i/>
          <w:iCs/>
          <w:sz w:val="20"/>
          <w:szCs w:val="20"/>
          <w:lang w:val="sl-SI"/>
        </w:rPr>
        <w:t>6</w:t>
      </w:r>
      <w:r w:rsidR="00DA4299" w:rsidRPr="00DA4299">
        <w:rPr>
          <w:i/>
          <w:iCs/>
          <w:sz w:val="20"/>
          <w:szCs w:val="20"/>
          <w:lang w:val="sl-SI"/>
        </w:rPr>
        <w:t xml:space="preserve"> – domači povrhnji davek 2</w:t>
      </w:r>
      <w:bookmarkEnd w:id="43"/>
    </w:p>
    <w:p w14:paraId="33635D49" w14:textId="77777777" w:rsidR="00FC1F52" w:rsidRPr="00DA4299" w:rsidRDefault="00FC1F52" w:rsidP="001605E7">
      <w:pPr>
        <w:jc w:val="both"/>
        <w:rPr>
          <w:rFonts w:ascii="Arial" w:hAnsi="Arial" w:cs="Arial"/>
          <w:i/>
          <w:iCs/>
          <w:sz w:val="20"/>
          <w:szCs w:val="20"/>
        </w:rPr>
      </w:pPr>
      <w:r w:rsidRPr="00DA4299">
        <w:rPr>
          <w:rFonts w:ascii="Arial" w:hAnsi="Arial" w:cs="Arial"/>
          <w:i/>
          <w:iCs/>
          <w:sz w:val="20"/>
          <w:szCs w:val="20"/>
        </w:rPr>
        <w:t>1. Gre za podobno situacijo kot pri prejšnjem primeru, z razliko, da jurisdikcija A ni implementirala pravil povrhnjega davka in, da je A Co, ki je krovni matični subjekt, nizko obdavčen subjekt.</w:t>
      </w:r>
    </w:p>
    <w:p w14:paraId="05FE9B28" w14:textId="77777777" w:rsidR="00FC1F52" w:rsidRPr="00DA4299" w:rsidRDefault="00A330B0" w:rsidP="001605E7">
      <w:pPr>
        <w:jc w:val="both"/>
        <w:rPr>
          <w:rFonts w:ascii="Arial" w:hAnsi="Arial" w:cs="Arial"/>
          <w:i/>
          <w:iCs/>
          <w:sz w:val="20"/>
          <w:szCs w:val="20"/>
        </w:rPr>
      </w:pPr>
      <w:r>
        <w:rPr>
          <w:rFonts w:ascii="Arial" w:hAnsi="Arial" w:cs="Arial"/>
          <w:i/>
          <w:iCs/>
          <w:noProof/>
          <w:sz w:val="20"/>
          <w:szCs w:val="20"/>
          <w:lang w:eastAsia="sl-SI"/>
        </w:rPr>
        <w:drawing>
          <wp:inline distT="0" distB="0" distL="0" distR="0" wp14:anchorId="5C17C146" wp14:editId="165E77DE">
            <wp:extent cx="5809174" cy="3900170"/>
            <wp:effectExtent l="0" t="0" r="127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5749" cy="3904584"/>
                    </a:xfrm>
                    <a:prstGeom prst="rect">
                      <a:avLst/>
                    </a:prstGeom>
                    <a:noFill/>
                  </pic:spPr>
                </pic:pic>
              </a:graphicData>
            </a:graphic>
          </wp:inline>
        </w:drawing>
      </w:r>
      <w:r w:rsidR="00FC1F52" w:rsidRPr="00DA4299">
        <w:rPr>
          <w:rFonts w:ascii="Arial" w:hAnsi="Arial" w:cs="Arial"/>
          <w:i/>
          <w:iCs/>
          <w:sz w:val="20"/>
          <w:szCs w:val="20"/>
        </w:rPr>
        <w:t>2. Ker jurisdikcija A ni implementirala povrhnjega davka in ni del sistema izmenjave podatkov po MCAA, se mednarodna skupina dogovori, da bodo poročali centralno preko B Co tako za potrebe GIR kot tudi za potrebe domačega povrhnjega davka.</w:t>
      </w:r>
      <w:r w:rsidR="00E51F2D">
        <w:rPr>
          <w:rFonts w:ascii="Arial" w:hAnsi="Arial" w:cs="Arial"/>
          <w:i/>
          <w:iCs/>
          <w:sz w:val="20"/>
          <w:szCs w:val="20"/>
        </w:rPr>
        <w:t xml:space="preserve"> </w:t>
      </w:r>
    </w:p>
    <w:p w14:paraId="1392F4A6" w14:textId="77777777" w:rsidR="00190885" w:rsidRPr="00DA4299" w:rsidRDefault="00FC1F52" w:rsidP="001605E7">
      <w:pPr>
        <w:jc w:val="both"/>
        <w:rPr>
          <w:rFonts w:ascii="Arial" w:hAnsi="Arial" w:cs="Arial"/>
          <w:i/>
          <w:iCs/>
          <w:sz w:val="20"/>
          <w:szCs w:val="20"/>
        </w:rPr>
      </w:pPr>
      <w:r w:rsidRPr="00DA4299">
        <w:rPr>
          <w:rFonts w:ascii="Arial" w:hAnsi="Arial" w:cs="Arial"/>
          <w:i/>
          <w:iCs/>
          <w:sz w:val="20"/>
          <w:szCs w:val="20"/>
        </w:rPr>
        <w:t>3. B Co je tako najprej dolžna izračunati QDMTT za Slovenijo in predložiti obračun</w:t>
      </w:r>
      <w:r w:rsidR="00273952">
        <w:rPr>
          <w:rFonts w:ascii="Arial" w:hAnsi="Arial" w:cs="Arial"/>
          <w:i/>
          <w:iCs/>
          <w:sz w:val="20"/>
          <w:szCs w:val="20"/>
        </w:rPr>
        <w:t xml:space="preserve"> QDMTT</w:t>
      </w:r>
      <w:r w:rsidRPr="00DA4299">
        <w:rPr>
          <w:rFonts w:ascii="Arial" w:hAnsi="Arial" w:cs="Arial"/>
          <w:i/>
          <w:iCs/>
          <w:sz w:val="20"/>
          <w:szCs w:val="20"/>
        </w:rPr>
        <w:t xml:space="preserve"> za leto 2024 do 30.6.2026. Prav tako je dolžna pripraviti in predložiti informativni obrazec</w:t>
      </w:r>
      <w:r w:rsidR="00190885" w:rsidRPr="00DA4299">
        <w:rPr>
          <w:rFonts w:ascii="Arial" w:hAnsi="Arial" w:cs="Arial"/>
          <w:i/>
          <w:iCs/>
          <w:sz w:val="20"/>
          <w:szCs w:val="20"/>
        </w:rPr>
        <w:t xml:space="preserve"> za obračun za leto 2024 in ga predložiti v Sloveniji do 30.6.2026. Ker je A Co nizko obdavčen krovni matični subjekt v jurisdikciji,</w:t>
      </w:r>
      <w:r w:rsidR="00E51F2D">
        <w:rPr>
          <w:rFonts w:ascii="Arial" w:hAnsi="Arial" w:cs="Arial"/>
          <w:i/>
          <w:iCs/>
          <w:sz w:val="20"/>
          <w:szCs w:val="20"/>
        </w:rPr>
        <w:t xml:space="preserve"> ki ni implementirala pravil minimalnega davka,</w:t>
      </w:r>
      <w:r w:rsidR="00190885" w:rsidRPr="00DA4299">
        <w:rPr>
          <w:rFonts w:ascii="Arial" w:hAnsi="Arial" w:cs="Arial"/>
          <w:i/>
          <w:iCs/>
          <w:sz w:val="20"/>
          <w:szCs w:val="20"/>
        </w:rPr>
        <w:t xml:space="preserve"> bo B Co moral predložiti še obračun povrhnjega davka po IIR pravilu za</w:t>
      </w:r>
      <w:r w:rsidR="00A330B0">
        <w:rPr>
          <w:rFonts w:ascii="Arial" w:hAnsi="Arial" w:cs="Arial"/>
          <w:i/>
          <w:iCs/>
          <w:sz w:val="20"/>
          <w:szCs w:val="20"/>
        </w:rPr>
        <w:t xml:space="preserve"> sebe in</w:t>
      </w:r>
      <w:r w:rsidR="00190885" w:rsidRPr="00DA4299">
        <w:rPr>
          <w:rFonts w:ascii="Arial" w:hAnsi="Arial" w:cs="Arial"/>
          <w:i/>
          <w:iCs/>
          <w:sz w:val="20"/>
          <w:szCs w:val="20"/>
        </w:rPr>
        <w:t xml:space="preserve"> svoje subjekte v sestavi (princip domačega pravila IIR, ki je uzakonjen v 2 alineji prvega odstavka 11. člena – pri tem bo moral upoštevati obračunan domači povrhnji davek v Sloveniji</w:t>
      </w:r>
      <w:r w:rsidR="00273952">
        <w:rPr>
          <w:rFonts w:ascii="Arial" w:hAnsi="Arial" w:cs="Arial"/>
          <w:i/>
          <w:iCs/>
          <w:sz w:val="20"/>
          <w:szCs w:val="20"/>
        </w:rPr>
        <w:t>)</w:t>
      </w:r>
      <w:r w:rsidR="00190885" w:rsidRPr="00DA4299">
        <w:rPr>
          <w:rFonts w:ascii="Arial" w:hAnsi="Arial" w:cs="Arial"/>
          <w:i/>
          <w:iCs/>
          <w:sz w:val="20"/>
          <w:szCs w:val="20"/>
        </w:rPr>
        <w:t>.</w:t>
      </w:r>
      <w:r w:rsidR="00477FFE">
        <w:rPr>
          <w:rFonts w:ascii="Arial" w:hAnsi="Arial" w:cs="Arial"/>
          <w:i/>
          <w:iCs/>
          <w:sz w:val="20"/>
          <w:szCs w:val="20"/>
        </w:rPr>
        <w:t xml:space="preserve"> </w:t>
      </w:r>
      <w:r w:rsidR="00477FFE">
        <w:rPr>
          <w:rFonts w:ascii="Arial" w:hAnsi="Arial" w:cs="Arial"/>
          <w:i/>
          <w:iCs/>
          <w:sz w:val="20"/>
          <w:szCs w:val="20"/>
        </w:rPr>
        <w:lastRenderedPageBreak/>
        <w:t xml:space="preserve">Rok za </w:t>
      </w:r>
      <w:r w:rsidR="00E51F2D">
        <w:rPr>
          <w:rFonts w:ascii="Arial" w:hAnsi="Arial" w:cs="Arial"/>
          <w:i/>
          <w:iCs/>
          <w:sz w:val="20"/>
          <w:szCs w:val="20"/>
        </w:rPr>
        <w:t xml:space="preserve">predložitev </w:t>
      </w:r>
      <w:r w:rsidR="00477FFE">
        <w:rPr>
          <w:rFonts w:ascii="Arial" w:hAnsi="Arial" w:cs="Arial"/>
          <w:i/>
          <w:iCs/>
          <w:sz w:val="20"/>
          <w:szCs w:val="20"/>
        </w:rPr>
        <w:t xml:space="preserve">obračuna povrhnjega davka po pravilu IIR je 30 dni po poteku roka za predložitev informativnega obrazca za obračun, kar pomeni, da ga mora predložiti do konca julija 2026 za leto 2024. </w:t>
      </w:r>
      <w:r w:rsidR="00190885" w:rsidRPr="00DA4299">
        <w:rPr>
          <w:rFonts w:ascii="Arial" w:hAnsi="Arial" w:cs="Arial"/>
          <w:i/>
          <w:iCs/>
          <w:sz w:val="20"/>
          <w:szCs w:val="20"/>
        </w:rPr>
        <w:t xml:space="preserve"> </w:t>
      </w:r>
    </w:p>
    <w:p w14:paraId="07C030BE" w14:textId="77777777" w:rsidR="00FC1F52" w:rsidRPr="00DA4299" w:rsidRDefault="00190885" w:rsidP="001605E7">
      <w:pPr>
        <w:jc w:val="both"/>
        <w:rPr>
          <w:rFonts w:ascii="Arial" w:hAnsi="Arial" w:cs="Arial"/>
          <w:i/>
          <w:iCs/>
          <w:sz w:val="20"/>
          <w:szCs w:val="20"/>
        </w:rPr>
      </w:pPr>
      <w:r w:rsidRPr="00DA4299">
        <w:rPr>
          <w:rFonts w:ascii="Arial" w:hAnsi="Arial" w:cs="Arial"/>
          <w:i/>
          <w:iCs/>
          <w:sz w:val="20"/>
          <w:szCs w:val="20"/>
        </w:rPr>
        <w:t xml:space="preserve">4. Prav tako pa bi B Co moral v obračunu izračunati povrhnji davek po principu UTPR za matični nizko-obdavčen subjekt v jurisdikciji A. Vendar za leto 2024 UTPR pravilo še ne velja, zato v zvezi z nizko-obdavčenim matičnim subjektom A Co ni možno naložiti obveznosti povrhnjega davka subjektom v sestavi, ki so nižje v strukturi skupine. </w:t>
      </w:r>
      <w:bookmarkEnd w:id="41"/>
    </w:p>
    <w:p w14:paraId="731A917B" w14:textId="77777777" w:rsidR="00CD0FEE" w:rsidRPr="00655DCE" w:rsidRDefault="00D9667C" w:rsidP="00CD0FEE">
      <w:pPr>
        <w:pStyle w:val="FURSnaslov2"/>
        <w:rPr>
          <w:sz w:val="22"/>
          <w:szCs w:val="22"/>
          <w:lang w:val="sl-SI"/>
        </w:rPr>
      </w:pPr>
      <w:bookmarkStart w:id="44" w:name="_Toc157425333"/>
      <w:r>
        <w:rPr>
          <w:sz w:val="22"/>
          <w:szCs w:val="22"/>
          <w:lang w:val="sl-SI"/>
        </w:rPr>
        <w:t>5</w:t>
      </w:r>
      <w:r w:rsidR="00CD0FEE" w:rsidRPr="00EA79FD">
        <w:rPr>
          <w:sz w:val="22"/>
          <w:szCs w:val="22"/>
          <w:lang w:val="sl-SI"/>
        </w:rPr>
        <w:t xml:space="preserve">.3. </w:t>
      </w:r>
      <w:r w:rsidR="00CD0FEE" w:rsidRPr="00655DCE">
        <w:rPr>
          <w:sz w:val="22"/>
          <w:szCs w:val="22"/>
          <w:lang w:val="sl-SI"/>
        </w:rPr>
        <w:t>Obračun povrhnjega davka</w:t>
      </w:r>
      <w:bookmarkEnd w:id="44"/>
    </w:p>
    <w:p w14:paraId="5D4C1F2E" w14:textId="77777777" w:rsidR="00655DCE" w:rsidRPr="00273952" w:rsidRDefault="00655DCE" w:rsidP="00273952">
      <w:pPr>
        <w:shd w:val="clear" w:color="auto" w:fill="FFFFFF"/>
        <w:tabs>
          <w:tab w:val="left" w:pos="426"/>
        </w:tabs>
        <w:spacing w:before="120" w:line="240" w:lineRule="auto"/>
        <w:jc w:val="both"/>
        <w:rPr>
          <w:rFonts w:ascii="Arial" w:eastAsia="Times New Roman" w:hAnsi="Arial" w:cs="Arial"/>
          <w:sz w:val="20"/>
          <w:szCs w:val="20"/>
          <w:lang w:eastAsia="sl-SI"/>
        </w:rPr>
      </w:pPr>
      <w:bookmarkStart w:id="45" w:name="_Hlk153967538"/>
      <w:r w:rsidRPr="00273952">
        <w:rPr>
          <w:rFonts w:ascii="Arial" w:eastAsia="Times New Roman" w:hAnsi="Arial" w:cs="Arial"/>
          <w:sz w:val="20"/>
          <w:szCs w:val="20"/>
          <w:lang w:eastAsia="sl-SI"/>
        </w:rPr>
        <w:t xml:space="preserve">Subjekt v sestavi, ki je v skladu s tem zakonom zavezan za povrhnji davek na podlagi pravila o vključitvi dohodkov ali pravila o prenizko obdavčenih dobičkih v Sloveniji, mora v 30 dneh po poteku roka za predložitev informativnega obrazca za obračun predložiti obračun povrhnjega davka. </w:t>
      </w:r>
      <w:bookmarkEnd w:id="45"/>
      <w:r w:rsidR="00477FFE">
        <w:rPr>
          <w:rFonts w:ascii="Arial" w:eastAsia="Times New Roman" w:hAnsi="Arial" w:cs="Arial"/>
          <w:sz w:val="20"/>
          <w:szCs w:val="20"/>
          <w:lang w:eastAsia="sl-SI"/>
        </w:rPr>
        <w:t>Namen tega je, da je matični subjekt</w:t>
      </w:r>
      <w:r w:rsidR="000537DB">
        <w:rPr>
          <w:rFonts w:ascii="Arial" w:eastAsia="Times New Roman" w:hAnsi="Arial" w:cs="Arial"/>
          <w:sz w:val="20"/>
          <w:szCs w:val="20"/>
          <w:lang w:eastAsia="sl-SI"/>
        </w:rPr>
        <w:t xml:space="preserve">, ki ima obveznost za izračun povrhnjega davka po IIR pravilu, </w:t>
      </w:r>
      <w:r w:rsidR="00477FFE">
        <w:rPr>
          <w:rFonts w:ascii="Arial" w:eastAsia="Times New Roman" w:hAnsi="Arial" w:cs="Arial"/>
          <w:sz w:val="20"/>
          <w:szCs w:val="20"/>
          <w:lang w:eastAsia="sl-SI"/>
        </w:rPr>
        <w:t>dolžan</w:t>
      </w:r>
      <w:r w:rsidR="000537DB">
        <w:rPr>
          <w:rFonts w:ascii="Arial" w:eastAsia="Times New Roman" w:hAnsi="Arial" w:cs="Arial"/>
          <w:sz w:val="20"/>
          <w:szCs w:val="20"/>
          <w:lang w:eastAsia="sl-SI"/>
        </w:rPr>
        <w:t xml:space="preserve"> </w:t>
      </w:r>
      <w:r w:rsidR="00477FFE">
        <w:rPr>
          <w:rFonts w:ascii="Arial" w:eastAsia="Times New Roman" w:hAnsi="Arial" w:cs="Arial"/>
          <w:sz w:val="20"/>
          <w:szCs w:val="20"/>
          <w:lang w:eastAsia="sl-SI"/>
        </w:rPr>
        <w:t xml:space="preserve">predložiti obračun povrhnjega davka v 30 dneh, ko je zbral vse podatke za svoje subjekte v sestavi in jih je predložil skladno z obveznostjo za poročanje v okviru informativnega obrazca za obračun. </w:t>
      </w:r>
    </w:p>
    <w:p w14:paraId="4C551F85" w14:textId="77777777" w:rsidR="00655DCE" w:rsidRDefault="00655DCE" w:rsidP="00273952">
      <w:pPr>
        <w:shd w:val="clear" w:color="auto" w:fill="FFFFFF"/>
        <w:tabs>
          <w:tab w:val="left" w:pos="426"/>
        </w:tabs>
        <w:spacing w:before="120" w:line="240" w:lineRule="auto"/>
        <w:jc w:val="both"/>
        <w:rPr>
          <w:rFonts w:ascii="Arial" w:eastAsia="Times New Roman" w:hAnsi="Arial" w:cs="Arial"/>
          <w:sz w:val="20"/>
          <w:szCs w:val="20"/>
          <w:lang w:eastAsia="sl-SI"/>
        </w:rPr>
      </w:pPr>
      <w:r w:rsidRPr="00273952">
        <w:rPr>
          <w:rFonts w:ascii="Arial" w:eastAsia="Times New Roman" w:hAnsi="Arial" w:cs="Arial"/>
          <w:sz w:val="20"/>
          <w:szCs w:val="20"/>
          <w:lang w:eastAsia="sl-SI"/>
        </w:rPr>
        <w:t xml:space="preserve">Obračun povrhnjega davka se predloži davčnemu organu elektronsko preko portala </w:t>
      </w:r>
      <w:proofErr w:type="spellStart"/>
      <w:r w:rsidRPr="00273952">
        <w:rPr>
          <w:rFonts w:ascii="Arial" w:eastAsia="Times New Roman" w:hAnsi="Arial" w:cs="Arial"/>
          <w:sz w:val="20"/>
          <w:szCs w:val="20"/>
          <w:lang w:eastAsia="sl-SI"/>
        </w:rPr>
        <w:t>eDavki</w:t>
      </w:r>
      <w:proofErr w:type="spellEnd"/>
      <w:r w:rsidR="00477FFE">
        <w:rPr>
          <w:rFonts w:ascii="Arial" w:eastAsia="Times New Roman" w:hAnsi="Arial" w:cs="Arial"/>
          <w:sz w:val="20"/>
          <w:szCs w:val="20"/>
          <w:lang w:eastAsia="sl-SI"/>
        </w:rPr>
        <w:t>, kot to določa tudi Pravilnik o davčnem obračunu povrhnjega davka, ki ga je izdal Minister za finance</w:t>
      </w:r>
      <w:r w:rsidRPr="00273952">
        <w:rPr>
          <w:rFonts w:ascii="Arial" w:eastAsia="Times New Roman" w:hAnsi="Arial" w:cs="Arial"/>
          <w:sz w:val="20"/>
          <w:szCs w:val="20"/>
          <w:lang w:eastAsia="sl-SI"/>
        </w:rPr>
        <w:t>.</w:t>
      </w:r>
      <w:r w:rsidR="000537DB">
        <w:rPr>
          <w:rStyle w:val="Sprotnaopomba-sklic"/>
          <w:rFonts w:ascii="Arial" w:eastAsia="Times New Roman" w:hAnsi="Arial" w:cs="Arial"/>
          <w:sz w:val="20"/>
          <w:szCs w:val="20"/>
          <w:lang w:eastAsia="sl-SI"/>
        </w:rPr>
        <w:footnoteReference w:id="10"/>
      </w:r>
      <w:r w:rsidR="00477FFE">
        <w:rPr>
          <w:rFonts w:ascii="Arial" w:eastAsia="Times New Roman" w:hAnsi="Arial" w:cs="Arial"/>
          <w:sz w:val="20"/>
          <w:szCs w:val="20"/>
          <w:lang w:eastAsia="sl-SI"/>
        </w:rPr>
        <w:t xml:space="preserve"> </w:t>
      </w:r>
      <w:r w:rsidRPr="00273952">
        <w:rPr>
          <w:rFonts w:ascii="Arial" w:eastAsia="Times New Roman" w:hAnsi="Arial" w:cs="Arial"/>
          <w:sz w:val="20"/>
          <w:szCs w:val="20"/>
          <w:lang w:eastAsia="sl-SI"/>
        </w:rPr>
        <w:t>Obračun povrhnjega davka vsebuje podatke, ki so podlaga za ugotovitev davka, na način in v obsegu, kot je določeno s tem zakonom.</w:t>
      </w:r>
      <w:r w:rsidR="00730402">
        <w:rPr>
          <w:rFonts w:ascii="Arial" w:eastAsia="Times New Roman" w:hAnsi="Arial" w:cs="Arial"/>
          <w:sz w:val="20"/>
          <w:szCs w:val="20"/>
          <w:lang w:eastAsia="sl-SI"/>
        </w:rPr>
        <w:t xml:space="preserve"> Podobno kot za obračun domačega povrhnjega davka se za obračun povrhnjega davka zahteva sumarne podatke elementov formule za izračun povrhnjega davka. Ne zahteva se podrobne specifikacije podatkov, ki morajo biti vsebovani v informativnem obrazcu za obračun.</w:t>
      </w:r>
      <w:r w:rsidRPr="00273952">
        <w:rPr>
          <w:rFonts w:ascii="Arial" w:eastAsia="Times New Roman" w:hAnsi="Arial" w:cs="Arial"/>
          <w:sz w:val="20"/>
          <w:szCs w:val="20"/>
          <w:lang w:eastAsia="sl-SI"/>
        </w:rPr>
        <w:t xml:space="preserve"> </w:t>
      </w:r>
    </w:p>
    <w:p w14:paraId="78A71C29" w14:textId="77777777" w:rsidR="00AC3C76" w:rsidRPr="00273952" w:rsidRDefault="00E10530" w:rsidP="00273952">
      <w:pPr>
        <w:shd w:val="clear" w:color="auto" w:fill="FFFFFF"/>
        <w:tabs>
          <w:tab w:val="left" w:pos="426"/>
        </w:tabs>
        <w:spacing w:before="12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Zavezanost za obračun</w:t>
      </w:r>
      <w:r w:rsidR="00AC3C76">
        <w:rPr>
          <w:rFonts w:ascii="Arial" w:eastAsia="Times New Roman" w:hAnsi="Arial" w:cs="Arial"/>
          <w:sz w:val="20"/>
          <w:szCs w:val="20"/>
          <w:lang w:eastAsia="sl-SI"/>
        </w:rPr>
        <w:t xml:space="preserve"> povrhnjega davka pa bo nastopila le v primerih, ko bo subjekt v sestavi imel tako obveznost po pravilu o vključitvi dohodkov (IIR) ali pravilu o prenizko obdavčenih dobičkih (UTPR). Navedeno bo preverljivo v okviru podrobnih podatkov, ki so zahtevani v informativnem obrazcu za obračun. </w:t>
      </w:r>
    </w:p>
    <w:p w14:paraId="3DF051D9" w14:textId="77777777" w:rsidR="00655DCE" w:rsidRPr="00273952" w:rsidRDefault="00655DCE" w:rsidP="00273952">
      <w:pPr>
        <w:shd w:val="clear" w:color="auto" w:fill="FFFFFF"/>
        <w:tabs>
          <w:tab w:val="left" w:pos="426"/>
        </w:tabs>
        <w:spacing w:before="120" w:line="240" w:lineRule="auto"/>
        <w:jc w:val="both"/>
        <w:rPr>
          <w:rFonts w:ascii="Arial" w:eastAsia="Times New Roman" w:hAnsi="Arial" w:cs="Arial"/>
          <w:sz w:val="20"/>
          <w:szCs w:val="20"/>
          <w:lang w:eastAsia="sl-SI"/>
        </w:rPr>
      </w:pPr>
      <w:r w:rsidRPr="00273952">
        <w:rPr>
          <w:rFonts w:ascii="Arial" w:eastAsia="Times New Roman" w:hAnsi="Arial" w:cs="Arial"/>
          <w:sz w:val="20"/>
          <w:szCs w:val="20"/>
          <w:lang w:eastAsia="sl-SI"/>
        </w:rPr>
        <w:t xml:space="preserve">Za popravljanje obračuna se smiselno uporabljajo določbe zakona, ki ureja davčni postopek, v delu, ki se nanašajo na davčni obračun, ob upoštevanju določb ponovnega izračuna iz </w:t>
      </w:r>
      <w:r w:rsidR="00730402" w:rsidRPr="00D9667C">
        <w:rPr>
          <w:rFonts w:ascii="Arial" w:eastAsia="Times New Roman" w:hAnsi="Arial" w:cs="Arial"/>
          <w:sz w:val="20"/>
          <w:szCs w:val="20"/>
          <w:lang w:eastAsia="sl-SI"/>
        </w:rPr>
        <w:t>40</w:t>
      </w:r>
      <w:r w:rsidRPr="00D9667C">
        <w:rPr>
          <w:rFonts w:ascii="Arial" w:eastAsia="Times New Roman" w:hAnsi="Arial" w:cs="Arial"/>
          <w:sz w:val="20"/>
          <w:szCs w:val="20"/>
          <w:lang w:eastAsia="sl-SI"/>
        </w:rPr>
        <w:t>.</w:t>
      </w:r>
      <w:r w:rsidRPr="00273952">
        <w:rPr>
          <w:rFonts w:ascii="Arial" w:eastAsia="Times New Roman" w:hAnsi="Arial" w:cs="Arial"/>
          <w:sz w:val="20"/>
          <w:szCs w:val="20"/>
          <w:lang w:eastAsia="sl-SI"/>
        </w:rPr>
        <w:t xml:space="preserve"> člena </w:t>
      </w:r>
      <w:r w:rsidR="00730402">
        <w:rPr>
          <w:rFonts w:ascii="Arial" w:eastAsia="Times New Roman" w:hAnsi="Arial" w:cs="Arial"/>
          <w:sz w:val="20"/>
          <w:szCs w:val="20"/>
          <w:lang w:eastAsia="sl-SI"/>
        </w:rPr>
        <w:t>ZMD</w:t>
      </w:r>
      <w:r w:rsidRPr="00273952">
        <w:rPr>
          <w:rFonts w:ascii="Arial" w:eastAsia="Times New Roman" w:hAnsi="Arial" w:cs="Arial"/>
          <w:sz w:val="20"/>
          <w:szCs w:val="20"/>
          <w:lang w:eastAsia="sl-SI"/>
        </w:rPr>
        <w:t>.</w:t>
      </w:r>
      <w:r w:rsidR="00730402">
        <w:rPr>
          <w:rFonts w:ascii="Arial" w:eastAsia="Times New Roman" w:hAnsi="Arial" w:cs="Arial"/>
          <w:sz w:val="20"/>
          <w:szCs w:val="20"/>
          <w:lang w:eastAsia="sl-SI"/>
        </w:rPr>
        <w:t xml:space="preserve"> V tem primeru je treba upoštevati, da ZMD določene popravke preteklih podatkov ureja preko posebnega instituta dodatnega povrhnjega davka v okviru pravil ponovnega izračuna. Izven situacij, ki jih ureja 40. člen ZMD se obračun povrhnjega davka popravlja v skladu z določbami ZDavP-2 o popravkih obračunov, ki so vsebovane v 52. členu do 55. členu ZDavP-2. </w:t>
      </w:r>
    </w:p>
    <w:p w14:paraId="4780BC89" w14:textId="77777777" w:rsidR="00655DCE" w:rsidRPr="00273952" w:rsidRDefault="00655DCE" w:rsidP="00273952">
      <w:pPr>
        <w:shd w:val="clear" w:color="auto" w:fill="FFFFFF"/>
        <w:tabs>
          <w:tab w:val="left" w:pos="426"/>
        </w:tabs>
        <w:spacing w:before="120" w:line="240" w:lineRule="auto"/>
        <w:jc w:val="both"/>
        <w:rPr>
          <w:rFonts w:ascii="Arial" w:eastAsia="Times New Roman" w:hAnsi="Arial" w:cs="Arial"/>
          <w:sz w:val="20"/>
          <w:szCs w:val="20"/>
          <w:lang w:eastAsia="sl-SI"/>
        </w:rPr>
      </w:pPr>
      <w:r w:rsidRPr="00273952">
        <w:rPr>
          <w:rFonts w:ascii="Arial" w:eastAsia="Times New Roman" w:hAnsi="Arial" w:cs="Arial"/>
          <w:sz w:val="20"/>
          <w:szCs w:val="20"/>
          <w:lang w:eastAsia="sl-SI"/>
        </w:rPr>
        <w:t>Subjekt v sestavi, ki mora v skladu s prvim odstavkom tega člena predložiti obračun povrhnjega davka, mora</w:t>
      </w:r>
      <w:r w:rsidR="00730402">
        <w:rPr>
          <w:rFonts w:ascii="Arial" w:eastAsia="Times New Roman" w:hAnsi="Arial" w:cs="Arial"/>
          <w:sz w:val="20"/>
          <w:szCs w:val="20"/>
          <w:lang w:eastAsia="sl-SI"/>
        </w:rPr>
        <w:t xml:space="preserve"> (morebitni)</w:t>
      </w:r>
      <w:r w:rsidRPr="00273952">
        <w:rPr>
          <w:rFonts w:ascii="Arial" w:eastAsia="Times New Roman" w:hAnsi="Arial" w:cs="Arial"/>
          <w:sz w:val="20"/>
          <w:szCs w:val="20"/>
          <w:lang w:eastAsia="sl-SI"/>
        </w:rPr>
        <w:t xml:space="preserve"> povrhnji davek plačati v 30 dneh od predložitve davčnega obračuna. </w:t>
      </w:r>
      <w:r w:rsidR="00730402">
        <w:rPr>
          <w:rFonts w:ascii="Arial" w:eastAsia="Times New Roman" w:hAnsi="Arial" w:cs="Arial"/>
          <w:sz w:val="20"/>
          <w:szCs w:val="20"/>
          <w:lang w:eastAsia="sl-SI"/>
        </w:rPr>
        <w:t>V primeru, da obveznost povrhnjega davka ni</w:t>
      </w:r>
      <w:r w:rsidR="00AC3C76">
        <w:rPr>
          <w:rFonts w:ascii="Arial" w:eastAsia="Times New Roman" w:hAnsi="Arial" w:cs="Arial"/>
          <w:sz w:val="20"/>
          <w:szCs w:val="20"/>
          <w:lang w:eastAsia="sl-SI"/>
        </w:rPr>
        <w:t xml:space="preserve"> nastala</w:t>
      </w:r>
      <w:r w:rsidR="00730402">
        <w:rPr>
          <w:rFonts w:ascii="Arial" w:eastAsia="Times New Roman" w:hAnsi="Arial" w:cs="Arial"/>
          <w:sz w:val="20"/>
          <w:szCs w:val="20"/>
          <w:lang w:eastAsia="sl-SI"/>
        </w:rPr>
        <w:t xml:space="preserve"> ali pa je te obveznosti oproščen</w:t>
      </w:r>
      <w:r w:rsidR="00AC3C76">
        <w:rPr>
          <w:rFonts w:ascii="Arial" w:eastAsia="Times New Roman" w:hAnsi="Arial" w:cs="Arial"/>
          <w:sz w:val="20"/>
          <w:szCs w:val="20"/>
          <w:lang w:eastAsia="sl-SI"/>
        </w:rPr>
        <w:t xml:space="preserve">, seveda ni obveznosti plačila. </w:t>
      </w:r>
    </w:p>
    <w:p w14:paraId="30CDB148" w14:textId="77777777" w:rsidR="00655DCE" w:rsidRDefault="00AC3C76" w:rsidP="00273952">
      <w:pPr>
        <w:shd w:val="clear" w:color="auto" w:fill="FFFFFF"/>
        <w:spacing w:before="12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določenem delu</w:t>
      </w:r>
      <w:r w:rsidR="00655DCE" w:rsidRPr="00273952">
        <w:rPr>
          <w:rFonts w:ascii="Arial" w:eastAsia="Times New Roman" w:hAnsi="Arial" w:cs="Arial"/>
          <w:sz w:val="20"/>
          <w:szCs w:val="20"/>
          <w:lang w:eastAsia="sl-SI"/>
        </w:rPr>
        <w:t xml:space="preserve"> se glede postopka pobiranja minimalnega davka uporablja zakon, ki ureja davčni postopek.</w:t>
      </w:r>
      <w:r w:rsidR="00655DCE" w:rsidRPr="00AC3C76">
        <w:rPr>
          <w:rFonts w:ascii="Arial" w:eastAsia="Times New Roman" w:hAnsi="Arial" w:cs="Arial"/>
          <w:sz w:val="20"/>
          <w:szCs w:val="20"/>
          <w:lang w:eastAsia="sl-SI"/>
        </w:rPr>
        <w:t xml:space="preserve"> </w:t>
      </w:r>
      <w:r>
        <w:rPr>
          <w:rFonts w:ascii="Arial" w:eastAsia="Times New Roman" w:hAnsi="Arial" w:cs="Arial"/>
          <w:sz w:val="20"/>
          <w:szCs w:val="20"/>
          <w:lang w:eastAsia="sl-SI"/>
        </w:rPr>
        <w:t>Subsidiarna uporaba ZDavP-2</w:t>
      </w:r>
      <w:r w:rsidR="00E10530">
        <w:rPr>
          <w:rFonts w:ascii="Arial" w:eastAsia="Times New Roman" w:hAnsi="Arial" w:cs="Arial"/>
          <w:sz w:val="20"/>
          <w:szCs w:val="20"/>
          <w:lang w:eastAsia="sl-SI"/>
        </w:rPr>
        <w:t xml:space="preserve"> pomeni, da se</w:t>
      </w:r>
      <w:r>
        <w:rPr>
          <w:rFonts w:ascii="Arial" w:eastAsia="Times New Roman" w:hAnsi="Arial" w:cs="Arial"/>
          <w:sz w:val="20"/>
          <w:szCs w:val="20"/>
          <w:lang w:eastAsia="sl-SI"/>
        </w:rPr>
        <w:t xml:space="preserve"> glede postopka pobiranja in davčne izvršbe neplačanega davka uporabljajo določbe ZDavP-2. </w:t>
      </w:r>
    </w:p>
    <w:p w14:paraId="5E16E501" w14:textId="77777777" w:rsidR="00E10530" w:rsidRPr="00273952" w:rsidRDefault="00E10530" w:rsidP="00273952">
      <w:pPr>
        <w:shd w:val="clear" w:color="auto" w:fill="FFFFFF"/>
        <w:spacing w:before="120" w:after="0" w:line="240" w:lineRule="auto"/>
        <w:jc w:val="both"/>
        <w:rPr>
          <w:rFonts w:ascii="Arial" w:hAnsi="Arial" w:cs="Arial"/>
          <w:sz w:val="20"/>
          <w:szCs w:val="20"/>
        </w:rPr>
      </w:pPr>
    </w:p>
    <w:p w14:paraId="2F5C4D01" w14:textId="77777777" w:rsidR="00AC3C76" w:rsidRDefault="00AC3C76" w:rsidP="00AC3C76">
      <w:pPr>
        <w:jc w:val="both"/>
        <w:rPr>
          <w:rFonts w:ascii="Arial" w:hAnsi="Arial" w:cs="Arial"/>
          <w:i/>
          <w:iCs/>
          <w:sz w:val="20"/>
          <w:szCs w:val="20"/>
        </w:rPr>
      </w:pPr>
      <w:r>
        <w:rPr>
          <w:rFonts w:ascii="Arial" w:eastAsia="Times New Roman" w:hAnsi="Arial" w:cs="Arial"/>
          <w:sz w:val="20"/>
          <w:szCs w:val="20"/>
          <w:lang w:eastAsia="sl-SI"/>
        </w:rPr>
        <w:t>Obračun povrhnjega davka se predloži le v primerih, ko bo subjekt v sestavi imel tako obveznost po pravilu o vključitvi dohodkov (IIR) ali pravilu o prenizko obdavčenih dobičkih (UTPR). Navedeno bo preverljivo v okviru podrobnih podatkov, ki so zahtevani v informativnem obrazcu za obračun. Ti principi obračunavanja povrhnjega davka so prikazani spodaj:</w:t>
      </w:r>
      <w:r w:rsidRPr="00AC3C76">
        <w:rPr>
          <w:rFonts w:ascii="Arial" w:hAnsi="Arial" w:cs="Arial"/>
          <w:i/>
          <w:iCs/>
          <w:sz w:val="20"/>
          <w:szCs w:val="20"/>
        </w:rPr>
        <w:t xml:space="preserve"> </w:t>
      </w:r>
    </w:p>
    <w:p w14:paraId="0302D996" w14:textId="77777777" w:rsidR="00AC3C76" w:rsidRPr="00E72C21" w:rsidRDefault="00AC3C76" w:rsidP="005933A6">
      <w:pPr>
        <w:pStyle w:val="Naslov2"/>
        <w:rPr>
          <w:rFonts w:ascii="Arial" w:hAnsi="Arial" w:cs="Arial"/>
          <w:sz w:val="20"/>
          <w:szCs w:val="20"/>
          <w:lang w:val="it-IT"/>
        </w:rPr>
      </w:pPr>
      <w:r w:rsidRPr="00E72C21">
        <w:rPr>
          <w:rFonts w:ascii="Arial" w:hAnsi="Arial" w:cs="Arial"/>
          <w:sz w:val="20"/>
          <w:szCs w:val="20"/>
          <w:lang w:val="it-IT"/>
        </w:rPr>
        <w:t xml:space="preserve">Primer </w:t>
      </w:r>
      <w:r w:rsidR="005933A6" w:rsidRPr="00E72C21">
        <w:rPr>
          <w:rFonts w:ascii="Arial" w:hAnsi="Arial" w:cs="Arial"/>
          <w:sz w:val="20"/>
          <w:szCs w:val="20"/>
          <w:lang w:val="it-IT"/>
        </w:rPr>
        <w:t>7</w:t>
      </w:r>
      <w:r w:rsidRPr="00E72C21">
        <w:rPr>
          <w:rFonts w:ascii="Arial" w:hAnsi="Arial" w:cs="Arial"/>
          <w:sz w:val="20"/>
          <w:szCs w:val="20"/>
          <w:lang w:val="it-IT"/>
        </w:rPr>
        <w:t xml:space="preserve"> – </w:t>
      </w:r>
      <w:proofErr w:type="spellStart"/>
      <w:r w:rsidRPr="00E72C21">
        <w:rPr>
          <w:rFonts w:ascii="Arial" w:hAnsi="Arial" w:cs="Arial"/>
          <w:sz w:val="20"/>
          <w:szCs w:val="20"/>
          <w:lang w:val="it-IT"/>
        </w:rPr>
        <w:t>Obračun</w:t>
      </w:r>
      <w:proofErr w:type="spellEnd"/>
      <w:r w:rsidRPr="00E72C21">
        <w:rPr>
          <w:rFonts w:ascii="Arial" w:hAnsi="Arial" w:cs="Arial"/>
          <w:sz w:val="20"/>
          <w:szCs w:val="20"/>
          <w:lang w:val="it-IT"/>
        </w:rPr>
        <w:t xml:space="preserve"> </w:t>
      </w:r>
      <w:proofErr w:type="spellStart"/>
      <w:r w:rsidRPr="00E72C21">
        <w:rPr>
          <w:rFonts w:ascii="Arial" w:hAnsi="Arial" w:cs="Arial"/>
          <w:sz w:val="20"/>
          <w:szCs w:val="20"/>
          <w:lang w:val="it-IT"/>
        </w:rPr>
        <w:t>povrhnjega</w:t>
      </w:r>
      <w:proofErr w:type="spellEnd"/>
      <w:r w:rsidRPr="00E72C21">
        <w:rPr>
          <w:rFonts w:ascii="Arial" w:hAnsi="Arial" w:cs="Arial"/>
          <w:sz w:val="20"/>
          <w:szCs w:val="20"/>
          <w:lang w:val="it-IT"/>
        </w:rPr>
        <w:t xml:space="preserve"> </w:t>
      </w:r>
      <w:proofErr w:type="spellStart"/>
      <w:r w:rsidRPr="00E72C21">
        <w:rPr>
          <w:rFonts w:ascii="Arial" w:hAnsi="Arial" w:cs="Arial"/>
          <w:sz w:val="20"/>
          <w:szCs w:val="20"/>
          <w:lang w:val="it-IT"/>
        </w:rPr>
        <w:t>davka</w:t>
      </w:r>
      <w:proofErr w:type="spellEnd"/>
      <w:r w:rsidRPr="00E72C21">
        <w:rPr>
          <w:rFonts w:ascii="Arial" w:hAnsi="Arial" w:cs="Arial"/>
          <w:sz w:val="20"/>
          <w:szCs w:val="20"/>
          <w:lang w:val="it-IT"/>
        </w:rPr>
        <w:t xml:space="preserve"> </w:t>
      </w:r>
    </w:p>
    <w:p w14:paraId="1F620824" w14:textId="77777777" w:rsidR="00AC3C76" w:rsidRPr="00DA4299" w:rsidRDefault="00AC3C76" w:rsidP="00AC3C76">
      <w:pPr>
        <w:jc w:val="both"/>
        <w:rPr>
          <w:rFonts w:ascii="Arial" w:hAnsi="Arial" w:cs="Arial"/>
          <w:i/>
          <w:iCs/>
          <w:sz w:val="20"/>
          <w:szCs w:val="20"/>
        </w:rPr>
      </w:pPr>
      <w:r w:rsidRPr="00DA4299">
        <w:rPr>
          <w:rFonts w:ascii="Arial" w:hAnsi="Arial" w:cs="Arial"/>
          <w:i/>
          <w:iCs/>
          <w:sz w:val="20"/>
          <w:szCs w:val="20"/>
        </w:rPr>
        <w:t xml:space="preserve">1. Mednarodna skupina ima krovni matični subjekt (UPE) A Co v jurisdikciji A in tri odvisne družbe v Sloveniji B Co, C Co, in D Co. B Co je 100% neposredni lastnik C Co in D Co, torej gre za vmesni matični subjekt. </w:t>
      </w:r>
      <w:r w:rsidR="009D1C95" w:rsidRPr="00DA4299">
        <w:rPr>
          <w:rFonts w:ascii="Arial" w:hAnsi="Arial" w:cs="Arial"/>
          <w:i/>
          <w:iCs/>
          <w:sz w:val="20"/>
          <w:szCs w:val="20"/>
        </w:rPr>
        <w:t>Katere so poročevalske obveznosti glede na trenutno situacijo?</w:t>
      </w:r>
    </w:p>
    <w:p w14:paraId="0EDF0CD9" w14:textId="77777777" w:rsidR="00AC3C76" w:rsidRPr="00DA4299" w:rsidRDefault="00A330B0" w:rsidP="00A330B0">
      <w:pPr>
        <w:shd w:val="clear" w:color="auto" w:fill="FFFFFF"/>
        <w:tabs>
          <w:tab w:val="left" w:pos="426"/>
        </w:tabs>
        <w:spacing w:before="120" w:line="240" w:lineRule="auto"/>
        <w:jc w:val="both"/>
        <w:rPr>
          <w:rFonts w:ascii="Arial" w:hAnsi="Arial" w:cs="Arial"/>
          <w:i/>
          <w:iCs/>
          <w:sz w:val="20"/>
          <w:szCs w:val="20"/>
        </w:rPr>
      </w:pPr>
      <w:r>
        <w:rPr>
          <w:rFonts w:ascii="Arial" w:eastAsia="Times New Roman" w:hAnsi="Arial" w:cs="Arial"/>
          <w:noProof/>
          <w:sz w:val="20"/>
          <w:szCs w:val="20"/>
          <w:lang w:eastAsia="sl-SI"/>
        </w:rPr>
        <w:lastRenderedPageBreak/>
        <w:drawing>
          <wp:inline distT="0" distB="0" distL="0" distR="0" wp14:anchorId="41294688" wp14:editId="6783A2CD">
            <wp:extent cx="5665470" cy="380369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3629" cy="3809168"/>
                    </a:xfrm>
                    <a:prstGeom prst="rect">
                      <a:avLst/>
                    </a:prstGeom>
                    <a:noFill/>
                  </pic:spPr>
                </pic:pic>
              </a:graphicData>
            </a:graphic>
          </wp:inline>
        </w:drawing>
      </w:r>
      <w:r w:rsidR="00AC3C76" w:rsidRPr="00DA4299">
        <w:rPr>
          <w:rFonts w:ascii="Arial" w:hAnsi="Arial" w:cs="Arial"/>
          <w:i/>
          <w:iCs/>
          <w:sz w:val="20"/>
          <w:szCs w:val="20"/>
        </w:rPr>
        <w:t>2. B Co in C Co sta nizko-obdavčena subjekta, D Co pa je visoko obdavčen subjekt, vendar jurisdikcijska dejanska davčna stopnja ne presega 15 %. To pomeni, da bo v zvezi s Slovenijo treba najprej izračunati domači povrhnji davek (QDMTT)</w:t>
      </w:r>
      <w:r w:rsidR="009D1C95">
        <w:rPr>
          <w:rFonts w:ascii="Arial" w:hAnsi="Arial" w:cs="Arial"/>
          <w:i/>
          <w:iCs/>
          <w:sz w:val="20"/>
          <w:szCs w:val="20"/>
        </w:rPr>
        <w:t xml:space="preserve">. </w:t>
      </w:r>
      <w:r w:rsidR="00AC3C76" w:rsidRPr="00DA4299">
        <w:rPr>
          <w:rFonts w:ascii="Arial" w:hAnsi="Arial" w:cs="Arial"/>
          <w:i/>
          <w:iCs/>
          <w:sz w:val="20"/>
          <w:szCs w:val="20"/>
        </w:rPr>
        <w:t>V Sloveniji so vsi subjekti v sestavi zavezanci za obračun domačega povrhnjega davka, ki se jim dodeli na podlagi njihovega deleža v jurisdikcijskem kvalificiranem dohodku glede na njihov lastni kvalificirani dohodek. Subjekti v sestavi, ki izkazujejo kvalificirano izgubo, se jim ne dodeli</w:t>
      </w:r>
      <w:r w:rsidR="009D1C95">
        <w:rPr>
          <w:rFonts w:ascii="Arial" w:hAnsi="Arial" w:cs="Arial"/>
          <w:i/>
          <w:iCs/>
          <w:sz w:val="20"/>
          <w:szCs w:val="20"/>
        </w:rPr>
        <w:t xml:space="preserve"> domači</w:t>
      </w:r>
      <w:r w:rsidR="00AC3C76" w:rsidRPr="00DA4299">
        <w:rPr>
          <w:rFonts w:ascii="Arial" w:hAnsi="Arial" w:cs="Arial"/>
          <w:i/>
          <w:iCs/>
          <w:sz w:val="20"/>
          <w:szCs w:val="20"/>
        </w:rPr>
        <w:t xml:space="preserve"> povrhnji davek, vendar morajo kljub temu predložiti obračun</w:t>
      </w:r>
      <w:r w:rsidR="00E10530">
        <w:rPr>
          <w:rFonts w:ascii="Arial" w:hAnsi="Arial" w:cs="Arial"/>
          <w:i/>
          <w:iCs/>
          <w:sz w:val="20"/>
          <w:szCs w:val="20"/>
        </w:rPr>
        <w:t xml:space="preserve"> domačega povrhnjega davka,</w:t>
      </w:r>
      <w:r w:rsidR="00AC3C76" w:rsidRPr="00DA4299">
        <w:rPr>
          <w:rFonts w:ascii="Arial" w:hAnsi="Arial" w:cs="Arial"/>
          <w:i/>
          <w:iCs/>
          <w:sz w:val="20"/>
          <w:szCs w:val="20"/>
        </w:rPr>
        <w:t xml:space="preserve"> iz katerega bo izhajalo, da imajo kvalificirano izgubo. </w:t>
      </w:r>
    </w:p>
    <w:p w14:paraId="1DFC9B0E" w14:textId="77777777" w:rsidR="00AC3C76" w:rsidRPr="00DA4299" w:rsidRDefault="009D1C95" w:rsidP="00AC3C76">
      <w:pPr>
        <w:jc w:val="both"/>
        <w:rPr>
          <w:rFonts w:ascii="Arial" w:hAnsi="Arial" w:cs="Arial"/>
          <w:i/>
          <w:iCs/>
          <w:sz w:val="20"/>
          <w:szCs w:val="20"/>
        </w:rPr>
      </w:pPr>
      <w:r>
        <w:rPr>
          <w:rFonts w:ascii="Arial" w:hAnsi="Arial" w:cs="Arial"/>
          <w:i/>
          <w:iCs/>
          <w:sz w:val="20"/>
          <w:szCs w:val="20"/>
        </w:rPr>
        <w:t>3</w:t>
      </w:r>
      <w:r w:rsidR="00AC3C76" w:rsidRPr="00DA4299">
        <w:rPr>
          <w:rFonts w:ascii="Arial" w:hAnsi="Arial" w:cs="Arial"/>
          <w:i/>
          <w:iCs/>
          <w:sz w:val="20"/>
          <w:szCs w:val="20"/>
        </w:rPr>
        <w:t xml:space="preserve">. Subjekti v sestavi v Sloveniji se dogovorijo, da bo vmesni matični subjekt B Co predložil obračun domačega povrhnjega davka za vse subjekte v sestavi v Sloveniji. Prav tako se mednarodna skupina dogovori, da bo A Co centralni mednarodni </w:t>
      </w:r>
      <w:proofErr w:type="spellStart"/>
      <w:r w:rsidR="00AC3C76" w:rsidRPr="00DA4299">
        <w:rPr>
          <w:rFonts w:ascii="Arial" w:hAnsi="Arial" w:cs="Arial"/>
          <w:i/>
          <w:iCs/>
          <w:sz w:val="20"/>
          <w:szCs w:val="20"/>
        </w:rPr>
        <w:t>vložniški</w:t>
      </w:r>
      <w:proofErr w:type="spellEnd"/>
      <w:r w:rsidR="00AC3C76" w:rsidRPr="00DA4299">
        <w:rPr>
          <w:rFonts w:ascii="Arial" w:hAnsi="Arial" w:cs="Arial"/>
          <w:i/>
          <w:iCs/>
          <w:sz w:val="20"/>
          <w:szCs w:val="20"/>
        </w:rPr>
        <w:t xml:space="preserve"> subjekt in bo tako za celotno skupino predložil GIR v jurisdikciji A. </w:t>
      </w:r>
    </w:p>
    <w:p w14:paraId="7ED520BA" w14:textId="77777777" w:rsidR="00AC3C76" w:rsidRPr="00DA4299" w:rsidRDefault="00AC3C76" w:rsidP="00AC3C76">
      <w:pPr>
        <w:jc w:val="both"/>
        <w:rPr>
          <w:rFonts w:ascii="Arial" w:hAnsi="Arial" w:cs="Arial"/>
          <w:i/>
          <w:iCs/>
          <w:sz w:val="20"/>
          <w:szCs w:val="20"/>
        </w:rPr>
      </w:pPr>
      <w:r w:rsidRPr="00DA4299">
        <w:rPr>
          <w:rFonts w:ascii="Arial" w:hAnsi="Arial" w:cs="Arial"/>
          <w:i/>
          <w:iCs/>
          <w:sz w:val="20"/>
          <w:szCs w:val="20"/>
        </w:rPr>
        <w:t xml:space="preserve">5. B Co mora torej za leto 2024 predložiti obračun domačega povrhnjega davka do 30.6.2026. Do istega dne mora A Co v jurisdikciji A predložiti GIR, ki ga bo jurisdikcija A potem na podlagi MCAA delila s Slovenijo, ki ima pravico do obdavčitve po sistemu QDMTT. </w:t>
      </w:r>
    </w:p>
    <w:p w14:paraId="51558C0F" w14:textId="77777777" w:rsidR="00AC3C76" w:rsidRPr="00DA4299" w:rsidRDefault="00AC3C76" w:rsidP="00AC3C76">
      <w:pPr>
        <w:jc w:val="both"/>
        <w:rPr>
          <w:rFonts w:ascii="Arial" w:hAnsi="Arial" w:cs="Arial"/>
          <w:i/>
          <w:iCs/>
          <w:sz w:val="20"/>
          <w:szCs w:val="20"/>
        </w:rPr>
      </w:pPr>
      <w:r w:rsidRPr="00DA4299">
        <w:rPr>
          <w:rFonts w:ascii="Arial" w:hAnsi="Arial" w:cs="Arial"/>
          <w:i/>
          <w:iCs/>
          <w:sz w:val="20"/>
          <w:szCs w:val="20"/>
        </w:rPr>
        <w:t xml:space="preserve">6. Ker je A Co UPE in ima jurisdikcija A implementirana pravila povrhnjega davka, bo morala A Co v jurisdikciji A predložiti tudi tam predpisan obračun za povrhnji davek po pravilu IIR za Slovenijo. Ker pa je v Sloveniji v veljavi kvalificirano pravilo domačega povrhnjega davka, mora v Sloveniji izračunan in plačan davek jurisdikcija A upoštevati pri izračunu obveznosti povrhnjega davka po pravilu IIR. Subjekti v Sloveniji pa </w:t>
      </w:r>
      <w:r w:rsidR="00A330B0">
        <w:rPr>
          <w:rFonts w:ascii="Arial" w:hAnsi="Arial" w:cs="Arial"/>
          <w:i/>
          <w:iCs/>
          <w:sz w:val="20"/>
          <w:szCs w:val="20"/>
        </w:rPr>
        <w:t>niso</w:t>
      </w:r>
      <w:r w:rsidRPr="00DA4299">
        <w:rPr>
          <w:rFonts w:ascii="Arial" w:hAnsi="Arial" w:cs="Arial"/>
          <w:i/>
          <w:iCs/>
          <w:sz w:val="20"/>
          <w:szCs w:val="20"/>
        </w:rPr>
        <w:t xml:space="preserve"> dolžni predložiti obračun</w:t>
      </w:r>
      <w:r w:rsidR="00A330B0">
        <w:rPr>
          <w:rFonts w:ascii="Arial" w:hAnsi="Arial" w:cs="Arial"/>
          <w:i/>
          <w:iCs/>
          <w:sz w:val="20"/>
          <w:szCs w:val="20"/>
        </w:rPr>
        <w:t>ov</w:t>
      </w:r>
      <w:r w:rsidRPr="00DA4299">
        <w:rPr>
          <w:rFonts w:ascii="Arial" w:hAnsi="Arial" w:cs="Arial"/>
          <w:i/>
          <w:iCs/>
          <w:sz w:val="20"/>
          <w:szCs w:val="20"/>
        </w:rPr>
        <w:t xml:space="preserve"> povrhnjega davka, ker niso </w:t>
      </w:r>
      <w:r w:rsidR="00E10530">
        <w:rPr>
          <w:rFonts w:ascii="Arial" w:hAnsi="Arial" w:cs="Arial"/>
          <w:i/>
          <w:iCs/>
          <w:sz w:val="20"/>
          <w:szCs w:val="20"/>
        </w:rPr>
        <w:t>zavezani za</w:t>
      </w:r>
      <w:r w:rsidRPr="00DA4299">
        <w:rPr>
          <w:rFonts w:ascii="Arial" w:hAnsi="Arial" w:cs="Arial"/>
          <w:i/>
          <w:iCs/>
          <w:sz w:val="20"/>
          <w:szCs w:val="20"/>
        </w:rPr>
        <w:t xml:space="preserve"> povrhnj</w:t>
      </w:r>
      <w:r w:rsidR="00E10530">
        <w:rPr>
          <w:rFonts w:ascii="Arial" w:hAnsi="Arial" w:cs="Arial"/>
          <w:i/>
          <w:iCs/>
          <w:sz w:val="20"/>
          <w:szCs w:val="20"/>
        </w:rPr>
        <w:t>i</w:t>
      </w:r>
      <w:r w:rsidRPr="00DA4299">
        <w:rPr>
          <w:rFonts w:ascii="Arial" w:hAnsi="Arial" w:cs="Arial"/>
          <w:i/>
          <w:iCs/>
          <w:sz w:val="20"/>
          <w:szCs w:val="20"/>
        </w:rPr>
        <w:t xml:space="preserve"> dav</w:t>
      </w:r>
      <w:r w:rsidR="00E10530">
        <w:rPr>
          <w:rFonts w:ascii="Arial" w:hAnsi="Arial" w:cs="Arial"/>
          <w:i/>
          <w:iCs/>
          <w:sz w:val="20"/>
          <w:szCs w:val="20"/>
        </w:rPr>
        <w:t>e</w:t>
      </w:r>
      <w:r w:rsidRPr="00DA4299">
        <w:rPr>
          <w:rFonts w:ascii="Arial" w:hAnsi="Arial" w:cs="Arial"/>
          <w:i/>
          <w:iCs/>
          <w:sz w:val="20"/>
          <w:szCs w:val="20"/>
        </w:rPr>
        <w:t xml:space="preserve">k ne po pravilu IIR niti po pravilu UTPR. </w:t>
      </w:r>
    </w:p>
    <w:sectPr w:rsidR="00AC3C76" w:rsidRPr="00DA4299" w:rsidSect="004D2C0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8F3D" w14:textId="77777777" w:rsidR="00E73A12" w:rsidRDefault="00E73A12" w:rsidP="00DB65D9">
      <w:pPr>
        <w:spacing w:after="0" w:line="240" w:lineRule="auto"/>
      </w:pPr>
      <w:r>
        <w:separator/>
      </w:r>
    </w:p>
  </w:endnote>
  <w:endnote w:type="continuationSeparator" w:id="0">
    <w:p w14:paraId="1264E96D" w14:textId="77777777" w:rsidR="00E73A12" w:rsidRDefault="00E73A12" w:rsidP="00DB65D9">
      <w:pPr>
        <w:spacing w:after="0" w:line="240" w:lineRule="auto"/>
      </w:pPr>
      <w:r>
        <w:continuationSeparator/>
      </w:r>
    </w:p>
  </w:endnote>
  <w:endnote w:type="continuationNotice" w:id="1">
    <w:p w14:paraId="0CA4DB68" w14:textId="77777777" w:rsidR="00E73A12" w:rsidRDefault="00E73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76739"/>
      <w:docPartObj>
        <w:docPartGallery w:val="Page Numbers (Bottom of Page)"/>
        <w:docPartUnique/>
      </w:docPartObj>
    </w:sdtPr>
    <w:sdtContent>
      <w:p w14:paraId="69547267" w14:textId="77777777" w:rsidR="008F6A83" w:rsidRDefault="008F6A83">
        <w:pPr>
          <w:pStyle w:val="Noga"/>
          <w:jc w:val="center"/>
        </w:pPr>
        <w:r>
          <w:rPr>
            <w:noProof/>
            <w:lang w:eastAsia="sl-SI"/>
          </w:rPr>
          <mc:AlternateContent>
            <mc:Choice Requires="wpg">
              <w:drawing>
                <wp:inline distT="0" distB="0" distL="0" distR="0" wp14:anchorId="221C2DE6" wp14:editId="2E199FD5">
                  <wp:extent cx="418465" cy="221615"/>
                  <wp:effectExtent l="0" t="0" r="635" b="0"/>
                  <wp:docPr id="47" name="Skupin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0"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7589" w14:textId="77777777" w:rsidR="008F6A83" w:rsidRDefault="008F6A83">
                                <w:pPr>
                                  <w:jc w:val="center"/>
                                  <w:rPr>
                                    <w:szCs w:val="18"/>
                                  </w:rPr>
                                </w:pPr>
                                <w:r>
                                  <w:fldChar w:fldCharType="begin"/>
                                </w:r>
                                <w:r>
                                  <w:instrText>PAGE    \* MERGEFORMAT</w:instrText>
                                </w:r>
                                <w:r>
                                  <w:fldChar w:fldCharType="separate"/>
                                </w:r>
                                <w:r w:rsidR="00FA18EE" w:rsidRPr="00FA18EE">
                                  <w:rPr>
                                    <w:i/>
                                    <w:iCs/>
                                    <w:noProof/>
                                    <w:sz w:val="18"/>
                                    <w:szCs w:val="18"/>
                                  </w:rPr>
                                  <w:t>27</w:t>
                                </w:r>
                                <w:r>
                                  <w:rPr>
                                    <w:i/>
                                    <w:iCs/>
                                    <w:sz w:val="18"/>
                                    <w:szCs w:val="18"/>
                                  </w:rPr>
                                  <w:fldChar w:fldCharType="end"/>
                                </w:r>
                              </w:p>
                            </w:txbxContent>
                          </wps:txbx>
                          <wps:bodyPr rot="0" vert="horz" wrap="square" lIns="0" tIns="0" rIns="0" bIns="0" anchor="ctr" anchorCtr="0" upright="1">
                            <a:noAutofit/>
                          </wps:bodyPr>
                        </wps:wsp>
                        <wpg:grpSp>
                          <wpg:cNvPr id="52" name="Group 64"/>
                          <wpg:cNvGrpSpPr>
                            <a:grpSpLocks/>
                          </wpg:cNvGrpSpPr>
                          <wpg:grpSpPr bwMode="auto">
                            <a:xfrm>
                              <a:off x="5494" y="739"/>
                              <a:ext cx="372" cy="72"/>
                              <a:chOff x="5486" y="739"/>
                              <a:chExt cx="372" cy="72"/>
                            </a:xfrm>
                          </wpg:grpSpPr>
                          <wps:wsp>
                            <wps:cNvPr id="53"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8E3AAB3" id="Skupina 47" o:spid="_x0000_s104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">
                  <v:shapetype id="_x0000_t202" coordsize="21600,21600" o:spt="202" path="m,l,21600r21600,l21600,xe">
                    <v:stroke joinstyle="miter"/>
                    <v:path gradientshapeok="t" o:connecttype="rect"/>
                  </v:shapetype>
                  <v:shape id="Text Box 63" o:spid="_x0000_s104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textbox inset="0,0,0,0">
                      <w:txbxContent>
                        <w:p w:rsidR="008F6A83" w:rsidRDefault="008F6A83">
                          <w:pPr>
                            <w:jc w:val="center"/>
                            <w:rPr>
                              <w:szCs w:val="18"/>
                            </w:rPr>
                          </w:pPr>
                          <w:r>
                            <w:fldChar w:fldCharType="begin"/>
                          </w:r>
                          <w:r>
                            <w:instrText>PAGE    \* MERGEFORMAT</w:instrText>
                          </w:r>
                          <w:r>
                            <w:fldChar w:fldCharType="separate"/>
                          </w:r>
                          <w:r w:rsidR="00FA18EE" w:rsidRPr="00FA18EE">
                            <w:rPr>
                              <w:i/>
                              <w:iCs/>
                              <w:noProof/>
                              <w:sz w:val="18"/>
                              <w:szCs w:val="18"/>
                            </w:rPr>
                            <w:t>27</w:t>
                          </w:r>
                          <w:r>
                            <w:rPr>
                              <w:i/>
                              <w:iCs/>
                              <w:sz w:val="18"/>
                              <w:szCs w:val="18"/>
                            </w:rPr>
                            <w:fldChar w:fldCharType="end"/>
                          </w:r>
                        </w:p>
                      </w:txbxContent>
                    </v:textbox>
                  </v:shape>
                  <v:group id="Group 64" o:spid="_x0000_s104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65" o:spid="_x0000_s104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" fillcolor="#84a2c6" stroked="f"/>
                    <v:oval id="Oval 66" o:spid="_x0000_s104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" fillcolor="#84a2c6" stroked="f"/>
                    <v:oval id="Oval 67" o:spid="_x0000_s104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" fillcolor="#84a2c6" stroked="f"/>
                  </v:group>
                  <w10:anchorlock/>
                </v:group>
              </w:pict>
            </mc:Fallback>
          </mc:AlternateContent>
        </w:r>
      </w:p>
    </w:sdtContent>
  </w:sdt>
  <w:p w14:paraId="67B5B6B4" w14:textId="77777777" w:rsidR="008F6A83" w:rsidRDefault="008F6A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C39E" w14:textId="77777777" w:rsidR="00E73A12" w:rsidRDefault="00E73A12" w:rsidP="00DB65D9">
      <w:pPr>
        <w:spacing w:after="0" w:line="240" w:lineRule="auto"/>
      </w:pPr>
      <w:r>
        <w:separator/>
      </w:r>
    </w:p>
  </w:footnote>
  <w:footnote w:type="continuationSeparator" w:id="0">
    <w:p w14:paraId="378376EF" w14:textId="77777777" w:rsidR="00E73A12" w:rsidRDefault="00E73A12" w:rsidP="00DB65D9">
      <w:pPr>
        <w:spacing w:after="0" w:line="240" w:lineRule="auto"/>
      </w:pPr>
      <w:r>
        <w:continuationSeparator/>
      </w:r>
    </w:p>
  </w:footnote>
  <w:footnote w:type="continuationNotice" w:id="1">
    <w:p w14:paraId="63DB8E20" w14:textId="77777777" w:rsidR="00E73A12" w:rsidRDefault="00E73A12">
      <w:pPr>
        <w:spacing w:after="0" w:line="240" w:lineRule="auto"/>
      </w:pPr>
    </w:p>
  </w:footnote>
  <w:footnote w:id="2">
    <w:p w14:paraId="2815689A" w14:textId="77777777" w:rsidR="008F6A83" w:rsidRPr="00DD2494" w:rsidRDefault="008F6A83" w:rsidP="00DD2494">
      <w:pPr>
        <w:spacing w:after="0"/>
        <w:jc w:val="both"/>
        <w:rPr>
          <w:sz w:val="18"/>
          <w:szCs w:val="18"/>
        </w:rPr>
      </w:pPr>
      <w:r w:rsidRPr="00DD2494">
        <w:rPr>
          <w:sz w:val="18"/>
          <w:szCs w:val="18"/>
        </w:rPr>
        <w:footnoteRef/>
      </w:r>
      <w:r w:rsidRPr="00DD2494">
        <w:rPr>
          <w:sz w:val="18"/>
          <w:szCs w:val="18"/>
        </w:rPr>
        <w:t xml:space="preserve"> Izjava o </w:t>
      </w:r>
      <w:proofErr w:type="spellStart"/>
      <w:r w:rsidRPr="00DD2494">
        <w:rPr>
          <w:sz w:val="18"/>
          <w:szCs w:val="18"/>
        </w:rPr>
        <w:t>dvostebrni</w:t>
      </w:r>
      <w:proofErr w:type="spellEnd"/>
      <w:r w:rsidRPr="00DD2494">
        <w:rPr>
          <w:sz w:val="18"/>
          <w:szCs w:val="18"/>
        </w:rPr>
        <w:t xml:space="preserve"> rešitvi za reševanje davčnih izzivov, ki izhajajo iz digitalizacije gospodarstva, 8. oktober 2021, </w:t>
      </w:r>
      <w:hyperlink r:id="rId1" w:history="1">
        <w:r w:rsidRPr="00DD2494">
          <w:rPr>
            <w:sz w:val="18"/>
            <w:szCs w:val="18"/>
          </w:rPr>
          <w:t xml:space="preserve">https://www.oecd.org/tax/beps/outcome-statement-on-the-two-pillar-solution-to-address-the-tax- </w:t>
        </w:r>
        <w:proofErr w:type="spellStart"/>
        <w:r w:rsidRPr="00DD2494">
          <w:rPr>
            <w:sz w:val="18"/>
            <w:szCs w:val="18"/>
          </w:rPr>
          <w:t>challenges-arising</w:t>
        </w:r>
        <w:proofErr w:type="spellEnd"/>
        <w:r w:rsidRPr="00DD2494">
          <w:rPr>
            <w:sz w:val="18"/>
            <w:szCs w:val="18"/>
          </w:rPr>
          <w:t xml:space="preserve">- </w:t>
        </w:r>
        <w:proofErr w:type="spellStart"/>
        <w:r w:rsidRPr="00DD2494">
          <w:rPr>
            <w:sz w:val="18"/>
            <w:szCs w:val="18"/>
          </w:rPr>
          <w:t>from-the-the</w:t>
        </w:r>
        <w:proofErr w:type="spellEnd"/>
        <w:r w:rsidRPr="00DD2494">
          <w:rPr>
            <w:sz w:val="18"/>
            <w:szCs w:val="18"/>
          </w:rPr>
          <w:t xml:space="preserve"> economy-july-2023</w:t>
        </w:r>
      </w:hyperlink>
      <w:r w:rsidRPr="00DD2494">
        <w:rPr>
          <w:sz w:val="18"/>
          <w:szCs w:val="18"/>
        </w:rPr>
        <w:t>.</w:t>
      </w:r>
    </w:p>
  </w:footnote>
  <w:footnote w:id="3">
    <w:p w14:paraId="585A9497" w14:textId="77777777" w:rsidR="008F6A83" w:rsidRDefault="008F6A83" w:rsidP="00DD2494">
      <w:pPr>
        <w:spacing w:after="0"/>
        <w:jc w:val="both"/>
      </w:pPr>
      <w:r w:rsidRPr="00DD2494">
        <w:rPr>
          <w:sz w:val="18"/>
          <w:szCs w:val="18"/>
        </w:rPr>
        <w:footnoteRef/>
      </w:r>
      <w:r w:rsidRPr="00DD2494">
        <w:rPr>
          <w:sz w:val="18"/>
          <w:szCs w:val="18"/>
        </w:rPr>
        <w:t xml:space="preserve"> Vključujoč okvir (2021), </w:t>
      </w:r>
      <w:proofErr w:type="spellStart"/>
      <w:r w:rsidRPr="00DD2494">
        <w:rPr>
          <w:i/>
          <w:sz w:val="18"/>
          <w:szCs w:val="18"/>
        </w:rPr>
        <w:t>Tax</w:t>
      </w:r>
      <w:proofErr w:type="spellEnd"/>
      <w:r w:rsidRPr="00DD2494">
        <w:rPr>
          <w:i/>
          <w:sz w:val="18"/>
          <w:szCs w:val="18"/>
        </w:rPr>
        <w:t xml:space="preserve"> </w:t>
      </w:r>
      <w:proofErr w:type="spellStart"/>
      <w:r w:rsidRPr="00DD2494">
        <w:rPr>
          <w:i/>
          <w:sz w:val="18"/>
          <w:szCs w:val="18"/>
        </w:rPr>
        <w:t>Challenges</w:t>
      </w:r>
      <w:proofErr w:type="spellEnd"/>
      <w:r w:rsidRPr="00DD2494">
        <w:rPr>
          <w:i/>
          <w:sz w:val="18"/>
          <w:szCs w:val="18"/>
        </w:rPr>
        <w:t xml:space="preserve"> </w:t>
      </w:r>
      <w:proofErr w:type="spellStart"/>
      <w:r w:rsidRPr="00DD2494">
        <w:rPr>
          <w:i/>
          <w:sz w:val="18"/>
          <w:szCs w:val="18"/>
        </w:rPr>
        <w:t>Arising</w:t>
      </w:r>
      <w:proofErr w:type="spellEnd"/>
      <w:r w:rsidRPr="00DD2494">
        <w:rPr>
          <w:i/>
          <w:sz w:val="18"/>
          <w:szCs w:val="18"/>
        </w:rPr>
        <w:t xml:space="preserve"> </w:t>
      </w:r>
      <w:proofErr w:type="spellStart"/>
      <w:r w:rsidRPr="00DD2494">
        <w:rPr>
          <w:i/>
          <w:sz w:val="18"/>
          <w:szCs w:val="18"/>
        </w:rPr>
        <w:t>from</w:t>
      </w:r>
      <w:proofErr w:type="spellEnd"/>
      <w:r w:rsidRPr="00DD2494">
        <w:rPr>
          <w:i/>
          <w:sz w:val="18"/>
          <w:szCs w:val="18"/>
        </w:rPr>
        <w:t xml:space="preserve"> </w:t>
      </w:r>
      <w:proofErr w:type="spellStart"/>
      <w:r w:rsidRPr="00DD2494">
        <w:rPr>
          <w:i/>
          <w:sz w:val="18"/>
          <w:szCs w:val="18"/>
        </w:rPr>
        <w:t>the</w:t>
      </w:r>
      <w:proofErr w:type="spellEnd"/>
      <w:r w:rsidRPr="00DD2494">
        <w:rPr>
          <w:i/>
          <w:sz w:val="18"/>
          <w:szCs w:val="18"/>
        </w:rPr>
        <w:t xml:space="preserve"> </w:t>
      </w:r>
      <w:proofErr w:type="spellStart"/>
      <w:r w:rsidRPr="00DD2494">
        <w:rPr>
          <w:i/>
          <w:sz w:val="18"/>
          <w:szCs w:val="18"/>
        </w:rPr>
        <w:t>Digitalisation</w:t>
      </w:r>
      <w:proofErr w:type="spellEnd"/>
      <w:r w:rsidRPr="00DD2494">
        <w:rPr>
          <w:i/>
          <w:sz w:val="18"/>
          <w:szCs w:val="18"/>
        </w:rPr>
        <w:t xml:space="preserve"> </w:t>
      </w:r>
      <w:proofErr w:type="spellStart"/>
      <w:r w:rsidRPr="00DD2494">
        <w:rPr>
          <w:i/>
          <w:sz w:val="18"/>
          <w:szCs w:val="18"/>
        </w:rPr>
        <w:t>of</w:t>
      </w:r>
      <w:proofErr w:type="spellEnd"/>
      <w:r w:rsidRPr="00DD2494">
        <w:rPr>
          <w:i/>
          <w:sz w:val="18"/>
          <w:szCs w:val="18"/>
        </w:rPr>
        <w:t xml:space="preserve"> </w:t>
      </w:r>
      <w:proofErr w:type="spellStart"/>
      <w:r w:rsidRPr="00DD2494">
        <w:rPr>
          <w:i/>
          <w:sz w:val="18"/>
          <w:szCs w:val="18"/>
        </w:rPr>
        <w:t>the</w:t>
      </w:r>
      <w:proofErr w:type="spellEnd"/>
      <w:r w:rsidRPr="00DD2494">
        <w:rPr>
          <w:i/>
          <w:sz w:val="18"/>
          <w:szCs w:val="18"/>
        </w:rPr>
        <w:t xml:space="preserve"> </w:t>
      </w:r>
      <w:proofErr w:type="spellStart"/>
      <w:r w:rsidRPr="00DD2494">
        <w:rPr>
          <w:i/>
          <w:sz w:val="18"/>
          <w:szCs w:val="18"/>
        </w:rPr>
        <w:t>Economy</w:t>
      </w:r>
      <w:proofErr w:type="spellEnd"/>
      <w:r w:rsidRPr="00DD2494">
        <w:rPr>
          <w:i/>
          <w:sz w:val="18"/>
          <w:szCs w:val="18"/>
        </w:rPr>
        <w:t xml:space="preserve"> – Global </w:t>
      </w:r>
      <w:proofErr w:type="spellStart"/>
      <w:r w:rsidRPr="00DD2494">
        <w:rPr>
          <w:i/>
          <w:sz w:val="18"/>
          <w:szCs w:val="18"/>
        </w:rPr>
        <w:t>Anti</w:t>
      </w:r>
      <w:proofErr w:type="spellEnd"/>
      <w:r w:rsidRPr="00DD2494">
        <w:rPr>
          <w:i/>
          <w:sz w:val="18"/>
          <w:szCs w:val="18"/>
        </w:rPr>
        <w:t xml:space="preserve">-Base </w:t>
      </w:r>
      <w:proofErr w:type="spellStart"/>
      <w:r w:rsidRPr="00DD2494">
        <w:rPr>
          <w:i/>
          <w:sz w:val="18"/>
          <w:szCs w:val="18"/>
        </w:rPr>
        <w:t>Erosion</w:t>
      </w:r>
      <w:proofErr w:type="spellEnd"/>
      <w:r w:rsidRPr="00DD2494">
        <w:rPr>
          <w:i/>
          <w:sz w:val="18"/>
          <w:szCs w:val="18"/>
        </w:rPr>
        <w:t xml:space="preserve"> Model </w:t>
      </w:r>
      <w:proofErr w:type="spellStart"/>
      <w:r w:rsidRPr="00DD2494">
        <w:rPr>
          <w:i/>
          <w:sz w:val="18"/>
          <w:szCs w:val="18"/>
        </w:rPr>
        <w:t>Rules</w:t>
      </w:r>
      <w:proofErr w:type="spellEnd"/>
      <w:r w:rsidRPr="00DD2494">
        <w:rPr>
          <w:i/>
          <w:sz w:val="18"/>
          <w:szCs w:val="18"/>
        </w:rPr>
        <w:t xml:space="preserve"> (drugi steber): Vključujoč okvir za preprečevanje erozije davčne</w:t>
      </w:r>
      <w:r>
        <w:rPr>
          <w:i/>
          <w:sz w:val="18"/>
          <w:szCs w:val="18"/>
        </w:rPr>
        <w:t xml:space="preserve"> </w:t>
      </w:r>
      <w:r w:rsidRPr="0043107D">
        <w:rPr>
          <w:i/>
          <w:iCs/>
          <w:sz w:val="18"/>
          <w:szCs w:val="18"/>
        </w:rPr>
        <w:t>osnove in preusmerjanja dobička</w:t>
      </w:r>
      <w:r w:rsidRPr="00DD2494">
        <w:rPr>
          <w:sz w:val="18"/>
          <w:szCs w:val="18"/>
        </w:rPr>
        <w:t xml:space="preserve">, OECD/G20, projekt za preprečevanje erozije davčne osnove in preusmerjanja dobička, OECD, Pariz, </w:t>
      </w:r>
      <w:hyperlink r:id="rId2" w:history="1">
        <w:r w:rsidRPr="00DD2494">
          <w:rPr>
            <w:sz w:val="18"/>
            <w:szCs w:val="18"/>
          </w:rPr>
          <w:t>https://doi.org/10.1787/782bac33-en</w:t>
        </w:r>
      </w:hyperlink>
      <w:r w:rsidRPr="00DD2494">
        <w:rPr>
          <w:sz w:val="18"/>
          <w:szCs w:val="18"/>
        </w:rPr>
        <w:t>.</w:t>
      </w:r>
    </w:p>
  </w:footnote>
  <w:footnote w:id="4">
    <w:p w14:paraId="26034AFC" w14:textId="77777777" w:rsidR="008F6A83" w:rsidRDefault="008F6A83">
      <w:pPr>
        <w:pStyle w:val="Sprotnaopomba-besedilo"/>
      </w:pPr>
      <w:r>
        <w:rPr>
          <w:rStyle w:val="Sprotnaopomba-sklic"/>
        </w:rPr>
        <w:footnoteRef/>
      </w:r>
      <w:r>
        <w:t xml:space="preserve"> Pravilniki in drugi podzakonski dokumenti so v postopku priprave in bodo objavljeni v roku 6 mesecev po sprejemu ZMD. </w:t>
      </w:r>
    </w:p>
  </w:footnote>
  <w:footnote w:id="5">
    <w:p w14:paraId="67606F20" w14:textId="77777777" w:rsidR="008F6A83" w:rsidRDefault="008F6A83">
      <w:pPr>
        <w:pStyle w:val="Sprotnaopomba-besedilo"/>
      </w:pPr>
      <w:r>
        <w:rPr>
          <w:rStyle w:val="Sprotnaopomba-sklic"/>
        </w:rPr>
        <w:footnoteRef/>
      </w:r>
      <w:r>
        <w:t xml:space="preserve"> Pravilniki in drugi podzakonski dokumenti so v postopku priprave in bodo objavljeni v roku 6 mesecev po sprejemu ZMD.</w:t>
      </w:r>
    </w:p>
  </w:footnote>
  <w:footnote w:id="6">
    <w:p w14:paraId="799406B2" w14:textId="77777777" w:rsidR="008F6A83" w:rsidRDefault="008F6A83">
      <w:pPr>
        <w:pStyle w:val="Sprotnaopomba-besedilo"/>
      </w:pPr>
      <w:r>
        <w:rPr>
          <w:rStyle w:val="Sprotnaopomba-sklic"/>
        </w:rPr>
        <w:footnoteRef/>
      </w:r>
      <w:r>
        <w:t xml:space="preserve"> Pravilniki in drugi podzakonski dokumenti so v postopku priprave in bodo objavljeni v roku 6 mesecev po sprejemu ZMD.</w:t>
      </w:r>
    </w:p>
  </w:footnote>
  <w:footnote w:id="7">
    <w:p w14:paraId="3ED1E655" w14:textId="77777777" w:rsidR="008F6A83" w:rsidRDefault="008F6A83">
      <w:pPr>
        <w:pStyle w:val="Sprotnaopomba-besedilo"/>
      </w:pPr>
      <w:r>
        <w:rPr>
          <w:rStyle w:val="Sprotnaopomba-sklic"/>
        </w:rPr>
        <w:footnoteRef/>
      </w:r>
      <w:r>
        <w:t xml:space="preserve"> Navedeni dokumenti so še v postopku sprejemanja pri OECD. </w:t>
      </w:r>
    </w:p>
  </w:footnote>
  <w:footnote w:id="8">
    <w:p w14:paraId="157E1489" w14:textId="77777777" w:rsidR="008F6A83" w:rsidRDefault="008F6A83">
      <w:pPr>
        <w:pStyle w:val="Sprotnaopomba-besedilo"/>
      </w:pPr>
      <w:r>
        <w:rPr>
          <w:rStyle w:val="Sprotnaopomba-sklic"/>
        </w:rPr>
        <w:footnoteRef/>
      </w:r>
      <w:r>
        <w:t xml:space="preserve"> Navedeni dokumenti so še v postopku sprejemanja pri OECD.</w:t>
      </w:r>
    </w:p>
  </w:footnote>
  <w:footnote w:id="9">
    <w:p w14:paraId="20E69474" w14:textId="77777777" w:rsidR="008F6A83" w:rsidRDefault="008F6A83">
      <w:pPr>
        <w:pStyle w:val="Sprotnaopomba-besedilo"/>
      </w:pPr>
      <w:r>
        <w:rPr>
          <w:rStyle w:val="Sprotnaopomba-sklic"/>
        </w:rPr>
        <w:footnoteRef/>
      </w:r>
      <w:r>
        <w:t xml:space="preserve"> Naveden Pravilnik je v postopku priprave in se bo objavil v roku 6 mesecev po objavi ZMD. </w:t>
      </w:r>
    </w:p>
  </w:footnote>
  <w:footnote w:id="10">
    <w:p w14:paraId="48D9E0F6" w14:textId="77777777" w:rsidR="008F6A83" w:rsidRDefault="008F6A83">
      <w:pPr>
        <w:pStyle w:val="Sprotnaopomba-besedilo"/>
      </w:pPr>
      <w:r>
        <w:rPr>
          <w:rStyle w:val="Sprotnaopomba-sklic"/>
        </w:rPr>
        <w:footnoteRef/>
      </w:r>
      <w:r>
        <w:t xml:space="preserve"> Navedeni pravilnik je v postopku priprave.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A83" w:rsidRPr="008F3500" w14:paraId="4782E17D" w14:textId="77777777" w:rsidTr="00852532">
      <w:trPr>
        <w:cantSplit/>
        <w:trHeight w:hRule="exact" w:val="847"/>
      </w:trPr>
      <w:tc>
        <w:tcPr>
          <w:tcW w:w="567" w:type="dxa"/>
        </w:tcPr>
        <w:p w14:paraId="41BB0CAA" w14:textId="77777777" w:rsidR="008F6A83" w:rsidRDefault="008F6A83" w:rsidP="00237DFD">
          <w:pPr>
            <w:autoSpaceDE w:val="0"/>
            <w:autoSpaceDN w:val="0"/>
            <w:adjustRightInd w:val="0"/>
            <w:spacing w:line="240" w:lineRule="auto"/>
            <w:rPr>
              <w:rFonts w:ascii="Republika" w:hAnsi="Republika"/>
              <w:color w:val="529DBA"/>
              <w:sz w:val="60"/>
              <w:szCs w:val="60"/>
            </w:rPr>
          </w:pPr>
          <w:bookmarkStart w:id="1" w:name="_Hlk144814626"/>
          <w:bookmarkStart w:id="2" w:name="_Hlk144814627"/>
          <w:r w:rsidRPr="008F3500">
            <w:rPr>
              <w:rFonts w:ascii="Republika" w:hAnsi="Republika" w:cs="Republika"/>
              <w:color w:val="529DBA"/>
              <w:sz w:val="60"/>
              <w:szCs w:val="60"/>
              <w:lang w:eastAsia="sl-SI"/>
            </w:rPr>
            <w:t></w:t>
          </w:r>
        </w:p>
        <w:p w14:paraId="3FE1B537" w14:textId="77777777" w:rsidR="008F6A83" w:rsidRPr="006D42D9" w:rsidRDefault="008F6A83" w:rsidP="00237DFD">
          <w:pPr>
            <w:rPr>
              <w:rFonts w:ascii="Republika" w:hAnsi="Republika"/>
              <w:sz w:val="60"/>
              <w:szCs w:val="60"/>
            </w:rPr>
          </w:pPr>
        </w:p>
        <w:p w14:paraId="50F1E88E" w14:textId="77777777" w:rsidR="008F6A83" w:rsidRPr="006D42D9" w:rsidRDefault="008F6A83" w:rsidP="00237DFD">
          <w:pPr>
            <w:rPr>
              <w:rFonts w:ascii="Republika" w:hAnsi="Republika"/>
              <w:sz w:val="60"/>
              <w:szCs w:val="60"/>
            </w:rPr>
          </w:pPr>
        </w:p>
        <w:p w14:paraId="6B7366CD" w14:textId="77777777" w:rsidR="008F6A83" w:rsidRPr="006D42D9" w:rsidRDefault="008F6A83" w:rsidP="00237DFD">
          <w:pPr>
            <w:rPr>
              <w:rFonts w:ascii="Republika" w:hAnsi="Republika"/>
              <w:sz w:val="60"/>
              <w:szCs w:val="60"/>
            </w:rPr>
          </w:pPr>
        </w:p>
        <w:p w14:paraId="453BB0CC" w14:textId="77777777" w:rsidR="008F6A83" w:rsidRPr="006D42D9" w:rsidRDefault="008F6A83" w:rsidP="00237DFD">
          <w:pPr>
            <w:rPr>
              <w:rFonts w:ascii="Republika" w:hAnsi="Republika"/>
              <w:sz w:val="60"/>
              <w:szCs w:val="60"/>
            </w:rPr>
          </w:pPr>
        </w:p>
        <w:p w14:paraId="1DFA525C" w14:textId="77777777" w:rsidR="008F6A83" w:rsidRPr="006D42D9" w:rsidRDefault="008F6A83" w:rsidP="00237DFD">
          <w:pPr>
            <w:rPr>
              <w:rFonts w:ascii="Republika" w:hAnsi="Republika"/>
              <w:sz w:val="60"/>
              <w:szCs w:val="60"/>
            </w:rPr>
          </w:pPr>
        </w:p>
        <w:p w14:paraId="27365B81" w14:textId="77777777" w:rsidR="008F6A83" w:rsidRPr="006D42D9" w:rsidRDefault="008F6A83" w:rsidP="00237DFD">
          <w:pPr>
            <w:rPr>
              <w:rFonts w:ascii="Republika" w:hAnsi="Republika"/>
              <w:sz w:val="60"/>
              <w:szCs w:val="60"/>
            </w:rPr>
          </w:pPr>
        </w:p>
        <w:p w14:paraId="6B6133A9" w14:textId="77777777" w:rsidR="008F6A83" w:rsidRPr="006D42D9" w:rsidRDefault="008F6A83" w:rsidP="00237DFD">
          <w:pPr>
            <w:rPr>
              <w:rFonts w:ascii="Republika" w:hAnsi="Republika"/>
              <w:sz w:val="60"/>
              <w:szCs w:val="60"/>
            </w:rPr>
          </w:pPr>
        </w:p>
        <w:p w14:paraId="0B07C565" w14:textId="77777777" w:rsidR="008F6A83" w:rsidRPr="006D42D9" w:rsidRDefault="008F6A83" w:rsidP="00237DFD">
          <w:pPr>
            <w:rPr>
              <w:rFonts w:ascii="Republika" w:hAnsi="Republika"/>
              <w:sz w:val="60"/>
              <w:szCs w:val="60"/>
            </w:rPr>
          </w:pPr>
        </w:p>
        <w:p w14:paraId="442C75DA" w14:textId="77777777" w:rsidR="008F6A83" w:rsidRPr="006D42D9" w:rsidRDefault="008F6A83" w:rsidP="00237DFD">
          <w:pPr>
            <w:rPr>
              <w:rFonts w:ascii="Republika" w:hAnsi="Republika"/>
              <w:sz w:val="60"/>
              <w:szCs w:val="60"/>
            </w:rPr>
          </w:pPr>
        </w:p>
        <w:p w14:paraId="78B214F1" w14:textId="77777777" w:rsidR="008F6A83" w:rsidRPr="006D42D9" w:rsidRDefault="008F6A83" w:rsidP="00237DFD">
          <w:pPr>
            <w:rPr>
              <w:rFonts w:ascii="Republika" w:hAnsi="Republika"/>
              <w:sz w:val="60"/>
              <w:szCs w:val="60"/>
            </w:rPr>
          </w:pPr>
        </w:p>
        <w:p w14:paraId="62DA5F34" w14:textId="77777777" w:rsidR="008F6A83" w:rsidRPr="006D42D9" w:rsidRDefault="008F6A83" w:rsidP="00237DFD">
          <w:pPr>
            <w:rPr>
              <w:rFonts w:ascii="Republika" w:hAnsi="Republika"/>
              <w:sz w:val="60"/>
              <w:szCs w:val="60"/>
            </w:rPr>
          </w:pPr>
        </w:p>
        <w:p w14:paraId="6E833F41" w14:textId="77777777" w:rsidR="008F6A83" w:rsidRPr="006D42D9" w:rsidRDefault="008F6A83" w:rsidP="00237DFD">
          <w:pPr>
            <w:rPr>
              <w:rFonts w:ascii="Republika" w:hAnsi="Republika"/>
              <w:sz w:val="60"/>
              <w:szCs w:val="60"/>
            </w:rPr>
          </w:pPr>
        </w:p>
        <w:p w14:paraId="3C1E99FF" w14:textId="77777777" w:rsidR="008F6A83" w:rsidRPr="006D42D9" w:rsidRDefault="008F6A83" w:rsidP="00237DFD">
          <w:pPr>
            <w:rPr>
              <w:rFonts w:ascii="Republika" w:hAnsi="Republika"/>
              <w:sz w:val="60"/>
              <w:szCs w:val="60"/>
            </w:rPr>
          </w:pPr>
        </w:p>
        <w:p w14:paraId="7D06AF5D" w14:textId="77777777" w:rsidR="008F6A83" w:rsidRPr="006D42D9" w:rsidRDefault="008F6A83" w:rsidP="00237DFD">
          <w:pPr>
            <w:rPr>
              <w:rFonts w:ascii="Republika" w:hAnsi="Republika"/>
              <w:sz w:val="60"/>
              <w:szCs w:val="60"/>
            </w:rPr>
          </w:pPr>
        </w:p>
        <w:p w14:paraId="048279ED" w14:textId="77777777" w:rsidR="008F6A83" w:rsidRPr="006D42D9" w:rsidRDefault="008F6A83" w:rsidP="00237DFD">
          <w:pPr>
            <w:rPr>
              <w:rFonts w:ascii="Republika" w:hAnsi="Republika"/>
              <w:sz w:val="60"/>
              <w:szCs w:val="60"/>
            </w:rPr>
          </w:pPr>
        </w:p>
        <w:p w14:paraId="1C8C2562" w14:textId="77777777" w:rsidR="008F6A83" w:rsidRPr="006D42D9" w:rsidRDefault="008F6A83" w:rsidP="00237DFD">
          <w:pPr>
            <w:rPr>
              <w:rFonts w:ascii="Republika" w:hAnsi="Republika"/>
              <w:sz w:val="60"/>
              <w:szCs w:val="60"/>
            </w:rPr>
          </w:pPr>
        </w:p>
      </w:tc>
    </w:tr>
  </w:tbl>
  <w:p w14:paraId="03115DCB" w14:textId="77777777" w:rsidR="008F6A83" w:rsidRPr="008F3500" w:rsidRDefault="008F6A83" w:rsidP="00237DFD">
    <w:pPr>
      <w:autoSpaceDE w:val="0"/>
      <w:autoSpaceDN w:val="0"/>
      <w:adjustRightInd w:val="0"/>
      <w:spacing w:line="240" w:lineRule="auto"/>
      <w:rPr>
        <w:rFonts w:ascii="Republika" w:hAnsi="Republika"/>
      </w:rPr>
    </w:pPr>
    <w:r w:rsidRPr="008F3500">
      <w:rPr>
        <w:rFonts w:ascii="Republika" w:hAnsi="Republika"/>
      </w:rPr>
      <w:t>REPUBLIKA SLOVENIJA</w:t>
    </w:r>
  </w:p>
  <w:p w14:paraId="4C47DF01" w14:textId="77777777" w:rsidR="008F6A83" w:rsidRPr="008F3500" w:rsidRDefault="008F6A83" w:rsidP="00237DFD">
    <w:pPr>
      <w:pStyle w:val="Glava"/>
      <w:tabs>
        <w:tab w:val="left" w:pos="5112"/>
      </w:tabs>
      <w:spacing w:after="120" w:line="240" w:lineRule="exact"/>
      <w:rPr>
        <w:rFonts w:ascii="Republika Bold" w:hAnsi="Republika Bold"/>
        <w:b/>
        <w:caps/>
      </w:rPr>
    </w:pPr>
    <w:r>
      <w:rPr>
        <w:rFonts w:ascii="Republika Bold" w:hAnsi="Republika Bold"/>
        <w:b/>
        <w:caps/>
      </w:rPr>
      <w:t>Ministrstvo za finace</w:t>
    </w:r>
  </w:p>
  <w:p w14:paraId="7C431449" w14:textId="77777777" w:rsidR="008F6A83" w:rsidRDefault="008F6A83" w:rsidP="00237DFD">
    <w:pPr>
      <w:pStyle w:val="Glava"/>
      <w:tabs>
        <w:tab w:val="left" w:pos="5112"/>
      </w:tabs>
      <w:spacing w:before="120" w:after="120" w:line="240" w:lineRule="exact"/>
      <w:rPr>
        <w:rFonts w:ascii="Republika" w:hAnsi="Republika"/>
        <w:caps/>
      </w:rPr>
    </w:pPr>
    <w:r>
      <w:rPr>
        <w:rFonts w:ascii="Republika" w:hAnsi="Republika"/>
        <w:caps/>
      </w:rPr>
      <w:t>FINANČNA uprava Republike Slovenije</w:t>
    </w:r>
  </w:p>
  <w:p w14:paraId="346E2D15" w14:textId="77777777" w:rsidR="008F6A83" w:rsidRPr="008F3500" w:rsidRDefault="008F6A83" w:rsidP="00237DFD">
    <w:pPr>
      <w:pStyle w:val="Glava"/>
      <w:tabs>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1C43C26" w14:textId="77777777" w:rsidR="008F6A83" w:rsidRPr="008F3500" w:rsidRDefault="008F6A83" w:rsidP="00237DFD">
    <w:pPr>
      <w:pStyle w:val="Glava"/>
      <w:tabs>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0443626" w14:textId="77777777" w:rsidR="008F6A83" w:rsidRPr="008F3500" w:rsidRDefault="008F6A83" w:rsidP="00237DFD">
    <w:pPr>
      <w:pStyle w:val="Glava"/>
      <w:tabs>
        <w:tab w:val="left" w:pos="5112"/>
      </w:tabs>
      <w:spacing w:line="240" w:lineRule="exact"/>
      <w:rPr>
        <w:rFonts w:cs="Arial"/>
        <w:sz w:val="16"/>
      </w:rPr>
    </w:pPr>
    <w:r w:rsidRPr="008F3500">
      <w:rPr>
        <w:rFonts w:cs="Arial"/>
        <w:sz w:val="16"/>
      </w:rPr>
      <w:tab/>
      <w:t xml:space="preserve">E: </w:t>
    </w:r>
    <w:r>
      <w:rPr>
        <w:rFonts w:cs="Arial"/>
        <w:sz w:val="16"/>
      </w:rPr>
      <w:t>gfu.fu@gov.si</w:t>
    </w:r>
  </w:p>
  <w:p w14:paraId="33DE406D" w14:textId="77777777" w:rsidR="008F6A83" w:rsidRPr="008F3500" w:rsidRDefault="008F6A83" w:rsidP="00237DFD">
    <w:pPr>
      <w:pStyle w:val="Glava"/>
      <w:tabs>
        <w:tab w:val="left" w:pos="5112"/>
      </w:tabs>
      <w:spacing w:line="240" w:lineRule="exact"/>
      <w:rPr>
        <w:rFonts w:cs="Arial"/>
        <w:sz w:val="16"/>
      </w:rPr>
    </w:pPr>
    <w:r w:rsidRPr="008F3500">
      <w:rPr>
        <w:rFonts w:cs="Arial"/>
        <w:sz w:val="16"/>
      </w:rPr>
      <w:tab/>
    </w:r>
    <w:r>
      <w:rPr>
        <w:rFonts w:cs="Arial"/>
        <w:sz w:val="16"/>
      </w:rPr>
      <w:t>www.fu.gov.si</w: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CD4"/>
    <w:multiLevelType w:val="hybridMultilevel"/>
    <w:tmpl w:val="D51AFACE"/>
    <w:lvl w:ilvl="0" w:tplc="0BFE69E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2263A"/>
    <w:multiLevelType w:val="hybridMultilevel"/>
    <w:tmpl w:val="6E9E39BA"/>
    <w:lvl w:ilvl="0" w:tplc="6FB29D6C">
      <w:start w:val="1"/>
      <w:numFmt w:val="lowerLetter"/>
      <w:lvlText w:val="(%1)"/>
      <w:lvlJc w:val="left"/>
      <w:pPr>
        <w:ind w:left="31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0803BE8">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61EF5E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2E0FE1E">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AC43E7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5B0458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8C8AAB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2642378">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C20109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26D4718"/>
    <w:multiLevelType w:val="hybridMultilevel"/>
    <w:tmpl w:val="58BA631A"/>
    <w:lvl w:ilvl="0" w:tplc="EE3ACF2E">
      <w:start w:val="1"/>
      <w:numFmt w:val="lowerLetter"/>
      <w:lvlText w:val="(%1)"/>
      <w:lvlJc w:val="left"/>
      <w:pPr>
        <w:ind w:left="720" w:hanging="3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B47BC4"/>
    <w:multiLevelType w:val="hybridMultilevel"/>
    <w:tmpl w:val="D3AAAEA0"/>
    <w:lvl w:ilvl="0" w:tplc="E1B2ECC6">
      <w:start w:val="1"/>
      <w:numFmt w:val="decimal"/>
      <w:lvlText w:val="%1."/>
      <w:lvlJc w:val="left"/>
      <w:pPr>
        <w:ind w:left="1440" w:hanging="360"/>
      </w:pPr>
    </w:lvl>
    <w:lvl w:ilvl="1" w:tplc="2DE89F62">
      <w:start w:val="1"/>
      <w:numFmt w:val="decimal"/>
      <w:lvlText w:val="%2."/>
      <w:lvlJc w:val="left"/>
      <w:pPr>
        <w:ind w:left="1440" w:hanging="360"/>
      </w:pPr>
    </w:lvl>
    <w:lvl w:ilvl="2" w:tplc="0694CCD4">
      <w:start w:val="1"/>
      <w:numFmt w:val="decimal"/>
      <w:lvlText w:val="%3."/>
      <w:lvlJc w:val="left"/>
      <w:pPr>
        <w:ind w:left="1440" w:hanging="360"/>
      </w:pPr>
    </w:lvl>
    <w:lvl w:ilvl="3" w:tplc="6BA2B240">
      <w:start w:val="1"/>
      <w:numFmt w:val="decimal"/>
      <w:lvlText w:val="%4."/>
      <w:lvlJc w:val="left"/>
      <w:pPr>
        <w:ind w:left="1440" w:hanging="360"/>
      </w:pPr>
    </w:lvl>
    <w:lvl w:ilvl="4" w:tplc="C95C6828">
      <w:start w:val="1"/>
      <w:numFmt w:val="decimal"/>
      <w:lvlText w:val="%5."/>
      <w:lvlJc w:val="left"/>
      <w:pPr>
        <w:ind w:left="1440" w:hanging="360"/>
      </w:pPr>
    </w:lvl>
    <w:lvl w:ilvl="5" w:tplc="2A903966">
      <w:start w:val="1"/>
      <w:numFmt w:val="decimal"/>
      <w:lvlText w:val="%6."/>
      <w:lvlJc w:val="left"/>
      <w:pPr>
        <w:ind w:left="1440" w:hanging="360"/>
      </w:pPr>
    </w:lvl>
    <w:lvl w:ilvl="6" w:tplc="4560C27A">
      <w:start w:val="1"/>
      <w:numFmt w:val="decimal"/>
      <w:lvlText w:val="%7."/>
      <w:lvlJc w:val="left"/>
      <w:pPr>
        <w:ind w:left="1440" w:hanging="360"/>
      </w:pPr>
    </w:lvl>
    <w:lvl w:ilvl="7" w:tplc="690AFFCA">
      <w:start w:val="1"/>
      <w:numFmt w:val="decimal"/>
      <w:lvlText w:val="%8."/>
      <w:lvlJc w:val="left"/>
      <w:pPr>
        <w:ind w:left="1440" w:hanging="360"/>
      </w:pPr>
    </w:lvl>
    <w:lvl w:ilvl="8" w:tplc="A91631D2">
      <w:start w:val="1"/>
      <w:numFmt w:val="decimal"/>
      <w:lvlText w:val="%9."/>
      <w:lvlJc w:val="left"/>
      <w:pPr>
        <w:ind w:left="1440" w:hanging="360"/>
      </w:pPr>
    </w:lvl>
  </w:abstractNum>
  <w:abstractNum w:abstractNumId="4" w15:restartNumberingAfterBreak="0">
    <w:nsid w:val="05C46956"/>
    <w:multiLevelType w:val="multilevel"/>
    <w:tmpl w:val="C94E60F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225DE8"/>
    <w:multiLevelType w:val="multilevel"/>
    <w:tmpl w:val="BAF614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71040"/>
    <w:multiLevelType w:val="multilevel"/>
    <w:tmpl w:val="115EC7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95CD9"/>
    <w:multiLevelType w:val="multilevel"/>
    <w:tmpl w:val="7B9C70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CA6215"/>
    <w:multiLevelType w:val="multilevel"/>
    <w:tmpl w:val="2BB40E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4B3DE5"/>
    <w:multiLevelType w:val="hybridMultilevel"/>
    <w:tmpl w:val="81401D86"/>
    <w:lvl w:ilvl="0" w:tplc="167860BC">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550BF4"/>
    <w:multiLevelType w:val="multilevel"/>
    <w:tmpl w:val="7B34FA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F74FB0"/>
    <w:multiLevelType w:val="multilevel"/>
    <w:tmpl w:val="8F948C7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start w:val="1"/>
      <w:numFmt w:val="decimal"/>
      <w:lvlText w:val="%1.%2."/>
      <w:lvlJc w:val="left"/>
      <w:pPr>
        <w:ind w:left="0" w:firstLine="0"/>
      </w:pPr>
      <w:rPr>
        <w:rFonts w:ascii="Arial" w:eastAsia="Arial" w:hAnsi="Arial" w:cs="Arial"/>
        <w:b/>
        <w:bCs/>
        <w:i w:val="0"/>
        <w:iCs w:val="0"/>
        <w:smallCaps w:val="0"/>
        <w:strike w:val="0"/>
        <w:dstrike w:val="0"/>
        <w:color w:val="4E81BD"/>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CA6556"/>
    <w:multiLevelType w:val="multilevel"/>
    <w:tmpl w:val="C99AB8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4E731B"/>
    <w:multiLevelType w:val="multilevel"/>
    <w:tmpl w:val="57BC5B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A035E9"/>
    <w:multiLevelType w:val="multilevel"/>
    <w:tmpl w:val="B1FEE1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846FEE"/>
    <w:multiLevelType w:val="hybridMultilevel"/>
    <w:tmpl w:val="C158FE70"/>
    <w:lvl w:ilvl="0" w:tplc="0FF4413A">
      <w:start w:val="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C433BC"/>
    <w:multiLevelType w:val="hybridMultilevel"/>
    <w:tmpl w:val="EEAE1774"/>
    <w:lvl w:ilvl="0" w:tplc="A344048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F05807"/>
    <w:multiLevelType w:val="multilevel"/>
    <w:tmpl w:val="8F4842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1C2193"/>
    <w:multiLevelType w:val="multilevel"/>
    <w:tmpl w:val="8778A4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A23017"/>
    <w:multiLevelType w:val="hybridMultilevel"/>
    <w:tmpl w:val="834090F2"/>
    <w:lvl w:ilvl="0" w:tplc="04240001">
      <w:start w:val="1"/>
      <w:numFmt w:val="bullet"/>
      <w:lvlText w:val=""/>
      <w:lvlJc w:val="left"/>
      <w:pPr>
        <w:ind w:left="310"/>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1" w:tplc="3634E7B2">
      <w:start w:val="1"/>
      <w:numFmt w:val="lowerRoman"/>
      <w:lvlText w:val="(%2)"/>
      <w:lvlJc w:val="left"/>
      <w:pPr>
        <w:ind w:left="61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1AA0F0B8">
      <w:start w:val="1"/>
      <w:numFmt w:val="lowerRoman"/>
      <w:lvlText w:val="%3"/>
      <w:lvlJc w:val="left"/>
      <w:pPr>
        <w:ind w:left="13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CDCBAFA">
      <w:start w:val="1"/>
      <w:numFmt w:val="decimal"/>
      <w:lvlText w:val="%4"/>
      <w:lvlJc w:val="left"/>
      <w:pPr>
        <w:ind w:left="21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E1E3F3A">
      <w:start w:val="1"/>
      <w:numFmt w:val="lowerLetter"/>
      <w:lvlText w:val="%5"/>
      <w:lvlJc w:val="left"/>
      <w:pPr>
        <w:ind w:left="28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7069826">
      <w:start w:val="1"/>
      <w:numFmt w:val="lowerRoman"/>
      <w:lvlText w:val="%6"/>
      <w:lvlJc w:val="left"/>
      <w:pPr>
        <w:ind w:left="35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9F635A8">
      <w:start w:val="1"/>
      <w:numFmt w:val="decimal"/>
      <w:lvlText w:val="%7"/>
      <w:lvlJc w:val="left"/>
      <w:pPr>
        <w:ind w:left="42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13C1D70">
      <w:start w:val="1"/>
      <w:numFmt w:val="lowerLetter"/>
      <w:lvlText w:val="%8"/>
      <w:lvlJc w:val="left"/>
      <w:pPr>
        <w:ind w:left="49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F702E76">
      <w:start w:val="1"/>
      <w:numFmt w:val="lowerRoman"/>
      <w:lvlText w:val="%9"/>
      <w:lvlJc w:val="left"/>
      <w:pPr>
        <w:ind w:left="57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275C3293"/>
    <w:multiLevelType w:val="multilevel"/>
    <w:tmpl w:val="BE880E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101196"/>
    <w:multiLevelType w:val="multilevel"/>
    <w:tmpl w:val="B3C66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B12A71"/>
    <w:multiLevelType w:val="hybridMultilevel"/>
    <w:tmpl w:val="590A6FA8"/>
    <w:lvl w:ilvl="0" w:tplc="3634F11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21718A"/>
    <w:multiLevelType w:val="multilevel"/>
    <w:tmpl w:val="32AC4C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8B6988"/>
    <w:multiLevelType w:val="hybridMultilevel"/>
    <w:tmpl w:val="13727912"/>
    <w:lvl w:ilvl="0" w:tplc="EF345CD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0D177E"/>
    <w:multiLevelType w:val="multilevel"/>
    <w:tmpl w:val="CFE4D2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9F5509"/>
    <w:multiLevelType w:val="multilevel"/>
    <w:tmpl w:val="267259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0F6AEE"/>
    <w:multiLevelType w:val="multilevel"/>
    <w:tmpl w:val="F9B09B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9074F9"/>
    <w:multiLevelType w:val="multilevel"/>
    <w:tmpl w:val="92BA86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CB4F64"/>
    <w:multiLevelType w:val="hybridMultilevel"/>
    <w:tmpl w:val="F5EE2C20"/>
    <w:lvl w:ilvl="0" w:tplc="8FEA7950">
      <w:start w:val="1"/>
      <w:numFmt w:val="decimal"/>
      <w:lvlText w:val="(%1)"/>
      <w:lvlJc w:val="left"/>
      <w:pPr>
        <w:ind w:left="770" w:hanging="360"/>
      </w:pPr>
      <w:rPr>
        <w:rFonts w:hint="default"/>
      </w:r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30" w15:restartNumberingAfterBreak="0">
    <w:nsid w:val="49F73F86"/>
    <w:multiLevelType w:val="multilevel"/>
    <w:tmpl w:val="79F06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C0BC4"/>
    <w:multiLevelType w:val="multilevel"/>
    <w:tmpl w:val="35BCC1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966E6F"/>
    <w:multiLevelType w:val="multilevel"/>
    <w:tmpl w:val="F564B0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014D89"/>
    <w:multiLevelType w:val="hybridMultilevel"/>
    <w:tmpl w:val="799CE56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DC6EDB"/>
    <w:multiLevelType w:val="multilevel"/>
    <w:tmpl w:val="2AF681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6D7AD5"/>
    <w:multiLevelType w:val="multilevel"/>
    <w:tmpl w:val="048002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691FDC"/>
    <w:multiLevelType w:val="hybridMultilevel"/>
    <w:tmpl w:val="D9F2C8D4"/>
    <w:lvl w:ilvl="0" w:tplc="1CE025BC">
      <w:start w:val="1"/>
      <w:numFmt w:val="decimal"/>
      <w:lvlText w:val="%1."/>
      <w:lvlJc w:val="left"/>
      <w:pPr>
        <w:ind w:left="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43EE73C">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AC23EE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364671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B32225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B8C3A3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8C8CB9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368C4B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05035F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636C7289"/>
    <w:multiLevelType w:val="hybridMultilevel"/>
    <w:tmpl w:val="15AA8272"/>
    <w:lvl w:ilvl="0" w:tplc="D99CEE7A">
      <w:start w:val="1"/>
      <w:numFmt w:val="lowerLetter"/>
      <w:lvlText w:val="(%1)"/>
      <w:lvlJc w:val="left"/>
      <w:pPr>
        <w:ind w:left="31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9B050C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A44924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C2E586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68A4B9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FC0332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91EF02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0DC801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B76A57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68E15FCA"/>
    <w:multiLevelType w:val="multilevel"/>
    <w:tmpl w:val="32B48F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ED715F"/>
    <w:multiLevelType w:val="hybridMultilevel"/>
    <w:tmpl w:val="32BE26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E615E3F"/>
    <w:multiLevelType w:val="multilevel"/>
    <w:tmpl w:val="DE38B1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BA65A1"/>
    <w:multiLevelType w:val="multilevel"/>
    <w:tmpl w:val="62583D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B0571A"/>
    <w:multiLevelType w:val="multilevel"/>
    <w:tmpl w:val="70DAC2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23514B"/>
    <w:multiLevelType w:val="hybridMultilevel"/>
    <w:tmpl w:val="DF3696B2"/>
    <w:lvl w:ilvl="0" w:tplc="9CDC31FA">
      <w:start w:val="1"/>
      <w:numFmt w:val="lowerLetter"/>
      <w:lvlText w:val="(%1)"/>
      <w:lvlJc w:val="left"/>
      <w:pPr>
        <w:ind w:left="1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048A4">
      <w:start w:val="1"/>
      <w:numFmt w:val="lowerLetter"/>
      <w:lvlText w:val="%2"/>
      <w:lvlJc w:val="left"/>
      <w:pPr>
        <w:ind w:left="1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22BBAC">
      <w:start w:val="1"/>
      <w:numFmt w:val="lowerRoman"/>
      <w:lvlText w:val="%3"/>
      <w:lvlJc w:val="left"/>
      <w:pPr>
        <w:ind w:left="2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58D392">
      <w:start w:val="1"/>
      <w:numFmt w:val="decimal"/>
      <w:lvlText w:val="%4"/>
      <w:lvlJc w:val="left"/>
      <w:pPr>
        <w:ind w:left="3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6ABC46">
      <w:start w:val="1"/>
      <w:numFmt w:val="lowerLetter"/>
      <w:lvlText w:val="%5"/>
      <w:lvlJc w:val="left"/>
      <w:pPr>
        <w:ind w:left="4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14D624">
      <w:start w:val="1"/>
      <w:numFmt w:val="lowerRoman"/>
      <w:lvlText w:val="%6"/>
      <w:lvlJc w:val="left"/>
      <w:pPr>
        <w:ind w:left="4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C25D20">
      <w:start w:val="1"/>
      <w:numFmt w:val="decimal"/>
      <w:lvlText w:val="%7"/>
      <w:lvlJc w:val="left"/>
      <w:pPr>
        <w:ind w:left="5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98F6FA">
      <w:start w:val="1"/>
      <w:numFmt w:val="lowerLetter"/>
      <w:lvlText w:val="%8"/>
      <w:lvlJc w:val="left"/>
      <w:pPr>
        <w:ind w:left="6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F615D8">
      <w:start w:val="1"/>
      <w:numFmt w:val="lowerRoman"/>
      <w:lvlText w:val="%9"/>
      <w:lvlJc w:val="left"/>
      <w:pPr>
        <w:ind w:left="6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612067"/>
    <w:multiLevelType w:val="multilevel"/>
    <w:tmpl w:val="8BA6C6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60185"/>
    <w:multiLevelType w:val="multilevel"/>
    <w:tmpl w:val="FAB811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BE3D11"/>
    <w:multiLevelType w:val="multilevel"/>
    <w:tmpl w:val="10CCBB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7296290">
    <w:abstractNumId w:val="22"/>
  </w:num>
  <w:num w:numId="2" w16cid:durableId="1756902506">
    <w:abstractNumId w:val="5"/>
  </w:num>
  <w:num w:numId="3" w16cid:durableId="37173101">
    <w:abstractNumId w:val="35"/>
  </w:num>
  <w:num w:numId="4" w16cid:durableId="1331828478">
    <w:abstractNumId w:val="34"/>
  </w:num>
  <w:num w:numId="5" w16cid:durableId="431826803">
    <w:abstractNumId w:val="18"/>
  </w:num>
  <w:num w:numId="6" w16cid:durableId="1853297396">
    <w:abstractNumId w:val="14"/>
  </w:num>
  <w:num w:numId="7" w16cid:durableId="406001775">
    <w:abstractNumId w:val="27"/>
  </w:num>
  <w:num w:numId="8" w16cid:durableId="1999844809">
    <w:abstractNumId w:val="43"/>
  </w:num>
  <w:num w:numId="9" w16cid:durableId="1213613631">
    <w:abstractNumId w:val="1"/>
  </w:num>
  <w:num w:numId="10" w16cid:durableId="781189376">
    <w:abstractNumId w:val="37"/>
  </w:num>
  <w:num w:numId="11" w16cid:durableId="1383287037">
    <w:abstractNumId w:val="19"/>
  </w:num>
  <w:num w:numId="12" w16cid:durableId="1359818598">
    <w:abstractNumId w:val="0"/>
  </w:num>
  <w:num w:numId="13" w16cid:durableId="678966063">
    <w:abstractNumId w:val="20"/>
  </w:num>
  <w:num w:numId="14" w16cid:durableId="489102667">
    <w:abstractNumId w:val="17"/>
  </w:num>
  <w:num w:numId="15" w16cid:durableId="1543399077">
    <w:abstractNumId w:val="7"/>
  </w:num>
  <w:num w:numId="16" w16cid:durableId="1842163202">
    <w:abstractNumId w:val="32"/>
  </w:num>
  <w:num w:numId="17" w16cid:durableId="1114254793">
    <w:abstractNumId w:val="21"/>
  </w:num>
  <w:num w:numId="18" w16cid:durableId="212624892">
    <w:abstractNumId w:val="12"/>
  </w:num>
  <w:num w:numId="19" w16cid:durableId="991174722">
    <w:abstractNumId w:val="8"/>
  </w:num>
  <w:num w:numId="20" w16cid:durableId="587809752">
    <w:abstractNumId w:val="29"/>
  </w:num>
  <w:num w:numId="21" w16cid:durableId="248973917">
    <w:abstractNumId w:val="40"/>
  </w:num>
  <w:num w:numId="22" w16cid:durableId="1588273408">
    <w:abstractNumId w:val="28"/>
  </w:num>
  <w:num w:numId="23" w16cid:durableId="768550245">
    <w:abstractNumId w:val="38"/>
  </w:num>
  <w:num w:numId="24" w16cid:durableId="1306885340">
    <w:abstractNumId w:val="23"/>
  </w:num>
  <w:num w:numId="25" w16cid:durableId="323972288">
    <w:abstractNumId w:val="30"/>
  </w:num>
  <w:num w:numId="26" w16cid:durableId="456877199">
    <w:abstractNumId w:val="2"/>
  </w:num>
  <w:num w:numId="27" w16cid:durableId="1432626369">
    <w:abstractNumId w:val="31"/>
  </w:num>
  <w:num w:numId="28" w16cid:durableId="338315666">
    <w:abstractNumId w:val="46"/>
  </w:num>
  <w:num w:numId="29" w16cid:durableId="1803503261">
    <w:abstractNumId w:val="24"/>
  </w:num>
  <w:num w:numId="30" w16cid:durableId="1334338232">
    <w:abstractNumId w:val="25"/>
  </w:num>
  <w:num w:numId="31" w16cid:durableId="1775589653">
    <w:abstractNumId w:val="42"/>
  </w:num>
  <w:num w:numId="32" w16cid:durableId="1883907240">
    <w:abstractNumId w:val="26"/>
  </w:num>
  <w:num w:numId="33" w16cid:durableId="77559979">
    <w:abstractNumId w:val="6"/>
  </w:num>
  <w:num w:numId="34" w16cid:durableId="771513754">
    <w:abstractNumId w:val="13"/>
  </w:num>
  <w:num w:numId="35" w16cid:durableId="794908761">
    <w:abstractNumId w:val="10"/>
  </w:num>
  <w:num w:numId="36" w16cid:durableId="152140842">
    <w:abstractNumId w:val="45"/>
  </w:num>
  <w:num w:numId="37" w16cid:durableId="2139645973">
    <w:abstractNumId w:val="16"/>
  </w:num>
  <w:num w:numId="38" w16cid:durableId="1599176188">
    <w:abstractNumId w:val="36"/>
  </w:num>
  <w:num w:numId="39" w16cid:durableId="1901475834">
    <w:abstractNumId w:val="3"/>
  </w:num>
  <w:num w:numId="40" w16cid:durableId="1509715738">
    <w:abstractNumId w:val="33"/>
  </w:num>
  <w:num w:numId="41" w16cid:durableId="1257327773">
    <w:abstractNumId w:val="39"/>
  </w:num>
  <w:num w:numId="42" w16cid:durableId="350188380">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1345401255">
    <w:abstractNumId w:val="4"/>
    <w:lvlOverride w:ilvl="0">
      <w:startOverride w:val="1"/>
    </w:lvlOverride>
    <w:lvlOverride w:ilvl="1"/>
    <w:lvlOverride w:ilvl="2"/>
    <w:lvlOverride w:ilvl="3"/>
    <w:lvlOverride w:ilvl="4"/>
    <w:lvlOverride w:ilvl="5"/>
    <w:lvlOverride w:ilvl="6"/>
    <w:lvlOverride w:ilvl="7"/>
    <w:lvlOverride w:ilvl="8"/>
  </w:num>
  <w:num w:numId="44" w16cid:durableId="130564072">
    <w:abstractNumId w:val="41"/>
  </w:num>
  <w:num w:numId="45" w16cid:durableId="1935742128">
    <w:abstractNumId w:val="15"/>
  </w:num>
  <w:num w:numId="46" w16cid:durableId="1577086798">
    <w:abstractNumId w:val="9"/>
  </w:num>
  <w:num w:numId="47" w16cid:durableId="231819656">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2C"/>
    <w:rsid w:val="000004B5"/>
    <w:rsid w:val="00000E99"/>
    <w:rsid w:val="00001991"/>
    <w:rsid w:val="00001EBE"/>
    <w:rsid w:val="00006691"/>
    <w:rsid w:val="00011D10"/>
    <w:rsid w:val="00020FDB"/>
    <w:rsid w:val="00021308"/>
    <w:rsid w:val="000231C3"/>
    <w:rsid w:val="000235D9"/>
    <w:rsid w:val="00025058"/>
    <w:rsid w:val="0003555C"/>
    <w:rsid w:val="00047C93"/>
    <w:rsid w:val="0005080F"/>
    <w:rsid w:val="00050BD9"/>
    <w:rsid w:val="000537DB"/>
    <w:rsid w:val="00057393"/>
    <w:rsid w:val="00061272"/>
    <w:rsid w:val="00066B8D"/>
    <w:rsid w:val="000670F0"/>
    <w:rsid w:val="00071D37"/>
    <w:rsid w:val="0007412C"/>
    <w:rsid w:val="00075EB9"/>
    <w:rsid w:val="00077CBF"/>
    <w:rsid w:val="00077CE3"/>
    <w:rsid w:val="00083C49"/>
    <w:rsid w:val="0008590E"/>
    <w:rsid w:val="0009057E"/>
    <w:rsid w:val="000907AC"/>
    <w:rsid w:val="00094F9E"/>
    <w:rsid w:val="00096C4B"/>
    <w:rsid w:val="000A02B0"/>
    <w:rsid w:val="000A288B"/>
    <w:rsid w:val="000B4ECF"/>
    <w:rsid w:val="000D0283"/>
    <w:rsid w:val="000D2FEB"/>
    <w:rsid w:val="000E1DA1"/>
    <w:rsid w:val="000E2096"/>
    <w:rsid w:val="000F06CD"/>
    <w:rsid w:val="000F0C55"/>
    <w:rsid w:val="000F153C"/>
    <w:rsid w:val="000F2C24"/>
    <w:rsid w:val="000F33A6"/>
    <w:rsid w:val="000F38B6"/>
    <w:rsid w:val="000F4FD9"/>
    <w:rsid w:val="000F54F2"/>
    <w:rsid w:val="000F744F"/>
    <w:rsid w:val="00100CC4"/>
    <w:rsid w:val="00101D1E"/>
    <w:rsid w:val="001054F0"/>
    <w:rsid w:val="00110364"/>
    <w:rsid w:val="0011317E"/>
    <w:rsid w:val="00121933"/>
    <w:rsid w:val="00125E15"/>
    <w:rsid w:val="00126F03"/>
    <w:rsid w:val="001305E7"/>
    <w:rsid w:val="001311D6"/>
    <w:rsid w:val="00131E85"/>
    <w:rsid w:val="0013294C"/>
    <w:rsid w:val="00134BA7"/>
    <w:rsid w:val="00140730"/>
    <w:rsid w:val="00143F92"/>
    <w:rsid w:val="001457A7"/>
    <w:rsid w:val="00145C11"/>
    <w:rsid w:val="001516F1"/>
    <w:rsid w:val="001519E3"/>
    <w:rsid w:val="001605E7"/>
    <w:rsid w:val="00160CFD"/>
    <w:rsid w:val="00160E60"/>
    <w:rsid w:val="00162EF0"/>
    <w:rsid w:val="001677FD"/>
    <w:rsid w:val="00177208"/>
    <w:rsid w:val="00182A35"/>
    <w:rsid w:val="00183BCE"/>
    <w:rsid w:val="0018466C"/>
    <w:rsid w:val="00184ED4"/>
    <w:rsid w:val="00187EC4"/>
    <w:rsid w:val="00190885"/>
    <w:rsid w:val="001921D7"/>
    <w:rsid w:val="0019500D"/>
    <w:rsid w:val="00197BCE"/>
    <w:rsid w:val="001A1783"/>
    <w:rsid w:val="001A5CD3"/>
    <w:rsid w:val="001A6788"/>
    <w:rsid w:val="001B1CDF"/>
    <w:rsid w:val="001B390A"/>
    <w:rsid w:val="001C1FB1"/>
    <w:rsid w:val="001C58B3"/>
    <w:rsid w:val="001C644B"/>
    <w:rsid w:val="001D32AE"/>
    <w:rsid w:val="001D71C7"/>
    <w:rsid w:val="001D7257"/>
    <w:rsid w:val="001E2C09"/>
    <w:rsid w:val="001E3145"/>
    <w:rsid w:val="001E406F"/>
    <w:rsid w:val="001F0B95"/>
    <w:rsid w:val="001F2DCA"/>
    <w:rsid w:val="00201C02"/>
    <w:rsid w:val="00202953"/>
    <w:rsid w:val="002046C4"/>
    <w:rsid w:val="00207A9C"/>
    <w:rsid w:val="00214CB3"/>
    <w:rsid w:val="00217962"/>
    <w:rsid w:val="002236D7"/>
    <w:rsid w:val="0022468D"/>
    <w:rsid w:val="002246CF"/>
    <w:rsid w:val="002342C4"/>
    <w:rsid w:val="00234F6E"/>
    <w:rsid w:val="002373BA"/>
    <w:rsid w:val="00237DFD"/>
    <w:rsid w:val="002426D1"/>
    <w:rsid w:val="002505C9"/>
    <w:rsid w:val="0025509F"/>
    <w:rsid w:val="0025552B"/>
    <w:rsid w:val="002635ED"/>
    <w:rsid w:val="00264708"/>
    <w:rsid w:val="002661FF"/>
    <w:rsid w:val="002716A2"/>
    <w:rsid w:val="00272BF6"/>
    <w:rsid w:val="0027356F"/>
    <w:rsid w:val="00273952"/>
    <w:rsid w:val="0027479A"/>
    <w:rsid w:val="002819D6"/>
    <w:rsid w:val="0028454A"/>
    <w:rsid w:val="002854D7"/>
    <w:rsid w:val="00290F4A"/>
    <w:rsid w:val="002968B1"/>
    <w:rsid w:val="0029706A"/>
    <w:rsid w:val="002A5891"/>
    <w:rsid w:val="002A729C"/>
    <w:rsid w:val="002B03E3"/>
    <w:rsid w:val="002B0695"/>
    <w:rsid w:val="002B0DD6"/>
    <w:rsid w:val="002B2356"/>
    <w:rsid w:val="002B7251"/>
    <w:rsid w:val="002C2F70"/>
    <w:rsid w:val="002C518C"/>
    <w:rsid w:val="002C5268"/>
    <w:rsid w:val="002D3FB4"/>
    <w:rsid w:val="002D4C2E"/>
    <w:rsid w:val="002E0F2E"/>
    <w:rsid w:val="002E4438"/>
    <w:rsid w:val="002F20AC"/>
    <w:rsid w:val="002F435A"/>
    <w:rsid w:val="002F4EEF"/>
    <w:rsid w:val="002F6CE9"/>
    <w:rsid w:val="003021F2"/>
    <w:rsid w:val="00302788"/>
    <w:rsid w:val="00304771"/>
    <w:rsid w:val="00304A46"/>
    <w:rsid w:val="00305E2D"/>
    <w:rsid w:val="00307659"/>
    <w:rsid w:val="00307C35"/>
    <w:rsid w:val="00310983"/>
    <w:rsid w:val="003110ED"/>
    <w:rsid w:val="003115ED"/>
    <w:rsid w:val="00322DB1"/>
    <w:rsid w:val="00322EBD"/>
    <w:rsid w:val="003241D8"/>
    <w:rsid w:val="003242B2"/>
    <w:rsid w:val="00327EE7"/>
    <w:rsid w:val="00327FEA"/>
    <w:rsid w:val="00330ADC"/>
    <w:rsid w:val="00332EE9"/>
    <w:rsid w:val="00333553"/>
    <w:rsid w:val="003348B7"/>
    <w:rsid w:val="003368E6"/>
    <w:rsid w:val="003441B9"/>
    <w:rsid w:val="0034633E"/>
    <w:rsid w:val="003463F9"/>
    <w:rsid w:val="00352E12"/>
    <w:rsid w:val="00356C7A"/>
    <w:rsid w:val="00362617"/>
    <w:rsid w:val="00365550"/>
    <w:rsid w:val="003756EF"/>
    <w:rsid w:val="0038726B"/>
    <w:rsid w:val="00390773"/>
    <w:rsid w:val="00390B76"/>
    <w:rsid w:val="0039243F"/>
    <w:rsid w:val="00392FD4"/>
    <w:rsid w:val="00395FBF"/>
    <w:rsid w:val="00397FC1"/>
    <w:rsid w:val="003A1A95"/>
    <w:rsid w:val="003A74A5"/>
    <w:rsid w:val="003B7BD0"/>
    <w:rsid w:val="003C27D7"/>
    <w:rsid w:val="003C57EF"/>
    <w:rsid w:val="003C65E6"/>
    <w:rsid w:val="003C7B2C"/>
    <w:rsid w:val="003D0783"/>
    <w:rsid w:val="003D11FD"/>
    <w:rsid w:val="003D1DBF"/>
    <w:rsid w:val="003D4E0F"/>
    <w:rsid w:val="003D7128"/>
    <w:rsid w:val="003E0466"/>
    <w:rsid w:val="003E7651"/>
    <w:rsid w:val="003F0020"/>
    <w:rsid w:val="003F0A36"/>
    <w:rsid w:val="003F3D99"/>
    <w:rsid w:val="003F3DCB"/>
    <w:rsid w:val="003F3F59"/>
    <w:rsid w:val="003F4EE0"/>
    <w:rsid w:val="00406A62"/>
    <w:rsid w:val="004078EC"/>
    <w:rsid w:val="0041002F"/>
    <w:rsid w:val="0041602D"/>
    <w:rsid w:val="00421356"/>
    <w:rsid w:val="0042568B"/>
    <w:rsid w:val="0043107D"/>
    <w:rsid w:val="00433FE3"/>
    <w:rsid w:val="00445AD1"/>
    <w:rsid w:val="004533D5"/>
    <w:rsid w:val="004539CB"/>
    <w:rsid w:val="00453FAE"/>
    <w:rsid w:val="00457B7F"/>
    <w:rsid w:val="004602E1"/>
    <w:rsid w:val="00461E24"/>
    <w:rsid w:val="00466F3C"/>
    <w:rsid w:val="00472FAC"/>
    <w:rsid w:val="004756F7"/>
    <w:rsid w:val="00475B7B"/>
    <w:rsid w:val="00477FFE"/>
    <w:rsid w:val="00481E1D"/>
    <w:rsid w:val="00482142"/>
    <w:rsid w:val="004828F9"/>
    <w:rsid w:val="004A36D1"/>
    <w:rsid w:val="004A4930"/>
    <w:rsid w:val="004A571B"/>
    <w:rsid w:val="004A68A8"/>
    <w:rsid w:val="004B3CF3"/>
    <w:rsid w:val="004B723C"/>
    <w:rsid w:val="004C3E37"/>
    <w:rsid w:val="004C54DC"/>
    <w:rsid w:val="004D0623"/>
    <w:rsid w:val="004D0B68"/>
    <w:rsid w:val="004D1FF5"/>
    <w:rsid w:val="004D2C01"/>
    <w:rsid w:val="004D758F"/>
    <w:rsid w:val="004E02E3"/>
    <w:rsid w:val="004E4ADA"/>
    <w:rsid w:val="004E7B22"/>
    <w:rsid w:val="004F1259"/>
    <w:rsid w:val="004F4AF3"/>
    <w:rsid w:val="004F5215"/>
    <w:rsid w:val="00502EEF"/>
    <w:rsid w:val="005052C6"/>
    <w:rsid w:val="00505C46"/>
    <w:rsid w:val="00507550"/>
    <w:rsid w:val="00511359"/>
    <w:rsid w:val="005115B5"/>
    <w:rsid w:val="00512CBE"/>
    <w:rsid w:val="0051402F"/>
    <w:rsid w:val="00514B63"/>
    <w:rsid w:val="005175A4"/>
    <w:rsid w:val="005178D5"/>
    <w:rsid w:val="00520B0E"/>
    <w:rsid w:val="005237CA"/>
    <w:rsid w:val="00523D8B"/>
    <w:rsid w:val="00527153"/>
    <w:rsid w:val="00527743"/>
    <w:rsid w:val="00530B0C"/>
    <w:rsid w:val="005348A8"/>
    <w:rsid w:val="0054303C"/>
    <w:rsid w:val="00543162"/>
    <w:rsid w:val="005515F6"/>
    <w:rsid w:val="00551835"/>
    <w:rsid w:val="00551CC9"/>
    <w:rsid w:val="00555290"/>
    <w:rsid w:val="00555AC2"/>
    <w:rsid w:val="00560739"/>
    <w:rsid w:val="00560EF3"/>
    <w:rsid w:val="00561763"/>
    <w:rsid w:val="00562CBF"/>
    <w:rsid w:val="00571EF6"/>
    <w:rsid w:val="0057227B"/>
    <w:rsid w:val="00572A18"/>
    <w:rsid w:val="0057303C"/>
    <w:rsid w:val="00573884"/>
    <w:rsid w:val="00576494"/>
    <w:rsid w:val="005774BF"/>
    <w:rsid w:val="00577E45"/>
    <w:rsid w:val="00577E47"/>
    <w:rsid w:val="00582D2B"/>
    <w:rsid w:val="00584FDF"/>
    <w:rsid w:val="005933A6"/>
    <w:rsid w:val="005942D2"/>
    <w:rsid w:val="00594EE3"/>
    <w:rsid w:val="005A4591"/>
    <w:rsid w:val="005A586F"/>
    <w:rsid w:val="005A6BE6"/>
    <w:rsid w:val="005A7A72"/>
    <w:rsid w:val="005B34D9"/>
    <w:rsid w:val="005B4370"/>
    <w:rsid w:val="005B7838"/>
    <w:rsid w:val="005C00C9"/>
    <w:rsid w:val="005C3DB3"/>
    <w:rsid w:val="005C5771"/>
    <w:rsid w:val="005C6895"/>
    <w:rsid w:val="005C77F9"/>
    <w:rsid w:val="005C7C68"/>
    <w:rsid w:val="005D0919"/>
    <w:rsid w:val="005D13F1"/>
    <w:rsid w:val="005E0991"/>
    <w:rsid w:val="005E1337"/>
    <w:rsid w:val="005E2AB4"/>
    <w:rsid w:val="005E5891"/>
    <w:rsid w:val="005F25E3"/>
    <w:rsid w:val="005F2705"/>
    <w:rsid w:val="00600E4A"/>
    <w:rsid w:val="00604BA6"/>
    <w:rsid w:val="00605D7F"/>
    <w:rsid w:val="00606151"/>
    <w:rsid w:val="0060788A"/>
    <w:rsid w:val="006100F4"/>
    <w:rsid w:val="00611EEB"/>
    <w:rsid w:val="00612708"/>
    <w:rsid w:val="006205A8"/>
    <w:rsid w:val="00627B3E"/>
    <w:rsid w:val="006318CC"/>
    <w:rsid w:val="00636156"/>
    <w:rsid w:val="0064416C"/>
    <w:rsid w:val="0064495B"/>
    <w:rsid w:val="0064501D"/>
    <w:rsid w:val="006537D4"/>
    <w:rsid w:val="00655DCE"/>
    <w:rsid w:val="00657352"/>
    <w:rsid w:val="00661860"/>
    <w:rsid w:val="00663EA4"/>
    <w:rsid w:val="0066427C"/>
    <w:rsid w:val="006645C8"/>
    <w:rsid w:val="00664636"/>
    <w:rsid w:val="006647CE"/>
    <w:rsid w:val="006669B6"/>
    <w:rsid w:val="006673C9"/>
    <w:rsid w:val="00667CBE"/>
    <w:rsid w:val="00671CED"/>
    <w:rsid w:val="00675D9F"/>
    <w:rsid w:val="00684432"/>
    <w:rsid w:val="00684474"/>
    <w:rsid w:val="00685DF0"/>
    <w:rsid w:val="00691016"/>
    <w:rsid w:val="00692A20"/>
    <w:rsid w:val="00695909"/>
    <w:rsid w:val="006A21BF"/>
    <w:rsid w:val="006A57D8"/>
    <w:rsid w:val="006B221D"/>
    <w:rsid w:val="006B315B"/>
    <w:rsid w:val="006B474D"/>
    <w:rsid w:val="006B7509"/>
    <w:rsid w:val="006C1BB8"/>
    <w:rsid w:val="006C2868"/>
    <w:rsid w:val="006C5343"/>
    <w:rsid w:val="006D0A85"/>
    <w:rsid w:val="006D1561"/>
    <w:rsid w:val="006D52E3"/>
    <w:rsid w:val="006E25A6"/>
    <w:rsid w:val="006E6A7C"/>
    <w:rsid w:val="006E70C0"/>
    <w:rsid w:val="006E77AA"/>
    <w:rsid w:val="006F284F"/>
    <w:rsid w:val="006F2E69"/>
    <w:rsid w:val="006F3539"/>
    <w:rsid w:val="006F6C12"/>
    <w:rsid w:val="006F6E64"/>
    <w:rsid w:val="0070190E"/>
    <w:rsid w:val="00703DD8"/>
    <w:rsid w:val="0070554D"/>
    <w:rsid w:val="00705F68"/>
    <w:rsid w:val="00710042"/>
    <w:rsid w:val="007143BE"/>
    <w:rsid w:val="007153D9"/>
    <w:rsid w:val="007221F8"/>
    <w:rsid w:val="00730402"/>
    <w:rsid w:val="00730D4D"/>
    <w:rsid w:val="0073267D"/>
    <w:rsid w:val="00741F42"/>
    <w:rsid w:val="007427ED"/>
    <w:rsid w:val="007442A3"/>
    <w:rsid w:val="0074449C"/>
    <w:rsid w:val="00747AF5"/>
    <w:rsid w:val="0075139D"/>
    <w:rsid w:val="00771AE4"/>
    <w:rsid w:val="00772275"/>
    <w:rsid w:val="0079291E"/>
    <w:rsid w:val="0079324C"/>
    <w:rsid w:val="007A1175"/>
    <w:rsid w:val="007A674C"/>
    <w:rsid w:val="007A7283"/>
    <w:rsid w:val="007B1F4F"/>
    <w:rsid w:val="007B4358"/>
    <w:rsid w:val="007B4803"/>
    <w:rsid w:val="007C4AF7"/>
    <w:rsid w:val="007C4BF5"/>
    <w:rsid w:val="007C57AE"/>
    <w:rsid w:val="007D3009"/>
    <w:rsid w:val="007D77AC"/>
    <w:rsid w:val="007E23B2"/>
    <w:rsid w:val="007E68E7"/>
    <w:rsid w:val="007E7309"/>
    <w:rsid w:val="007E733C"/>
    <w:rsid w:val="007E77F1"/>
    <w:rsid w:val="007E7E31"/>
    <w:rsid w:val="007F5A1B"/>
    <w:rsid w:val="007F6DAD"/>
    <w:rsid w:val="00800560"/>
    <w:rsid w:val="00802720"/>
    <w:rsid w:val="00803F24"/>
    <w:rsid w:val="008075A8"/>
    <w:rsid w:val="00811BE8"/>
    <w:rsid w:val="00813CC4"/>
    <w:rsid w:val="0081691E"/>
    <w:rsid w:val="00820C83"/>
    <w:rsid w:val="00824866"/>
    <w:rsid w:val="0082659E"/>
    <w:rsid w:val="008273B0"/>
    <w:rsid w:val="00833CD8"/>
    <w:rsid w:val="008340B0"/>
    <w:rsid w:val="00841504"/>
    <w:rsid w:val="00843210"/>
    <w:rsid w:val="00850ED4"/>
    <w:rsid w:val="0085103C"/>
    <w:rsid w:val="00851B36"/>
    <w:rsid w:val="00852532"/>
    <w:rsid w:val="0085271F"/>
    <w:rsid w:val="00853CB4"/>
    <w:rsid w:val="00855382"/>
    <w:rsid w:val="00861F2F"/>
    <w:rsid w:val="00864B12"/>
    <w:rsid w:val="008662A8"/>
    <w:rsid w:val="00870D37"/>
    <w:rsid w:val="00873B56"/>
    <w:rsid w:val="008752B8"/>
    <w:rsid w:val="00881180"/>
    <w:rsid w:val="00887B28"/>
    <w:rsid w:val="008924B7"/>
    <w:rsid w:val="00894EE3"/>
    <w:rsid w:val="00895EC3"/>
    <w:rsid w:val="008A29A6"/>
    <w:rsid w:val="008A43EB"/>
    <w:rsid w:val="008A719A"/>
    <w:rsid w:val="008B3E0C"/>
    <w:rsid w:val="008B7163"/>
    <w:rsid w:val="008C1B35"/>
    <w:rsid w:val="008C1D53"/>
    <w:rsid w:val="008C78BC"/>
    <w:rsid w:val="008D05B3"/>
    <w:rsid w:val="008D07DF"/>
    <w:rsid w:val="008D0DCA"/>
    <w:rsid w:val="008D1557"/>
    <w:rsid w:val="008D243F"/>
    <w:rsid w:val="008D3DD9"/>
    <w:rsid w:val="008E5587"/>
    <w:rsid w:val="008E6041"/>
    <w:rsid w:val="008F2373"/>
    <w:rsid w:val="008F2A3B"/>
    <w:rsid w:val="008F3623"/>
    <w:rsid w:val="008F48FB"/>
    <w:rsid w:val="008F6A83"/>
    <w:rsid w:val="00901ED8"/>
    <w:rsid w:val="009020C7"/>
    <w:rsid w:val="00906DFA"/>
    <w:rsid w:val="00907F87"/>
    <w:rsid w:val="0091334C"/>
    <w:rsid w:val="00916220"/>
    <w:rsid w:val="00917AE8"/>
    <w:rsid w:val="009235E2"/>
    <w:rsid w:val="00924D51"/>
    <w:rsid w:val="0093208B"/>
    <w:rsid w:val="00932FAD"/>
    <w:rsid w:val="0093447C"/>
    <w:rsid w:val="00934614"/>
    <w:rsid w:val="009346AC"/>
    <w:rsid w:val="0093777B"/>
    <w:rsid w:val="00941D9C"/>
    <w:rsid w:val="009435D2"/>
    <w:rsid w:val="00945686"/>
    <w:rsid w:val="00954FAC"/>
    <w:rsid w:val="00956F3C"/>
    <w:rsid w:val="00960CE4"/>
    <w:rsid w:val="009675E4"/>
    <w:rsid w:val="009730B4"/>
    <w:rsid w:val="0097333F"/>
    <w:rsid w:val="00973D15"/>
    <w:rsid w:val="00976810"/>
    <w:rsid w:val="00980EF6"/>
    <w:rsid w:val="009827BD"/>
    <w:rsid w:val="00985AAB"/>
    <w:rsid w:val="00985B03"/>
    <w:rsid w:val="00985D5D"/>
    <w:rsid w:val="009863E5"/>
    <w:rsid w:val="009A006D"/>
    <w:rsid w:val="009A0BA7"/>
    <w:rsid w:val="009A1A0A"/>
    <w:rsid w:val="009A4379"/>
    <w:rsid w:val="009B0662"/>
    <w:rsid w:val="009B0D2B"/>
    <w:rsid w:val="009B2D6E"/>
    <w:rsid w:val="009B415D"/>
    <w:rsid w:val="009B7085"/>
    <w:rsid w:val="009C0221"/>
    <w:rsid w:val="009C1626"/>
    <w:rsid w:val="009C25F4"/>
    <w:rsid w:val="009C3A1B"/>
    <w:rsid w:val="009C49FB"/>
    <w:rsid w:val="009C5A05"/>
    <w:rsid w:val="009D1465"/>
    <w:rsid w:val="009D1C95"/>
    <w:rsid w:val="009E0415"/>
    <w:rsid w:val="009E0C54"/>
    <w:rsid w:val="009E0D96"/>
    <w:rsid w:val="009E3ADD"/>
    <w:rsid w:val="009E4960"/>
    <w:rsid w:val="009E6080"/>
    <w:rsid w:val="009F3D29"/>
    <w:rsid w:val="009F748F"/>
    <w:rsid w:val="00A04D64"/>
    <w:rsid w:val="00A07B06"/>
    <w:rsid w:val="00A11876"/>
    <w:rsid w:val="00A11B49"/>
    <w:rsid w:val="00A15A3E"/>
    <w:rsid w:val="00A2110D"/>
    <w:rsid w:val="00A245EC"/>
    <w:rsid w:val="00A2647E"/>
    <w:rsid w:val="00A3136B"/>
    <w:rsid w:val="00A3225F"/>
    <w:rsid w:val="00A3248E"/>
    <w:rsid w:val="00A32656"/>
    <w:rsid w:val="00A330B0"/>
    <w:rsid w:val="00A35F56"/>
    <w:rsid w:val="00A36E48"/>
    <w:rsid w:val="00A416D7"/>
    <w:rsid w:val="00A421E2"/>
    <w:rsid w:val="00A42488"/>
    <w:rsid w:val="00A4474D"/>
    <w:rsid w:val="00A452BA"/>
    <w:rsid w:val="00A4540D"/>
    <w:rsid w:val="00A52210"/>
    <w:rsid w:val="00A5306C"/>
    <w:rsid w:val="00A54D20"/>
    <w:rsid w:val="00A66358"/>
    <w:rsid w:val="00A66A48"/>
    <w:rsid w:val="00A70FC2"/>
    <w:rsid w:val="00A733C8"/>
    <w:rsid w:val="00A7470B"/>
    <w:rsid w:val="00A75D00"/>
    <w:rsid w:val="00A76CCE"/>
    <w:rsid w:val="00A80F3D"/>
    <w:rsid w:val="00A8170E"/>
    <w:rsid w:val="00A8251A"/>
    <w:rsid w:val="00A8428D"/>
    <w:rsid w:val="00A84C11"/>
    <w:rsid w:val="00A85FD5"/>
    <w:rsid w:val="00A87CC1"/>
    <w:rsid w:val="00A91398"/>
    <w:rsid w:val="00A940EF"/>
    <w:rsid w:val="00A9439C"/>
    <w:rsid w:val="00AA2352"/>
    <w:rsid w:val="00AB2051"/>
    <w:rsid w:val="00AB7CA4"/>
    <w:rsid w:val="00AC123A"/>
    <w:rsid w:val="00AC3C76"/>
    <w:rsid w:val="00AC69C0"/>
    <w:rsid w:val="00AD07CB"/>
    <w:rsid w:val="00AD2FE6"/>
    <w:rsid w:val="00AD4AF7"/>
    <w:rsid w:val="00AE093A"/>
    <w:rsid w:val="00AE33C9"/>
    <w:rsid w:val="00AE3E30"/>
    <w:rsid w:val="00AE6A64"/>
    <w:rsid w:val="00AF1AA4"/>
    <w:rsid w:val="00AF1C71"/>
    <w:rsid w:val="00AF3875"/>
    <w:rsid w:val="00AF3C71"/>
    <w:rsid w:val="00AF58BE"/>
    <w:rsid w:val="00AF7B91"/>
    <w:rsid w:val="00B005F8"/>
    <w:rsid w:val="00B01054"/>
    <w:rsid w:val="00B01BA8"/>
    <w:rsid w:val="00B123A6"/>
    <w:rsid w:val="00B2132D"/>
    <w:rsid w:val="00B22628"/>
    <w:rsid w:val="00B23EEE"/>
    <w:rsid w:val="00B25FEF"/>
    <w:rsid w:val="00B26337"/>
    <w:rsid w:val="00B276D1"/>
    <w:rsid w:val="00B314F8"/>
    <w:rsid w:val="00B31745"/>
    <w:rsid w:val="00B476A8"/>
    <w:rsid w:val="00B50147"/>
    <w:rsid w:val="00B5167D"/>
    <w:rsid w:val="00B525CD"/>
    <w:rsid w:val="00B54C06"/>
    <w:rsid w:val="00B5798A"/>
    <w:rsid w:val="00B62D00"/>
    <w:rsid w:val="00B70790"/>
    <w:rsid w:val="00B750A7"/>
    <w:rsid w:val="00B763B4"/>
    <w:rsid w:val="00B8325F"/>
    <w:rsid w:val="00B837C0"/>
    <w:rsid w:val="00B96FAE"/>
    <w:rsid w:val="00BA26F9"/>
    <w:rsid w:val="00BA30BC"/>
    <w:rsid w:val="00BA6D52"/>
    <w:rsid w:val="00BB0D99"/>
    <w:rsid w:val="00BB769E"/>
    <w:rsid w:val="00BC1BAD"/>
    <w:rsid w:val="00BC1E0D"/>
    <w:rsid w:val="00BC1E4F"/>
    <w:rsid w:val="00BD0D13"/>
    <w:rsid w:val="00BD1B5D"/>
    <w:rsid w:val="00BD492B"/>
    <w:rsid w:val="00BE2A83"/>
    <w:rsid w:val="00BE2CBC"/>
    <w:rsid w:val="00BE5099"/>
    <w:rsid w:val="00BE59FF"/>
    <w:rsid w:val="00BE66FA"/>
    <w:rsid w:val="00BE6DE7"/>
    <w:rsid w:val="00BF015C"/>
    <w:rsid w:val="00BF01AC"/>
    <w:rsid w:val="00BF6588"/>
    <w:rsid w:val="00BF797F"/>
    <w:rsid w:val="00C00D27"/>
    <w:rsid w:val="00C03882"/>
    <w:rsid w:val="00C06FA4"/>
    <w:rsid w:val="00C079D4"/>
    <w:rsid w:val="00C256F4"/>
    <w:rsid w:val="00C25F63"/>
    <w:rsid w:val="00C347C3"/>
    <w:rsid w:val="00C34D44"/>
    <w:rsid w:val="00C35EA5"/>
    <w:rsid w:val="00C4319D"/>
    <w:rsid w:val="00C4368B"/>
    <w:rsid w:val="00C45A11"/>
    <w:rsid w:val="00C46A5C"/>
    <w:rsid w:val="00C51945"/>
    <w:rsid w:val="00C54D82"/>
    <w:rsid w:val="00C55C19"/>
    <w:rsid w:val="00C60F31"/>
    <w:rsid w:val="00C628A4"/>
    <w:rsid w:val="00C64361"/>
    <w:rsid w:val="00C71BD1"/>
    <w:rsid w:val="00C71E46"/>
    <w:rsid w:val="00C73A17"/>
    <w:rsid w:val="00C74D79"/>
    <w:rsid w:val="00C75031"/>
    <w:rsid w:val="00C76BDD"/>
    <w:rsid w:val="00C83549"/>
    <w:rsid w:val="00C9275B"/>
    <w:rsid w:val="00CA2F96"/>
    <w:rsid w:val="00CA45D8"/>
    <w:rsid w:val="00CA6AB0"/>
    <w:rsid w:val="00CA771D"/>
    <w:rsid w:val="00CB0DE4"/>
    <w:rsid w:val="00CB76FD"/>
    <w:rsid w:val="00CB7E05"/>
    <w:rsid w:val="00CC009A"/>
    <w:rsid w:val="00CC4A4B"/>
    <w:rsid w:val="00CC7C4C"/>
    <w:rsid w:val="00CD0FEE"/>
    <w:rsid w:val="00CD1EE9"/>
    <w:rsid w:val="00CD4CFB"/>
    <w:rsid w:val="00CD60D1"/>
    <w:rsid w:val="00CE06DA"/>
    <w:rsid w:val="00CE1A44"/>
    <w:rsid w:val="00CF451D"/>
    <w:rsid w:val="00D00AAF"/>
    <w:rsid w:val="00D02BC7"/>
    <w:rsid w:val="00D03484"/>
    <w:rsid w:val="00D037E5"/>
    <w:rsid w:val="00D062CD"/>
    <w:rsid w:val="00D110D0"/>
    <w:rsid w:val="00D14463"/>
    <w:rsid w:val="00D14968"/>
    <w:rsid w:val="00D17239"/>
    <w:rsid w:val="00D25B79"/>
    <w:rsid w:val="00D3149B"/>
    <w:rsid w:val="00D34BA0"/>
    <w:rsid w:val="00D34F3A"/>
    <w:rsid w:val="00D36EEE"/>
    <w:rsid w:val="00D379AB"/>
    <w:rsid w:val="00D427EB"/>
    <w:rsid w:val="00D45CD6"/>
    <w:rsid w:val="00D45FE9"/>
    <w:rsid w:val="00D46D4D"/>
    <w:rsid w:val="00D50C76"/>
    <w:rsid w:val="00D55C48"/>
    <w:rsid w:val="00D55F50"/>
    <w:rsid w:val="00D57352"/>
    <w:rsid w:val="00D574C3"/>
    <w:rsid w:val="00D57610"/>
    <w:rsid w:val="00D72A54"/>
    <w:rsid w:val="00D75989"/>
    <w:rsid w:val="00D76E23"/>
    <w:rsid w:val="00D8106B"/>
    <w:rsid w:val="00D844F7"/>
    <w:rsid w:val="00D847B1"/>
    <w:rsid w:val="00D84D6A"/>
    <w:rsid w:val="00D87046"/>
    <w:rsid w:val="00D90AE4"/>
    <w:rsid w:val="00D93AFF"/>
    <w:rsid w:val="00D9509D"/>
    <w:rsid w:val="00D959F8"/>
    <w:rsid w:val="00D95E6A"/>
    <w:rsid w:val="00D9667C"/>
    <w:rsid w:val="00D97379"/>
    <w:rsid w:val="00DA2796"/>
    <w:rsid w:val="00DA364A"/>
    <w:rsid w:val="00DA4299"/>
    <w:rsid w:val="00DB2C18"/>
    <w:rsid w:val="00DB338C"/>
    <w:rsid w:val="00DB44EF"/>
    <w:rsid w:val="00DB4C83"/>
    <w:rsid w:val="00DB65D9"/>
    <w:rsid w:val="00DC45E9"/>
    <w:rsid w:val="00DC514C"/>
    <w:rsid w:val="00DC545A"/>
    <w:rsid w:val="00DC5680"/>
    <w:rsid w:val="00DC691B"/>
    <w:rsid w:val="00DD2494"/>
    <w:rsid w:val="00DD4703"/>
    <w:rsid w:val="00DE1699"/>
    <w:rsid w:val="00DE1C6B"/>
    <w:rsid w:val="00DE1D56"/>
    <w:rsid w:val="00DE4D11"/>
    <w:rsid w:val="00DF0BA3"/>
    <w:rsid w:val="00DF2791"/>
    <w:rsid w:val="00DF38E4"/>
    <w:rsid w:val="00DF55C4"/>
    <w:rsid w:val="00E013F6"/>
    <w:rsid w:val="00E07373"/>
    <w:rsid w:val="00E10530"/>
    <w:rsid w:val="00E10777"/>
    <w:rsid w:val="00E10900"/>
    <w:rsid w:val="00E16644"/>
    <w:rsid w:val="00E17571"/>
    <w:rsid w:val="00E212AC"/>
    <w:rsid w:val="00E21C38"/>
    <w:rsid w:val="00E273E2"/>
    <w:rsid w:val="00E3120F"/>
    <w:rsid w:val="00E32D99"/>
    <w:rsid w:val="00E344D0"/>
    <w:rsid w:val="00E41635"/>
    <w:rsid w:val="00E41D59"/>
    <w:rsid w:val="00E50498"/>
    <w:rsid w:val="00E51C19"/>
    <w:rsid w:val="00E51F2D"/>
    <w:rsid w:val="00E5536B"/>
    <w:rsid w:val="00E56DF2"/>
    <w:rsid w:val="00E63B1D"/>
    <w:rsid w:val="00E66EEE"/>
    <w:rsid w:val="00E7094B"/>
    <w:rsid w:val="00E72C21"/>
    <w:rsid w:val="00E73A12"/>
    <w:rsid w:val="00E7457D"/>
    <w:rsid w:val="00E76549"/>
    <w:rsid w:val="00E7738F"/>
    <w:rsid w:val="00E77951"/>
    <w:rsid w:val="00E92E21"/>
    <w:rsid w:val="00E95401"/>
    <w:rsid w:val="00E9764F"/>
    <w:rsid w:val="00EA4972"/>
    <w:rsid w:val="00EA79FD"/>
    <w:rsid w:val="00EB1BC5"/>
    <w:rsid w:val="00EB3575"/>
    <w:rsid w:val="00EC7193"/>
    <w:rsid w:val="00ED0644"/>
    <w:rsid w:val="00ED4863"/>
    <w:rsid w:val="00ED6F5E"/>
    <w:rsid w:val="00ED7682"/>
    <w:rsid w:val="00EE3992"/>
    <w:rsid w:val="00EE739A"/>
    <w:rsid w:val="00EF520D"/>
    <w:rsid w:val="00EF6D31"/>
    <w:rsid w:val="00EF7807"/>
    <w:rsid w:val="00EF7F90"/>
    <w:rsid w:val="00F01208"/>
    <w:rsid w:val="00F01934"/>
    <w:rsid w:val="00F01BF5"/>
    <w:rsid w:val="00F037BB"/>
    <w:rsid w:val="00F037D1"/>
    <w:rsid w:val="00F03E9D"/>
    <w:rsid w:val="00F0528C"/>
    <w:rsid w:val="00F05930"/>
    <w:rsid w:val="00F125CE"/>
    <w:rsid w:val="00F12A42"/>
    <w:rsid w:val="00F13C19"/>
    <w:rsid w:val="00F17BA9"/>
    <w:rsid w:val="00F17CF8"/>
    <w:rsid w:val="00F213B4"/>
    <w:rsid w:val="00F234A1"/>
    <w:rsid w:val="00F260AC"/>
    <w:rsid w:val="00F30E31"/>
    <w:rsid w:val="00F3294F"/>
    <w:rsid w:val="00F362F5"/>
    <w:rsid w:val="00F36A75"/>
    <w:rsid w:val="00F47578"/>
    <w:rsid w:val="00F5019D"/>
    <w:rsid w:val="00F5236D"/>
    <w:rsid w:val="00F55188"/>
    <w:rsid w:val="00F55892"/>
    <w:rsid w:val="00F57DF1"/>
    <w:rsid w:val="00F630FC"/>
    <w:rsid w:val="00F735DB"/>
    <w:rsid w:val="00F767EB"/>
    <w:rsid w:val="00F840C5"/>
    <w:rsid w:val="00F85338"/>
    <w:rsid w:val="00F8572F"/>
    <w:rsid w:val="00F94AEE"/>
    <w:rsid w:val="00FA18EE"/>
    <w:rsid w:val="00FA210B"/>
    <w:rsid w:val="00FA29CB"/>
    <w:rsid w:val="00FA2E6D"/>
    <w:rsid w:val="00FA3B00"/>
    <w:rsid w:val="00FA645F"/>
    <w:rsid w:val="00FC06A1"/>
    <w:rsid w:val="00FC1F52"/>
    <w:rsid w:val="00FC2255"/>
    <w:rsid w:val="00FC3A91"/>
    <w:rsid w:val="00FC493D"/>
    <w:rsid w:val="00FC5384"/>
    <w:rsid w:val="00FD02A5"/>
    <w:rsid w:val="00FD1603"/>
    <w:rsid w:val="00FD3657"/>
    <w:rsid w:val="00FD46A5"/>
    <w:rsid w:val="00FD592B"/>
    <w:rsid w:val="00FE28AF"/>
    <w:rsid w:val="00FE3A9D"/>
    <w:rsid w:val="00FE481F"/>
    <w:rsid w:val="00FE4FA5"/>
    <w:rsid w:val="00FF1447"/>
    <w:rsid w:val="00FF2B7E"/>
    <w:rsid w:val="00FF7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63BDA"/>
  <w15:docId w15:val="{F1761FEC-6FE5-452E-802D-4A2B021B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1C19"/>
  </w:style>
  <w:style w:type="paragraph" w:styleId="Naslov1">
    <w:name w:val="heading 1"/>
    <w:aliases w:val="NASLOV"/>
    <w:basedOn w:val="Navaden"/>
    <w:next w:val="Navaden"/>
    <w:link w:val="Naslov1Znak"/>
    <w:autoRedefine/>
    <w:qFormat/>
    <w:rsid w:val="00512CBE"/>
    <w:pPr>
      <w:keepNext/>
      <w:spacing w:after="120" w:line="260" w:lineRule="atLeast"/>
      <w:outlineLvl w:val="0"/>
    </w:pPr>
    <w:rPr>
      <w:rFonts w:ascii="Arial" w:eastAsia="Times New Roman" w:hAnsi="Arial" w:cs="Times New Roman"/>
      <w:b/>
      <w:i/>
      <w:iCs/>
      <w:kern w:val="32"/>
      <w:sz w:val="20"/>
      <w:szCs w:val="20"/>
      <w:lang w:eastAsia="sl-SI"/>
    </w:rPr>
  </w:style>
  <w:style w:type="paragraph" w:styleId="Naslov2">
    <w:name w:val="heading 2"/>
    <w:basedOn w:val="Navaden"/>
    <w:next w:val="Navaden"/>
    <w:link w:val="Naslov2Znak"/>
    <w:unhideWhenUsed/>
    <w:qFormat/>
    <w:rsid w:val="00DB65D9"/>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semiHidden/>
    <w:unhideWhenUsed/>
    <w:qFormat/>
    <w:rsid w:val="00DB65D9"/>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DB65D9"/>
    <w:pPr>
      <w:keepNext/>
      <w:spacing w:before="240" w:after="60" w:line="260" w:lineRule="atLeast"/>
      <w:outlineLvl w:val="3"/>
    </w:pPr>
    <w:rPr>
      <w:rFonts w:ascii="Calibri" w:eastAsia="Times New Roman" w:hAnsi="Calibri" w:cs="Times New Roman"/>
      <w:b/>
      <w:b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K1,3,Bullet 1,Bullet Points,Colorful List - Accent 11,Dot pt,F5 List Paragraph,Indicator Text,Issue Action POC,List Paragraph Char Char Char,List Paragraph2,MAIN CONTENT,Normal numbered,Numbered Para 1,Bulle,Bullet layer"/>
    <w:basedOn w:val="Navaden"/>
    <w:link w:val="OdstavekseznamaZnak"/>
    <w:uiPriority w:val="34"/>
    <w:qFormat/>
    <w:rsid w:val="00E76549"/>
    <w:pPr>
      <w:ind w:left="720"/>
      <w:contextualSpacing/>
    </w:pPr>
  </w:style>
  <w:style w:type="paragraph" w:styleId="Glava">
    <w:name w:val="header"/>
    <w:basedOn w:val="Navaden"/>
    <w:link w:val="GlavaZnak"/>
    <w:unhideWhenUsed/>
    <w:rsid w:val="00DB65D9"/>
    <w:pPr>
      <w:tabs>
        <w:tab w:val="center" w:pos="4536"/>
        <w:tab w:val="right" w:pos="9072"/>
      </w:tabs>
      <w:spacing w:after="0" w:line="240" w:lineRule="auto"/>
    </w:pPr>
  </w:style>
  <w:style w:type="character" w:customStyle="1" w:styleId="GlavaZnak">
    <w:name w:val="Glava Znak"/>
    <w:basedOn w:val="Privzetapisavaodstavka"/>
    <w:link w:val="Glava"/>
    <w:uiPriority w:val="99"/>
    <w:rsid w:val="00DB65D9"/>
  </w:style>
  <w:style w:type="paragraph" w:styleId="Noga">
    <w:name w:val="footer"/>
    <w:basedOn w:val="Navaden"/>
    <w:link w:val="NogaZnak"/>
    <w:uiPriority w:val="99"/>
    <w:unhideWhenUsed/>
    <w:rsid w:val="00DB65D9"/>
    <w:pPr>
      <w:tabs>
        <w:tab w:val="center" w:pos="4536"/>
        <w:tab w:val="right" w:pos="9072"/>
      </w:tabs>
      <w:spacing w:after="0" w:line="240" w:lineRule="auto"/>
    </w:pPr>
  </w:style>
  <w:style w:type="character" w:customStyle="1" w:styleId="NogaZnak">
    <w:name w:val="Noga Znak"/>
    <w:basedOn w:val="Privzetapisavaodstavka"/>
    <w:link w:val="Noga"/>
    <w:uiPriority w:val="99"/>
    <w:rsid w:val="00DB65D9"/>
  </w:style>
  <w:style w:type="paragraph" w:customStyle="1" w:styleId="datumtevilka">
    <w:name w:val="datum številka"/>
    <w:basedOn w:val="Navaden"/>
    <w:qFormat/>
    <w:rsid w:val="00DB65D9"/>
    <w:pPr>
      <w:tabs>
        <w:tab w:val="left" w:pos="1701"/>
      </w:tabs>
      <w:spacing w:after="0" w:line="260" w:lineRule="atLeast"/>
    </w:pPr>
    <w:rPr>
      <w:rFonts w:ascii="Arial" w:eastAsia="Times New Roman" w:hAnsi="Arial" w:cs="Times New Roman"/>
      <w:sz w:val="20"/>
      <w:szCs w:val="20"/>
      <w:lang w:eastAsia="sl-SI"/>
    </w:rPr>
  </w:style>
  <w:style w:type="character" w:styleId="Hiperpovezava">
    <w:name w:val="Hyperlink"/>
    <w:uiPriority w:val="99"/>
    <w:rsid w:val="00DB65D9"/>
    <w:rPr>
      <w:color w:val="0000FF"/>
      <w:u w:val="single"/>
    </w:rPr>
  </w:style>
  <w:style w:type="paragraph" w:customStyle="1" w:styleId="podpisi">
    <w:name w:val="podpisi"/>
    <w:basedOn w:val="Navaden"/>
    <w:link w:val="podpisiZnak"/>
    <w:qFormat/>
    <w:rsid w:val="00DB65D9"/>
    <w:pPr>
      <w:tabs>
        <w:tab w:val="left" w:pos="3402"/>
      </w:tabs>
      <w:spacing w:after="0" w:line="260" w:lineRule="atLeast"/>
    </w:pPr>
    <w:rPr>
      <w:rFonts w:ascii="Arial" w:eastAsia="Times New Roman" w:hAnsi="Arial" w:cs="Times New Roman"/>
      <w:sz w:val="20"/>
      <w:szCs w:val="24"/>
      <w:lang w:val="it-IT"/>
    </w:rPr>
  </w:style>
  <w:style w:type="paragraph" w:customStyle="1" w:styleId="FURSnaslov1">
    <w:name w:val="FURS_naslov_1"/>
    <w:basedOn w:val="podpisi"/>
    <w:link w:val="FURSnaslov1Znak"/>
    <w:qFormat/>
    <w:rsid w:val="00DB65D9"/>
    <w:rPr>
      <w:b/>
      <w:sz w:val="24"/>
    </w:rPr>
  </w:style>
  <w:style w:type="character" w:customStyle="1" w:styleId="podpisiZnak">
    <w:name w:val="podpisi Znak"/>
    <w:link w:val="podpisi"/>
    <w:rsid w:val="00DB65D9"/>
    <w:rPr>
      <w:rFonts w:ascii="Arial" w:eastAsia="Times New Roman" w:hAnsi="Arial" w:cs="Times New Roman"/>
      <w:sz w:val="20"/>
      <w:szCs w:val="24"/>
      <w:lang w:val="it-IT"/>
    </w:rPr>
  </w:style>
  <w:style w:type="character" w:customStyle="1" w:styleId="FURSnaslov1Znak">
    <w:name w:val="FURS_naslov_1 Znak"/>
    <w:link w:val="FURSnaslov1"/>
    <w:rsid w:val="00DB65D9"/>
    <w:rPr>
      <w:rFonts w:ascii="Arial" w:eastAsia="Times New Roman" w:hAnsi="Arial" w:cs="Times New Roman"/>
      <w:b/>
      <w:sz w:val="24"/>
      <w:szCs w:val="24"/>
      <w:lang w:val="it-IT"/>
    </w:rPr>
  </w:style>
  <w:style w:type="paragraph" w:styleId="Kazalovsebine1">
    <w:name w:val="toc 1"/>
    <w:basedOn w:val="Navaden"/>
    <w:next w:val="Navaden"/>
    <w:autoRedefine/>
    <w:uiPriority w:val="39"/>
    <w:qFormat/>
    <w:rsid w:val="008752B8"/>
    <w:pPr>
      <w:tabs>
        <w:tab w:val="right" w:leader="dot" w:pos="8488"/>
      </w:tabs>
      <w:spacing w:after="0" w:line="260" w:lineRule="atLeast"/>
      <w:ind w:left="709" w:hanging="425"/>
    </w:pPr>
    <w:rPr>
      <w:rFonts w:ascii="Arial" w:eastAsia="Times New Roman" w:hAnsi="Arial" w:cs="Times New Roman"/>
      <w:sz w:val="20"/>
      <w:szCs w:val="24"/>
      <w:lang w:val="en-US"/>
    </w:rPr>
  </w:style>
  <w:style w:type="paragraph" w:styleId="Kazalovsebine2">
    <w:name w:val="toc 2"/>
    <w:basedOn w:val="Navaden"/>
    <w:next w:val="Navaden"/>
    <w:autoRedefine/>
    <w:uiPriority w:val="39"/>
    <w:unhideWhenUsed/>
    <w:qFormat/>
    <w:rsid w:val="002B7251"/>
    <w:pPr>
      <w:tabs>
        <w:tab w:val="right" w:leader="dot" w:pos="8488"/>
      </w:tabs>
      <w:spacing w:after="0" w:line="276" w:lineRule="auto"/>
      <w:ind w:left="284"/>
    </w:pPr>
    <w:rPr>
      <w:rFonts w:ascii="Calibri" w:eastAsia="Times New Roman" w:hAnsi="Calibri" w:cs="Times New Roman"/>
      <w:lang w:eastAsia="sl-SI"/>
    </w:rPr>
  </w:style>
  <w:style w:type="paragraph" w:customStyle="1" w:styleId="Default">
    <w:name w:val="Default"/>
    <w:rsid w:val="00DB65D9"/>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1Znak">
    <w:name w:val="Naslov 1 Znak"/>
    <w:aliases w:val="NASLOV Znak"/>
    <w:basedOn w:val="Privzetapisavaodstavka"/>
    <w:link w:val="Naslov1"/>
    <w:rsid w:val="00512CBE"/>
    <w:rPr>
      <w:rFonts w:ascii="Arial" w:eastAsia="Times New Roman" w:hAnsi="Arial" w:cs="Times New Roman"/>
      <w:b/>
      <w:i/>
      <w:iCs/>
      <w:kern w:val="32"/>
      <w:sz w:val="20"/>
      <w:szCs w:val="20"/>
      <w:lang w:eastAsia="sl-SI"/>
    </w:rPr>
  </w:style>
  <w:style w:type="character" w:customStyle="1" w:styleId="Naslov2Znak">
    <w:name w:val="Naslov 2 Znak"/>
    <w:basedOn w:val="Privzetapisavaodstavka"/>
    <w:link w:val="Naslov2"/>
    <w:rsid w:val="00DB65D9"/>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semiHidden/>
    <w:rsid w:val="00DB65D9"/>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DB65D9"/>
    <w:rPr>
      <w:rFonts w:ascii="Calibri" w:eastAsia="Times New Roman" w:hAnsi="Calibri" w:cs="Times New Roman"/>
      <w:b/>
      <w:bCs/>
      <w:sz w:val="28"/>
      <w:szCs w:val="28"/>
      <w:lang w:val="en-US"/>
    </w:rPr>
  </w:style>
  <w:style w:type="paragraph" w:styleId="Zgradbadokumenta">
    <w:name w:val="Document Map"/>
    <w:basedOn w:val="Navaden"/>
    <w:link w:val="ZgradbadokumentaZnak"/>
    <w:rsid w:val="00DB65D9"/>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DB65D9"/>
    <w:rPr>
      <w:rFonts w:ascii="Tahoma" w:eastAsia="Times New Roman" w:hAnsi="Tahoma" w:cs="Times New Roman"/>
      <w:sz w:val="16"/>
      <w:szCs w:val="16"/>
      <w:lang w:val="en-US"/>
    </w:rPr>
  </w:style>
  <w:style w:type="table" w:customStyle="1" w:styleId="Tabela-mrea">
    <w:name w:val="Tabela - mreža"/>
    <w:basedOn w:val="Navadnatabela"/>
    <w:rsid w:val="00DB65D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DB65D9"/>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NaslovTOC">
    <w:name w:val="TOC Heading"/>
    <w:basedOn w:val="Naslov1"/>
    <w:next w:val="Navaden"/>
    <w:uiPriority w:val="39"/>
    <w:semiHidden/>
    <w:unhideWhenUsed/>
    <w:qFormat/>
    <w:rsid w:val="00DB65D9"/>
    <w:pPr>
      <w:keepLines/>
      <w:spacing w:before="480" w:after="0" w:line="276" w:lineRule="auto"/>
      <w:outlineLvl w:val="9"/>
    </w:pPr>
    <w:rPr>
      <w:rFonts w:ascii="Cambria" w:hAnsi="Cambria"/>
      <w:bCs/>
      <w:color w:val="365F91"/>
      <w:kern w:val="0"/>
      <w:szCs w:val="28"/>
    </w:rPr>
  </w:style>
  <w:style w:type="paragraph" w:styleId="Kazalovsebine3">
    <w:name w:val="toc 3"/>
    <w:basedOn w:val="Navaden"/>
    <w:next w:val="Navaden"/>
    <w:autoRedefine/>
    <w:uiPriority w:val="39"/>
    <w:unhideWhenUsed/>
    <w:qFormat/>
    <w:rsid w:val="00DB65D9"/>
    <w:pPr>
      <w:spacing w:after="100" w:line="276" w:lineRule="auto"/>
      <w:ind w:left="440"/>
    </w:pPr>
    <w:rPr>
      <w:rFonts w:ascii="Calibri" w:eastAsia="Times New Roman" w:hAnsi="Calibri" w:cs="Times New Roman"/>
      <w:lang w:eastAsia="sl-SI"/>
    </w:rPr>
  </w:style>
  <w:style w:type="paragraph" w:styleId="Besedilooblaka">
    <w:name w:val="Balloon Text"/>
    <w:basedOn w:val="Navaden"/>
    <w:link w:val="BesedilooblakaZnak"/>
    <w:rsid w:val="00DB65D9"/>
    <w:pPr>
      <w:spacing w:after="0" w:line="240" w:lineRule="auto"/>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DB65D9"/>
    <w:rPr>
      <w:rFonts w:ascii="Tahoma" w:eastAsia="Times New Roman" w:hAnsi="Tahoma" w:cs="Times New Roman"/>
      <w:sz w:val="16"/>
      <w:szCs w:val="16"/>
      <w:lang w:val="en-US"/>
    </w:rPr>
  </w:style>
  <w:style w:type="paragraph" w:customStyle="1" w:styleId="FURSnaslov2">
    <w:name w:val="FURS_naslov_2"/>
    <w:basedOn w:val="podpisi"/>
    <w:link w:val="FURSnaslov2Znak"/>
    <w:qFormat/>
    <w:rsid w:val="005942D2"/>
    <w:pPr>
      <w:spacing w:after="120"/>
    </w:pPr>
    <w:rPr>
      <w:b/>
      <w:sz w:val="24"/>
    </w:rPr>
  </w:style>
  <w:style w:type="character" w:styleId="SledenaHiperpovezava">
    <w:name w:val="FollowedHyperlink"/>
    <w:uiPriority w:val="99"/>
    <w:rsid w:val="00DB65D9"/>
    <w:rPr>
      <w:color w:val="800080"/>
      <w:u w:val="single"/>
    </w:rPr>
  </w:style>
  <w:style w:type="character" w:customStyle="1" w:styleId="FURSnaslov2Znak">
    <w:name w:val="FURS_naslov_2 Znak"/>
    <w:link w:val="FURSnaslov2"/>
    <w:rsid w:val="005942D2"/>
    <w:rPr>
      <w:rFonts w:ascii="Arial" w:eastAsia="Times New Roman" w:hAnsi="Arial" w:cs="Times New Roman"/>
      <w:b/>
      <w:sz w:val="24"/>
      <w:szCs w:val="24"/>
      <w:lang w:val="it-IT"/>
    </w:rPr>
  </w:style>
  <w:style w:type="character" w:styleId="Krepko">
    <w:name w:val="Strong"/>
    <w:uiPriority w:val="22"/>
    <w:qFormat/>
    <w:rsid w:val="00DB65D9"/>
    <w:rPr>
      <w:b/>
      <w:bCs/>
    </w:rPr>
  </w:style>
  <w:style w:type="character" w:customStyle="1" w:styleId="Nerazreenaomemba1">
    <w:name w:val="Nerazrešena omemba1"/>
    <w:uiPriority w:val="99"/>
    <w:semiHidden/>
    <w:unhideWhenUsed/>
    <w:rsid w:val="00DB65D9"/>
    <w:rPr>
      <w:color w:val="605E5C"/>
      <w:shd w:val="clear" w:color="auto" w:fill="E1DFDD"/>
    </w:rPr>
  </w:style>
  <w:style w:type="character" w:customStyle="1" w:styleId="fontstyle01">
    <w:name w:val="fontstyle01"/>
    <w:rsid w:val="00DB65D9"/>
    <w:rPr>
      <w:rFonts w:ascii="ArialMT" w:hAnsi="ArialMT" w:hint="default"/>
      <w:b w:val="0"/>
      <w:bCs w:val="0"/>
      <w:i w:val="0"/>
      <w:iCs w:val="0"/>
      <w:color w:val="000000"/>
      <w:sz w:val="20"/>
      <w:szCs w:val="20"/>
    </w:rPr>
  </w:style>
  <w:style w:type="paragraph" w:styleId="Revizija">
    <w:name w:val="Revision"/>
    <w:hidden/>
    <w:uiPriority w:val="99"/>
    <w:semiHidden/>
    <w:rsid w:val="00DB65D9"/>
    <w:pPr>
      <w:spacing w:after="0" w:line="240" w:lineRule="auto"/>
    </w:pPr>
    <w:rPr>
      <w:rFonts w:ascii="Arial" w:eastAsia="Times New Roman" w:hAnsi="Arial" w:cs="Times New Roman"/>
      <w:sz w:val="20"/>
      <w:szCs w:val="24"/>
      <w:lang w:val="en-US"/>
    </w:rPr>
  </w:style>
  <w:style w:type="paragraph" w:styleId="Navadensplet">
    <w:name w:val="Normal (Web)"/>
    <w:basedOn w:val="Navaden"/>
    <w:uiPriority w:val="99"/>
    <w:semiHidden/>
    <w:unhideWhenUsed/>
    <w:rsid w:val="003F4EE0"/>
    <w:rPr>
      <w:rFonts w:ascii="Times New Roman" w:hAnsi="Times New Roman" w:cs="Times New Roman"/>
      <w:sz w:val="24"/>
      <w:szCs w:val="24"/>
    </w:rPr>
  </w:style>
  <w:style w:type="character" w:styleId="Pripombasklic">
    <w:name w:val="annotation reference"/>
    <w:basedOn w:val="Privzetapisavaodstavka"/>
    <w:uiPriority w:val="99"/>
    <w:semiHidden/>
    <w:unhideWhenUsed/>
    <w:rsid w:val="006D1561"/>
    <w:rPr>
      <w:sz w:val="16"/>
      <w:szCs w:val="16"/>
    </w:rPr>
  </w:style>
  <w:style w:type="paragraph" w:styleId="Pripombabesedilo">
    <w:name w:val="annotation text"/>
    <w:basedOn w:val="Navaden"/>
    <w:link w:val="PripombabesediloZnak"/>
    <w:uiPriority w:val="99"/>
    <w:unhideWhenUsed/>
    <w:rsid w:val="006D1561"/>
    <w:pPr>
      <w:spacing w:line="240" w:lineRule="auto"/>
    </w:pPr>
    <w:rPr>
      <w:sz w:val="20"/>
      <w:szCs w:val="20"/>
    </w:rPr>
  </w:style>
  <w:style w:type="character" w:customStyle="1" w:styleId="PripombabesediloZnak">
    <w:name w:val="Pripomba – besedilo Znak"/>
    <w:basedOn w:val="Privzetapisavaodstavka"/>
    <w:link w:val="Pripombabesedilo"/>
    <w:uiPriority w:val="99"/>
    <w:rsid w:val="006D1561"/>
    <w:rPr>
      <w:sz w:val="20"/>
      <w:szCs w:val="20"/>
    </w:rPr>
  </w:style>
  <w:style w:type="character" w:styleId="Besedilooznabemesta">
    <w:name w:val="Placeholder Text"/>
    <w:basedOn w:val="Privzetapisavaodstavka"/>
    <w:uiPriority w:val="99"/>
    <w:semiHidden/>
    <w:rsid w:val="00C73A17"/>
    <w:rPr>
      <w:color w:val="808080"/>
    </w:rPr>
  </w:style>
  <w:style w:type="paragraph" w:styleId="Zadevapripombe">
    <w:name w:val="annotation subject"/>
    <w:basedOn w:val="Pripombabesedilo"/>
    <w:next w:val="Pripombabesedilo"/>
    <w:link w:val="ZadevapripombeZnak"/>
    <w:uiPriority w:val="99"/>
    <w:semiHidden/>
    <w:unhideWhenUsed/>
    <w:rsid w:val="00DC514C"/>
    <w:rPr>
      <w:b/>
      <w:bCs/>
    </w:rPr>
  </w:style>
  <w:style w:type="character" w:customStyle="1" w:styleId="ZadevapripombeZnak">
    <w:name w:val="Zadeva pripombe Znak"/>
    <w:basedOn w:val="PripombabesediloZnak"/>
    <w:link w:val="Zadevapripombe"/>
    <w:uiPriority w:val="99"/>
    <w:semiHidden/>
    <w:rsid w:val="00DC514C"/>
    <w:rPr>
      <w:b/>
      <w:bCs/>
      <w:sz w:val="20"/>
      <w:szCs w:val="20"/>
    </w:rPr>
  </w:style>
  <w:style w:type="table" w:styleId="Tabelamrea">
    <w:name w:val="Table Grid"/>
    <w:basedOn w:val="Navadnatabela"/>
    <w:uiPriority w:val="39"/>
    <w:rsid w:val="009E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5237CA"/>
    <w:pPr>
      <w:spacing w:after="100"/>
      <w:ind w:left="660"/>
    </w:pPr>
    <w:rPr>
      <w:rFonts w:eastAsiaTheme="minorEastAsia"/>
      <w:lang w:eastAsia="sl-SI"/>
    </w:rPr>
  </w:style>
  <w:style w:type="paragraph" w:styleId="Kazalovsebine5">
    <w:name w:val="toc 5"/>
    <w:basedOn w:val="Navaden"/>
    <w:next w:val="Navaden"/>
    <w:autoRedefine/>
    <w:uiPriority w:val="39"/>
    <w:unhideWhenUsed/>
    <w:rsid w:val="005237CA"/>
    <w:pPr>
      <w:spacing w:after="100"/>
      <w:ind w:left="880"/>
    </w:pPr>
    <w:rPr>
      <w:rFonts w:eastAsiaTheme="minorEastAsia"/>
      <w:lang w:eastAsia="sl-SI"/>
    </w:rPr>
  </w:style>
  <w:style w:type="paragraph" w:styleId="Kazalovsebine6">
    <w:name w:val="toc 6"/>
    <w:basedOn w:val="Navaden"/>
    <w:next w:val="Navaden"/>
    <w:autoRedefine/>
    <w:uiPriority w:val="39"/>
    <w:unhideWhenUsed/>
    <w:rsid w:val="005237CA"/>
    <w:pPr>
      <w:spacing w:after="100"/>
      <w:ind w:left="1100"/>
    </w:pPr>
    <w:rPr>
      <w:rFonts w:eastAsiaTheme="minorEastAsia"/>
      <w:lang w:eastAsia="sl-SI"/>
    </w:rPr>
  </w:style>
  <w:style w:type="paragraph" w:styleId="Kazalovsebine7">
    <w:name w:val="toc 7"/>
    <w:basedOn w:val="Navaden"/>
    <w:next w:val="Navaden"/>
    <w:autoRedefine/>
    <w:uiPriority w:val="39"/>
    <w:unhideWhenUsed/>
    <w:rsid w:val="005237CA"/>
    <w:pPr>
      <w:spacing w:after="100"/>
      <w:ind w:left="1320"/>
    </w:pPr>
    <w:rPr>
      <w:rFonts w:eastAsiaTheme="minorEastAsia"/>
      <w:lang w:eastAsia="sl-SI"/>
    </w:rPr>
  </w:style>
  <w:style w:type="paragraph" w:styleId="Kazalovsebine8">
    <w:name w:val="toc 8"/>
    <w:basedOn w:val="Navaden"/>
    <w:next w:val="Navaden"/>
    <w:autoRedefine/>
    <w:uiPriority w:val="39"/>
    <w:unhideWhenUsed/>
    <w:rsid w:val="005237CA"/>
    <w:pPr>
      <w:spacing w:after="100"/>
      <w:ind w:left="1540"/>
    </w:pPr>
    <w:rPr>
      <w:rFonts w:eastAsiaTheme="minorEastAsia"/>
      <w:lang w:eastAsia="sl-SI"/>
    </w:rPr>
  </w:style>
  <w:style w:type="paragraph" w:styleId="Kazalovsebine9">
    <w:name w:val="toc 9"/>
    <w:basedOn w:val="Navaden"/>
    <w:next w:val="Navaden"/>
    <w:autoRedefine/>
    <w:uiPriority w:val="39"/>
    <w:unhideWhenUsed/>
    <w:rsid w:val="005237CA"/>
    <w:pPr>
      <w:spacing w:after="100"/>
      <w:ind w:left="1760"/>
    </w:pPr>
    <w:rPr>
      <w:rFonts w:eastAsiaTheme="minorEastAsia"/>
      <w:lang w:eastAsia="sl-SI"/>
    </w:rPr>
  </w:style>
  <w:style w:type="character" w:customStyle="1" w:styleId="Other1">
    <w:name w:val="Other|1_"/>
    <w:basedOn w:val="Privzetapisavaodstavka"/>
    <w:link w:val="Other10"/>
    <w:rsid w:val="007442A3"/>
    <w:rPr>
      <w:rFonts w:ascii="Arial" w:eastAsia="Arial" w:hAnsi="Arial" w:cs="Arial"/>
      <w:sz w:val="20"/>
    </w:rPr>
  </w:style>
  <w:style w:type="character" w:customStyle="1" w:styleId="Bodytext1">
    <w:name w:val="Body text|1_"/>
    <w:basedOn w:val="Privzetapisavaodstavka"/>
    <w:link w:val="Bodytext10"/>
    <w:rsid w:val="007442A3"/>
    <w:rPr>
      <w:rFonts w:ascii="Arial" w:eastAsia="Arial" w:hAnsi="Arial" w:cs="Arial"/>
      <w:sz w:val="20"/>
    </w:rPr>
  </w:style>
  <w:style w:type="character" w:customStyle="1" w:styleId="Heading41">
    <w:name w:val="Heading #4|1_"/>
    <w:basedOn w:val="Privzetapisavaodstavka"/>
    <w:link w:val="Heading410"/>
    <w:rsid w:val="007442A3"/>
    <w:rPr>
      <w:rFonts w:ascii="Arial" w:eastAsia="Arial" w:hAnsi="Arial" w:cs="Arial"/>
      <w:b/>
      <w:i/>
    </w:rPr>
  </w:style>
  <w:style w:type="character" w:customStyle="1" w:styleId="Heading51">
    <w:name w:val="Heading #5|1_"/>
    <w:basedOn w:val="Privzetapisavaodstavka"/>
    <w:link w:val="Heading510"/>
    <w:rsid w:val="007442A3"/>
    <w:rPr>
      <w:rFonts w:ascii="Arial" w:eastAsia="Arial" w:hAnsi="Arial" w:cs="Arial"/>
      <w:i/>
      <w:color w:val="3F3F3F"/>
    </w:rPr>
  </w:style>
  <w:style w:type="paragraph" w:customStyle="1" w:styleId="Other10">
    <w:name w:val="Other|1"/>
    <w:basedOn w:val="Navaden"/>
    <w:link w:val="Other1"/>
    <w:rsid w:val="007442A3"/>
    <w:pPr>
      <w:widowControl w:val="0"/>
      <w:spacing w:after="100" w:line="271" w:lineRule="auto"/>
    </w:pPr>
    <w:rPr>
      <w:rFonts w:ascii="Arial" w:eastAsia="Arial" w:hAnsi="Arial" w:cs="Arial"/>
      <w:sz w:val="20"/>
    </w:rPr>
  </w:style>
  <w:style w:type="paragraph" w:customStyle="1" w:styleId="Bodytext10">
    <w:name w:val="Body text|1"/>
    <w:basedOn w:val="Navaden"/>
    <w:link w:val="Bodytext1"/>
    <w:rsid w:val="007442A3"/>
    <w:pPr>
      <w:widowControl w:val="0"/>
      <w:spacing w:after="100" w:line="271" w:lineRule="auto"/>
    </w:pPr>
    <w:rPr>
      <w:rFonts w:ascii="Arial" w:eastAsia="Arial" w:hAnsi="Arial" w:cs="Arial"/>
      <w:sz w:val="20"/>
    </w:rPr>
  </w:style>
  <w:style w:type="paragraph" w:customStyle="1" w:styleId="Heading410">
    <w:name w:val="Heading #4|1"/>
    <w:basedOn w:val="Navaden"/>
    <w:link w:val="Heading41"/>
    <w:rsid w:val="007442A3"/>
    <w:pPr>
      <w:widowControl w:val="0"/>
      <w:spacing w:after="260" w:line="240" w:lineRule="auto"/>
      <w:ind w:firstLine="700"/>
      <w:outlineLvl w:val="3"/>
    </w:pPr>
    <w:rPr>
      <w:rFonts w:ascii="Arial" w:eastAsia="Arial" w:hAnsi="Arial" w:cs="Arial"/>
      <w:b/>
      <w:i/>
    </w:rPr>
  </w:style>
  <w:style w:type="paragraph" w:customStyle="1" w:styleId="Heading510">
    <w:name w:val="Heading #5|1"/>
    <w:basedOn w:val="Navaden"/>
    <w:link w:val="Heading51"/>
    <w:rsid w:val="007442A3"/>
    <w:pPr>
      <w:widowControl w:val="0"/>
      <w:spacing w:after="180" w:line="240" w:lineRule="auto"/>
      <w:outlineLvl w:val="4"/>
    </w:pPr>
    <w:rPr>
      <w:rFonts w:ascii="Arial" w:eastAsia="Arial" w:hAnsi="Arial" w:cs="Arial"/>
      <w:i/>
      <w:color w:val="3F3F3F"/>
    </w:rPr>
  </w:style>
  <w:style w:type="character" w:customStyle="1" w:styleId="OdstavekseznamaZnak">
    <w:name w:val="Odstavek seznama Znak"/>
    <w:aliases w:val="numbered list Znak,K1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qFormat/>
    <w:rsid w:val="00BD1B5D"/>
  </w:style>
  <w:style w:type="character" w:customStyle="1" w:styleId="fontstyle21">
    <w:name w:val="fontstyle21"/>
    <w:basedOn w:val="Privzetapisavaodstavka"/>
    <w:rsid w:val="00273952"/>
    <w:rPr>
      <w:rFonts w:ascii="ArialNarrow" w:hAnsi="ArialNarrow" w:hint="default"/>
      <w:b w:val="0"/>
      <w:bCs w:val="0"/>
      <w:i w:val="0"/>
      <w:iCs w:val="0"/>
      <w:color w:val="000000"/>
      <w:sz w:val="18"/>
      <w:szCs w:val="18"/>
    </w:rPr>
  </w:style>
  <w:style w:type="paragraph" w:customStyle="1" w:styleId="pf0">
    <w:name w:val="pf0"/>
    <w:basedOn w:val="Navaden"/>
    <w:rsid w:val="00160CF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f01">
    <w:name w:val="cf01"/>
    <w:basedOn w:val="Privzetapisavaodstavka"/>
    <w:rsid w:val="00160CFD"/>
    <w:rPr>
      <w:rFonts w:ascii="Segoe UI" w:hAnsi="Segoe UI" w:cs="Segoe UI" w:hint="default"/>
      <w:sz w:val="18"/>
      <w:szCs w:val="18"/>
    </w:rPr>
  </w:style>
  <w:style w:type="paragraph" w:styleId="Sprotnaopomba-besedilo">
    <w:name w:val="footnote text"/>
    <w:basedOn w:val="Navaden"/>
    <w:link w:val="Sprotnaopomba-besediloZnak"/>
    <w:uiPriority w:val="99"/>
    <w:semiHidden/>
    <w:unhideWhenUsed/>
    <w:rsid w:val="004A68A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A68A8"/>
    <w:rPr>
      <w:sz w:val="20"/>
      <w:szCs w:val="20"/>
    </w:rPr>
  </w:style>
  <w:style w:type="character" w:styleId="Sprotnaopomba-sklic">
    <w:name w:val="footnote reference"/>
    <w:basedOn w:val="Privzetapisavaodstavka"/>
    <w:uiPriority w:val="99"/>
    <w:semiHidden/>
    <w:unhideWhenUsed/>
    <w:rsid w:val="004A68A8"/>
    <w:rPr>
      <w:vertAlign w:val="superscript"/>
    </w:rPr>
  </w:style>
  <w:style w:type="paragraph" w:customStyle="1" w:styleId="msonormal0">
    <w:name w:val="msonormal"/>
    <w:basedOn w:val="Navaden"/>
    <w:rsid w:val="00C835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ont0">
    <w:name w:val="font0"/>
    <w:basedOn w:val="Navaden"/>
    <w:rsid w:val="00C83549"/>
    <w:pPr>
      <w:spacing w:before="100" w:beforeAutospacing="1" w:after="100" w:afterAutospacing="1" w:line="240" w:lineRule="auto"/>
    </w:pPr>
    <w:rPr>
      <w:rFonts w:ascii="Calibri" w:eastAsia="Times New Roman" w:hAnsi="Calibri" w:cs="Calibri"/>
      <w:color w:val="000000"/>
      <w:lang w:eastAsia="sl-SI"/>
    </w:rPr>
  </w:style>
  <w:style w:type="paragraph" w:customStyle="1" w:styleId="font5">
    <w:name w:val="font5"/>
    <w:basedOn w:val="Navaden"/>
    <w:rsid w:val="00C83549"/>
    <w:pPr>
      <w:spacing w:before="100" w:beforeAutospacing="1" w:after="100" w:afterAutospacing="1" w:line="240" w:lineRule="auto"/>
    </w:pPr>
    <w:rPr>
      <w:rFonts w:ascii="Calibri" w:eastAsia="Times New Roman" w:hAnsi="Calibri" w:cs="Calibri"/>
      <w:color w:val="FF0000"/>
      <w:lang w:eastAsia="sl-SI"/>
    </w:rPr>
  </w:style>
  <w:style w:type="paragraph" w:customStyle="1" w:styleId="font6">
    <w:name w:val="font6"/>
    <w:basedOn w:val="Navaden"/>
    <w:rsid w:val="00C83549"/>
    <w:pPr>
      <w:spacing w:before="100" w:beforeAutospacing="1" w:after="100" w:afterAutospacing="1" w:line="240" w:lineRule="auto"/>
    </w:pPr>
    <w:rPr>
      <w:rFonts w:ascii="Calibri" w:eastAsia="Times New Roman" w:hAnsi="Calibri" w:cs="Calibri"/>
      <w:b/>
      <w:bCs/>
      <w:color w:val="000000"/>
      <w:lang w:eastAsia="sl-SI"/>
    </w:rPr>
  </w:style>
  <w:style w:type="paragraph" w:customStyle="1" w:styleId="font7">
    <w:name w:val="font7"/>
    <w:basedOn w:val="Navaden"/>
    <w:rsid w:val="00C83549"/>
    <w:pPr>
      <w:spacing w:before="100" w:beforeAutospacing="1" w:after="100" w:afterAutospacing="1" w:line="240" w:lineRule="auto"/>
    </w:pPr>
    <w:rPr>
      <w:rFonts w:ascii="Calibri" w:eastAsia="Times New Roman" w:hAnsi="Calibri" w:cs="Calibri"/>
      <w:lang w:eastAsia="sl-SI"/>
    </w:rPr>
  </w:style>
  <w:style w:type="paragraph" w:customStyle="1" w:styleId="font8">
    <w:name w:val="font8"/>
    <w:basedOn w:val="Navaden"/>
    <w:rsid w:val="00C83549"/>
    <w:pPr>
      <w:spacing w:before="100" w:beforeAutospacing="1" w:after="100" w:afterAutospacing="1" w:line="240" w:lineRule="auto"/>
    </w:pPr>
    <w:rPr>
      <w:rFonts w:ascii="Calibri" w:eastAsia="Times New Roman" w:hAnsi="Calibri" w:cs="Calibri"/>
      <w:b/>
      <w:bCs/>
      <w:lang w:eastAsia="sl-SI"/>
    </w:rPr>
  </w:style>
  <w:style w:type="paragraph" w:customStyle="1" w:styleId="font9">
    <w:name w:val="font9"/>
    <w:basedOn w:val="Navaden"/>
    <w:rsid w:val="00C83549"/>
    <w:pPr>
      <w:spacing w:before="100" w:beforeAutospacing="1" w:after="100" w:afterAutospacing="1" w:line="240" w:lineRule="auto"/>
    </w:pPr>
    <w:rPr>
      <w:rFonts w:ascii="Calibri" w:eastAsia="Times New Roman" w:hAnsi="Calibri" w:cs="Calibri"/>
      <w:color w:val="C00000"/>
      <w:lang w:eastAsia="sl-SI"/>
    </w:rPr>
  </w:style>
  <w:style w:type="paragraph" w:customStyle="1" w:styleId="font10">
    <w:name w:val="font10"/>
    <w:basedOn w:val="Navaden"/>
    <w:rsid w:val="00C83549"/>
    <w:pPr>
      <w:spacing w:before="100" w:beforeAutospacing="1" w:after="100" w:afterAutospacing="1" w:line="240" w:lineRule="auto"/>
    </w:pPr>
    <w:rPr>
      <w:rFonts w:ascii="Segoe UI" w:eastAsia="Times New Roman" w:hAnsi="Segoe UI" w:cs="Segoe UI"/>
      <w:color w:val="000000"/>
      <w:sz w:val="18"/>
      <w:szCs w:val="18"/>
      <w:lang w:eastAsia="sl-SI"/>
    </w:rPr>
  </w:style>
  <w:style w:type="paragraph" w:customStyle="1" w:styleId="font11">
    <w:name w:val="font11"/>
    <w:basedOn w:val="Navaden"/>
    <w:rsid w:val="00C83549"/>
    <w:pPr>
      <w:spacing w:before="100" w:beforeAutospacing="1" w:after="100" w:afterAutospacing="1" w:line="240" w:lineRule="auto"/>
    </w:pPr>
    <w:rPr>
      <w:rFonts w:ascii="Segoe UI" w:eastAsia="Times New Roman" w:hAnsi="Segoe UI" w:cs="Segoe UI"/>
      <w:b/>
      <w:bCs/>
      <w:color w:val="000000"/>
      <w:sz w:val="18"/>
      <w:szCs w:val="18"/>
      <w:lang w:eastAsia="sl-SI"/>
    </w:rPr>
  </w:style>
  <w:style w:type="paragraph" w:customStyle="1" w:styleId="xl65">
    <w:name w:val="xl65"/>
    <w:basedOn w:val="Navaden"/>
    <w:rsid w:val="00C83549"/>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6">
    <w:name w:val="xl66"/>
    <w:basedOn w:val="Navaden"/>
    <w:rsid w:val="00C835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7">
    <w:name w:val="xl67"/>
    <w:basedOn w:val="Navaden"/>
    <w:rsid w:val="00C83549"/>
    <w:pPr>
      <w:shd w:val="clear" w:color="000000" w:fill="E7E6E6"/>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8">
    <w:name w:val="xl68"/>
    <w:basedOn w:val="Navaden"/>
    <w:rsid w:val="00C83549"/>
    <w:pPr>
      <w:shd w:val="clear" w:color="000000" w:fill="E7E6E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9">
    <w:name w:val="xl69"/>
    <w:basedOn w:val="Navaden"/>
    <w:rsid w:val="00C83549"/>
    <w:pPr>
      <w:shd w:val="clear" w:color="000000" w:fill="E7E6E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0">
    <w:name w:val="xl70"/>
    <w:basedOn w:val="Navaden"/>
    <w:rsid w:val="00C83549"/>
    <w:pPr>
      <w:shd w:val="clear" w:color="000000" w:fill="E7E6E6"/>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1">
    <w:name w:val="xl71"/>
    <w:basedOn w:val="Navaden"/>
    <w:rsid w:val="00C83549"/>
    <w:pP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2">
    <w:name w:val="xl72"/>
    <w:basedOn w:val="Navaden"/>
    <w:rsid w:val="00C83549"/>
    <w:pPr>
      <w:shd w:val="clear" w:color="000000" w:fill="A6A6A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3">
    <w:name w:val="xl73"/>
    <w:basedOn w:val="Navaden"/>
    <w:rsid w:val="00C835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4">
    <w:name w:val="xl74"/>
    <w:basedOn w:val="Navaden"/>
    <w:rsid w:val="00C83549"/>
    <w:pP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5">
    <w:name w:val="xl75"/>
    <w:basedOn w:val="Navaden"/>
    <w:rsid w:val="00C83549"/>
    <w:pP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6">
    <w:name w:val="xl76"/>
    <w:basedOn w:val="Navaden"/>
    <w:rsid w:val="00C83549"/>
    <w:pPr>
      <w:spacing w:before="100" w:beforeAutospacing="1" w:after="100" w:afterAutospacing="1" w:line="240" w:lineRule="auto"/>
    </w:pPr>
    <w:rPr>
      <w:rFonts w:ascii="Times New Roman" w:eastAsia="Times New Roman" w:hAnsi="Times New Roman" w:cs="Times New Roman"/>
      <w:color w:val="FF0000"/>
      <w:sz w:val="24"/>
      <w:szCs w:val="24"/>
      <w:lang w:eastAsia="sl-SI"/>
    </w:rPr>
  </w:style>
  <w:style w:type="paragraph" w:customStyle="1" w:styleId="xl77">
    <w:name w:val="xl77"/>
    <w:basedOn w:val="Navaden"/>
    <w:rsid w:val="00C83549"/>
    <w:pPr>
      <w:shd w:val="clear" w:color="000000" w:fill="E2EFDA"/>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8">
    <w:name w:val="xl78"/>
    <w:basedOn w:val="Navaden"/>
    <w:rsid w:val="00C83549"/>
    <w:pPr>
      <w:shd w:val="clear" w:color="000000" w:fill="E2EFDA"/>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9">
    <w:name w:val="xl79"/>
    <w:basedOn w:val="Navaden"/>
    <w:rsid w:val="00C835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0">
    <w:name w:val="xl80"/>
    <w:basedOn w:val="Navaden"/>
    <w:rsid w:val="00C8354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sl-SI"/>
    </w:rPr>
  </w:style>
  <w:style w:type="paragraph" w:customStyle="1" w:styleId="xl81">
    <w:name w:val="xl81"/>
    <w:basedOn w:val="Navaden"/>
    <w:rsid w:val="00C835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2">
    <w:name w:val="xl82"/>
    <w:basedOn w:val="Navaden"/>
    <w:rsid w:val="00C83549"/>
    <w:pPr>
      <w:shd w:val="clear" w:color="000000" w:fill="FCE4D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3">
    <w:name w:val="xl83"/>
    <w:basedOn w:val="Navaden"/>
    <w:rsid w:val="00C83549"/>
    <w:pP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84">
    <w:name w:val="xl84"/>
    <w:basedOn w:val="Navaden"/>
    <w:rsid w:val="00C83549"/>
    <w:pPr>
      <w:shd w:val="clear" w:color="000000" w:fill="E7E6E6"/>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85">
    <w:name w:val="xl85"/>
    <w:basedOn w:val="Navaden"/>
    <w:rsid w:val="00C83549"/>
    <w:pPr>
      <w:shd w:val="clear" w:color="000000" w:fill="E7E6E6"/>
      <w:spacing w:before="100" w:beforeAutospacing="1" w:after="100" w:afterAutospacing="1" w:line="240" w:lineRule="auto"/>
    </w:pPr>
    <w:rPr>
      <w:rFonts w:ascii="Times New Roman" w:eastAsia="Times New Roman" w:hAnsi="Times New Roman" w:cs="Times New Roman"/>
      <w:color w:val="FF0000"/>
      <w:sz w:val="24"/>
      <w:szCs w:val="24"/>
      <w:lang w:eastAsia="sl-SI"/>
    </w:rPr>
  </w:style>
  <w:style w:type="paragraph" w:customStyle="1" w:styleId="xl86">
    <w:name w:val="xl86"/>
    <w:basedOn w:val="Navaden"/>
    <w:rsid w:val="00C83549"/>
    <w:pPr>
      <w:shd w:val="clear" w:color="000000" w:fill="E7E6E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7">
    <w:name w:val="xl87"/>
    <w:basedOn w:val="Navaden"/>
    <w:rsid w:val="00C835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8">
    <w:name w:val="xl88"/>
    <w:basedOn w:val="Navaden"/>
    <w:rsid w:val="00C83549"/>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9">
    <w:name w:val="xl89"/>
    <w:basedOn w:val="Navaden"/>
    <w:rsid w:val="00C83549"/>
    <w:pPr>
      <w:shd w:val="clear" w:color="000000" w:fill="A6A6A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0">
    <w:name w:val="xl90"/>
    <w:basedOn w:val="Navaden"/>
    <w:rsid w:val="00C835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1">
    <w:name w:val="xl91"/>
    <w:basedOn w:val="Navaden"/>
    <w:rsid w:val="00C83549"/>
    <w:pP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92">
    <w:name w:val="xl92"/>
    <w:basedOn w:val="Navaden"/>
    <w:rsid w:val="00C835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3">
    <w:name w:val="xl93"/>
    <w:basedOn w:val="Navaden"/>
    <w:rsid w:val="00C835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4">
    <w:name w:val="xl94"/>
    <w:basedOn w:val="Navaden"/>
    <w:rsid w:val="00C8354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5">
    <w:name w:val="xl95"/>
    <w:basedOn w:val="Navaden"/>
    <w:rsid w:val="00C8354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6">
    <w:name w:val="xl96"/>
    <w:basedOn w:val="Navaden"/>
    <w:rsid w:val="00C8354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97">
    <w:name w:val="xl97"/>
    <w:basedOn w:val="Navaden"/>
    <w:rsid w:val="00C8354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98">
    <w:name w:val="xl98"/>
    <w:basedOn w:val="Navaden"/>
    <w:rsid w:val="00C83549"/>
    <w:pPr>
      <w:pBdr>
        <w:top w:val="single" w:sz="4" w:space="0" w:color="auto"/>
        <w:left w:val="single" w:sz="4" w:space="0" w:color="auto"/>
        <w:bottom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9">
    <w:name w:val="xl99"/>
    <w:basedOn w:val="Navaden"/>
    <w:rsid w:val="00C83549"/>
    <w:pPr>
      <w:pBdr>
        <w:top w:val="single" w:sz="4" w:space="0" w:color="auto"/>
        <w:left w:val="single" w:sz="4" w:space="0" w:color="auto"/>
        <w:bottom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0">
    <w:name w:val="xl100"/>
    <w:basedOn w:val="Navaden"/>
    <w:rsid w:val="00C83549"/>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01">
    <w:name w:val="xl101"/>
    <w:basedOn w:val="Navaden"/>
    <w:rsid w:val="00C83549"/>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02">
    <w:name w:val="xl102"/>
    <w:basedOn w:val="Navaden"/>
    <w:rsid w:val="00C83549"/>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03">
    <w:name w:val="xl103"/>
    <w:basedOn w:val="Navaden"/>
    <w:rsid w:val="00C8354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sl-SI"/>
    </w:rPr>
  </w:style>
  <w:style w:type="paragraph" w:customStyle="1" w:styleId="xl104">
    <w:name w:val="xl104"/>
    <w:basedOn w:val="Navaden"/>
    <w:rsid w:val="00C835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5">
    <w:name w:val="xl105"/>
    <w:basedOn w:val="Navaden"/>
    <w:rsid w:val="00C8354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6">
    <w:name w:val="xl106"/>
    <w:basedOn w:val="Navaden"/>
    <w:rsid w:val="00C8354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7">
    <w:name w:val="xl107"/>
    <w:basedOn w:val="Navaden"/>
    <w:rsid w:val="00C835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8">
    <w:name w:val="xl108"/>
    <w:basedOn w:val="Navaden"/>
    <w:rsid w:val="00C8354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9">
    <w:name w:val="xl109"/>
    <w:basedOn w:val="Navaden"/>
    <w:rsid w:val="00C83549"/>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10">
    <w:name w:val="xl110"/>
    <w:basedOn w:val="Navaden"/>
    <w:rsid w:val="00C83549"/>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11">
    <w:name w:val="xl111"/>
    <w:basedOn w:val="Navaden"/>
    <w:rsid w:val="00C83549"/>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112">
    <w:name w:val="xl112"/>
    <w:basedOn w:val="Navaden"/>
    <w:rsid w:val="00C835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113">
    <w:name w:val="xl113"/>
    <w:basedOn w:val="Navaden"/>
    <w:rsid w:val="00C835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114">
    <w:name w:val="xl114"/>
    <w:basedOn w:val="Navaden"/>
    <w:rsid w:val="00C83549"/>
    <w:pPr>
      <w:shd w:val="clear" w:color="000000" w:fill="FCE4D6"/>
      <w:spacing w:before="100" w:beforeAutospacing="1" w:after="100" w:afterAutospacing="1" w:line="240" w:lineRule="auto"/>
    </w:pPr>
    <w:rPr>
      <w:rFonts w:ascii="Times New Roman" w:eastAsia="Times New Roman" w:hAnsi="Times New Roman" w:cs="Times New Roman"/>
      <w:b/>
      <w:bCs/>
      <w:sz w:val="32"/>
      <w:szCs w:val="32"/>
      <w:lang w:eastAsia="sl-SI"/>
    </w:rPr>
  </w:style>
  <w:style w:type="paragraph" w:customStyle="1" w:styleId="xl115">
    <w:name w:val="xl115"/>
    <w:basedOn w:val="Navaden"/>
    <w:rsid w:val="00C8354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sz w:val="28"/>
      <w:szCs w:val="28"/>
      <w:lang w:eastAsia="sl-SI"/>
    </w:rPr>
  </w:style>
  <w:style w:type="paragraph" w:customStyle="1" w:styleId="xl116">
    <w:name w:val="xl116"/>
    <w:basedOn w:val="Navaden"/>
    <w:rsid w:val="00C83549"/>
    <w:pPr>
      <w:shd w:val="clear" w:color="000000" w:fill="FFCCCC"/>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117">
    <w:name w:val="xl117"/>
    <w:basedOn w:val="Navaden"/>
    <w:rsid w:val="00C83549"/>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FF0000"/>
      <w:sz w:val="24"/>
      <w:szCs w:val="24"/>
      <w:lang w:eastAsia="sl-SI"/>
    </w:rPr>
  </w:style>
  <w:style w:type="paragraph" w:customStyle="1" w:styleId="xl118">
    <w:name w:val="xl118"/>
    <w:basedOn w:val="Navaden"/>
    <w:rsid w:val="00C83549"/>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19">
    <w:name w:val="xl119"/>
    <w:basedOn w:val="Navaden"/>
    <w:rsid w:val="00C83549"/>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8"/>
      <w:szCs w:val="28"/>
      <w:lang w:eastAsia="sl-SI"/>
    </w:rPr>
  </w:style>
  <w:style w:type="paragraph" w:customStyle="1" w:styleId="xl120">
    <w:name w:val="xl120"/>
    <w:basedOn w:val="Navaden"/>
    <w:rsid w:val="00C83549"/>
    <w:pPr>
      <w:shd w:val="clear" w:color="000000" w:fill="FFCCCC"/>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21">
    <w:name w:val="xl121"/>
    <w:basedOn w:val="Navaden"/>
    <w:rsid w:val="00C83549"/>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22">
    <w:name w:val="xl122"/>
    <w:basedOn w:val="Navaden"/>
    <w:rsid w:val="00C8354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123">
    <w:name w:val="xl123"/>
    <w:basedOn w:val="Navaden"/>
    <w:rsid w:val="00C8354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24">
    <w:name w:val="xl124"/>
    <w:basedOn w:val="Navaden"/>
    <w:rsid w:val="00C8354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25">
    <w:name w:val="xl125"/>
    <w:basedOn w:val="Navaden"/>
    <w:rsid w:val="00C83549"/>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sl-SI"/>
    </w:rPr>
  </w:style>
  <w:style w:type="paragraph" w:customStyle="1" w:styleId="xl126">
    <w:name w:val="xl126"/>
    <w:basedOn w:val="Navaden"/>
    <w:rsid w:val="00C83549"/>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sl-SI"/>
    </w:rPr>
  </w:style>
  <w:style w:type="paragraph" w:customStyle="1" w:styleId="xl127">
    <w:name w:val="xl127"/>
    <w:basedOn w:val="Navaden"/>
    <w:rsid w:val="00C83549"/>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128">
    <w:name w:val="xl128"/>
    <w:basedOn w:val="Navaden"/>
    <w:rsid w:val="00C83549"/>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cs="Times New Roman"/>
      <w:sz w:val="24"/>
      <w:szCs w:val="24"/>
      <w:lang w:eastAsia="sl-SI"/>
    </w:rPr>
  </w:style>
  <w:style w:type="paragraph" w:customStyle="1" w:styleId="xl129">
    <w:name w:val="xl129"/>
    <w:basedOn w:val="Navaden"/>
    <w:rsid w:val="00C8354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30">
    <w:name w:val="xl130"/>
    <w:basedOn w:val="Navaden"/>
    <w:rsid w:val="00C8354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l-SI"/>
    </w:rPr>
  </w:style>
  <w:style w:type="paragraph" w:customStyle="1" w:styleId="xl131">
    <w:name w:val="xl131"/>
    <w:basedOn w:val="Navaden"/>
    <w:rsid w:val="00C8354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l-SI"/>
    </w:rPr>
  </w:style>
  <w:style w:type="paragraph" w:customStyle="1" w:styleId="xl132">
    <w:name w:val="xl132"/>
    <w:basedOn w:val="Navaden"/>
    <w:rsid w:val="00C8354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l-SI"/>
    </w:rPr>
  </w:style>
  <w:style w:type="paragraph" w:customStyle="1" w:styleId="xl133">
    <w:name w:val="xl133"/>
    <w:basedOn w:val="Navaden"/>
    <w:rsid w:val="00C83549"/>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34">
    <w:name w:val="xl134"/>
    <w:basedOn w:val="Navaden"/>
    <w:rsid w:val="00C83549"/>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35">
    <w:name w:val="xl135"/>
    <w:basedOn w:val="Navaden"/>
    <w:rsid w:val="00C83549"/>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36">
    <w:name w:val="xl136"/>
    <w:basedOn w:val="Navaden"/>
    <w:rsid w:val="00C835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8"/>
      <w:szCs w:val="28"/>
      <w:lang w:eastAsia="sl-SI"/>
    </w:rPr>
  </w:style>
  <w:style w:type="paragraph" w:customStyle="1" w:styleId="xl137">
    <w:name w:val="xl137"/>
    <w:basedOn w:val="Navaden"/>
    <w:rsid w:val="00C83549"/>
    <w:pPr>
      <w:pBdr>
        <w:top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8"/>
      <w:szCs w:val="28"/>
      <w:lang w:eastAsia="sl-SI"/>
    </w:rPr>
  </w:style>
  <w:style w:type="paragraph" w:customStyle="1" w:styleId="xl138">
    <w:name w:val="xl138"/>
    <w:basedOn w:val="Navaden"/>
    <w:rsid w:val="00C83549"/>
    <w:pPr>
      <w:pBdr>
        <w:top w:val="single" w:sz="4" w:space="0" w:color="auto"/>
        <w:left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39">
    <w:name w:val="xl139"/>
    <w:basedOn w:val="Navaden"/>
    <w:rsid w:val="00C83549"/>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40">
    <w:name w:val="xl140"/>
    <w:basedOn w:val="Navaden"/>
    <w:rsid w:val="00C83549"/>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sl-SI"/>
    </w:rPr>
  </w:style>
  <w:style w:type="paragraph" w:customStyle="1" w:styleId="xl141">
    <w:name w:val="xl141"/>
    <w:basedOn w:val="Navaden"/>
    <w:rsid w:val="00C83549"/>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sl-SI"/>
    </w:rPr>
  </w:style>
  <w:style w:type="paragraph" w:customStyle="1" w:styleId="xl142">
    <w:name w:val="xl142"/>
    <w:basedOn w:val="Navaden"/>
    <w:rsid w:val="00C83549"/>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43">
    <w:name w:val="xl143"/>
    <w:basedOn w:val="Navaden"/>
    <w:rsid w:val="00C83549"/>
    <w:pPr>
      <w:pBdr>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44">
    <w:name w:val="xl144"/>
    <w:basedOn w:val="Navaden"/>
    <w:rsid w:val="00C83549"/>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45">
    <w:name w:val="xl145"/>
    <w:basedOn w:val="Navaden"/>
    <w:rsid w:val="00C83549"/>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146">
    <w:name w:val="xl146"/>
    <w:basedOn w:val="Navaden"/>
    <w:rsid w:val="00C83549"/>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sl-SI"/>
    </w:rPr>
  </w:style>
  <w:style w:type="paragraph" w:customStyle="1" w:styleId="xl147">
    <w:name w:val="xl147"/>
    <w:basedOn w:val="Navaden"/>
    <w:rsid w:val="00C8354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character" w:styleId="Nerazreenaomemba">
    <w:name w:val="Unresolved Mention"/>
    <w:basedOn w:val="Privzetapisavaodstavka"/>
    <w:uiPriority w:val="99"/>
    <w:semiHidden/>
    <w:unhideWhenUsed/>
    <w:rsid w:val="009D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4">
      <w:bodyDiv w:val="1"/>
      <w:marLeft w:val="0"/>
      <w:marRight w:val="0"/>
      <w:marTop w:val="0"/>
      <w:marBottom w:val="0"/>
      <w:divBdr>
        <w:top w:val="none" w:sz="0" w:space="0" w:color="auto"/>
        <w:left w:val="none" w:sz="0" w:space="0" w:color="auto"/>
        <w:bottom w:val="none" w:sz="0" w:space="0" w:color="auto"/>
        <w:right w:val="none" w:sz="0" w:space="0" w:color="auto"/>
      </w:divBdr>
    </w:div>
    <w:div w:id="9376800">
      <w:bodyDiv w:val="1"/>
      <w:marLeft w:val="0"/>
      <w:marRight w:val="0"/>
      <w:marTop w:val="0"/>
      <w:marBottom w:val="0"/>
      <w:divBdr>
        <w:top w:val="none" w:sz="0" w:space="0" w:color="auto"/>
        <w:left w:val="none" w:sz="0" w:space="0" w:color="auto"/>
        <w:bottom w:val="none" w:sz="0" w:space="0" w:color="auto"/>
        <w:right w:val="none" w:sz="0" w:space="0" w:color="auto"/>
      </w:divBdr>
      <w:divsChild>
        <w:div w:id="1040207397">
          <w:marLeft w:val="0"/>
          <w:marRight w:val="0"/>
          <w:marTop w:val="0"/>
          <w:marBottom w:val="0"/>
          <w:divBdr>
            <w:top w:val="none" w:sz="0" w:space="0" w:color="auto"/>
            <w:left w:val="none" w:sz="0" w:space="0" w:color="auto"/>
            <w:bottom w:val="none" w:sz="0" w:space="0" w:color="auto"/>
            <w:right w:val="none" w:sz="0" w:space="0" w:color="auto"/>
          </w:divBdr>
          <w:divsChild>
            <w:div w:id="727344500">
              <w:marLeft w:val="0"/>
              <w:marRight w:val="0"/>
              <w:marTop w:val="0"/>
              <w:marBottom w:val="0"/>
              <w:divBdr>
                <w:top w:val="none" w:sz="0" w:space="0" w:color="auto"/>
                <w:left w:val="none" w:sz="0" w:space="0" w:color="auto"/>
                <w:bottom w:val="none" w:sz="0" w:space="0" w:color="auto"/>
                <w:right w:val="none" w:sz="0" w:space="0" w:color="auto"/>
              </w:divBdr>
              <w:divsChild>
                <w:div w:id="10822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281">
      <w:bodyDiv w:val="1"/>
      <w:marLeft w:val="0"/>
      <w:marRight w:val="0"/>
      <w:marTop w:val="0"/>
      <w:marBottom w:val="0"/>
      <w:divBdr>
        <w:top w:val="none" w:sz="0" w:space="0" w:color="auto"/>
        <w:left w:val="none" w:sz="0" w:space="0" w:color="auto"/>
        <w:bottom w:val="none" w:sz="0" w:space="0" w:color="auto"/>
        <w:right w:val="none" w:sz="0" w:space="0" w:color="auto"/>
      </w:divBdr>
    </w:div>
    <w:div w:id="153113487">
      <w:bodyDiv w:val="1"/>
      <w:marLeft w:val="0"/>
      <w:marRight w:val="0"/>
      <w:marTop w:val="0"/>
      <w:marBottom w:val="0"/>
      <w:divBdr>
        <w:top w:val="none" w:sz="0" w:space="0" w:color="auto"/>
        <w:left w:val="none" w:sz="0" w:space="0" w:color="auto"/>
        <w:bottom w:val="none" w:sz="0" w:space="0" w:color="auto"/>
        <w:right w:val="none" w:sz="0" w:space="0" w:color="auto"/>
      </w:divBdr>
      <w:divsChild>
        <w:div w:id="1302804441">
          <w:marLeft w:val="0"/>
          <w:marRight w:val="0"/>
          <w:marTop w:val="0"/>
          <w:marBottom w:val="0"/>
          <w:divBdr>
            <w:top w:val="none" w:sz="0" w:space="0" w:color="auto"/>
            <w:left w:val="none" w:sz="0" w:space="0" w:color="auto"/>
            <w:bottom w:val="none" w:sz="0" w:space="0" w:color="auto"/>
            <w:right w:val="none" w:sz="0" w:space="0" w:color="auto"/>
          </w:divBdr>
        </w:div>
        <w:div w:id="1551072254">
          <w:marLeft w:val="0"/>
          <w:marRight w:val="0"/>
          <w:marTop w:val="0"/>
          <w:marBottom w:val="0"/>
          <w:divBdr>
            <w:top w:val="none" w:sz="0" w:space="0" w:color="auto"/>
            <w:left w:val="none" w:sz="0" w:space="0" w:color="auto"/>
            <w:bottom w:val="none" w:sz="0" w:space="0" w:color="auto"/>
            <w:right w:val="none" w:sz="0" w:space="0" w:color="auto"/>
          </w:divBdr>
          <w:divsChild>
            <w:div w:id="1771394493">
              <w:marLeft w:val="0"/>
              <w:marRight w:val="0"/>
              <w:marTop w:val="0"/>
              <w:marBottom w:val="0"/>
              <w:divBdr>
                <w:top w:val="none" w:sz="0" w:space="0" w:color="auto"/>
                <w:left w:val="none" w:sz="0" w:space="0" w:color="auto"/>
                <w:bottom w:val="none" w:sz="0" w:space="0" w:color="auto"/>
                <w:right w:val="none" w:sz="0" w:space="0" w:color="auto"/>
              </w:divBdr>
              <w:divsChild>
                <w:div w:id="93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20313">
          <w:marLeft w:val="0"/>
          <w:marRight w:val="0"/>
          <w:marTop w:val="0"/>
          <w:marBottom w:val="0"/>
          <w:divBdr>
            <w:top w:val="none" w:sz="0" w:space="0" w:color="auto"/>
            <w:left w:val="none" w:sz="0" w:space="0" w:color="auto"/>
            <w:bottom w:val="none" w:sz="0" w:space="0" w:color="auto"/>
            <w:right w:val="none" w:sz="0" w:space="0" w:color="auto"/>
          </w:divBdr>
        </w:div>
      </w:divsChild>
    </w:div>
    <w:div w:id="209849316">
      <w:bodyDiv w:val="1"/>
      <w:marLeft w:val="0"/>
      <w:marRight w:val="0"/>
      <w:marTop w:val="0"/>
      <w:marBottom w:val="0"/>
      <w:divBdr>
        <w:top w:val="none" w:sz="0" w:space="0" w:color="auto"/>
        <w:left w:val="none" w:sz="0" w:space="0" w:color="auto"/>
        <w:bottom w:val="none" w:sz="0" w:space="0" w:color="auto"/>
        <w:right w:val="none" w:sz="0" w:space="0" w:color="auto"/>
      </w:divBdr>
      <w:divsChild>
        <w:div w:id="627247272">
          <w:marLeft w:val="0"/>
          <w:marRight w:val="0"/>
          <w:marTop w:val="0"/>
          <w:marBottom w:val="0"/>
          <w:divBdr>
            <w:top w:val="none" w:sz="0" w:space="0" w:color="auto"/>
            <w:left w:val="none" w:sz="0" w:space="0" w:color="auto"/>
            <w:bottom w:val="none" w:sz="0" w:space="0" w:color="auto"/>
            <w:right w:val="none" w:sz="0" w:space="0" w:color="auto"/>
          </w:divBdr>
          <w:divsChild>
            <w:div w:id="568658422">
              <w:marLeft w:val="0"/>
              <w:marRight w:val="0"/>
              <w:marTop w:val="0"/>
              <w:marBottom w:val="0"/>
              <w:divBdr>
                <w:top w:val="none" w:sz="0" w:space="0" w:color="auto"/>
                <w:left w:val="none" w:sz="0" w:space="0" w:color="auto"/>
                <w:bottom w:val="none" w:sz="0" w:space="0" w:color="auto"/>
                <w:right w:val="none" w:sz="0" w:space="0" w:color="auto"/>
              </w:divBdr>
              <w:divsChild>
                <w:div w:id="1394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526">
      <w:bodyDiv w:val="1"/>
      <w:marLeft w:val="0"/>
      <w:marRight w:val="0"/>
      <w:marTop w:val="0"/>
      <w:marBottom w:val="0"/>
      <w:divBdr>
        <w:top w:val="none" w:sz="0" w:space="0" w:color="auto"/>
        <w:left w:val="none" w:sz="0" w:space="0" w:color="auto"/>
        <w:bottom w:val="none" w:sz="0" w:space="0" w:color="auto"/>
        <w:right w:val="none" w:sz="0" w:space="0" w:color="auto"/>
      </w:divBdr>
      <w:divsChild>
        <w:div w:id="310867249">
          <w:marLeft w:val="0"/>
          <w:marRight w:val="0"/>
          <w:marTop w:val="0"/>
          <w:marBottom w:val="0"/>
          <w:divBdr>
            <w:top w:val="none" w:sz="0" w:space="0" w:color="auto"/>
            <w:left w:val="none" w:sz="0" w:space="0" w:color="auto"/>
            <w:bottom w:val="none" w:sz="0" w:space="0" w:color="auto"/>
            <w:right w:val="none" w:sz="0" w:space="0" w:color="auto"/>
          </w:divBdr>
          <w:divsChild>
            <w:div w:id="1157304538">
              <w:marLeft w:val="0"/>
              <w:marRight w:val="0"/>
              <w:marTop w:val="0"/>
              <w:marBottom w:val="0"/>
              <w:divBdr>
                <w:top w:val="none" w:sz="0" w:space="0" w:color="auto"/>
                <w:left w:val="none" w:sz="0" w:space="0" w:color="auto"/>
                <w:bottom w:val="none" w:sz="0" w:space="0" w:color="auto"/>
                <w:right w:val="none" w:sz="0" w:space="0" w:color="auto"/>
              </w:divBdr>
              <w:divsChild>
                <w:div w:id="17003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28905">
      <w:bodyDiv w:val="1"/>
      <w:marLeft w:val="0"/>
      <w:marRight w:val="0"/>
      <w:marTop w:val="0"/>
      <w:marBottom w:val="0"/>
      <w:divBdr>
        <w:top w:val="none" w:sz="0" w:space="0" w:color="auto"/>
        <w:left w:val="none" w:sz="0" w:space="0" w:color="auto"/>
        <w:bottom w:val="none" w:sz="0" w:space="0" w:color="auto"/>
        <w:right w:val="none" w:sz="0" w:space="0" w:color="auto"/>
      </w:divBdr>
      <w:divsChild>
        <w:div w:id="531000478">
          <w:marLeft w:val="0"/>
          <w:marRight w:val="0"/>
          <w:marTop w:val="0"/>
          <w:marBottom w:val="0"/>
          <w:divBdr>
            <w:top w:val="none" w:sz="0" w:space="0" w:color="auto"/>
            <w:left w:val="none" w:sz="0" w:space="0" w:color="auto"/>
            <w:bottom w:val="none" w:sz="0" w:space="0" w:color="auto"/>
            <w:right w:val="none" w:sz="0" w:space="0" w:color="auto"/>
          </w:divBdr>
          <w:divsChild>
            <w:div w:id="42218027">
              <w:marLeft w:val="0"/>
              <w:marRight w:val="0"/>
              <w:marTop w:val="0"/>
              <w:marBottom w:val="0"/>
              <w:divBdr>
                <w:top w:val="none" w:sz="0" w:space="0" w:color="auto"/>
                <w:left w:val="none" w:sz="0" w:space="0" w:color="auto"/>
                <w:bottom w:val="none" w:sz="0" w:space="0" w:color="auto"/>
                <w:right w:val="none" w:sz="0" w:space="0" w:color="auto"/>
              </w:divBdr>
              <w:divsChild>
                <w:div w:id="10335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267">
      <w:bodyDiv w:val="1"/>
      <w:marLeft w:val="0"/>
      <w:marRight w:val="0"/>
      <w:marTop w:val="0"/>
      <w:marBottom w:val="0"/>
      <w:divBdr>
        <w:top w:val="none" w:sz="0" w:space="0" w:color="auto"/>
        <w:left w:val="none" w:sz="0" w:space="0" w:color="auto"/>
        <w:bottom w:val="none" w:sz="0" w:space="0" w:color="auto"/>
        <w:right w:val="none" w:sz="0" w:space="0" w:color="auto"/>
      </w:divBdr>
      <w:divsChild>
        <w:div w:id="1234968922">
          <w:marLeft w:val="0"/>
          <w:marRight w:val="0"/>
          <w:marTop w:val="0"/>
          <w:marBottom w:val="0"/>
          <w:divBdr>
            <w:top w:val="none" w:sz="0" w:space="0" w:color="auto"/>
            <w:left w:val="none" w:sz="0" w:space="0" w:color="auto"/>
            <w:bottom w:val="none" w:sz="0" w:space="0" w:color="auto"/>
            <w:right w:val="none" w:sz="0" w:space="0" w:color="auto"/>
          </w:divBdr>
          <w:divsChild>
            <w:div w:id="875776250">
              <w:marLeft w:val="0"/>
              <w:marRight w:val="0"/>
              <w:marTop w:val="0"/>
              <w:marBottom w:val="0"/>
              <w:divBdr>
                <w:top w:val="none" w:sz="0" w:space="0" w:color="auto"/>
                <w:left w:val="none" w:sz="0" w:space="0" w:color="auto"/>
                <w:bottom w:val="none" w:sz="0" w:space="0" w:color="auto"/>
                <w:right w:val="none" w:sz="0" w:space="0" w:color="auto"/>
              </w:divBdr>
              <w:divsChild>
                <w:div w:id="18852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3862">
      <w:bodyDiv w:val="1"/>
      <w:marLeft w:val="0"/>
      <w:marRight w:val="0"/>
      <w:marTop w:val="0"/>
      <w:marBottom w:val="0"/>
      <w:divBdr>
        <w:top w:val="none" w:sz="0" w:space="0" w:color="auto"/>
        <w:left w:val="none" w:sz="0" w:space="0" w:color="auto"/>
        <w:bottom w:val="none" w:sz="0" w:space="0" w:color="auto"/>
        <w:right w:val="none" w:sz="0" w:space="0" w:color="auto"/>
      </w:divBdr>
      <w:divsChild>
        <w:div w:id="693310886">
          <w:marLeft w:val="0"/>
          <w:marRight w:val="0"/>
          <w:marTop w:val="0"/>
          <w:marBottom w:val="0"/>
          <w:divBdr>
            <w:top w:val="none" w:sz="0" w:space="0" w:color="auto"/>
            <w:left w:val="none" w:sz="0" w:space="0" w:color="auto"/>
            <w:bottom w:val="none" w:sz="0" w:space="0" w:color="auto"/>
            <w:right w:val="none" w:sz="0" w:space="0" w:color="auto"/>
          </w:divBdr>
          <w:divsChild>
            <w:div w:id="878857112">
              <w:marLeft w:val="0"/>
              <w:marRight w:val="0"/>
              <w:marTop w:val="0"/>
              <w:marBottom w:val="0"/>
              <w:divBdr>
                <w:top w:val="none" w:sz="0" w:space="0" w:color="auto"/>
                <w:left w:val="none" w:sz="0" w:space="0" w:color="auto"/>
                <w:bottom w:val="none" w:sz="0" w:space="0" w:color="auto"/>
                <w:right w:val="none" w:sz="0" w:space="0" w:color="auto"/>
              </w:divBdr>
              <w:divsChild>
                <w:div w:id="19512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81280">
      <w:bodyDiv w:val="1"/>
      <w:marLeft w:val="0"/>
      <w:marRight w:val="0"/>
      <w:marTop w:val="0"/>
      <w:marBottom w:val="0"/>
      <w:divBdr>
        <w:top w:val="none" w:sz="0" w:space="0" w:color="auto"/>
        <w:left w:val="none" w:sz="0" w:space="0" w:color="auto"/>
        <w:bottom w:val="none" w:sz="0" w:space="0" w:color="auto"/>
        <w:right w:val="none" w:sz="0" w:space="0" w:color="auto"/>
      </w:divBdr>
      <w:divsChild>
        <w:div w:id="117456243">
          <w:marLeft w:val="0"/>
          <w:marRight w:val="0"/>
          <w:marTop w:val="0"/>
          <w:marBottom w:val="0"/>
          <w:divBdr>
            <w:top w:val="none" w:sz="0" w:space="0" w:color="auto"/>
            <w:left w:val="none" w:sz="0" w:space="0" w:color="auto"/>
            <w:bottom w:val="none" w:sz="0" w:space="0" w:color="auto"/>
            <w:right w:val="none" w:sz="0" w:space="0" w:color="auto"/>
          </w:divBdr>
          <w:divsChild>
            <w:div w:id="398019409">
              <w:marLeft w:val="0"/>
              <w:marRight w:val="0"/>
              <w:marTop w:val="0"/>
              <w:marBottom w:val="0"/>
              <w:divBdr>
                <w:top w:val="none" w:sz="0" w:space="0" w:color="auto"/>
                <w:left w:val="none" w:sz="0" w:space="0" w:color="auto"/>
                <w:bottom w:val="none" w:sz="0" w:space="0" w:color="auto"/>
                <w:right w:val="none" w:sz="0" w:space="0" w:color="auto"/>
              </w:divBdr>
              <w:divsChild>
                <w:div w:id="19087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960">
      <w:bodyDiv w:val="1"/>
      <w:marLeft w:val="0"/>
      <w:marRight w:val="0"/>
      <w:marTop w:val="0"/>
      <w:marBottom w:val="0"/>
      <w:divBdr>
        <w:top w:val="none" w:sz="0" w:space="0" w:color="auto"/>
        <w:left w:val="none" w:sz="0" w:space="0" w:color="auto"/>
        <w:bottom w:val="none" w:sz="0" w:space="0" w:color="auto"/>
        <w:right w:val="none" w:sz="0" w:space="0" w:color="auto"/>
      </w:divBdr>
    </w:div>
    <w:div w:id="366030554">
      <w:bodyDiv w:val="1"/>
      <w:marLeft w:val="0"/>
      <w:marRight w:val="0"/>
      <w:marTop w:val="0"/>
      <w:marBottom w:val="0"/>
      <w:divBdr>
        <w:top w:val="none" w:sz="0" w:space="0" w:color="auto"/>
        <w:left w:val="none" w:sz="0" w:space="0" w:color="auto"/>
        <w:bottom w:val="none" w:sz="0" w:space="0" w:color="auto"/>
        <w:right w:val="none" w:sz="0" w:space="0" w:color="auto"/>
      </w:divBdr>
      <w:divsChild>
        <w:div w:id="404187017">
          <w:marLeft w:val="0"/>
          <w:marRight w:val="0"/>
          <w:marTop w:val="0"/>
          <w:marBottom w:val="0"/>
          <w:divBdr>
            <w:top w:val="none" w:sz="0" w:space="0" w:color="auto"/>
            <w:left w:val="none" w:sz="0" w:space="0" w:color="auto"/>
            <w:bottom w:val="none" w:sz="0" w:space="0" w:color="auto"/>
            <w:right w:val="none" w:sz="0" w:space="0" w:color="auto"/>
          </w:divBdr>
          <w:divsChild>
            <w:div w:id="2121294105">
              <w:marLeft w:val="0"/>
              <w:marRight w:val="0"/>
              <w:marTop w:val="0"/>
              <w:marBottom w:val="0"/>
              <w:divBdr>
                <w:top w:val="none" w:sz="0" w:space="0" w:color="auto"/>
                <w:left w:val="none" w:sz="0" w:space="0" w:color="auto"/>
                <w:bottom w:val="none" w:sz="0" w:space="0" w:color="auto"/>
                <w:right w:val="none" w:sz="0" w:space="0" w:color="auto"/>
              </w:divBdr>
              <w:divsChild>
                <w:div w:id="19417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7869">
      <w:bodyDiv w:val="1"/>
      <w:marLeft w:val="0"/>
      <w:marRight w:val="0"/>
      <w:marTop w:val="0"/>
      <w:marBottom w:val="0"/>
      <w:divBdr>
        <w:top w:val="none" w:sz="0" w:space="0" w:color="auto"/>
        <w:left w:val="none" w:sz="0" w:space="0" w:color="auto"/>
        <w:bottom w:val="none" w:sz="0" w:space="0" w:color="auto"/>
        <w:right w:val="none" w:sz="0" w:space="0" w:color="auto"/>
      </w:divBdr>
      <w:divsChild>
        <w:div w:id="553547628">
          <w:marLeft w:val="0"/>
          <w:marRight w:val="0"/>
          <w:marTop w:val="0"/>
          <w:marBottom w:val="0"/>
          <w:divBdr>
            <w:top w:val="none" w:sz="0" w:space="0" w:color="auto"/>
            <w:left w:val="none" w:sz="0" w:space="0" w:color="auto"/>
            <w:bottom w:val="none" w:sz="0" w:space="0" w:color="auto"/>
            <w:right w:val="none" w:sz="0" w:space="0" w:color="auto"/>
          </w:divBdr>
          <w:divsChild>
            <w:div w:id="461461124">
              <w:marLeft w:val="0"/>
              <w:marRight w:val="0"/>
              <w:marTop w:val="0"/>
              <w:marBottom w:val="0"/>
              <w:divBdr>
                <w:top w:val="none" w:sz="0" w:space="0" w:color="auto"/>
                <w:left w:val="none" w:sz="0" w:space="0" w:color="auto"/>
                <w:bottom w:val="none" w:sz="0" w:space="0" w:color="auto"/>
                <w:right w:val="none" w:sz="0" w:space="0" w:color="auto"/>
              </w:divBdr>
              <w:divsChild>
                <w:div w:id="4705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06766">
      <w:bodyDiv w:val="1"/>
      <w:marLeft w:val="0"/>
      <w:marRight w:val="0"/>
      <w:marTop w:val="0"/>
      <w:marBottom w:val="0"/>
      <w:divBdr>
        <w:top w:val="none" w:sz="0" w:space="0" w:color="auto"/>
        <w:left w:val="none" w:sz="0" w:space="0" w:color="auto"/>
        <w:bottom w:val="none" w:sz="0" w:space="0" w:color="auto"/>
        <w:right w:val="none" w:sz="0" w:space="0" w:color="auto"/>
      </w:divBdr>
      <w:divsChild>
        <w:div w:id="1091584956">
          <w:marLeft w:val="0"/>
          <w:marRight w:val="0"/>
          <w:marTop w:val="0"/>
          <w:marBottom w:val="0"/>
          <w:divBdr>
            <w:top w:val="none" w:sz="0" w:space="0" w:color="auto"/>
            <w:left w:val="none" w:sz="0" w:space="0" w:color="auto"/>
            <w:bottom w:val="none" w:sz="0" w:space="0" w:color="auto"/>
            <w:right w:val="none" w:sz="0" w:space="0" w:color="auto"/>
          </w:divBdr>
          <w:divsChild>
            <w:div w:id="658967674">
              <w:marLeft w:val="0"/>
              <w:marRight w:val="0"/>
              <w:marTop w:val="0"/>
              <w:marBottom w:val="0"/>
              <w:divBdr>
                <w:top w:val="none" w:sz="0" w:space="0" w:color="auto"/>
                <w:left w:val="none" w:sz="0" w:space="0" w:color="auto"/>
                <w:bottom w:val="none" w:sz="0" w:space="0" w:color="auto"/>
                <w:right w:val="none" w:sz="0" w:space="0" w:color="auto"/>
              </w:divBdr>
              <w:divsChild>
                <w:div w:id="19483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4184">
      <w:bodyDiv w:val="1"/>
      <w:marLeft w:val="0"/>
      <w:marRight w:val="0"/>
      <w:marTop w:val="0"/>
      <w:marBottom w:val="0"/>
      <w:divBdr>
        <w:top w:val="none" w:sz="0" w:space="0" w:color="auto"/>
        <w:left w:val="none" w:sz="0" w:space="0" w:color="auto"/>
        <w:bottom w:val="none" w:sz="0" w:space="0" w:color="auto"/>
        <w:right w:val="none" w:sz="0" w:space="0" w:color="auto"/>
      </w:divBdr>
      <w:divsChild>
        <w:div w:id="787628094">
          <w:marLeft w:val="0"/>
          <w:marRight w:val="0"/>
          <w:marTop w:val="0"/>
          <w:marBottom w:val="0"/>
          <w:divBdr>
            <w:top w:val="none" w:sz="0" w:space="0" w:color="auto"/>
            <w:left w:val="none" w:sz="0" w:space="0" w:color="auto"/>
            <w:bottom w:val="none" w:sz="0" w:space="0" w:color="auto"/>
            <w:right w:val="none" w:sz="0" w:space="0" w:color="auto"/>
          </w:divBdr>
          <w:divsChild>
            <w:div w:id="359206334">
              <w:marLeft w:val="0"/>
              <w:marRight w:val="0"/>
              <w:marTop w:val="0"/>
              <w:marBottom w:val="0"/>
              <w:divBdr>
                <w:top w:val="none" w:sz="0" w:space="0" w:color="auto"/>
                <w:left w:val="none" w:sz="0" w:space="0" w:color="auto"/>
                <w:bottom w:val="none" w:sz="0" w:space="0" w:color="auto"/>
                <w:right w:val="none" w:sz="0" w:space="0" w:color="auto"/>
              </w:divBdr>
              <w:divsChild>
                <w:div w:id="5419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6006">
      <w:bodyDiv w:val="1"/>
      <w:marLeft w:val="0"/>
      <w:marRight w:val="0"/>
      <w:marTop w:val="0"/>
      <w:marBottom w:val="0"/>
      <w:divBdr>
        <w:top w:val="none" w:sz="0" w:space="0" w:color="auto"/>
        <w:left w:val="none" w:sz="0" w:space="0" w:color="auto"/>
        <w:bottom w:val="none" w:sz="0" w:space="0" w:color="auto"/>
        <w:right w:val="none" w:sz="0" w:space="0" w:color="auto"/>
      </w:divBdr>
    </w:div>
    <w:div w:id="417095083">
      <w:bodyDiv w:val="1"/>
      <w:marLeft w:val="0"/>
      <w:marRight w:val="0"/>
      <w:marTop w:val="0"/>
      <w:marBottom w:val="0"/>
      <w:divBdr>
        <w:top w:val="none" w:sz="0" w:space="0" w:color="auto"/>
        <w:left w:val="none" w:sz="0" w:space="0" w:color="auto"/>
        <w:bottom w:val="none" w:sz="0" w:space="0" w:color="auto"/>
        <w:right w:val="none" w:sz="0" w:space="0" w:color="auto"/>
      </w:divBdr>
    </w:div>
    <w:div w:id="446512976">
      <w:bodyDiv w:val="1"/>
      <w:marLeft w:val="0"/>
      <w:marRight w:val="0"/>
      <w:marTop w:val="0"/>
      <w:marBottom w:val="0"/>
      <w:divBdr>
        <w:top w:val="none" w:sz="0" w:space="0" w:color="auto"/>
        <w:left w:val="none" w:sz="0" w:space="0" w:color="auto"/>
        <w:bottom w:val="none" w:sz="0" w:space="0" w:color="auto"/>
        <w:right w:val="none" w:sz="0" w:space="0" w:color="auto"/>
      </w:divBdr>
    </w:div>
    <w:div w:id="448087127">
      <w:bodyDiv w:val="1"/>
      <w:marLeft w:val="0"/>
      <w:marRight w:val="0"/>
      <w:marTop w:val="0"/>
      <w:marBottom w:val="0"/>
      <w:divBdr>
        <w:top w:val="none" w:sz="0" w:space="0" w:color="auto"/>
        <w:left w:val="none" w:sz="0" w:space="0" w:color="auto"/>
        <w:bottom w:val="none" w:sz="0" w:space="0" w:color="auto"/>
        <w:right w:val="none" w:sz="0" w:space="0" w:color="auto"/>
      </w:divBdr>
    </w:div>
    <w:div w:id="464347696">
      <w:bodyDiv w:val="1"/>
      <w:marLeft w:val="0"/>
      <w:marRight w:val="0"/>
      <w:marTop w:val="0"/>
      <w:marBottom w:val="0"/>
      <w:divBdr>
        <w:top w:val="none" w:sz="0" w:space="0" w:color="auto"/>
        <w:left w:val="none" w:sz="0" w:space="0" w:color="auto"/>
        <w:bottom w:val="none" w:sz="0" w:space="0" w:color="auto"/>
        <w:right w:val="none" w:sz="0" w:space="0" w:color="auto"/>
      </w:divBdr>
      <w:divsChild>
        <w:div w:id="1546211261">
          <w:marLeft w:val="0"/>
          <w:marRight w:val="0"/>
          <w:marTop w:val="0"/>
          <w:marBottom w:val="0"/>
          <w:divBdr>
            <w:top w:val="none" w:sz="0" w:space="0" w:color="auto"/>
            <w:left w:val="none" w:sz="0" w:space="0" w:color="auto"/>
            <w:bottom w:val="none" w:sz="0" w:space="0" w:color="auto"/>
            <w:right w:val="none" w:sz="0" w:space="0" w:color="auto"/>
          </w:divBdr>
          <w:divsChild>
            <w:div w:id="1573543138">
              <w:marLeft w:val="0"/>
              <w:marRight w:val="0"/>
              <w:marTop w:val="0"/>
              <w:marBottom w:val="0"/>
              <w:divBdr>
                <w:top w:val="none" w:sz="0" w:space="0" w:color="auto"/>
                <w:left w:val="none" w:sz="0" w:space="0" w:color="auto"/>
                <w:bottom w:val="none" w:sz="0" w:space="0" w:color="auto"/>
                <w:right w:val="none" w:sz="0" w:space="0" w:color="auto"/>
              </w:divBdr>
              <w:divsChild>
                <w:div w:id="337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2833">
      <w:bodyDiv w:val="1"/>
      <w:marLeft w:val="0"/>
      <w:marRight w:val="0"/>
      <w:marTop w:val="0"/>
      <w:marBottom w:val="0"/>
      <w:divBdr>
        <w:top w:val="none" w:sz="0" w:space="0" w:color="auto"/>
        <w:left w:val="none" w:sz="0" w:space="0" w:color="auto"/>
        <w:bottom w:val="none" w:sz="0" w:space="0" w:color="auto"/>
        <w:right w:val="none" w:sz="0" w:space="0" w:color="auto"/>
      </w:divBdr>
      <w:divsChild>
        <w:div w:id="1984310936">
          <w:marLeft w:val="0"/>
          <w:marRight w:val="0"/>
          <w:marTop w:val="0"/>
          <w:marBottom w:val="0"/>
          <w:divBdr>
            <w:top w:val="none" w:sz="0" w:space="0" w:color="auto"/>
            <w:left w:val="none" w:sz="0" w:space="0" w:color="auto"/>
            <w:bottom w:val="none" w:sz="0" w:space="0" w:color="auto"/>
            <w:right w:val="none" w:sz="0" w:space="0" w:color="auto"/>
          </w:divBdr>
          <w:divsChild>
            <w:div w:id="1253660878">
              <w:marLeft w:val="0"/>
              <w:marRight w:val="0"/>
              <w:marTop w:val="0"/>
              <w:marBottom w:val="0"/>
              <w:divBdr>
                <w:top w:val="none" w:sz="0" w:space="0" w:color="auto"/>
                <w:left w:val="none" w:sz="0" w:space="0" w:color="auto"/>
                <w:bottom w:val="none" w:sz="0" w:space="0" w:color="auto"/>
                <w:right w:val="none" w:sz="0" w:space="0" w:color="auto"/>
              </w:divBdr>
              <w:divsChild>
                <w:div w:id="1797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24127">
      <w:bodyDiv w:val="1"/>
      <w:marLeft w:val="0"/>
      <w:marRight w:val="0"/>
      <w:marTop w:val="0"/>
      <w:marBottom w:val="0"/>
      <w:divBdr>
        <w:top w:val="none" w:sz="0" w:space="0" w:color="auto"/>
        <w:left w:val="none" w:sz="0" w:space="0" w:color="auto"/>
        <w:bottom w:val="none" w:sz="0" w:space="0" w:color="auto"/>
        <w:right w:val="none" w:sz="0" w:space="0" w:color="auto"/>
      </w:divBdr>
      <w:divsChild>
        <w:div w:id="2132548774">
          <w:marLeft w:val="0"/>
          <w:marRight w:val="0"/>
          <w:marTop w:val="0"/>
          <w:marBottom w:val="0"/>
          <w:divBdr>
            <w:top w:val="none" w:sz="0" w:space="0" w:color="auto"/>
            <w:left w:val="none" w:sz="0" w:space="0" w:color="auto"/>
            <w:bottom w:val="none" w:sz="0" w:space="0" w:color="auto"/>
            <w:right w:val="none" w:sz="0" w:space="0" w:color="auto"/>
          </w:divBdr>
          <w:divsChild>
            <w:div w:id="491987140">
              <w:marLeft w:val="0"/>
              <w:marRight w:val="0"/>
              <w:marTop w:val="0"/>
              <w:marBottom w:val="0"/>
              <w:divBdr>
                <w:top w:val="none" w:sz="0" w:space="0" w:color="auto"/>
                <w:left w:val="none" w:sz="0" w:space="0" w:color="auto"/>
                <w:bottom w:val="none" w:sz="0" w:space="0" w:color="auto"/>
                <w:right w:val="none" w:sz="0" w:space="0" w:color="auto"/>
              </w:divBdr>
              <w:divsChild>
                <w:div w:id="20339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8601">
      <w:bodyDiv w:val="1"/>
      <w:marLeft w:val="0"/>
      <w:marRight w:val="0"/>
      <w:marTop w:val="0"/>
      <w:marBottom w:val="0"/>
      <w:divBdr>
        <w:top w:val="none" w:sz="0" w:space="0" w:color="auto"/>
        <w:left w:val="none" w:sz="0" w:space="0" w:color="auto"/>
        <w:bottom w:val="none" w:sz="0" w:space="0" w:color="auto"/>
        <w:right w:val="none" w:sz="0" w:space="0" w:color="auto"/>
      </w:divBdr>
      <w:divsChild>
        <w:div w:id="879363360">
          <w:marLeft w:val="0"/>
          <w:marRight w:val="0"/>
          <w:marTop w:val="0"/>
          <w:marBottom w:val="0"/>
          <w:divBdr>
            <w:top w:val="none" w:sz="0" w:space="0" w:color="auto"/>
            <w:left w:val="none" w:sz="0" w:space="0" w:color="auto"/>
            <w:bottom w:val="none" w:sz="0" w:space="0" w:color="auto"/>
            <w:right w:val="none" w:sz="0" w:space="0" w:color="auto"/>
          </w:divBdr>
          <w:divsChild>
            <w:div w:id="1070889210">
              <w:marLeft w:val="0"/>
              <w:marRight w:val="0"/>
              <w:marTop w:val="0"/>
              <w:marBottom w:val="0"/>
              <w:divBdr>
                <w:top w:val="none" w:sz="0" w:space="0" w:color="auto"/>
                <w:left w:val="none" w:sz="0" w:space="0" w:color="auto"/>
                <w:bottom w:val="none" w:sz="0" w:space="0" w:color="auto"/>
                <w:right w:val="none" w:sz="0" w:space="0" w:color="auto"/>
              </w:divBdr>
              <w:divsChild>
                <w:div w:id="1598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038">
      <w:bodyDiv w:val="1"/>
      <w:marLeft w:val="0"/>
      <w:marRight w:val="0"/>
      <w:marTop w:val="0"/>
      <w:marBottom w:val="0"/>
      <w:divBdr>
        <w:top w:val="none" w:sz="0" w:space="0" w:color="auto"/>
        <w:left w:val="none" w:sz="0" w:space="0" w:color="auto"/>
        <w:bottom w:val="none" w:sz="0" w:space="0" w:color="auto"/>
        <w:right w:val="none" w:sz="0" w:space="0" w:color="auto"/>
      </w:divBdr>
      <w:divsChild>
        <w:div w:id="1794666495">
          <w:marLeft w:val="0"/>
          <w:marRight w:val="0"/>
          <w:marTop w:val="0"/>
          <w:marBottom w:val="0"/>
          <w:divBdr>
            <w:top w:val="none" w:sz="0" w:space="0" w:color="auto"/>
            <w:left w:val="none" w:sz="0" w:space="0" w:color="auto"/>
            <w:bottom w:val="none" w:sz="0" w:space="0" w:color="auto"/>
            <w:right w:val="none" w:sz="0" w:space="0" w:color="auto"/>
          </w:divBdr>
          <w:divsChild>
            <w:div w:id="1086879548">
              <w:marLeft w:val="0"/>
              <w:marRight w:val="0"/>
              <w:marTop w:val="0"/>
              <w:marBottom w:val="0"/>
              <w:divBdr>
                <w:top w:val="none" w:sz="0" w:space="0" w:color="auto"/>
                <w:left w:val="none" w:sz="0" w:space="0" w:color="auto"/>
                <w:bottom w:val="none" w:sz="0" w:space="0" w:color="auto"/>
                <w:right w:val="none" w:sz="0" w:space="0" w:color="auto"/>
              </w:divBdr>
              <w:divsChild>
                <w:div w:id="7512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0229">
      <w:bodyDiv w:val="1"/>
      <w:marLeft w:val="0"/>
      <w:marRight w:val="0"/>
      <w:marTop w:val="0"/>
      <w:marBottom w:val="0"/>
      <w:divBdr>
        <w:top w:val="none" w:sz="0" w:space="0" w:color="auto"/>
        <w:left w:val="none" w:sz="0" w:space="0" w:color="auto"/>
        <w:bottom w:val="none" w:sz="0" w:space="0" w:color="auto"/>
        <w:right w:val="none" w:sz="0" w:space="0" w:color="auto"/>
      </w:divBdr>
    </w:div>
    <w:div w:id="652371698">
      <w:bodyDiv w:val="1"/>
      <w:marLeft w:val="0"/>
      <w:marRight w:val="0"/>
      <w:marTop w:val="0"/>
      <w:marBottom w:val="0"/>
      <w:divBdr>
        <w:top w:val="none" w:sz="0" w:space="0" w:color="auto"/>
        <w:left w:val="none" w:sz="0" w:space="0" w:color="auto"/>
        <w:bottom w:val="none" w:sz="0" w:space="0" w:color="auto"/>
        <w:right w:val="none" w:sz="0" w:space="0" w:color="auto"/>
      </w:divBdr>
    </w:div>
    <w:div w:id="653485754">
      <w:bodyDiv w:val="1"/>
      <w:marLeft w:val="0"/>
      <w:marRight w:val="0"/>
      <w:marTop w:val="0"/>
      <w:marBottom w:val="0"/>
      <w:divBdr>
        <w:top w:val="none" w:sz="0" w:space="0" w:color="auto"/>
        <w:left w:val="none" w:sz="0" w:space="0" w:color="auto"/>
        <w:bottom w:val="none" w:sz="0" w:space="0" w:color="auto"/>
        <w:right w:val="none" w:sz="0" w:space="0" w:color="auto"/>
      </w:divBdr>
    </w:div>
    <w:div w:id="671683718">
      <w:bodyDiv w:val="1"/>
      <w:marLeft w:val="0"/>
      <w:marRight w:val="0"/>
      <w:marTop w:val="0"/>
      <w:marBottom w:val="0"/>
      <w:divBdr>
        <w:top w:val="none" w:sz="0" w:space="0" w:color="auto"/>
        <w:left w:val="none" w:sz="0" w:space="0" w:color="auto"/>
        <w:bottom w:val="none" w:sz="0" w:space="0" w:color="auto"/>
        <w:right w:val="none" w:sz="0" w:space="0" w:color="auto"/>
      </w:divBdr>
      <w:divsChild>
        <w:div w:id="1468233664">
          <w:marLeft w:val="0"/>
          <w:marRight w:val="0"/>
          <w:marTop w:val="0"/>
          <w:marBottom w:val="0"/>
          <w:divBdr>
            <w:top w:val="none" w:sz="0" w:space="0" w:color="auto"/>
            <w:left w:val="none" w:sz="0" w:space="0" w:color="auto"/>
            <w:bottom w:val="none" w:sz="0" w:space="0" w:color="auto"/>
            <w:right w:val="none" w:sz="0" w:space="0" w:color="auto"/>
          </w:divBdr>
          <w:divsChild>
            <w:div w:id="1946647576">
              <w:marLeft w:val="0"/>
              <w:marRight w:val="0"/>
              <w:marTop w:val="0"/>
              <w:marBottom w:val="0"/>
              <w:divBdr>
                <w:top w:val="none" w:sz="0" w:space="0" w:color="auto"/>
                <w:left w:val="none" w:sz="0" w:space="0" w:color="auto"/>
                <w:bottom w:val="none" w:sz="0" w:space="0" w:color="auto"/>
                <w:right w:val="none" w:sz="0" w:space="0" w:color="auto"/>
              </w:divBdr>
              <w:divsChild>
                <w:div w:id="15895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6488">
      <w:bodyDiv w:val="1"/>
      <w:marLeft w:val="0"/>
      <w:marRight w:val="0"/>
      <w:marTop w:val="0"/>
      <w:marBottom w:val="0"/>
      <w:divBdr>
        <w:top w:val="none" w:sz="0" w:space="0" w:color="auto"/>
        <w:left w:val="none" w:sz="0" w:space="0" w:color="auto"/>
        <w:bottom w:val="none" w:sz="0" w:space="0" w:color="auto"/>
        <w:right w:val="none" w:sz="0" w:space="0" w:color="auto"/>
      </w:divBdr>
      <w:divsChild>
        <w:div w:id="1091854811">
          <w:marLeft w:val="0"/>
          <w:marRight w:val="0"/>
          <w:marTop w:val="0"/>
          <w:marBottom w:val="0"/>
          <w:divBdr>
            <w:top w:val="none" w:sz="0" w:space="0" w:color="auto"/>
            <w:left w:val="none" w:sz="0" w:space="0" w:color="auto"/>
            <w:bottom w:val="none" w:sz="0" w:space="0" w:color="auto"/>
            <w:right w:val="none" w:sz="0" w:space="0" w:color="auto"/>
          </w:divBdr>
          <w:divsChild>
            <w:div w:id="101843473">
              <w:marLeft w:val="0"/>
              <w:marRight w:val="0"/>
              <w:marTop w:val="0"/>
              <w:marBottom w:val="0"/>
              <w:divBdr>
                <w:top w:val="none" w:sz="0" w:space="0" w:color="auto"/>
                <w:left w:val="none" w:sz="0" w:space="0" w:color="auto"/>
                <w:bottom w:val="none" w:sz="0" w:space="0" w:color="auto"/>
                <w:right w:val="none" w:sz="0" w:space="0" w:color="auto"/>
              </w:divBdr>
              <w:divsChild>
                <w:div w:id="17410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75514716">
      <w:bodyDiv w:val="1"/>
      <w:marLeft w:val="0"/>
      <w:marRight w:val="0"/>
      <w:marTop w:val="0"/>
      <w:marBottom w:val="0"/>
      <w:divBdr>
        <w:top w:val="none" w:sz="0" w:space="0" w:color="auto"/>
        <w:left w:val="none" w:sz="0" w:space="0" w:color="auto"/>
        <w:bottom w:val="none" w:sz="0" w:space="0" w:color="auto"/>
        <w:right w:val="none" w:sz="0" w:space="0" w:color="auto"/>
      </w:divBdr>
    </w:div>
    <w:div w:id="785271016">
      <w:bodyDiv w:val="1"/>
      <w:marLeft w:val="0"/>
      <w:marRight w:val="0"/>
      <w:marTop w:val="0"/>
      <w:marBottom w:val="0"/>
      <w:divBdr>
        <w:top w:val="none" w:sz="0" w:space="0" w:color="auto"/>
        <w:left w:val="none" w:sz="0" w:space="0" w:color="auto"/>
        <w:bottom w:val="none" w:sz="0" w:space="0" w:color="auto"/>
        <w:right w:val="none" w:sz="0" w:space="0" w:color="auto"/>
      </w:divBdr>
      <w:divsChild>
        <w:div w:id="1205754270">
          <w:marLeft w:val="0"/>
          <w:marRight w:val="0"/>
          <w:marTop w:val="0"/>
          <w:marBottom w:val="0"/>
          <w:divBdr>
            <w:top w:val="none" w:sz="0" w:space="0" w:color="auto"/>
            <w:left w:val="none" w:sz="0" w:space="0" w:color="auto"/>
            <w:bottom w:val="none" w:sz="0" w:space="0" w:color="auto"/>
            <w:right w:val="none" w:sz="0" w:space="0" w:color="auto"/>
          </w:divBdr>
          <w:divsChild>
            <w:div w:id="61217365">
              <w:marLeft w:val="0"/>
              <w:marRight w:val="0"/>
              <w:marTop w:val="0"/>
              <w:marBottom w:val="0"/>
              <w:divBdr>
                <w:top w:val="none" w:sz="0" w:space="0" w:color="auto"/>
                <w:left w:val="none" w:sz="0" w:space="0" w:color="auto"/>
                <w:bottom w:val="none" w:sz="0" w:space="0" w:color="auto"/>
                <w:right w:val="none" w:sz="0" w:space="0" w:color="auto"/>
              </w:divBdr>
              <w:divsChild>
                <w:div w:id="1647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9057">
      <w:bodyDiv w:val="1"/>
      <w:marLeft w:val="0"/>
      <w:marRight w:val="0"/>
      <w:marTop w:val="0"/>
      <w:marBottom w:val="0"/>
      <w:divBdr>
        <w:top w:val="none" w:sz="0" w:space="0" w:color="auto"/>
        <w:left w:val="none" w:sz="0" w:space="0" w:color="auto"/>
        <w:bottom w:val="none" w:sz="0" w:space="0" w:color="auto"/>
        <w:right w:val="none" w:sz="0" w:space="0" w:color="auto"/>
      </w:divBdr>
    </w:div>
    <w:div w:id="831336620">
      <w:bodyDiv w:val="1"/>
      <w:marLeft w:val="0"/>
      <w:marRight w:val="0"/>
      <w:marTop w:val="0"/>
      <w:marBottom w:val="0"/>
      <w:divBdr>
        <w:top w:val="none" w:sz="0" w:space="0" w:color="auto"/>
        <w:left w:val="none" w:sz="0" w:space="0" w:color="auto"/>
        <w:bottom w:val="none" w:sz="0" w:space="0" w:color="auto"/>
        <w:right w:val="none" w:sz="0" w:space="0" w:color="auto"/>
      </w:divBdr>
      <w:divsChild>
        <w:div w:id="1117943030">
          <w:marLeft w:val="0"/>
          <w:marRight w:val="0"/>
          <w:marTop w:val="0"/>
          <w:marBottom w:val="0"/>
          <w:divBdr>
            <w:top w:val="none" w:sz="0" w:space="0" w:color="auto"/>
            <w:left w:val="none" w:sz="0" w:space="0" w:color="auto"/>
            <w:bottom w:val="none" w:sz="0" w:space="0" w:color="auto"/>
            <w:right w:val="none" w:sz="0" w:space="0" w:color="auto"/>
          </w:divBdr>
          <w:divsChild>
            <w:div w:id="560138773">
              <w:marLeft w:val="0"/>
              <w:marRight w:val="0"/>
              <w:marTop w:val="0"/>
              <w:marBottom w:val="0"/>
              <w:divBdr>
                <w:top w:val="none" w:sz="0" w:space="0" w:color="auto"/>
                <w:left w:val="none" w:sz="0" w:space="0" w:color="auto"/>
                <w:bottom w:val="none" w:sz="0" w:space="0" w:color="auto"/>
                <w:right w:val="none" w:sz="0" w:space="0" w:color="auto"/>
              </w:divBdr>
              <w:divsChild>
                <w:div w:id="10779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80788">
      <w:bodyDiv w:val="1"/>
      <w:marLeft w:val="0"/>
      <w:marRight w:val="0"/>
      <w:marTop w:val="0"/>
      <w:marBottom w:val="0"/>
      <w:divBdr>
        <w:top w:val="none" w:sz="0" w:space="0" w:color="auto"/>
        <w:left w:val="none" w:sz="0" w:space="0" w:color="auto"/>
        <w:bottom w:val="none" w:sz="0" w:space="0" w:color="auto"/>
        <w:right w:val="none" w:sz="0" w:space="0" w:color="auto"/>
      </w:divBdr>
      <w:divsChild>
        <w:div w:id="1675179220">
          <w:marLeft w:val="0"/>
          <w:marRight w:val="0"/>
          <w:marTop w:val="0"/>
          <w:marBottom w:val="0"/>
          <w:divBdr>
            <w:top w:val="none" w:sz="0" w:space="0" w:color="auto"/>
            <w:left w:val="none" w:sz="0" w:space="0" w:color="auto"/>
            <w:bottom w:val="none" w:sz="0" w:space="0" w:color="auto"/>
            <w:right w:val="none" w:sz="0" w:space="0" w:color="auto"/>
          </w:divBdr>
          <w:divsChild>
            <w:div w:id="337389717">
              <w:marLeft w:val="0"/>
              <w:marRight w:val="0"/>
              <w:marTop w:val="0"/>
              <w:marBottom w:val="0"/>
              <w:divBdr>
                <w:top w:val="none" w:sz="0" w:space="0" w:color="auto"/>
                <w:left w:val="none" w:sz="0" w:space="0" w:color="auto"/>
                <w:bottom w:val="none" w:sz="0" w:space="0" w:color="auto"/>
                <w:right w:val="none" w:sz="0" w:space="0" w:color="auto"/>
              </w:divBdr>
              <w:divsChild>
                <w:div w:id="16936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0146">
      <w:bodyDiv w:val="1"/>
      <w:marLeft w:val="0"/>
      <w:marRight w:val="0"/>
      <w:marTop w:val="0"/>
      <w:marBottom w:val="0"/>
      <w:divBdr>
        <w:top w:val="none" w:sz="0" w:space="0" w:color="auto"/>
        <w:left w:val="none" w:sz="0" w:space="0" w:color="auto"/>
        <w:bottom w:val="none" w:sz="0" w:space="0" w:color="auto"/>
        <w:right w:val="none" w:sz="0" w:space="0" w:color="auto"/>
      </w:divBdr>
      <w:divsChild>
        <w:div w:id="165021371">
          <w:marLeft w:val="0"/>
          <w:marRight w:val="0"/>
          <w:marTop w:val="0"/>
          <w:marBottom w:val="0"/>
          <w:divBdr>
            <w:top w:val="none" w:sz="0" w:space="0" w:color="auto"/>
            <w:left w:val="none" w:sz="0" w:space="0" w:color="auto"/>
            <w:bottom w:val="none" w:sz="0" w:space="0" w:color="auto"/>
            <w:right w:val="none" w:sz="0" w:space="0" w:color="auto"/>
          </w:divBdr>
          <w:divsChild>
            <w:div w:id="1689794431">
              <w:marLeft w:val="0"/>
              <w:marRight w:val="0"/>
              <w:marTop w:val="0"/>
              <w:marBottom w:val="0"/>
              <w:divBdr>
                <w:top w:val="none" w:sz="0" w:space="0" w:color="auto"/>
                <w:left w:val="none" w:sz="0" w:space="0" w:color="auto"/>
                <w:bottom w:val="none" w:sz="0" w:space="0" w:color="auto"/>
                <w:right w:val="none" w:sz="0" w:space="0" w:color="auto"/>
              </w:divBdr>
              <w:divsChild>
                <w:div w:id="13563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687">
      <w:bodyDiv w:val="1"/>
      <w:marLeft w:val="0"/>
      <w:marRight w:val="0"/>
      <w:marTop w:val="0"/>
      <w:marBottom w:val="0"/>
      <w:divBdr>
        <w:top w:val="none" w:sz="0" w:space="0" w:color="auto"/>
        <w:left w:val="none" w:sz="0" w:space="0" w:color="auto"/>
        <w:bottom w:val="none" w:sz="0" w:space="0" w:color="auto"/>
        <w:right w:val="none" w:sz="0" w:space="0" w:color="auto"/>
      </w:divBdr>
    </w:div>
    <w:div w:id="924193544">
      <w:bodyDiv w:val="1"/>
      <w:marLeft w:val="0"/>
      <w:marRight w:val="0"/>
      <w:marTop w:val="0"/>
      <w:marBottom w:val="0"/>
      <w:divBdr>
        <w:top w:val="none" w:sz="0" w:space="0" w:color="auto"/>
        <w:left w:val="none" w:sz="0" w:space="0" w:color="auto"/>
        <w:bottom w:val="none" w:sz="0" w:space="0" w:color="auto"/>
        <w:right w:val="none" w:sz="0" w:space="0" w:color="auto"/>
      </w:divBdr>
      <w:divsChild>
        <w:div w:id="240334846">
          <w:marLeft w:val="0"/>
          <w:marRight w:val="0"/>
          <w:marTop w:val="0"/>
          <w:marBottom w:val="0"/>
          <w:divBdr>
            <w:top w:val="none" w:sz="0" w:space="0" w:color="auto"/>
            <w:left w:val="none" w:sz="0" w:space="0" w:color="auto"/>
            <w:bottom w:val="none" w:sz="0" w:space="0" w:color="auto"/>
            <w:right w:val="none" w:sz="0" w:space="0" w:color="auto"/>
          </w:divBdr>
          <w:divsChild>
            <w:div w:id="702290599">
              <w:marLeft w:val="0"/>
              <w:marRight w:val="0"/>
              <w:marTop w:val="0"/>
              <w:marBottom w:val="0"/>
              <w:divBdr>
                <w:top w:val="none" w:sz="0" w:space="0" w:color="auto"/>
                <w:left w:val="none" w:sz="0" w:space="0" w:color="auto"/>
                <w:bottom w:val="none" w:sz="0" w:space="0" w:color="auto"/>
                <w:right w:val="none" w:sz="0" w:space="0" w:color="auto"/>
              </w:divBdr>
              <w:divsChild>
                <w:div w:id="2112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4286">
      <w:bodyDiv w:val="1"/>
      <w:marLeft w:val="0"/>
      <w:marRight w:val="0"/>
      <w:marTop w:val="0"/>
      <w:marBottom w:val="0"/>
      <w:divBdr>
        <w:top w:val="none" w:sz="0" w:space="0" w:color="auto"/>
        <w:left w:val="none" w:sz="0" w:space="0" w:color="auto"/>
        <w:bottom w:val="none" w:sz="0" w:space="0" w:color="auto"/>
        <w:right w:val="none" w:sz="0" w:space="0" w:color="auto"/>
      </w:divBdr>
      <w:divsChild>
        <w:div w:id="418406218">
          <w:marLeft w:val="0"/>
          <w:marRight w:val="0"/>
          <w:marTop w:val="0"/>
          <w:marBottom w:val="0"/>
          <w:divBdr>
            <w:top w:val="none" w:sz="0" w:space="0" w:color="auto"/>
            <w:left w:val="none" w:sz="0" w:space="0" w:color="auto"/>
            <w:bottom w:val="none" w:sz="0" w:space="0" w:color="auto"/>
            <w:right w:val="none" w:sz="0" w:space="0" w:color="auto"/>
          </w:divBdr>
          <w:divsChild>
            <w:div w:id="1373769696">
              <w:marLeft w:val="0"/>
              <w:marRight w:val="0"/>
              <w:marTop w:val="0"/>
              <w:marBottom w:val="0"/>
              <w:divBdr>
                <w:top w:val="none" w:sz="0" w:space="0" w:color="auto"/>
                <w:left w:val="none" w:sz="0" w:space="0" w:color="auto"/>
                <w:bottom w:val="none" w:sz="0" w:space="0" w:color="auto"/>
                <w:right w:val="none" w:sz="0" w:space="0" w:color="auto"/>
              </w:divBdr>
              <w:divsChild>
                <w:div w:id="349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79022">
      <w:bodyDiv w:val="1"/>
      <w:marLeft w:val="0"/>
      <w:marRight w:val="0"/>
      <w:marTop w:val="0"/>
      <w:marBottom w:val="0"/>
      <w:divBdr>
        <w:top w:val="none" w:sz="0" w:space="0" w:color="auto"/>
        <w:left w:val="none" w:sz="0" w:space="0" w:color="auto"/>
        <w:bottom w:val="none" w:sz="0" w:space="0" w:color="auto"/>
        <w:right w:val="none" w:sz="0" w:space="0" w:color="auto"/>
      </w:divBdr>
    </w:div>
    <w:div w:id="1020938823">
      <w:bodyDiv w:val="1"/>
      <w:marLeft w:val="0"/>
      <w:marRight w:val="0"/>
      <w:marTop w:val="0"/>
      <w:marBottom w:val="0"/>
      <w:divBdr>
        <w:top w:val="none" w:sz="0" w:space="0" w:color="auto"/>
        <w:left w:val="none" w:sz="0" w:space="0" w:color="auto"/>
        <w:bottom w:val="none" w:sz="0" w:space="0" w:color="auto"/>
        <w:right w:val="none" w:sz="0" w:space="0" w:color="auto"/>
      </w:divBdr>
    </w:div>
    <w:div w:id="1054695386">
      <w:bodyDiv w:val="1"/>
      <w:marLeft w:val="0"/>
      <w:marRight w:val="0"/>
      <w:marTop w:val="0"/>
      <w:marBottom w:val="0"/>
      <w:divBdr>
        <w:top w:val="none" w:sz="0" w:space="0" w:color="auto"/>
        <w:left w:val="none" w:sz="0" w:space="0" w:color="auto"/>
        <w:bottom w:val="none" w:sz="0" w:space="0" w:color="auto"/>
        <w:right w:val="none" w:sz="0" w:space="0" w:color="auto"/>
      </w:divBdr>
    </w:div>
    <w:div w:id="1072771534">
      <w:bodyDiv w:val="1"/>
      <w:marLeft w:val="0"/>
      <w:marRight w:val="0"/>
      <w:marTop w:val="0"/>
      <w:marBottom w:val="0"/>
      <w:divBdr>
        <w:top w:val="none" w:sz="0" w:space="0" w:color="auto"/>
        <w:left w:val="none" w:sz="0" w:space="0" w:color="auto"/>
        <w:bottom w:val="none" w:sz="0" w:space="0" w:color="auto"/>
        <w:right w:val="none" w:sz="0" w:space="0" w:color="auto"/>
      </w:divBdr>
      <w:divsChild>
        <w:div w:id="1127117557">
          <w:marLeft w:val="0"/>
          <w:marRight w:val="0"/>
          <w:marTop w:val="0"/>
          <w:marBottom w:val="0"/>
          <w:divBdr>
            <w:top w:val="none" w:sz="0" w:space="0" w:color="auto"/>
            <w:left w:val="none" w:sz="0" w:space="0" w:color="auto"/>
            <w:bottom w:val="none" w:sz="0" w:space="0" w:color="auto"/>
            <w:right w:val="none" w:sz="0" w:space="0" w:color="auto"/>
          </w:divBdr>
          <w:divsChild>
            <w:div w:id="2073310740">
              <w:marLeft w:val="0"/>
              <w:marRight w:val="0"/>
              <w:marTop w:val="0"/>
              <w:marBottom w:val="0"/>
              <w:divBdr>
                <w:top w:val="none" w:sz="0" w:space="0" w:color="auto"/>
                <w:left w:val="none" w:sz="0" w:space="0" w:color="auto"/>
                <w:bottom w:val="none" w:sz="0" w:space="0" w:color="auto"/>
                <w:right w:val="none" w:sz="0" w:space="0" w:color="auto"/>
              </w:divBdr>
              <w:divsChild>
                <w:div w:id="116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4469">
      <w:bodyDiv w:val="1"/>
      <w:marLeft w:val="0"/>
      <w:marRight w:val="0"/>
      <w:marTop w:val="0"/>
      <w:marBottom w:val="0"/>
      <w:divBdr>
        <w:top w:val="none" w:sz="0" w:space="0" w:color="auto"/>
        <w:left w:val="none" w:sz="0" w:space="0" w:color="auto"/>
        <w:bottom w:val="none" w:sz="0" w:space="0" w:color="auto"/>
        <w:right w:val="none" w:sz="0" w:space="0" w:color="auto"/>
      </w:divBdr>
      <w:divsChild>
        <w:div w:id="1376003443">
          <w:marLeft w:val="0"/>
          <w:marRight w:val="0"/>
          <w:marTop w:val="0"/>
          <w:marBottom w:val="0"/>
          <w:divBdr>
            <w:top w:val="none" w:sz="0" w:space="0" w:color="auto"/>
            <w:left w:val="none" w:sz="0" w:space="0" w:color="auto"/>
            <w:bottom w:val="none" w:sz="0" w:space="0" w:color="auto"/>
            <w:right w:val="none" w:sz="0" w:space="0" w:color="auto"/>
          </w:divBdr>
          <w:divsChild>
            <w:div w:id="760219911">
              <w:marLeft w:val="0"/>
              <w:marRight w:val="0"/>
              <w:marTop w:val="0"/>
              <w:marBottom w:val="0"/>
              <w:divBdr>
                <w:top w:val="none" w:sz="0" w:space="0" w:color="auto"/>
                <w:left w:val="none" w:sz="0" w:space="0" w:color="auto"/>
                <w:bottom w:val="none" w:sz="0" w:space="0" w:color="auto"/>
                <w:right w:val="none" w:sz="0" w:space="0" w:color="auto"/>
              </w:divBdr>
              <w:divsChild>
                <w:div w:id="1044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3861">
      <w:bodyDiv w:val="1"/>
      <w:marLeft w:val="0"/>
      <w:marRight w:val="0"/>
      <w:marTop w:val="0"/>
      <w:marBottom w:val="0"/>
      <w:divBdr>
        <w:top w:val="none" w:sz="0" w:space="0" w:color="auto"/>
        <w:left w:val="none" w:sz="0" w:space="0" w:color="auto"/>
        <w:bottom w:val="none" w:sz="0" w:space="0" w:color="auto"/>
        <w:right w:val="none" w:sz="0" w:space="0" w:color="auto"/>
      </w:divBdr>
      <w:divsChild>
        <w:div w:id="1824153375">
          <w:marLeft w:val="0"/>
          <w:marRight w:val="0"/>
          <w:marTop w:val="0"/>
          <w:marBottom w:val="0"/>
          <w:divBdr>
            <w:top w:val="none" w:sz="0" w:space="0" w:color="auto"/>
            <w:left w:val="none" w:sz="0" w:space="0" w:color="auto"/>
            <w:bottom w:val="none" w:sz="0" w:space="0" w:color="auto"/>
            <w:right w:val="none" w:sz="0" w:space="0" w:color="auto"/>
          </w:divBdr>
          <w:divsChild>
            <w:div w:id="413823374">
              <w:marLeft w:val="0"/>
              <w:marRight w:val="0"/>
              <w:marTop w:val="0"/>
              <w:marBottom w:val="0"/>
              <w:divBdr>
                <w:top w:val="none" w:sz="0" w:space="0" w:color="auto"/>
                <w:left w:val="none" w:sz="0" w:space="0" w:color="auto"/>
                <w:bottom w:val="none" w:sz="0" w:space="0" w:color="auto"/>
                <w:right w:val="none" w:sz="0" w:space="0" w:color="auto"/>
              </w:divBdr>
              <w:divsChild>
                <w:div w:id="1376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3391">
      <w:bodyDiv w:val="1"/>
      <w:marLeft w:val="0"/>
      <w:marRight w:val="0"/>
      <w:marTop w:val="0"/>
      <w:marBottom w:val="0"/>
      <w:divBdr>
        <w:top w:val="none" w:sz="0" w:space="0" w:color="auto"/>
        <w:left w:val="none" w:sz="0" w:space="0" w:color="auto"/>
        <w:bottom w:val="none" w:sz="0" w:space="0" w:color="auto"/>
        <w:right w:val="none" w:sz="0" w:space="0" w:color="auto"/>
      </w:divBdr>
    </w:div>
    <w:div w:id="1201817893">
      <w:bodyDiv w:val="1"/>
      <w:marLeft w:val="0"/>
      <w:marRight w:val="0"/>
      <w:marTop w:val="0"/>
      <w:marBottom w:val="0"/>
      <w:divBdr>
        <w:top w:val="none" w:sz="0" w:space="0" w:color="auto"/>
        <w:left w:val="none" w:sz="0" w:space="0" w:color="auto"/>
        <w:bottom w:val="none" w:sz="0" w:space="0" w:color="auto"/>
        <w:right w:val="none" w:sz="0" w:space="0" w:color="auto"/>
      </w:divBdr>
      <w:divsChild>
        <w:div w:id="666444350">
          <w:marLeft w:val="0"/>
          <w:marRight w:val="0"/>
          <w:marTop w:val="0"/>
          <w:marBottom w:val="0"/>
          <w:divBdr>
            <w:top w:val="none" w:sz="0" w:space="0" w:color="auto"/>
            <w:left w:val="none" w:sz="0" w:space="0" w:color="auto"/>
            <w:bottom w:val="none" w:sz="0" w:space="0" w:color="auto"/>
            <w:right w:val="none" w:sz="0" w:space="0" w:color="auto"/>
          </w:divBdr>
          <w:divsChild>
            <w:div w:id="2058779454">
              <w:marLeft w:val="0"/>
              <w:marRight w:val="0"/>
              <w:marTop w:val="0"/>
              <w:marBottom w:val="0"/>
              <w:divBdr>
                <w:top w:val="none" w:sz="0" w:space="0" w:color="auto"/>
                <w:left w:val="none" w:sz="0" w:space="0" w:color="auto"/>
                <w:bottom w:val="none" w:sz="0" w:space="0" w:color="auto"/>
                <w:right w:val="none" w:sz="0" w:space="0" w:color="auto"/>
              </w:divBdr>
              <w:divsChild>
                <w:div w:id="9322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8266">
      <w:bodyDiv w:val="1"/>
      <w:marLeft w:val="0"/>
      <w:marRight w:val="0"/>
      <w:marTop w:val="0"/>
      <w:marBottom w:val="0"/>
      <w:divBdr>
        <w:top w:val="none" w:sz="0" w:space="0" w:color="auto"/>
        <w:left w:val="none" w:sz="0" w:space="0" w:color="auto"/>
        <w:bottom w:val="none" w:sz="0" w:space="0" w:color="auto"/>
        <w:right w:val="none" w:sz="0" w:space="0" w:color="auto"/>
      </w:divBdr>
      <w:divsChild>
        <w:div w:id="1130906137">
          <w:marLeft w:val="0"/>
          <w:marRight w:val="0"/>
          <w:marTop w:val="0"/>
          <w:marBottom w:val="0"/>
          <w:divBdr>
            <w:top w:val="none" w:sz="0" w:space="0" w:color="auto"/>
            <w:left w:val="none" w:sz="0" w:space="0" w:color="auto"/>
            <w:bottom w:val="none" w:sz="0" w:space="0" w:color="auto"/>
            <w:right w:val="none" w:sz="0" w:space="0" w:color="auto"/>
          </w:divBdr>
          <w:divsChild>
            <w:div w:id="446899161">
              <w:marLeft w:val="0"/>
              <w:marRight w:val="0"/>
              <w:marTop w:val="0"/>
              <w:marBottom w:val="0"/>
              <w:divBdr>
                <w:top w:val="none" w:sz="0" w:space="0" w:color="auto"/>
                <w:left w:val="none" w:sz="0" w:space="0" w:color="auto"/>
                <w:bottom w:val="none" w:sz="0" w:space="0" w:color="auto"/>
                <w:right w:val="none" w:sz="0" w:space="0" w:color="auto"/>
              </w:divBdr>
              <w:divsChild>
                <w:div w:id="15332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48055">
      <w:bodyDiv w:val="1"/>
      <w:marLeft w:val="0"/>
      <w:marRight w:val="0"/>
      <w:marTop w:val="0"/>
      <w:marBottom w:val="0"/>
      <w:divBdr>
        <w:top w:val="none" w:sz="0" w:space="0" w:color="auto"/>
        <w:left w:val="none" w:sz="0" w:space="0" w:color="auto"/>
        <w:bottom w:val="none" w:sz="0" w:space="0" w:color="auto"/>
        <w:right w:val="none" w:sz="0" w:space="0" w:color="auto"/>
      </w:divBdr>
    </w:div>
    <w:div w:id="1226599258">
      <w:bodyDiv w:val="1"/>
      <w:marLeft w:val="0"/>
      <w:marRight w:val="0"/>
      <w:marTop w:val="0"/>
      <w:marBottom w:val="0"/>
      <w:divBdr>
        <w:top w:val="none" w:sz="0" w:space="0" w:color="auto"/>
        <w:left w:val="none" w:sz="0" w:space="0" w:color="auto"/>
        <w:bottom w:val="none" w:sz="0" w:space="0" w:color="auto"/>
        <w:right w:val="none" w:sz="0" w:space="0" w:color="auto"/>
      </w:divBdr>
      <w:divsChild>
        <w:div w:id="1896892680">
          <w:marLeft w:val="0"/>
          <w:marRight w:val="0"/>
          <w:marTop w:val="0"/>
          <w:marBottom w:val="0"/>
          <w:divBdr>
            <w:top w:val="none" w:sz="0" w:space="0" w:color="auto"/>
            <w:left w:val="none" w:sz="0" w:space="0" w:color="auto"/>
            <w:bottom w:val="none" w:sz="0" w:space="0" w:color="auto"/>
            <w:right w:val="none" w:sz="0" w:space="0" w:color="auto"/>
          </w:divBdr>
          <w:divsChild>
            <w:div w:id="398868974">
              <w:marLeft w:val="0"/>
              <w:marRight w:val="0"/>
              <w:marTop w:val="0"/>
              <w:marBottom w:val="0"/>
              <w:divBdr>
                <w:top w:val="none" w:sz="0" w:space="0" w:color="auto"/>
                <w:left w:val="none" w:sz="0" w:space="0" w:color="auto"/>
                <w:bottom w:val="none" w:sz="0" w:space="0" w:color="auto"/>
                <w:right w:val="none" w:sz="0" w:space="0" w:color="auto"/>
              </w:divBdr>
              <w:divsChild>
                <w:div w:id="695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3840">
      <w:bodyDiv w:val="1"/>
      <w:marLeft w:val="0"/>
      <w:marRight w:val="0"/>
      <w:marTop w:val="0"/>
      <w:marBottom w:val="0"/>
      <w:divBdr>
        <w:top w:val="none" w:sz="0" w:space="0" w:color="auto"/>
        <w:left w:val="none" w:sz="0" w:space="0" w:color="auto"/>
        <w:bottom w:val="none" w:sz="0" w:space="0" w:color="auto"/>
        <w:right w:val="none" w:sz="0" w:space="0" w:color="auto"/>
      </w:divBdr>
      <w:divsChild>
        <w:div w:id="2062436366">
          <w:marLeft w:val="0"/>
          <w:marRight w:val="0"/>
          <w:marTop w:val="0"/>
          <w:marBottom w:val="0"/>
          <w:divBdr>
            <w:top w:val="none" w:sz="0" w:space="0" w:color="auto"/>
            <w:left w:val="none" w:sz="0" w:space="0" w:color="auto"/>
            <w:bottom w:val="none" w:sz="0" w:space="0" w:color="auto"/>
            <w:right w:val="none" w:sz="0" w:space="0" w:color="auto"/>
          </w:divBdr>
          <w:divsChild>
            <w:div w:id="1104109388">
              <w:marLeft w:val="0"/>
              <w:marRight w:val="0"/>
              <w:marTop w:val="0"/>
              <w:marBottom w:val="0"/>
              <w:divBdr>
                <w:top w:val="none" w:sz="0" w:space="0" w:color="auto"/>
                <w:left w:val="none" w:sz="0" w:space="0" w:color="auto"/>
                <w:bottom w:val="none" w:sz="0" w:space="0" w:color="auto"/>
                <w:right w:val="none" w:sz="0" w:space="0" w:color="auto"/>
              </w:divBdr>
              <w:divsChild>
                <w:div w:id="20641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3083">
      <w:bodyDiv w:val="1"/>
      <w:marLeft w:val="0"/>
      <w:marRight w:val="0"/>
      <w:marTop w:val="0"/>
      <w:marBottom w:val="0"/>
      <w:divBdr>
        <w:top w:val="none" w:sz="0" w:space="0" w:color="auto"/>
        <w:left w:val="none" w:sz="0" w:space="0" w:color="auto"/>
        <w:bottom w:val="none" w:sz="0" w:space="0" w:color="auto"/>
        <w:right w:val="none" w:sz="0" w:space="0" w:color="auto"/>
      </w:divBdr>
      <w:divsChild>
        <w:div w:id="364406650">
          <w:marLeft w:val="0"/>
          <w:marRight w:val="0"/>
          <w:marTop w:val="0"/>
          <w:marBottom w:val="0"/>
          <w:divBdr>
            <w:top w:val="none" w:sz="0" w:space="0" w:color="auto"/>
            <w:left w:val="none" w:sz="0" w:space="0" w:color="auto"/>
            <w:bottom w:val="none" w:sz="0" w:space="0" w:color="auto"/>
            <w:right w:val="none" w:sz="0" w:space="0" w:color="auto"/>
          </w:divBdr>
          <w:divsChild>
            <w:div w:id="1032345817">
              <w:marLeft w:val="0"/>
              <w:marRight w:val="0"/>
              <w:marTop w:val="0"/>
              <w:marBottom w:val="0"/>
              <w:divBdr>
                <w:top w:val="none" w:sz="0" w:space="0" w:color="auto"/>
                <w:left w:val="none" w:sz="0" w:space="0" w:color="auto"/>
                <w:bottom w:val="none" w:sz="0" w:space="0" w:color="auto"/>
                <w:right w:val="none" w:sz="0" w:space="0" w:color="auto"/>
              </w:divBdr>
              <w:divsChild>
                <w:div w:id="20097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2709">
      <w:bodyDiv w:val="1"/>
      <w:marLeft w:val="0"/>
      <w:marRight w:val="0"/>
      <w:marTop w:val="0"/>
      <w:marBottom w:val="0"/>
      <w:divBdr>
        <w:top w:val="none" w:sz="0" w:space="0" w:color="auto"/>
        <w:left w:val="none" w:sz="0" w:space="0" w:color="auto"/>
        <w:bottom w:val="none" w:sz="0" w:space="0" w:color="auto"/>
        <w:right w:val="none" w:sz="0" w:space="0" w:color="auto"/>
      </w:divBdr>
      <w:divsChild>
        <w:div w:id="850029354">
          <w:marLeft w:val="0"/>
          <w:marRight w:val="0"/>
          <w:marTop w:val="0"/>
          <w:marBottom w:val="0"/>
          <w:divBdr>
            <w:top w:val="none" w:sz="0" w:space="0" w:color="auto"/>
            <w:left w:val="none" w:sz="0" w:space="0" w:color="auto"/>
            <w:bottom w:val="none" w:sz="0" w:space="0" w:color="auto"/>
            <w:right w:val="none" w:sz="0" w:space="0" w:color="auto"/>
          </w:divBdr>
          <w:divsChild>
            <w:div w:id="221336877">
              <w:marLeft w:val="0"/>
              <w:marRight w:val="0"/>
              <w:marTop w:val="0"/>
              <w:marBottom w:val="0"/>
              <w:divBdr>
                <w:top w:val="none" w:sz="0" w:space="0" w:color="auto"/>
                <w:left w:val="none" w:sz="0" w:space="0" w:color="auto"/>
                <w:bottom w:val="none" w:sz="0" w:space="0" w:color="auto"/>
                <w:right w:val="none" w:sz="0" w:space="0" w:color="auto"/>
              </w:divBdr>
            </w:div>
          </w:divsChild>
        </w:div>
        <w:div w:id="1157648116">
          <w:marLeft w:val="0"/>
          <w:marRight w:val="0"/>
          <w:marTop w:val="0"/>
          <w:marBottom w:val="0"/>
          <w:divBdr>
            <w:top w:val="none" w:sz="0" w:space="0" w:color="auto"/>
            <w:left w:val="none" w:sz="0" w:space="0" w:color="auto"/>
            <w:bottom w:val="none" w:sz="0" w:space="0" w:color="auto"/>
            <w:right w:val="none" w:sz="0" w:space="0" w:color="auto"/>
          </w:divBdr>
          <w:divsChild>
            <w:div w:id="1252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4427">
      <w:bodyDiv w:val="1"/>
      <w:marLeft w:val="0"/>
      <w:marRight w:val="0"/>
      <w:marTop w:val="0"/>
      <w:marBottom w:val="0"/>
      <w:divBdr>
        <w:top w:val="none" w:sz="0" w:space="0" w:color="auto"/>
        <w:left w:val="none" w:sz="0" w:space="0" w:color="auto"/>
        <w:bottom w:val="none" w:sz="0" w:space="0" w:color="auto"/>
        <w:right w:val="none" w:sz="0" w:space="0" w:color="auto"/>
      </w:divBdr>
      <w:divsChild>
        <w:div w:id="1107771785">
          <w:marLeft w:val="0"/>
          <w:marRight w:val="0"/>
          <w:marTop w:val="0"/>
          <w:marBottom w:val="0"/>
          <w:divBdr>
            <w:top w:val="none" w:sz="0" w:space="0" w:color="auto"/>
            <w:left w:val="none" w:sz="0" w:space="0" w:color="auto"/>
            <w:bottom w:val="none" w:sz="0" w:space="0" w:color="auto"/>
            <w:right w:val="none" w:sz="0" w:space="0" w:color="auto"/>
          </w:divBdr>
          <w:divsChild>
            <w:div w:id="1826973722">
              <w:marLeft w:val="0"/>
              <w:marRight w:val="0"/>
              <w:marTop w:val="0"/>
              <w:marBottom w:val="0"/>
              <w:divBdr>
                <w:top w:val="none" w:sz="0" w:space="0" w:color="auto"/>
                <w:left w:val="none" w:sz="0" w:space="0" w:color="auto"/>
                <w:bottom w:val="none" w:sz="0" w:space="0" w:color="auto"/>
                <w:right w:val="none" w:sz="0" w:space="0" w:color="auto"/>
              </w:divBdr>
              <w:divsChild>
                <w:div w:id="7895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6550">
      <w:bodyDiv w:val="1"/>
      <w:marLeft w:val="0"/>
      <w:marRight w:val="0"/>
      <w:marTop w:val="0"/>
      <w:marBottom w:val="0"/>
      <w:divBdr>
        <w:top w:val="none" w:sz="0" w:space="0" w:color="auto"/>
        <w:left w:val="none" w:sz="0" w:space="0" w:color="auto"/>
        <w:bottom w:val="none" w:sz="0" w:space="0" w:color="auto"/>
        <w:right w:val="none" w:sz="0" w:space="0" w:color="auto"/>
      </w:divBdr>
      <w:divsChild>
        <w:div w:id="1886912641">
          <w:marLeft w:val="0"/>
          <w:marRight w:val="0"/>
          <w:marTop w:val="0"/>
          <w:marBottom w:val="0"/>
          <w:divBdr>
            <w:top w:val="none" w:sz="0" w:space="0" w:color="auto"/>
            <w:left w:val="none" w:sz="0" w:space="0" w:color="auto"/>
            <w:bottom w:val="none" w:sz="0" w:space="0" w:color="auto"/>
            <w:right w:val="none" w:sz="0" w:space="0" w:color="auto"/>
          </w:divBdr>
          <w:divsChild>
            <w:div w:id="1923030678">
              <w:marLeft w:val="0"/>
              <w:marRight w:val="0"/>
              <w:marTop w:val="0"/>
              <w:marBottom w:val="0"/>
              <w:divBdr>
                <w:top w:val="none" w:sz="0" w:space="0" w:color="auto"/>
                <w:left w:val="none" w:sz="0" w:space="0" w:color="auto"/>
                <w:bottom w:val="none" w:sz="0" w:space="0" w:color="auto"/>
                <w:right w:val="none" w:sz="0" w:space="0" w:color="auto"/>
              </w:divBdr>
              <w:divsChild>
                <w:div w:id="7199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2827">
      <w:bodyDiv w:val="1"/>
      <w:marLeft w:val="0"/>
      <w:marRight w:val="0"/>
      <w:marTop w:val="0"/>
      <w:marBottom w:val="0"/>
      <w:divBdr>
        <w:top w:val="none" w:sz="0" w:space="0" w:color="auto"/>
        <w:left w:val="none" w:sz="0" w:space="0" w:color="auto"/>
        <w:bottom w:val="none" w:sz="0" w:space="0" w:color="auto"/>
        <w:right w:val="none" w:sz="0" w:space="0" w:color="auto"/>
      </w:divBdr>
      <w:divsChild>
        <w:div w:id="1045761911">
          <w:marLeft w:val="0"/>
          <w:marRight w:val="0"/>
          <w:marTop w:val="0"/>
          <w:marBottom w:val="0"/>
          <w:divBdr>
            <w:top w:val="none" w:sz="0" w:space="0" w:color="auto"/>
            <w:left w:val="none" w:sz="0" w:space="0" w:color="auto"/>
            <w:bottom w:val="none" w:sz="0" w:space="0" w:color="auto"/>
            <w:right w:val="none" w:sz="0" w:space="0" w:color="auto"/>
          </w:divBdr>
          <w:divsChild>
            <w:div w:id="723942867">
              <w:marLeft w:val="0"/>
              <w:marRight w:val="0"/>
              <w:marTop w:val="0"/>
              <w:marBottom w:val="0"/>
              <w:divBdr>
                <w:top w:val="none" w:sz="0" w:space="0" w:color="auto"/>
                <w:left w:val="none" w:sz="0" w:space="0" w:color="auto"/>
                <w:bottom w:val="none" w:sz="0" w:space="0" w:color="auto"/>
                <w:right w:val="none" w:sz="0" w:space="0" w:color="auto"/>
              </w:divBdr>
              <w:divsChild>
                <w:div w:id="441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4770">
      <w:bodyDiv w:val="1"/>
      <w:marLeft w:val="0"/>
      <w:marRight w:val="0"/>
      <w:marTop w:val="0"/>
      <w:marBottom w:val="0"/>
      <w:divBdr>
        <w:top w:val="none" w:sz="0" w:space="0" w:color="auto"/>
        <w:left w:val="none" w:sz="0" w:space="0" w:color="auto"/>
        <w:bottom w:val="none" w:sz="0" w:space="0" w:color="auto"/>
        <w:right w:val="none" w:sz="0" w:space="0" w:color="auto"/>
      </w:divBdr>
      <w:divsChild>
        <w:div w:id="684134843">
          <w:marLeft w:val="0"/>
          <w:marRight w:val="0"/>
          <w:marTop w:val="0"/>
          <w:marBottom w:val="0"/>
          <w:divBdr>
            <w:top w:val="none" w:sz="0" w:space="0" w:color="auto"/>
            <w:left w:val="none" w:sz="0" w:space="0" w:color="auto"/>
            <w:bottom w:val="none" w:sz="0" w:space="0" w:color="auto"/>
            <w:right w:val="none" w:sz="0" w:space="0" w:color="auto"/>
          </w:divBdr>
          <w:divsChild>
            <w:div w:id="1843819095">
              <w:marLeft w:val="0"/>
              <w:marRight w:val="0"/>
              <w:marTop w:val="0"/>
              <w:marBottom w:val="0"/>
              <w:divBdr>
                <w:top w:val="none" w:sz="0" w:space="0" w:color="auto"/>
                <w:left w:val="none" w:sz="0" w:space="0" w:color="auto"/>
                <w:bottom w:val="none" w:sz="0" w:space="0" w:color="auto"/>
                <w:right w:val="none" w:sz="0" w:space="0" w:color="auto"/>
              </w:divBdr>
              <w:divsChild>
                <w:div w:id="1437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1631">
      <w:bodyDiv w:val="1"/>
      <w:marLeft w:val="0"/>
      <w:marRight w:val="0"/>
      <w:marTop w:val="0"/>
      <w:marBottom w:val="0"/>
      <w:divBdr>
        <w:top w:val="none" w:sz="0" w:space="0" w:color="auto"/>
        <w:left w:val="none" w:sz="0" w:space="0" w:color="auto"/>
        <w:bottom w:val="none" w:sz="0" w:space="0" w:color="auto"/>
        <w:right w:val="none" w:sz="0" w:space="0" w:color="auto"/>
      </w:divBdr>
      <w:divsChild>
        <w:div w:id="490830215">
          <w:marLeft w:val="0"/>
          <w:marRight w:val="0"/>
          <w:marTop w:val="0"/>
          <w:marBottom w:val="0"/>
          <w:divBdr>
            <w:top w:val="none" w:sz="0" w:space="0" w:color="auto"/>
            <w:left w:val="none" w:sz="0" w:space="0" w:color="auto"/>
            <w:bottom w:val="none" w:sz="0" w:space="0" w:color="auto"/>
            <w:right w:val="none" w:sz="0" w:space="0" w:color="auto"/>
          </w:divBdr>
          <w:divsChild>
            <w:div w:id="2043287211">
              <w:marLeft w:val="0"/>
              <w:marRight w:val="0"/>
              <w:marTop w:val="0"/>
              <w:marBottom w:val="0"/>
              <w:divBdr>
                <w:top w:val="none" w:sz="0" w:space="0" w:color="auto"/>
                <w:left w:val="none" w:sz="0" w:space="0" w:color="auto"/>
                <w:bottom w:val="none" w:sz="0" w:space="0" w:color="auto"/>
                <w:right w:val="none" w:sz="0" w:space="0" w:color="auto"/>
              </w:divBdr>
              <w:divsChild>
                <w:div w:id="353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5888">
      <w:bodyDiv w:val="1"/>
      <w:marLeft w:val="0"/>
      <w:marRight w:val="0"/>
      <w:marTop w:val="0"/>
      <w:marBottom w:val="0"/>
      <w:divBdr>
        <w:top w:val="none" w:sz="0" w:space="0" w:color="auto"/>
        <w:left w:val="none" w:sz="0" w:space="0" w:color="auto"/>
        <w:bottom w:val="none" w:sz="0" w:space="0" w:color="auto"/>
        <w:right w:val="none" w:sz="0" w:space="0" w:color="auto"/>
      </w:divBdr>
    </w:div>
    <w:div w:id="1489833047">
      <w:bodyDiv w:val="1"/>
      <w:marLeft w:val="0"/>
      <w:marRight w:val="0"/>
      <w:marTop w:val="0"/>
      <w:marBottom w:val="0"/>
      <w:divBdr>
        <w:top w:val="none" w:sz="0" w:space="0" w:color="auto"/>
        <w:left w:val="none" w:sz="0" w:space="0" w:color="auto"/>
        <w:bottom w:val="none" w:sz="0" w:space="0" w:color="auto"/>
        <w:right w:val="none" w:sz="0" w:space="0" w:color="auto"/>
      </w:divBdr>
    </w:div>
    <w:div w:id="1505823809">
      <w:bodyDiv w:val="1"/>
      <w:marLeft w:val="0"/>
      <w:marRight w:val="0"/>
      <w:marTop w:val="0"/>
      <w:marBottom w:val="0"/>
      <w:divBdr>
        <w:top w:val="none" w:sz="0" w:space="0" w:color="auto"/>
        <w:left w:val="none" w:sz="0" w:space="0" w:color="auto"/>
        <w:bottom w:val="none" w:sz="0" w:space="0" w:color="auto"/>
        <w:right w:val="none" w:sz="0" w:space="0" w:color="auto"/>
      </w:divBdr>
    </w:div>
    <w:div w:id="1534927617">
      <w:bodyDiv w:val="1"/>
      <w:marLeft w:val="0"/>
      <w:marRight w:val="0"/>
      <w:marTop w:val="0"/>
      <w:marBottom w:val="0"/>
      <w:divBdr>
        <w:top w:val="none" w:sz="0" w:space="0" w:color="auto"/>
        <w:left w:val="none" w:sz="0" w:space="0" w:color="auto"/>
        <w:bottom w:val="none" w:sz="0" w:space="0" w:color="auto"/>
        <w:right w:val="none" w:sz="0" w:space="0" w:color="auto"/>
      </w:divBdr>
    </w:div>
    <w:div w:id="1541473367">
      <w:bodyDiv w:val="1"/>
      <w:marLeft w:val="0"/>
      <w:marRight w:val="0"/>
      <w:marTop w:val="0"/>
      <w:marBottom w:val="0"/>
      <w:divBdr>
        <w:top w:val="none" w:sz="0" w:space="0" w:color="auto"/>
        <w:left w:val="none" w:sz="0" w:space="0" w:color="auto"/>
        <w:bottom w:val="none" w:sz="0" w:space="0" w:color="auto"/>
        <w:right w:val="none" w:sz="0" w:space="0" w:color="auto"/>
      </w:divBdr>
    </w:div>
    <w:div w:id="1574120846">
      <w:bodyDiv w:val="1"/>
      <w:marLeft w:val="0"/>
      <w:marRight w:val="0"/>
      <w:marTop w:val="0"/>
      <w:marBottom w:val="0"/>
      <w:divBdr>
        <w:top w:val="none" w:sz="0" w:space="0" w:color="auto"/>
        <w:left w:val="none" w:sz="0" w:space="0" w:color="auto"/>
        <w:bottom w:val="none" w:sz="0" w:space="0" w:color="auto"/>
        <w:right w:val="none" w:sz="0" w:space="0" w:color="auto"/>
      </w:divBdr>
      <w:divsChild>
        <w:div w:id="115107579">
          <w:marLeft w:val="0"/>
          <w:marRight w:val="0"/>
          <w:marTop w:val="0"/>
          <w:marBottom w:val="0"/>
          <w:divBdr>
            <w:top w:val="none" w:sz="0" w:space="0" w:color="auto"/>
            <w:left w:val="none" w:sz="0" w:space="0" w:color="auto"/>
            <w:bottom w:val="none" w:sz="0" w:space="0" w:color="auto"/>
            <w:right w:val="none" w:sz="0" w:space="0" w:color="auto"/>
          </w:divBdr>
          <w:divsChild>
            <w:div w:id="1506245491">
              <w:marLeft w:val="0"/>
              <w:marRight w:val="0"/>
              <w:marTop w:val="0"/>
              <w:marBottom w:val="0"/>
              <w:divBdr>
                <w:top w:val="none" w:sz="0" w:space="0" w:color="auto"/>
                <w:left w:val="none" w:sz="0" w:space="0" w:color="auto"/>
                <w:bottom w:val="none" w:sz="0" w:space="0" w:color="auto"/>
                <w:right w:val="none" w:sz="0" w:space="0" w:color="auto"/>
              </w:divBdr>
              <w:divsChild>
                <w:div w:id="303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 w:id="1604917366">
      <w:bodyDiv w:val="1"/>
      <w:marLeft w:val="0"/>
      <w:marRight w:val="0"/>
      <w:marTop w:val="0"/>
      <w:marBottom w:val="0"/>
      <w:divBdr>
        <w:top w:val="none" w:sz="0" w:space="0" w:color="auto"/>
        <w:left w:val="none" w:sz="0" w:space="0" w:color="auto"/>
        <w:bottom w:val="none" w:sz="0" w:space="0" w:color="auto"/>
        <w:right w:val="none" w:sz="0" w:space="0" w:color="auto"/>
      </w:divBdr>
      <w:divsChild>
        <w:div w:id="1327781126">
          <w:marLeft w:val="0"/>
          <w:marRight w:val="0"/>
          <w:marTop w:val="0"/>
          <w:marBottom w:val="0"/>
          <w:divBdr>
            <w:top w:val="none" w:sz="0" w:space="0" w:color="auto"/>
            <w:left w:val="none" w:sz="0" w:space="0" w:color="auto"/>
            <w:bottom w:val="none" w:sz="0" w:space="0" w:color="auto"/>
            <w:right w:val="none" w:sz="0" w:space="0" w:color="auto"/>
          </w:divBdr>
          <w:divsChild>
            <w:div w:id="1504709465">
              <w:marLeft w:val="0"/>
              <w:marRight w:val="0"/>
              <w:marTop w:val="0"/>
              <w:marBottom w:val="0"/>
              <w:divBdr>
                <w:top w:val="none" w:sz="0" w:space="0" w:color="auto"/>
                <w:left w:val="none" w:sz="0" w:space="0" w:color="auto"/>
                <w:bottom w:val="none" w:sz="0" w:space="0" w:color="auto"/>
                <w:right w:val="none" w:sz="0" w:space="0" w:color="auto"/>
              </w:divBdr>
            </w:div>
          </w:divsChild>
        </w:div>
        <w:div w:id="1618675585">
          <w:marLeft w:val="0"/>
          <w:marRight w:val="0"/>
          <w:marTop w:val="0"/>
          <w:marBottom w:val="0"/>
          <w:divBdr>
            <w:top w:val="none" w:sz="0" w:space="0" w:color="auto"/>
            <w:left w:val="none" w:sz="0" w:space="0" w:color="auto"/>
            <w:bottom w:val="none" w:sz="0" w:space="0" w:color="auto"/>
            <w:right w:val="none" w:sz="0" w:space="0" w:color="auto"/>
          </w:divBdr>
          <w:divsChild>
            <w:div w:id="4051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4786">
      <w:bodyDiv w:val="1"/>
      <w:marLeft w:val="0"/>
      <w:marRight w:val="0"/>
      <w:marTop w:val="0"/>
      <w:marBottom w:val="0"/>
      <w:divBdr>
        <w:top w:val="none" w:sz="0" w:space="0" w:color="auto"/>
        <w:left w:val="none" w:sz="0" w:space="0" w:color="auto"/>
        <w:bottom w:val="none" w:sz="0" w:space="0" w:color="auto"/>
        <w:right w:val="none" w:sz="0" w:space="0" w:color="auto"/>
      </w:divBdr>
    </w:div>
    <w:div w:id="1675841138">
      <w:bodyDiv w:val="1"/>
      <w:marLeft w:val="0"/>
      <w:marRight w:val="0"/>
      <w:marTop w:val="0"/>
      <w:marBottom w:val="0"/>
      <w:divBdr>
        <w:top w:val="none" w:sz="0" w:space="0" w:color="auto"/>
        <w:left w:val="none" w:sz="0" w:space="0" w:color="auto"/>
        <w:bottom w:val="none" w:sz="0" w:space="0" w:color="auto"/>
        <w:right w:val="none" w:sz="0" w:space="0" w:color="auto"/>
      </w:divBdr>
      <w:divsChild>
        <w:div w:id="331029498">
          <w:marLeft w:val="0"/>
          <w:marRight w:val="0"/>
          <w:marTop w:val="0"/>
          <w:marBottom w:val="0"/>
          <w:divBdr>
            <w:top w:val="none" w:sz="0" w:space="0" w:color="auto"/>
            <w:left w:val="none" w:sz="0" w:space="0" w:color="auto"/>
            <w:bottom w:val="none" w:sz="0" w:space="0" w:color="auto"/>
            <w:right w:val="none" w:sz="0" w:space="0" w:color="auto"/>
          </w:divBdr>
          <w:divsChild>
            <w:div w:id="2144155455">
              <w:marLeft w:val="0"/>
              <w:marRight w:val="0"/>
              <w:marTop w:val="0"/>
              <w:marBottom w:val="0"/>
              <w:divBdr>
                <w:top w:val="none" w:sz="0" w:space="0" w:color="auto"/>
                <w:left w:val="none" w:sz="0" w:space="0" w:color="auto"/>
                <w:bottom w:val="none" w:sz="0" w:space="0" w:color="auto"/>
                <w:right w:val="none" w:sz="0" w:space="0" w:color="auto"/>
              </w:divBdr>
              <w:divsChild>
                <w:div w:id="382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506">
      <w:bodyDiv w:val="1"/>
      <w:marLeft w:val="0"/>
      <w:marRight w:val="0"/>
      <w:marTop w:val="0"/>
      <w:marBottom w:val="0"/>
      <w:divBdr>
        <w:top w:val="none" w:sz="0" w:space="0" w:color="auto"/>
        <w:left w:val="none" w:sz="0" w:space="0" w:color="auto"/>
        <w:bottom w:val="none" w:sz="0" w:space="0" w:color="auto"/>
        <w:right w:val="none" w:sz="0" w:space="0" w:color="auto"/>
      </w:divBdr>
      <w:divsChild>
        <w:div w:id="938567316">
          <w:marLeft w:val="0"/>
          <w:marRight w:val="0"/>
          <w:marTop w:val="0"/>
          <w:marBottom w:val="0"/>
          <w:divBdr>
            <w:top w:val="none" w:sz="0" w:space="0" w:color="auto"/>
            <w:left w:val="none" w:sz="0" w:space="0" w:color="auto"/>
            <w:bottom w:val="none" w:sz="0" w:space="0" w:color="auto"/>
            <w:right w:val="none" w:sz="0" w:space="0" w:color="auto"/>
          </w:divBdr>
          <w:divsChild>
            <w:div w:id="744569408">
              <w:marLeft w:val="0"/>
              <w:marRight w:val="0"/>
              <w:marTop w:val="0"/>
              <w:marBottom w:val="0"/>
              <w:divBdr>
                <w:top w:val="none" w:sz="0" w:space="0" w:color="auto"/>
                <w:left w:val="none" w:sz="0" w:space="0" w:color="auto"/>
                <w:bottom w:val="none" w:sz="0" w:space="0" w:color="auto"/>
                <w:right w:val="none" w:sz="0" w:space="0" w:color="auto"/>
              </w:divBdr>
              <w:divsChild>
                <w:div w:id="7416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2449">
      <w:bodyDiv w:val="1"/>
      <w:marLeft w:val="0"/>
      <w:marRight w:val="0"/>
      <w:marTop w:val="0"/>
      <w:marBottom w:val="0"/>
      <w:divBdr>
        <w:top w:val="none" w:sz="0" w:space="0" w:color="auto"/>
        <w:left w:val="none" w:sz="0" w:space="0" w:color="auto"/>
        <w:bottom w:val="none" w:sz="0" w:space="0" w:color="auto"/>
        <w:right w:val="none" w:sz="0" w:space="0" w:color="auto"/>
      </w:divBdr>
      <w:divsChild>
        <w:div w:id="586302462">
          <w:marLeft w:val="0"/>
          <w:marRight w:val="0"/>
          <w:marTop w:val="0"/>
          <w:marBottom w:val="0"/>
          <w:divBdr>
            <w:top w:val="none" w:sz="0" w:space="0" w:color="auto"/>
            <w:left w:val="none" w:sz="0" w:space="0" w:color="auto"/>
            <w:bottom w:val="none" w:sz="0" w:space="0" w:color="auto"/>
            <w:right w:val="none" w:sz="0" w:space="0" w:color="auto"/>
          </w:divBdr>
          <w:divsChild>
            <w:div w:id="446699426">
              <w:marLeft w:val="0"/>
              <w:marRight w:val="0"/>
              <w:marTop w:val="0"/>
              <w:marBottom w:val="0"/>
              <w:divBdr>
                <w:top w:val="none" w:sz="0" w:space="0" w:color="auto"/>
                <w:left w:val="none" w:sz="0" w:space="0" w:color="auto"/>
                <w:bottom w:val="none" w:sz="0" w:space="0" w:color="auto"/>
                <w:right w:val="none" w:sz="0" w:space="0" w:color="auto"/>
              </w:divBdr>
              <w:divsChild>
                <w:div w:id="671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5333">
      <w:bodyDiv w:val="1"/>
      <w:marLeft w:val="0"/>
      <w:marRight w:val="0"/>
      <w:marTop w:val="0"/>
      <w:marBottom w:val="0"/>
      <w:divBdr>
        <w:top w:val="none" w:sz="0" w:space="0" w:color="auto"/>
        <w:left w:val="none" w:sz="0" w:space="0" w:color="auto"/>
        <w:bottom w:val="none" w:sz="0" w:space="0" w:color="auto"/>
        <w:right w:val="none" w:sz="0" w:space="0" w:color="auto"/>
      </w:divBdr>
    </w:div>
    <w:div w:id="19920512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341">
          <w:marLeft w:val="0"/>
          <w:marRight w:val="0"/>
          <w:marTop w:val="0"/>
          <w:marBottom w:val="0"/>
          <w:divBdr>
            <w:top w:val="none" w:sz="0" w:space="0" w:color="auto"/>
            <w:left w:val="none" w:sz="0" w:space="0" w:color="auto"/>
            <w:bottom w:val="none" w:sz="0" w:space="0" w:color="auto"/>
            <w:right w:val="none" w:sz="0" w:space="0" w:color="auto"/>
          </w:divBdr>
          <w:divsChild>
            <w:div w:id="1611668314">
              <w:marLeft w:val="0"/>
              <w:marRight w:val="0"/>
              <w:marTop w:val="0"/>
              <w:marBottom w:val="0"/>
              <w:divBdr>
                <w:top w:val="none" w:sz="0" w:space="0" w:color="auto"/>
                <w:left w:val="none" w:sz="0" w:space="0" w:color="auto"/>
                <w:bottom w:val="none" w:sz="0" w:space="0" w:color="auto"/>
                <w:right w:val="none" w:sz="0" w:space="0" w:color="auto"/>
              </w:divBdr>
              <w:divsChild>
                <w:div w:id="18808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3167">
      <w:bodyDiv w:val="1"/>
      <w:marLeft w:val="0"/>
      <w:marRight w:val="0"/>
      <w:marTop w:val="0"/>
      <w:marBottom w:val="0"/>
      <w:divBdr>
        <w:top w:val="none" w:sz="0" w:space="0" w:color="auto"/>
        <w:left w:val="none" w:sz="0" w:space="0" w:color="auto"/>
        <w:bottom w:val="none" w:sz="0" w:space="0" w:color="auto"/>
        <w:right w:val="none" w:sz="0" w:space="0" w:color="auto"/>
      </w:divBdr>
      <w:divsChild>
        <w:div w:id="1131051293">
          <w:marLeft w:val="0"/>
          <w:marRight w:val="0"/>
          <w:marTop w:val="0"/>
          <w:marBottom w:val="0"/>
          <w:divBdr>
            <w:top w:val="none" w:sz="0" w:space="0" w:color="auto"/>
            <w:left w:val="none" w:sz="0" w:space="0" w:color="auto"/>
            <w:bottom w:val="none" w:sz="0" w:space="0" w:color="auto"/>
            <w:right w:val="none" w:sz="0" w:space="0" w:color="auto"/>
          </w:divBdr>
          <w:divsChild>
            <w:div w:id="1999966177">
              <w:marLeft w:val="0"/>
              <w:marRight w:val="0"/>
              <w:marTop w:val="0"/>
              <w:marBottom w:val="0"/>
              <w:divBdr>
                <w:top w:val="none" w:sz="0" w:space="0" w:color="auto"/>
                <w:left w:val="none" w:sz="0" w:space="0" w:color="auto"/>
                <w:bottom w:val="none" w:sz="0" w:space="0" w:color="auto"/>
                <w:right w:val="none" w:sz="0" w:space="0" w:color="auto"/>
              </w:divBdr>
              <w:divsChild>
                <w:div w:id="10175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7871">
      <w:bodyDiv w:val="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sChild>
            <w:div w:id="2009357453">
              <w:marLeft w:val="0"/>
              <w:marRight w:val="0"/>
              <w:marTop w:val="0"/>
              <w:marBottom w:val="0"/>
              <w:divBdr>
                <w:top w:val="none" w:sz="0" w:space="0" w:color="auto"/>
                <w:left w:val="none" w:sz="0" w:space="0" w:color="auto"/>
                <w:bottom w:val="none" w:sz="0" w:space="0" w:color="auto"/>
                <w:right w:val="none" w:sz="0" w:space="0" w:color="auto"/>
              </w:divBdr>
              <w:divsChild>
                <w:div w:id="15644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8777">
      <w:bodyDiv w:val="1"/>
      <w:marLeft w:val="0"/>
      <w:marRight w:val="0"/>
      <w:marTop w:val="0"/>
      <w:marBottom w:val="0"/>
      <w:divBdr>
        <w:top w:val="none" w:sz="0" w:space="0" w:color="auto"/>
        <w:left w:val="none" w:sz="0" w:space="0" w:color="auto"/>
        <w:bottom w:val="none" w:sz="0" w:space="0" w:color="auto"/>
        <w:right w:val="none" w:sz="0" w:space="0" w:color="auto"/>
      </w:divBdr>
      <w:divsChild>
        <w:div w:id="794327182">
          <w:marLeft w:val="0"/>
          <w:marRight w:val="0"/>
          <w:marTop w:val="0"/>
          <w:marBottom w:val="0"/>
          <w:divBdr>
            <w:top w:val="none" w:sz="0" w:space="0" w:color="auto"/>
            <w:left w:val="none" w:sz="0" w:space="0" w:color="auto"/>
            <w:bottom w:val="none" w:sz="0" w:space="0" w:color="auto"/>
            <w:right w:val="none" w:sz="0" w:space="0" w:color="auto"/>
          </w:divBdr>
          <w:divsChild>
            <w:div w:id="1965843281">
              <w:marLeft w:val="0"/>
              <w:marRight w:val="0"/>
              <w:marTop w:val="0"/>
              <w:marBottom w:val="0"/>
              <w:divBdr>
                <w:top w:val="none" w:sz="0" w:space="0" w:color="auto"/>
                <w:left w:val="none" w:sz="0" w:space="0" w:color="auto"/>
                <w:bottom w:val="none" w:sz="0" w:space="0" w:color="auto"/>
                <w:right w:val="none" w:sz="0" w:space="0" w:color="auto"/>
              </w:divBdr>
              <w:divsChild>
                <w:div w:id="8624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5880">
      <w:bodyDiv w:val="1"/>
      <w:marLeft w:val="0"/>
      <w:marRight w:val="0"/>
      <w:marTop w:val="0"/>
      <w:marBottom w:val="0"/>
      <w:divBdr>
        <w:top w:val="none" w:sz="0" w:space="0" w:color="auto"/>
        <w:left w:val="none" w:sz="0" w:space="0" w:color="auto"/>
        <w:bottom w:val="none" w:sz="0" w:space="0" w:color="auto"/>
        <w:right w:val="none" w:sz="0" w:space="0" w:color="auto"/>
      </w:divBdr>
    </w:div>
    <w:div w:id="2078894395">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02464030">
          <w:marLeft w:val="0"/>
          <w:marRight w:val="0"/>
          <w:marTop w:val="0"/>
          <w:marBottom w:val="0"/>
          <w:divBdr>
            <w:top w:val="none" w:sz="0" w:space="0" w:color="auto"/>
            <w:left w:val="none" w:sz="0" w:space="0" w:color="auto"/>
            <w:bottom w:val="none" w:sz="0" w:space="0" w:color="auto"/>
            <w:right w:val="none" w:sz="0" w:space="0" w:color="auto"/>
          </w:divBdr>
          <w:divsChild>
            <w:div w:id="1722365926">
              <w:marLeft w:val="0"/>
              <w:marRight w:val="0"/>
              <w:marTop w:val="0"/>
              <w:marBottom w:val="0"/>
              <w:divBdr>
                <w:top w:val="none" w:sz="0" w:space="0" w:color="auto"/>
                <w:left w:val="none" w:sz="0" w:space="0" w:color="auto"/>
                <w:bottom w:val="none" w:sz="0" w:space="0" w:color="auto"/>
                <w:right w:val="none" w:sz="0" w:space="0" w:color="auto"/>
              </w:divBdr>
              <w:divsChild>
                <w:div w:id="16277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fu.gov.si/davki_in_druge_dajatve/podrocja/minimalni_davek_povrhnji_in_domaci_povrhnji_dav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doi.org/10.1787/782bac33-en" TargetMode="External"/><Relationship Id="rId1" Type="http://schemas.openxmlformats.org/officeDocument/2006/relationships/hyperlink" Target="https://www.oecd.org/tax/beps/outcome-statement-on-the-two-pillar-solution-to-address-the-tax-challenges-arising-from-the-digitalisation-of-the-economy-july-2023.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DF44A0-F181-4FB9-A259-A281F8CB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57</Pages>
  <Words>25357</Words>
  <Characters>144535</Characters>
  <Application>Microsoft Office Word</Application>
  <DocSecurity>0</DocSecurity>
  <Lines>1204</Lines>
  <Paragraphs>339</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169553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Kuzma</dc:creator>
  <cp:keywords/>
  <dc:description/>
  <cp:lastModifiedBy>Dominik Kuzma</cp:lastModifiedBy>
  <cp:revision>8</cp:revision>
  <cp:lastPrinted>2024-01-15T11:44:00Z</cp:lastPrinted>
  <dcterms:created xsi:type="dcterms:W3CDTF">2024-02-12T10:21:00Z</dcterms:created>
  <dcterms:modified xsi:type="dcterms:W3CDTF">2024-03-04T13:51:00Z</dcterms:modified>
</cp:coreProperties>
</file>