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958C9" w14:textId="2E38668C" w:rsidR="00887E1E" w:rsidRDefault="00887E1E" w:rsidP="00311347">
      <w:pPr>
        <w:pStyle w:val="datumtevilka"/>
        <w:rPr>
          <w:color w:val="000000" w:themeColor="text1"/>
        </w:rPr>
      </w:pPr>
    </w:p>
    <w:p w14:paraId="36286578" w14:textId="7EBE3591" w:rsidR="001B1406" w:rsidRDefault="001B1406" w:rsidP="00CA699D">
      <w:pPr>
        <w:pStyle w:val="datumtevilka"/>
        <w:jc w:val="center"/>
        <w:rPr>
          <w:color w:val="000000" w:themeColor="text1"/>
        </w:rPr>
      </w:pPr>
    </w:p>
    <w:p w14:paraId="6219FACA" w14:textId="77777777" w:rsidR="001B1406" w:rsidRPr="00AE12A9" w:rsidRDefault="001B1406" w:rsidP="00CA699D">
      <w:pPr>
        <w:pStyle w:val="datumtevilka"/>
        <w:jc w:val="center"/>
        <w:rPr>
          <w:color w:val="000000" w:themeColor="text1"/>
        </w:rPr>
      </w:pPr>
    </w:p>
    <w:p w14:paraId="2EC958CA" w14:textId="77777777" w:rsidR="00887E1E" w:rsidRPr="00AE12A9" w:rsidRDefault="00887E1E" w:rsidP="00CA699D">
      <w:pPr>
        <w:pStyle w:val="datumtevilka"/>
        <w:jc w:val="center"/>
        <w:rPr>
          <w:color w:val="000000" w:themeColor="text1"/>
        </w:rPr>
      </w:pPr>
    </w:p>
    <w:p w14:paraId="2EC958CB" w14:textId="77777777" w:rsidR="00F825FF" w:rsidRPr="00AE12A9" w:rsidRDefault="00F825FF" w:rsidP="00CA699D">
      <w:pPr>
        <w:pStyle w:val="datumtevilka"/>
        <w:jc w:val="center"/>
        <w:rPr>
          <w:color w:val="000000" w:themeColor="text1"/>
        </w:rPr>
      </w:pPr>
    </w:p>
    <w:p w14:paraId="2EC958CC" w14:textId="77777777" w:rsidR="00F825FF" w:rsidRPr="00AE12A9" w:rsidRDefault="00F825FF" w:rsidP="00CA699D">
      <w:pPr>
        <w:pStyle w:val="datumtevilka"/>
        <w:jc w:val="center"/>
        <w:rPr>
          <w:color w:val="000000" w:themeColor="text1"/>
        </w:rPr>
      </w:pPr>
    </w:p>
    <w:p w14:paraId="2EC958CD" w14:textId="77777777" w:rsidR="00F825FF" w:rsidRPr="00AE12A9" w:rsidRDefault="00F825FF" w:rsidP="00CA699D">
      <w:pPr>
        <w:pStyle w:val="datumtevilka"/>
        <w:jc w:val="center"/>
        <w:rPr>
          <w:color w:val="000000" w:themeColor="text1"/>
        </w:rPr>
      </w:pPr>
    </w:p>
    <w:p w14:paraId="2EC958CE" w14:textId="77777777" w:rsidR="00F825FF" w:rsidRPr="00AE12A9" w:rsidRDefault="00F825FF" w:rsidP="00CA699D">
      <w:pPr>
        <w:pStyle w:val="datumtevilka"/>
        <w:jc w:val="center"/>
        <w:rPr>
          <w:color w:val="000000" w:themeColor="text1"/>
        </w:rPr>
      </w:pPr>
    </w:p>
    <w:p w14:paraId="2EC958CF" w14:textId="77777777" w:rsidR="00887E1E" w:rsidRPr="00AE12A9" w:rsidRDefault="00887E1E" w:rsidP="00CA699D">
      <w:pPr>
        <w:pStyle w:val="datumtevilka"/>
        <w:jc w:val="center"/>
        <w:rPr>
          <w:color w:val="000000" w:themeColor="text1"/>
        </w:rPr>
      </w:pPr>
    </w:p>
    <w:p w14:paraId="2EC958D0" w14:textId="77777777" w:rsidR="00887E1E" w:rsidRPr="00AE12A9" w:rsidRDefault="00887E1E" w:rsidP="00CA699D">
      <w:pPr>
        <w:pStyle w:val="datumtevilka"/>
        <w:jc w:val="center"/>
        <w:rPr>
          <w:color w:val="000000" w:themeColor="text1"/>
        </w:rPr>
      </w:pPr>
    </w:p>
    <w:p w14:paraId="2EC958D1" w14:textId="73A79CF5" w:rsidR="00887E1E" w:rsidRDefault="00B40026" w:rsidP="00E853E8">
      <w:pPr>
        <w:pStyle w:val="datumtevilka"/>
        <w:jc w:val="center"/>
        <w:rPr>
          <w:b/>
          <w:color w:val="000000" w:themeColor="text1"/>
          <w:sz w:val="32"/>
          <w:szCs w:val="32"/>
        </w:rPr>
      </w:pPr>
      <w:r>
        <w:rPr>
          <w:b/>
          <w:color w:val="000000" w:themeColor="text1"/>
          <w:sz w:val="32"/>
          <w:szCs w:val="32"/>
        </w:rPr>
        <w:t>UVELJAVLJANJE ODBITKA OZIROMA VRAČILA TUJEGA DAVKA</w:t>
      </w:r>
    </w:p>
    <w:p w14:paraId="21353F5A" w14:textId="77777777" w:rsidR="00AE65F8" w:rsidRDefault="00AE65F8" w:rsidP="00E853E8">
      <w:pPr>
        <w:pStyle w:val="datumtevilka"/>
        <w:jc w:val="center"/>
        <w:rPr>
          <w:b/>
          <w:color w:val="000000" w:themeColor="text1"/>
          <w:sz w:val="32"/>
          <w:szCs w:val="32"/>
        </w:rPr>
      </w:pPr>
    </w:p>
    <w:p w14:paraId="237ADABB" w14:textId="77777777" w:rsidR="00DF4929" w:rsidRDefault="00DF4929" w:rsidP="00E853E8">
      <w:pPr>
        <w:pStyle w:val="datumtevilka"/>
        <w:jc w:val="center"/>
        <w:rPr>
          <w:b/>
          <w:color w:val="000000" w:themeColor="text1"/>
          <w:sz w:val="32"/>
          <w:szCs w:val="32"/>
        </w:rPr>
      </w:pPr>
      <w:r>
        <w:rPr>
          <w:b/>
          <w:color w:val="000000" w:themeColor="text1"/>
          <w:sz w:val="32"/>
          <w:szCs w:val="32"/>
        </w:rPr>
        <w:t xml:space="preserve">slovenskih rezidentov </w:t>
      </w:r>
    </w:p>
    <w:p w14:paraId="0C7806C0" w14:textId="73605DAB" w:rsidR="00B40026" w:rsidRDefault="00B40026" w:rsidP="00E853E8">
      <w:pPr>
        <w:pStyle w:val="datumtevilka"/>
        <w:jc w:val="center"/>
        <w:rPr>
          <w:b/>
          <w:color w:val="000000" w:themeColor="text1"/>
          <w:sz w:val="32"/>
          <w:szCs w:val="32"/>
        </w:rPr>
      </w:pPr>
      <w:r>
        <w:rPr>
          <w:b/>
          <w:color w:val="000000" w:themeColor="text1"/>
          <w:sz w:val="32"/>
          <w:szCs w:val="32"/>
        </w:rPr>
        <w:t>pravnih</w:t>
      </w:r>
      <w:r w:rsidR="00B40936">
        <w:rPr>
          <w:b/>
          <w:color w:val="000000" w:themeColor="text1"/>
          <w:sz w:val="32"/>
          <w:szCs w:val="32"/>
        </w:rPr>
        <w:t xml:space="preserve"> oseb</w:t>
      </w:r>
      <w:r>
        <w:rPr>
          <w:b/>
          <w:color w:val="000000" w:themeColor="text1"/>
          <w:sz w:val="32"/>
          <w:szCs w:val="32"/>
        </w:rPr>
        <w:t xml:space="preserve"> in fizičnih oseb, ki opravljajo dejavnost</w:t>
      </w:r>
    </w:p>
    <w:p w14:paraId="6B4EE76A" w14:textId="77777777" w:rsidR="00484102" w:rsidRDefault="00484102" w:rsidP="00E853E8">
      <w:pPr>
        <w:pStyle w:val="datumtevilka"/>
        <w:jc w:val="center"/>
        <w:rPr>
          <w:b/>
          <w:color w:val="000000" w:themeColor="text1"/>
          <w:sz w:val="32"/>
          <w:szCs w:val="32"/>
        </w:rPr>
      </w:pPr>
    </w:p>
    <w:p w14:paraId="2EC958D2" w14:textId="784420B6" w:rsidR="00E853E8" w:rsidRPr="00AE12A9" w:rsidRDefault="00E853E8" w:rsidP="00307AC7">
      <w:pPr>
        <w:pStyle w:val="datumtevilka"/>
        <w:jc w:val="center"/>
        <w:rPr>
          <w:b/>
          <w:color w:val="000000" w:themeColor="text1"/>
          <w:sz w:val="32"/>
          <w:szCs w:val="32"/>
        </w:rPr>
      </w:pPr>
    </w:p>
    <w:p w14:paraId="2EC958D3" w14:textId="77777777" w:rsidR="00E853E8" w:rsidRPr="00AE12A9" w:rsidRDefault="00E853E8" w:rsidP="00307AC7">
      <w:pPr>
        <w:pStyle w:val="datumtevilka"/>
        <w:jc w:val="center"/>
        <w:rPr>
          <w:b/>
          <w:color w:val="000000" w:themeColor="text1"/>
          <w:sz w:val="32"/>
          <w:szCs w:val="32"/>
        </w:rPr>
      </w:pPr>
    </w:p>
    <w:p w14:paraId="2EC958D4" w14:textId="77777777" w:rsidR="00887E1E" w:rsidRPr="00AE12A9" w:rsidRDefault="00887E1E" w:rsidP="00E853E8">
      <w:pPr>
        <w:pStyle w:val="datumtevilka"/>
        <w:jc w:val="center"/>
        <w:rPr>
          <w:color w:val="000000" w:themeColor="text1"/>
        </w:rPr>
      </w:pPr>
    </w:p>
    <w:p w14:paraId="2EC958D5" w14:textId="77777777" w:rsidR="00E853E8" w:rsidRPr="00AE12A9" w:rsidRDefault="00E853E8" w:rsidP="00E853E8">
      <w:pPr>
        <w:pStyle w:val="datumtevilka"/>
        <w:jc w:val="center"/>
        <w:rPr>
          <w:color w:val="000000" w:themeColor="text1"/>
        </w:rPr>
      </w:pPr>
    </w:p>
    <w:p w14:paraId="2EC958D6" w14:textId="77777777" w:rsidR="00E853E8" w:rsidRPr="00AE12A9" w:rsidRDefault="00E853E8" w:rsidP="00E853E8">
      <w:pPr>
        <w:pStyle w:val="datumtevilka"/>
        <w:jc w:val="center"/>
        <w:rPr>
          <w:color w:val="000000" w:themeColor="text1"/>
        </w:rPr>
      </w:pPr>
    </w:p>
    <w:p w14:paraId="2EC958D7" w14:textId="77777777" w:rsidR="00E853E8" w:rsidRPr="00AE12A9" w:rsidRDefault="00E853E8" w:rsidP="00E853E8">
      <w:pPr>
        <w:pStyle w:val="datumtevilka"/>
        <w:jc w:val="center"/>
        <w:rPr>
          <w:color w:val="000000" w:themeColor="text1"/>
        </w:rPr>
      </w:pPr>
    </w:p>
    <w:p w14:paraId="2EC958D8" w14:textId="77777777" w:rsidR="00E853E8" w:rsidRPr="00AE12A9" w:rsidRDefault="00E853E8" w:rsidP="00E853E8">
      <w:pPr>
        <w:pStyle w:val="datumtevilka"/>
        <w:jc w:val="center"/>
        <w:rPr>
          <w:color w:val="000000" w:themeColor="text1"/>
        </w:rPr>
      </w:pPr>
    </w:p>
    <w:p w14:paraId="2EC958D9" w14:textId="77777777" w:rsidR="00E853E8" w:rsidRPr="00AE12A9" w:rsidRDefault="00E853E8" w:rsidP="00E853E8">
      <w:pPr>
        <w:pStyle w:val="datumtevilka"/>
        <w:jc w:val="center"/>
        <w:rPr>
          <w:color w:val="000000" w:themeColor="text1"/>
        </w:rPr>
      </w:pPr>
    </w:p>
    <w:p w14:paraId="2EC958DA" w14:textId="77777777" w:rsidR="00887E1E" w:rsidRPr="00AE12A9" w:rsidRDefault="00887E1E" w:rsidP="00E853E8">
      <w:pPr>
        <w:pStyle w:val="datumtevilka"/>
        <w:jc w:val="center"/>
        <w:rPr>
          <w:color w:val="000000" w:themeColor="text1"/>
        </w:rPr>
      </w:pPr>
    </w:p>
    <w:p w14:paraId="2EC958DB" w14:textId="77777777" w:rsidR="00F825FF" w:rsidRPr="00AE12A9" w:rsidRDefault="00E853E8" w:rsidP="00E853E8">
      <w:pPr>
        <w:pStyle w:val="datumtevilka"/>
        <w:jc w:val="center"/>
        <w:rPr>
          <w:b/>
          <w:color w:val="000000" w:themeColor="text1"/>
          <w:sz w:val="28"/>
          <w:szCs w:val="28"/>
        </w:rPr>
      </w:pPr>
      <w:r w:rsidRPr="00AE12A9">
        <w:rPr>
          <w:b/>
          <w:color w:val="000000" w:themeColor="text1"/>
          <w:sz w:val="28"/>
          <w:szCs w:val="28"/>
        </w:rPr>
        <w:t>Po</w:t>
      </w:r>
      <w:r w:rsidR="001C2D67" w:rsidRPr="00AE12A9">
        <w:rPr>
          <w:b/>
          <w:color w:val="000000" w:themeColor="text1"/>
          <w:sz w:val="28"/>
          <w:szCs w:val="28"/>
        </w:rPr>
        <w:t>drobnejši opis</w:t>
      </w:r>
    </w:p>
    <w:p w14:paraId="2EC958DC" w14:textId="77777777" w:rsidR="00F825FF" w:rsidRPr="00AE12A9" w:rsidRDefault="00F825FF" w:rsidP="00E853E8">
      <w:pPr>
        <w:pStyle w:val="datumtevilka"/>
        <w:jc w:val="center"/>
        <w:rPr>
          <w:color w:val="000000" w:themeColor="text1"/>
        </w:rPr>
      </w:pPr>
    </w:p>
    <w:p w14:paraId="2EC958DD" w14:textId="77777777" w:rsidR="00F825FF" w:rsidRPr="00AE12A9" w:rsidRDefault="00F825FF" w:rsidP="00CA699D">
      <w:pPr>
        <w:pStyle w:val="datumtevilka"/>
        <w:jc w:val="center"/>
        <w:rPr>
          <w:color w:val="000000" w:themeColor="text1"/>
        </w:rPr>
      </w:pPr>
    </w:p>
    <w:p w14:paraId="2EC958DE" w14:textId="77777777" w:rsidR="00F825FF" w:rsidRPr="00AE12A9" w:rsidRDefault="00F825FF" w:rsidP="00CA699D">
      <w:pPr>
        <w:pStyle w:val="datumtevilka"/>
        <w:jc w:val="center"/>
        <w:rPr>
          <w:color w:val="000000" w:themeColor="text1"/>
        </w:rPr>
      </w:pPr>
    </w:p>
    <w:p w14:paraId="2EC958DF" w14:textId="77777777" w:rsidR="00F825FF" w:rsidRPr="00AE12A9" w:rsidRDefault="00F825FF" w:rsidP="00CA699D">
      <w:pPr>
        <w:pStyle w:val="datumtevilka"/>
        <w:jc w:val="center"/>
        <w:rPr>
          <w:color w:val="000000" w:themeColor="text1"/>
        </w:rPr>
      </w:pPr>
    </w:p>
    <w:p w14:paraId="2EC958E0" w14:textId="77777777" w:rsidR="00F825FF" w:rsidRPr="00AE12A9" w:rsidRDefault="00F825FF" w:rsidP="00CA699D">
      <w:pPr>
        <w:pStyle w:val="datumtevilka"/>
        <w:jc w:val="center"/>
        <w:rPr>
          <w:color w:val="000000" w:themeColor="text1"/>
        </w:rPr>
      </w:pPr>
    </w:p>
    <w:p w14:paraId="2EC958E1" w14:textId="77777777" w:rsidR="00887E1E" w:rsidRPr="00AE12A9" w:rsidRDefault="00887E1E" w:rsidP="00CA699D">
      <w:pPr>
        <w:pStyle w:val="podpisi"/>
        <w:jc w:val="center"/>
        <w:rPr>
          <w:color w:val="000000" w:themeColor="text1"/>
          <w:lang w:val="sl-SI"/>
        </w:rPr>
      </w:pPr>
    </w:p>
    <w:p w14:paraId="2EC958E2" w14:textId="77777777" w:rsidR="00F825FF" w:rsidRPr="00AE12A9" w:rsidRDefault="00F825FF" w:rsidP="00CA699D">
      <w:pPr>
        <w:pStyle w:val="podpisi"/>
        <w:jc w:val="center"/>
        <w:rPr>
          <w:color w:val="000000" w:themeColor="text1"/>
          <w:lang w:val="sl-SI"/>
        </w:rPr>
      </w:pPr>
    </w:p>
    <w:p w14:paraId="2EC958E3" w14:textId="77777777" w:rsidR="00887E1E" w:rsidRPr="00AE12A9" w:rsidRDefault="00887E1E" w:rsidP="00CA699D">
      <w:pPr>
        <w:pStyle w:val="podpisi"/>
        <w:jc w:val="center"/>
        <w:rPr>
          <w:color w:val="000000" w:themeColor="text1"/>
          <w:lang w:val="sl-SI"/>
        </w:rPr>
      </w:pPr>
    </w:p>
    <w:p w14:paraId="2EC958E4" w14:textId="77777777" w:rsidR="00887E1E" w:rsidRPr="00AE12A9" w:rsidRDefault="00887E1E" w:rsidP="00CA699D">
      <w:pPr>
        <w:pStyle w:val="podpisi"/>
        <w:jc w:val="center"/>
        <w:rPr>
          <w:color w:val="000000" w:themeColor="text1"/>
          <w:lang w:val="sl-SI"/>
        </w:rPr>
      </w:pPr>
    </w:p>
    <w:p w14:paraId="2EC958E5" w14:textId="77777777" w:rsidR="00887E1E" w:rsidRPr="00AE12A9" w:rsidRDefault="00887E1E" w:rsidP="00CA699D">
      <w:pPr>
        <w:pStyle w:val="podpisi"/>
        <w:jc w:val="center"/>
        <w:rPr>
          <w:color w:val="000000" w:themeColor="text1"/>
          <w:lang w:val="sl-SI"/>
        </w:rPr>
      </w:pPr>
    </w:p>
    <w:p w14:paraId="2EC958EC" w14:textId="77777777" w:rsidR="00E853E8" w:rsidRPr="00AE12A9" w:rsidRDefault="00E853E8" w:rsidP="00657BEB">
      <w:pPr>
        <w:pStyle w:val="podpisi"/>
        <w:rPr>
          <w:color w:val="000000" w:themeColor="text1"/>
          <w:lang w:val="sl-SI"/>
        </w:rPr>
      </w:pPr>
    </w:p>
    <w:p w14:paraId="2EC958ED" w14:textId="77777777" w:rsidR="00E853E8" w:rsidRPr="00AE12A9" w:rsidRDefault="00E853E8" w:rsidP="00CA699D">
      <w:pPr>
        <w:pStyle w:val="podpisi"/>
        <w:jc w:val="center"/>
        <w:rPr>
          <w:color w:val="000000" w:themeColor="text1"/>
          <w:lang w:val="sl-SI"/>
        </w:rPr>
      </w:pPr>
    </w:p>
    <w:p w14:paraId="2EC958EE" w14:textId="77777777" w:rsidR="00E853E8" w:rsidRPr="00AE12A9" w:rsidRDefault="00E853E8" w:rsidP="00CA699D">
      <w:pPr>
        <w:pStyle w:val="podpisi"/>
        <w:jc w:val="center"/>
        <w:rPr>
          <w:color w:val="000000" w:themeColor="text1"/>
          <w:lang w:val="sl-SI"/>
        </w:rPr>
      </w:pPr>
    </w:p>
    <w:p w14:paraId="2EC958F1" w14:textId="77777777" w:rsidR="00887E1E" w:rsidRPr="00AE12A9" w:rsidRDefault="00887E1E" w:rsidP="00CA699D">
      <w:pPr>
        <w:pStyle w:val="podpisi"/>
        <w:jc w:val="center"/>
        <w:rPr>
          <w:color w:val="000000" w:themeColor="text1"/>
          <w:lang w:val="sl-SI"/>
        </w:rPr>
      </w:pPr>
    </w:p>
    <w:p w14:paraId="2EC958F2" w14:textId="77777777" w:rsidR="00887E1E" w:rsidRPr="00AE12A9" w:rsidRDefault="00887E1E" w:rsidP="00307AC7">
      <w:pPr>
        <w:pStyle w:val="podpisi"/>
        <w:jc w:val="center"/>
        <w:rPr>
          <w:color w:val="000000" w:themeColor="text1"/>
          <w:lang w:val="sl-SI"/>
        </w:rPr>
      </w:pPr>
    </w:p>
    <w:p w14:paraId="00206C1B" w14:textId="0EC39400" w:rsidR="00AE65F8" w:rsidRDefault="00311347" w:rsidP="00311347">
      <w:pPr>
        <w:pStyle w:val="podpisi"/>
        <w:numPr>
          <w:ilvl w:val="0"/>
          <w:numId w:val="10"/>
        </w:numPr>
        <w:jc w:val="center"/>
        <w:rPr>
          <w:b/>
          <w:color w:val="000000" w:themeColor="text1"/>
          <w:sz w:val="28"/>
        </w:rPr>
      </w:pPr>
      <w:r>
        <w:rPr>
          <w:b/>
          <w:color w:val="000000" w:themeColor="text1"/>
          <w:sz w:val="28"/>
          <w:lang w:val="sl-SI"/>
        </w:rPr>
        <w:t>i</w:t>
      </w:r>
      <w:r w:rsidR="00484102">
        <w:rPr>
          <w:b/>
          <w:color w:val="000000" w:themeColor="text1"/>
          <w:sz w:val="28"/>
          <w:lang w:val="sl-SI"/>
        </w:rPr>
        <w:t>zdaja,</w:t>
      </w:r>
      <w:r w:rsidR="00B40026">
        <w:rPr>
          <w:b/>
          <w:color w:val="000000" w:themeColor="text1"/>
          <w:sz w:val="28"/>
          <w:lang w:val="sl-SI"/>
        </w:rPr>
        <w:t xml:space="preserve"> SEPTEMBER</w:t>
      </w:r>
      <w:r w:rsidR="00273608" w:rsidRPr="00AE12A9">
        <w:rPr>
          <w:b/>
          <w:color w:val="000000" w:themeColor="text1"/>
          <w:sz w:val="28"/>
          <w:lang w:val="sl-SI"/>
        </w:rPr>
        <w:t xml:space="preserve"> </w:t>
      </w:r>
      <w:r w:rsidR="00484102">
        <w:rPr>
          <w:b/>
          <w:color w:val="000000" w:themeColor="text1"/>
          <w:sz w:val="28"/>
          <w:lang w:val="sl-SI"/>
        </w:rPr>
        <w:t>202</w:t>
      </w:r>
      <w:r w:rsidR="00F6064C" w:rsidRPr="00241854">
        <w:rPr>
          <w:b/>
          <w:color w:val="000000" w:themeColor="text1"/>
          <w:sz w:val="28"/>
        </w:rPr>
        <w:t>1</w:t>
      </w:r>
    </w:p>
    <w:p w14:paraId="3E639E7A" w14:textId="52F651DF" w:rsidR="00F6064C" w:rsidRPr="00241854" w:rsidRDefault="00AE65F8" w:rsidP="00657BEB">
      <w:pPr>
        <w:spacing w:line="240" w:lineRule="auto"/>
        <w:rPr>
          <w:b/>
          <w:color w:val="000000" w:themeColor="text1"/>
          <w:sz w:val="28"/>
          <w:lang w:val="sl-SI"/>
        </w:rPr>
      </w:pPr>
      <w:r>
        <w:rPr>
          <w:b/>
          <w:color w:val="000000" w:themeColor="text1"/>
          <w:sz w:val="28"/>
        </w:rPr>
        <w:br w:type="page"/>
      </w:r>
    </w:p>
    <w:p w14:paraId="2EC958F4" w14:textId="4D880EE6" w:rsidR="00DA2C9A" w:rsidRPr="00484102" w:rsidRDefault="00DA2C9A" w:rsidP="005A5937">
      <w:pPr>
        <w:pStyle w:val="podpisi"/>
        <w:ind w:left="720"/>
        <w:rPr>
          <w:b/>
          <w:color w:val="000000" w:themeColor="text1"/>
          <w:sz w:val="28"/>
          <w:lang w:val="sl-SI"/>
        </w:rPr>
      </w:pPr>
      <w:r w:rsidRPr="00484102">
        <w:rPr>
          <w:b/>
          <w:color w:val="000000" w:themeColor="text1"/>
          <w:sz w:val="24"/>
        </w:rPr>
        <w:lastRenderedPageBreak/>
        <w:t>Kazalo</w:t>
      </w:r>
    </w:p>
    <w:p w14:paraId="2EC958F5" w14:textId="77777777" w:rsidR="00DA2C9A" w:rsidRPr="00484102" w:rsidRDefault="00DA2C9A" w:rsidP="009541F3">
      <w:pPr>
        <w:rPr>
          <w:b/>
          <w:color w:val="000000" w:themeColor="text1"/>
          <w:sz w:val="24"/>
          <w:lang w:val="it-IT"/>
        </w:rPr>
      </w:pPr>
    </w:p>
    <w:p w14:paraId="58748767" w14:textId="77777777" w:rsidR="007C5DF0" w:rsidRDefault="00CE086D">
      <w:pPr>
        <w:pStyle w:val="Kazalovsebine1"/>
        <w:rPr>
          <w:rFonts w:asciiTheme="minorHAnsi" w:eastAsiaTheme="minorEastAsia" w:hAnsiTheme="minorHAnsi" w:cstheme="minorBidi"/>
          <w:noProof/>
          <w:sz w:val="22"/>
          <w:szCs w:val="22"/>
          <w:lang w:val="sl-SI" w:eastAsia="sl-SI"/>
        </w:rPr>
      </w:pPr>
      <w:r w:rsidRPr="00AE12A9">
        <w:rPr>
          <w:rFonts w:cs="Arial"/>
          <w:b/>
          <w:color w:val="000000" w:themeColor="text1"/>
          <w:szCs w:val="20"/>
        </w:rPr>
        <w:fldChar w:fldCharType="begin"/>
      </w:r>
      <w:r w:rsidR="00F079C5" w:rsidRPr="00AE12A9">
        <w:rPr>
          <w:rFonts w:cs="Arial"/>
          <w:b/>
          <w:color w:val="000000" w:themeColor="text1"/>
          <w:szCs w:val="20"/>
        </w:rPr>
        <w:instrText xml:space="preserve"> TOC \h \z \t "FURS_naslov_1;1;FURS_naslov_2;2" </w:instrText>
      </w:r>
      <w:r w:rsidRPr="00AE12A9">
        <w:rPr>
          <w:rFonts w:cs="Arial"/>
          <w:b/>
          <w:color w:val="000000" w:themeColor="text1"/>
          <w:szCs w:val="20"/>
        </w:rPr>
        <w:fldChar w:fldCharType="separate"/>
      </w:r>
      <w:hyperlink w:anchor="_Toc82170889" w:history="1">
        <w:r w:rsidR="007C5DF0" w:rsidRPr="009D74DA">
          <w:rPr>
            <w:rStyle w:val="Hiperpovezava"/>
            <w:noProof/>
          </w:rPr>
          <w:t>1.0 UVOD</w:t>
        </w:r>
        <w:r w:rsidR="007C5DF0">
          <w:rPr>
            <w:noProof/>
            <w:webHidden/>
          </w:rPr>
          <w:tab/>
        </w:r>
        <w:r w:rsidR="007C5DF0">
          <w:rPr>
            <w:noProof/>
            <w:webHidden/>
          </w:rPr>
          <w:fldChar w:fldCharType="begin"/>
        </w:r>
        <w:r w:rsidR="007C5DF0">
          <w:rPr>
            <w:noProof/>
            <w:webHidden/>
          </w:rPr>
          <w:instrText xml:space="preserve"> PAGEREF _Toc82170889 \h </w:instrText>
        </w:r>
        <w:r w:rsidR="007C5DF0">
          <w:rPr>
            <w:noProof/>
            <w:webHidden/>
          </w:rPr>
        </w:r>
        <w:r w:rsidR="007C5DF0">
          <w:rPr>
            <w:noProof/>
            <w:webHidden/>
          </w:rPr>
          <w:fldChar w:fldCharType="separate"/>
        </w:r>
        <w:r w:rsidR="007C5DF0">
          <w:rPr>
            <w:noProof/>
            <w:webHidden/>
          </w:rPr>
          <w:t>3</w:t>
        </w:r>
        <w:r w:rsidR="007C5DF0">
          <w:rPr>
            <w:noProof/>
            <w:webHidden/>
          </w:rPr>
          <w:fldChar w:fldCharType="end"/>
        </w:r>
      </w:hyperlink>
    </w:p>
    <w:p w14:paraId="097B6C2A" w14:textId="77777777" w:rsidR="007C5DF0" w:rsidRDefault="007C5DF0">
      <w:pPr>
        <w:pStyle w:val="Kazalovsebine1"/>
        <w:rPr>
          <w:rFonts w:asciiTheme="minorHAnsi" w:eastAsiaTheme="minorEastAsia" w:hAnsiTheme="minorHAnsi" w:cstheme="minorBidi"/>
          <w:noProof/>
          <w:sz w:val="22"/>
          <w:szCs w:val="22"/>
          <w:lang w:val="sl-SI" w:eastAsia="sl-SI"/>
        </w:rPr>
      </w:pPr>
      <w:hyperlink w:anchor="_Toc82170890" w:history="1">
        <w:r w:rsidRPr="009D74DA">
          <w:rPr>
            <w:rStyle w:val="Hiperpovezava"/>
            <w:noProof/>
          </w:rPr>
          <w:t>2.0 PRAVNE OSEBE</w:t>
        </w:r>
        <w:r>
          <w:rPr>
            <w:noProof/>
            <w:webHidden/>
          </w:rPr>
          <w:tab/>
        </w:r>
        <w:r>
          <w:rPr>
            <w:noProof/>
            <w:webHidden/>
          </w:rPr>
          <w:fldChar w:fldCharType="begin"/>
        </w:r>
        <w:r>
          <w:rPr>
            <w:noProof/>
            <w:webHidden/>
          </w:rPr>
          <w:instrText xml:space="preserve"> PAGEREF _Toc82170890 \h </w:instrText>
        </w:r>
        <w:r>
          <w:rPr>
            <w:noProof/>
            <w:webHidden/>
          </w:rPr>
        </w:r>
        <w:r>
          <w:rPr>
            <w:noProof/>
            <w:webHidden/>
          </w:rPr>
          <w:fldChar w:fldCharType="separate"/>
        </w:r>
        <w:r>
          <w:rPr>
            <w:noProof/>
            <w:webHidden/>
          </w:rPr>
          <w:t>3</w:t>
        </w:r>
        <w:r>
          <w:rPr>
            <w:noProof/>
            <w:webHidden/>
          </w:rPr>
          <w:fldChar w:fldCharType="end"/>
        </w:r>
      </w:hyperlink>
    </w:p>
    <w:p w14:paraId="5EF13064" w14:textId="77777777" w:rsidR="007C5DF0" w:rsidRDefault="007C5DF0">
      <w:pPr>
        <w:pStyle w:val="Kazalovsebine2"/>
        <w:rPr>
          <w:rFonts w:asciiTheme="minorHAnsi" w:eastAsiaTheme="minorEastAsia" w:hAnsiTheme="minorHAnsi" w:cstheme="minorBidi"/>
          <w:noProof/>
        </w:rPr>
      </w:pPr>
      <w:hyperlink w:anchor="_Toc82170891" w:history="1">
        <w:r w:rsidRPr="009D74DA">
          <w:rPr>
            <w:rStyle w:val="Hiperpovezava"/>
            <w:noProof/>
          </w:rPr>
          <w:t>2.1  ODBITEK TUJEGA DAVKA (Zakon o davku od dohodkov pravnih oseb - DDPO-2)</w:t>
        </w:r>
        <w:r>
          <w:rPr>
            <w:noProof/>
            <w:webHidden/>
          </w:rPr>
          <w:tab/>
        </w:r>
        <w:r>
          <w:rPr>
            <w:noProof/>
            <w:webHidden/>
          </w:rPr>
          <w:fldChar w:fldCharType="begin"/>
        </w:r>
        <w:r>
          <w:rPr>
            <w:noProof/>
            <w:webHidden/>
          </w:rPr>
          <w:instrText xml:space="preserve"> PAGEREF _Toc82170891 \h </w:instrText>
        </w:r>
        <w:r>
          <w:rPr>
            <w:noProof/>
            <w:webHidden/>
          </w:rPr>
        </w:r>
        <w:r>
          <w:rPr>
            <w:noProof/>
            <w:webHidden/>
          </w:rPr>
          <w:fldChar w:fldCharType="separate"/>
        </w:r>
        <w:r>
          <w:rPr>
            <w:noProof/>
            <w:webHidden/>
          </w:rPr>
          <w:t>3</w:t>
        </w:r>
        <w:r>
          <w:rPr>
            <w:noProof/>
            <w:webHidden/>
          </w:rPr>
          <w:fldChar w:fldCharType="end"/>
        </w:r>
      </w:hyperlink>
    </w:p>
    <w:p w14:paraId="65DA61D0" w14:textId="77777777" w:rsidR="007C5DF0" w:rsidRDefault="007C5DF0">
      <w:pPr>
        <w:pStyle w:val="Kazalovsebine2"/>
        <w:rPr>
          <w:rFonts w:asciiTheme="minorHAnsi" w:eastAsiaTheme="minorEastAsia" w:hAnsiTheme="minorHAnsi" w:cstheme="minorBidi"/>
          <w:noProof/>
        </w:rPr>
      </w:pPr>
      <w:hyperlink w:anchor="_Toc82170892" w:history="1">
        <w:r w:rsidRPr="009D74DA">
          <w:rPr>
            <w:rStyle w:val="Hiperpovezava"/>
            <w:noProof/>
          </w:rPr>
          <w:t>2.1.1 Omejitev odbitka tujega davka</w:t>
        </w:r>
        <w:r>
          <w:rPr>
            <w:noProof/>
            <w:webHidden/>
          </w:rPr>
          <w:tab/>
        </w:r>
        <w:r>
          <w:rPr>
            <w:noProof/>
            <w:webHidden/>
          </w:rPr>
          <w:fldChar w:fldCharType="begin"/>
        </w:r>
        <w:r>
          <w:rPr>
            <w:noProof/>
            <w:webHidden/>
          </w:rPr>
          <w:instrText xml:space="preserve"> PAGEREF _Toc82170892 \h </w:instrText>
        </w:r>
        <w:r>
          <w:rPr>
            <w:noProof/>
            <w:webHidden/>
          </w:rPr>
        </w:r>
        <w:r>
          <w:rPr>
            <w:noProof/>
            <w:webHidden/>
          </w:rPr>
          <w:fldChar w:fldCharType="separate"/>
        </w:r>
        <w:r>
          <w:rPr>
            <w:noProof/>
            <w:webHidden/>
          </w:rPr>
          <w:t>3</w:t>
        </w:r>
        <w:r>
          <w:rPr>
            <w:noProof/>
            <w:webHidden/>
          </w:rPr>
          <w:fldChar w:fldCharType="end"/>
        </w:r>
      </w:hyperlink>
    </w:p>
    <w:p w14:paraId="05E76193" w14:textId="77777777" w:rsidR="007C5DF0" w:rsidRDefault="007C5DF0">
      <w:pPr>
        <w:pStyle w:val="Kazalovsebine2"/>
        <w:rPr>
          <w:rFonts w:asciiTheme="minorHAnsi" w:eastAsiaTheme="minorEastAsia" w:hAnsiTheme="minorHAnsi" w:cstheme="minorBidi"/>
          <w:noProof/>
        </w:rPr>
      </w:pPr>
      <w:hyperlink w:anchor="_Toc82170893" w:history="1">
        <w:r w:rsidRPr="009D74DA">
          <w:rPr>
            <w:rStyle w:val="Hiperpovezava"/>
            <w:noProof/>
          </w:rPr>
          <w:t>2.1.2 Prenašanje presežka odbitka tujega davka</w:t>
        </w:r>
        <w:r>
          <w:rPr>
            <w:noProof/>
            <w:webHidden/>
          </w:rPr>
          <w:tab/>
        </w:r>
        <w:r>
          <w:rPr>
            <w:noProof/>
            <w:webHidden/>
          </w:rPr>
          <w:fldChar w:fldCharType="begin"/>
        </w:r>
        <w:r>
          <w:rPr>
            <w:noProof/>
            <w:webHidden/>
          </w:rPr>
          <w:instrText xml:space="preserve"> PAGEREF _Toc82170893 \h </w:instrText>
        </w:r>
        <w:r>
          <w:rPr>
            <w:noProof/>
            <w:webHidden/>
          </w:rPr>
        </w:r>
        <w:r>
          <w:rPr>
            <w:noProof/>
            <w:webHidden/>
          </w:rPr>
          <w:fldChar w:fldCharType="separate"/>
        </w:r>
        <w:r>
          <w:rPr>
            <w:noProof/>
            <w:webHidden/>
          </w:rPr>
          <w:t>4</w:t>
        </w:r>
        <w:r>
          <w:rPr>
            <w:noProof/>
            <w:webHidden/>
          </w:rPr>
          <w:fldChar w:fldCharType="end"/>
        </w:r>
      </w:hyperlink>
    </w:p>
    <w:p w14:paraId="1897054B" w14:textId="77777777" w:rsidR="007C5DF0" w:rsidRDefault="007C5DF0">
      <w:pPr>
        <w:pStyle w:val="Kazalovsebine2"/>
        <w:rPr>
          <w:rFonts w:asciiTheme="minorHAnsi" w:eastAsiaTheme="minorEastAsia" w:hAnsiTheme="minorHAnsi" w:cstheme="minorBidi"/>
          <w:noProof/>
        </w:rPr>
      </w:pPr>
      <w:hyperlink w:anchor="_Toc82170894" w:history="1">
        <w:r w:rsidRPr="009D74DA">
          <w:rPr>
            <w:rStyle w:val="Hiperpovezava"/>
            <w:noProof/>
          </w:rPr>
          <w:t>2.1.3 Nižji odbitek tujega davka</w:t>
        </w:r>
        <w:r>
          <w:rPr>
            <w:noProof/>
            <w:webHidden/>
          </w:rPr>
          <w:tab/>
        </w:r>
        <w:r>
          <w:rPr>
            <w:noProof/>
            <w:webHidden/>
          </w:rPr>
          <w:fldChar w:fldCharType="begin"/>
        </w:r>
        <w:r>
          <w:rPr>
            <w:noProof/>
            <w:webHidden/>
          </w:rPr>
          <w:instrText xml:space="preserve"> PAGEREF _Toc82170894 \h </w:instrText>
        </w:r>
        <w:r>
          <w:rPr>
            <w:noProof/>
            <w:webHidden/>
          </w:rPr>
        </w:r>
        <w:r>
          <w:rPr>
            <w:noProof/>
            <w:webHidden/>
          </w:rPr>
          <w:fldChar w:fldCharType="separate"/>
        </w:r>
        <w:r>
          <w:rPr>
            <w:noProof/>
            <w:webHidden/>
          </w:rPr>
          <w:t>4</w:t>
        </w:r>
        <w:r>
          <w:rPr>
            <w:noProof/>
            <w:webHidden/>
          </w:rPr>
          <w:fldChar w:fldCharType="end"/>
        </w:r>
      </w:hyperlink>
    </w:p>
    <w:p w14:paraId="74B2CD42" w14:textId="77777777" w:rsidR="007C5DF0" w:rsidRDefault="007C5DF0">
      <w:pPr>
        <w:pStyle w:val="Kazalovsebine2"/>
        <w:rPr>
          <w:rFonts w:asciiTheme="minorHAnsi" w:eastAsiaTheme="minorEastAsia" w:hAnsiTheme="minorHAnsi" w:cstheme="minorBidi"/>
          <w:noProof/>
        </w:rPr>
      </w:pPr>
      <w:hyperlink w:anchor="_Toc82170895" w:history="1">
        <w:r w:rsidRPr="009D74DA">
          <w:rPr>
            <w:rStyle w:val="Hiperpovezava"/>
            <w:noProof/>
          </w:rPr>
          <w:t>2.1.4 Sprememba odbitka tujega davka</w:t>
        </w:r>
        <w:r>
          <w:rPr>
            <w:noProof/>
            <w:webHidden/>
          </w:rPr>
          <w:tab/>
        </w:r>
        <w:r>
          <w:rPr>
            <w:noProof/>
            <w:webHidden/>
          </w:rPr>
          <w:fldChar w:fldCharType="begin"/>
        </w:r>
        <w:r>
          <w:rPr>
            <w:noProof/>
            <w:webHidden/>
          </w:rPr>
          <w:instrText xml:space="preserve"> PAGEREF _Toc82170895 \h </w:instrText>
        </w:r>
        <w:r>
          <w:rPr>
            <w:noProof/>
            <w:webHidden/>
          </w:rPr>
        </w:r>
        <w:r>
          <w:rPr>
            <w:noProof/>
            <w:webHidden/>
          </w:rPr>
          <w:fldChar w:fldCharType="separate"/>
        </w:r>
        <w:r>
          <w:rPr>
            <w:noProof/>
            <w:webHidden/>
          </w:rPr>
          <w:t>5</w:t>
        </w:r>
        <w:r>
          <w:rPr>
            <w:noProof/>
            <w:webHidden/>
          </w:rPr>
          <w:fldChar w:fldCharType="end"/>
        </w:r>
      </w:hyperlink>
    </w:p>
    <w:p w14:paraId="0A7953F7" w14:textId="77777777" w:rsidR="007C5DF0" w:rsidRDefault="007C5DF0">
      <w:pPr>
        <w:pStyle w:val="Kazalovsebine2"/>
        <w:rPr>
          <w:rFonts w:asciiTheme="minorHAnsi" w:eastAsiaTheme="minorEastAsia" w:hAnsiTheme="minorHAnsi" w:cstheme="minorBidi"/>
          <w:noProof/>
        </w:rPr>
      </w:pPr>
      <w:hyperlink w:anchor="_Toc82170896" w:history="1">
        <w:r w:rsidRPr="009D74DA">
          <w:rPr>
            <w:rStyle w:val="Hiperpovezava"/>
            <w:noProof/>
          </w:rPr>
          <w:t>2.2  DAVČNI POSTOPEK – Zakon o davčnem postopku – ZDavP-2</w:t>
        </w:r>
        <w:r>
          <w:rPr>
            <w:noProof/>
            <w:webHidden/>
          </w:rPr>
          <w:tab/>
        </w:r>
        <w:r>
          <w:rPr>
            <w:noProof/>
            <w:webHidden/>
          </w:rPr>
          <w:fldChar w:fldCharType="begin"/>
        </w:r>
        <w:r>
          <w:rPr>
            <w:noProof/>
            <w:webHidden/>
          </w:rPr>
          <w:instrText xml:space="preserve"> PAGEREF _Toc82170896 \h </w:instrText>
        </w:r>
        <w:r>
          <w:rPr>
            <w:noProof/>
            <w:webHidden/>
          </w:rPr>
        </w:r>
        <w:r>
          <w:rPr>
            <w:noProof/>
            <w:webHidden/>
          </w:rPr>
          <w:fldChar w:fldCharType="separate"/>
        </w:r>
        <w:r>
          <w:rPr>
            <w:noProof/>
            <w:webHidden/>
          </w:rPr>
          <w:t>6</w:t>
        </w:r>
        <w:r>
          <w:rPr>
            <w:noProof/>
            <w:webHidden/>
          </w:rPr>
          <w:fldChar w:fldCharType="end"/>
        </w:r>
      </w:hyperlink>
    </w:p>
    <w:p w14:paraId="6B96EF4A" w14:textId="77777777" w:rsidR="007C5DF0" w:rsidRDefault="007C5DF0">
      <w:pPr>
        <w:pStyle w:val="Kazalovsebine2"/>
        <w:rPr>
          <w:rFonts w:asciiTheme="minorHAnsi" w:eastAsiaTheme="minorEastAsia" w:hAnsiTheme="minorHAnsi" w:cstheme="minorBidi"/>
          <w:noProof/>
        </w:rPr>
      </w:pPr>
      <w:hyperlink w:anchor="_Toc82170897" w:history="1">
        <w:r w:rsidRPr="009D74DA">
          <w:rPr>
            <w:rStyle w:val="Hiperpovezava"/>
            <w:noProof/>
          </w:rPr>
          <w:t>2.2.1 Davčni obračun - Obračun davka od dohodkov pravnih oseb</w:t>
        </w:r>
        <w:r>
          <w:rPr>
            <w:noProof/>
            <w:webHidden/>
          </w:rPr>
          <w:tab/>
        </w:r>
        <w:r>
          <w:rPr>
            <w:noProof/>
            <w:webHidden/>
          </w:rPr>
          <w:fldChar w:fldCharType="begin"/>
        </w:r>
        <w:r>
          <w:rPr>
            <w:noProof/>
            <w:webHidden/>
          </w:rPr>
          <w:instrText xml:space="preserve"> PAGEREF _Toc82170897 \h </w:instrText>
        </w:r>
        <w:r>
          <w:rPr>
            <w:noProof/>
            <w:webHidden/>
          </w:rPr>
        </w:r>
        <w:r>
          <w:rPr>
            <w:noProof/>
            <w:webHidden/>
          </w:rPr>
          <w:fldChar w:fldCharType="separate"/>
        </w:r>
        <w:r>
          <w:rPr>
            <w:noProof/>
            <w:webHidden/>
          </w:rPr>
          <w:t>6</w:t>
        </w:r>
        <w:r>
          <w:rPr>
            <w:noProof/>
            <w:webHidden/>
          </w:rPr>
          <w:fldChar w:fldCharType="end"/>
        </w:r>
      </w:hyperlink>
    </w:p>
    <w:p w14:paraId="1866CB71" w14:textId="77777777" w:rsidR="007C5DF0" w:rsidRDefault="007C5DF0">
      <w:pPr>
        <w:pStyle w:val="Kazalovsebine2"/>
        <w:rPr>
          <w:rFonts w:asciiTheme="minorHAnsi" w:eastAsiaTheme="minorEastAsia" w:hAnsiTheme="minorHAnsi" w:cstheme="minorBidi"/>
          <w:noProof/>
        </w:rPr>
      </w:pPr>
      <w:hyperlink w:anchor="_Toc82170898" w:history="1">
        <w:r w:rsidRPr="009D74DA">
          <w:rPr>
            <w:rStyle w:val="Hiperpovezava"/>
            <w:noProof/>
          </w:rPr>
          <w:t>2.2.2 Vloga za vračilo davka</w:t>
        </w:r>
        <w:r>
          <w:rPr>
            <w:noProof/>
            <w:webHidden/>
          </w:rPr>
          <w:tab/>
        </w:r>
        <w:r>
          <w:rPr>
            <w:noProof/>
            <w:webHidden/>
          </w:rPr>
          <w:fldChar w:fldCharType="begin"/>
        </w:r>
        <w:r>
          <w:rPr>
            <w:noProof/>
            <w:webHidden/>
          </w:rPr>
          <w:instrText xml:space="preserve"> PAGEREF _Toc82170898 \h </w:instrText>
        </w:r>
        <w:r>
          <w:rPr>
            <w:noProof/>
            <w:webHidden/>
          </w:rPr>
        </w:r>
        <w:r>
          <w:rPr>
            <w:noProof/>
            <w:webHidden/>
          </w:rPr>
          <w:fldChar w:fldCharType="separate"/>
        </w:r>
        <w:r>
          <w:rPr>
            <w:noProof/>
            <w:webHidden/>
          </w:rPr>
          <w:t>7</w:t>
        </w:r>
        <w:r>
          <w:rPr>
            <w:noProof/>
            <w:webHidden/>
          </w:rPr>
          <w:fldChar w:fldCharType="end"/>
        </w:r>
      </w:hyperlink>
    </w:p>
    <w:p w14:paraId="3A9774B5" w14:textId="77777777" w:rsidR="007C5DF0" w:rsidRDefault="007C5DF0">
      <w:pPr>
        <w:pStyle w:val="Kazalovsebine2"/>
        <w:rPr>
          <w:rFonts w:asciiTheme="minorHAnsi" w:eastAsiaTheme="minorEastAsia" w:hAnsiTheme="minorHAnsi" w:cstheme="minorBidi"/>
          <w:noProof/>
        </w:rPr>
      </w:pPr>
      <w:hyperlink w:anchor="_Toc82170899" w:history="1">
        <w:r w:rsidRPr="009D74DA">
          <w:rPr>
            <w:rStyle w:val="Hiperpovezava"/>
            <w:noProof/>
          </w:rPr>
          <w:t>2.2.3 Naknadno odmerjen davek v tujini</w:t>
        </w:r>
        <w:r>
          <w:rPr>
            <w:noProof/>
            <w:webHidden/>
          </w:rPr>
          <w:tab/>
        </w:r>
        <w:r>
          <w:rPr>
            <w:noProof/>
            <w:webHidden/>
          </w:rPr>
          <w:fldChar w:fldCharType="begin"/>
        </w:r>
        <w:r>
          <w:rPr>
            <w:noProof/>
            <w:webHidden/>
          </w:rPr>
          <w:instrText xml:space="preserve"> PAGEREF _Toc82170899 \h </w:instrText>
        </w:r>
        <w:r>
          <w:rPr>
            <w:noProof/>
            <w:webHidden/>
          </w:rPr>
        </w:r>
        <w:r>
          <w:rPr>
            <w:noProof/>
            <w:webHidden/>
          </w:rPr>
          <w:fldChar w:fldCharType="separate"/>
        </w:r>
        <w:r>
          <w:rPr>
            <w:noProof/>
            <w:webHidden/>
          </w:rPr>
          <w:t>8</w:t>
        </w:r>
        <w:r>
          <w:rPr>
            <w:noProof/>
            <w:webHidden/>
          </w:rPr>
          <w:fldChar w:fldCharType="end"/>
        </w:r>
      </w:hyperlink>
    </w:p>
    <w:p w14:paraId="5F65289B" w14:textId="77777777" w:rsidR="007C5DF0" w:rsidRDefault="007C5DF0">
      <w:pPr>
        <w:pStyle w:val="Kazalovsebine1"/>
        <w:rPr>
          <w:rFonts w:asciiTheme="minorHAnsi" w:eastAsiaTheme="minorEastAsia" w:hAnsiTheme="minorHAnsi" w:cstheme="minorBidi"/>
          <w:noProof/>
          <w:sz w:val="22"/>
          <w:szCs w:val="22"/>
          <w:lang w:val="sl-SI" w:eastAsia="sl-SI"/>
        </w:rPr>
      </w:pPr>
      <w:hyperlink w:anchor="_Toc82170900" w:history="1">
        <w:r w:rsidRPr="009D74DA">
          <w:rPr>
            <w:rStyle w:val="Hiperpovezava"/>
            <w:noProof/>
          </w:rPr>
          <w:t>3. FIZIČNE OSEBE, KI OPRAVLJAJO DEJAVNOST</w:t>
        </w:r>
        <w:r>
          <w:rPr>
            <w:noProof/>
            <w:webHidden/>
          </w:rPr>
          <w:tab/>
        </w:r>
        <w:r>
          <w:rPr>
            <w:noProof/>
            <w:webHidden/>
          </w:rPr>
          <w:fldChar w:fldCharType="begin"/>
        </w:r>
        <w:r>
          <w:rPr>
            <w:noProof/>
            <w:webHidden/>
          </w:rPr>
          <w:instrText xml:space="preserve"> PAGEREF _Toc82170900 \h </w:instrText>
        </w:r>
        <w:r>
          <w:rPr>
            <w:noProof/>
            <w:webHidden/>
          </w:rPr>
        </w:r>
        <w:r>
          <w:rPr>
            <w:noProof/>
            <w:webHidden/>
          </w:rPr>
          <w:fldChar w:fldCharType="separate"/>
        </w:r>
        <w:r>
          <w:rPr>
            <w:noProof/>
            <w:webHidden/>
          </w:rPr>
          <w:t>8</w:t>
        </w:r>
        <w:r>
          <w:rPr>
            <w:noProof/>
            <w:webHidden/>
          </w:rPr>
          <w:fldChar w:fldCharType="end"/>
        </w:r>
      </w:hyperlink>
    </w:p>
    <w:p w14:paraId="46D3AEE1" w14:textId="77777777" w:rsidR="007C5DF0" w:rsidRDefault="007C5DF0">
      <w:pPr>
        <w:pStyle w:val="Kazalovsebine2"/>
        <w:rPr>
          <w:rFonts w:asciiTheme="minorHAnsi" w:eastAsiaTheme="minorEastAsia" w:hAnsiTheme="minorHAnsi" w:cstheme="minorBidi"/>
          <w:noProof/>
        </w:rPr>
      </w:pPr>
      <w:hyperlink w:anchor="_Toc82170901" w:history="1">
        <w:r w:rsidRPr="009D74DA">
          <w:rPr>
            <w:rStyle w:val="Hiperpovezava"/>
            <w:noProof/>
          </w:rPr>
          <w:t>3.1  ODBITEK TUJEGA DAVKA ( Zakon o dohodnini – ZDoh-2)</w:t>
        </w:r>
        <w:r>
          <w:rPr>
            <w:noProof/>
            <w:webHidden/>
          </w:rPr>
          <w:tab/>
        </w:r>
        <w:r>
          <w:rPr>
            <w:noProof/>
            <w:webHidden/>
          </w:rPr>
          <w:fldChar w:fldCharType="begin"/>
        </w:r>
        <w:r>
          <w:rPr>
            <w:noProof/>
            <w:webHidden/>
          </w:rPr>
          <w:instrText xml:space="preserve"> PAGEREF _Toc82170901 \h </w:instrText>
        </w:r>
        <w:r>
          <w:rPr>
            <w:noProof/>
            <w:webHidden/>
          </w:rPr>
        </w:r>
        <w:r>
          <w:rPr>
            <w:noProof/>
            <w:webHidden/>
          </w:rPr>
          <w:fldChar w:fldCharType="separate"/>
        </w:r>
        <w:r>
          <w:rPr>
            <w:noProof/>
            <w:webHidden/>
          </w:rPr>
          <w:t>8</w:t>
        </w:r>
        <w:r>
          <w:rPr>
            <w:noProof/>
            <w:webHidden/>
          </w:rPr>
          <w:fldChar w:fldCharType="end"/>
        </w:r>
      </w:hyperlink>
    </w:p>
    <w:p w14:paraId="41E8CF25" w14:textId="77777777" w:rsidR="007C5DF0" w:rsidRDefault="007C5DF0">
      <w:pPr>
        <w:pStyle w:val="Kazalovsebine2"/>
        <w:rPr>
          <w:rFonts w:asciiTheme="minorHAnsi" w:eastAsiaTheme="minorEastAsia" w:hAnsiTheme="minorHAnsi" w:cstheme="minorBidi"/>
          <w:noProof/>
        </w:rPr>
      </w:pPr>
      <w:hyperlink w:anchor="_Toc82170902" w:history="1">
        <w:r w:rsidRPr="009D74DA">
          <w:rPr>
            <w:rStyle w:val="Hiperpovezava"/>
            <w:noProof/>
          </w:rPr>
          <w:t>3.2  DAVČNI POSTOPEK - Zakon o davčnem postopku – ZDavP-2</w:t>
        </w:r>
        <w:r>
          <w:rPr>
            <w:noProof/>
            <w:webHidden/>
          </w:rPr>
          <w:tab/>
        </w:r>
        <w:r>
          <w:rPr>
            <w:noProof/>
            <w:webHidden/>
          </w:rPr>
          <w:fldChar w:fldCharType="begin"/>
        </w:r>
        <w:r>
          <w:rPr>
            <w:noProof/>
            <w:webHidden/>
          </w:rPr>
          <w:instrText xml:space="preserve"> PAGEREF _Toc82170902 \h </w:instrText>
        </w:r>
        <w:r>
          <w:rPr>
            <w:noProof/>
            <w:webHidden/>
          </w:rPr>
        </w:r>
        <w:r>
          <w:rPr>
            <w:noProof/>
            <w:webHidden/>
          </w:rPr>
          <w:fldChar w:fldCharType="separate"/>
        </w:r>
        <w:r>
          <w:rPr>
            <w:noProof/>
            <w:webHidden/>
          </w:rPr>
          <w:t>9</w:t>
        </w:r>
        <w:r>
          <w:rPr>
            <w:noProof/>
            <w:webHidden/>
          </w:rPr>
          <w:fldChar w:fldCharType="end"/>
        </w:r>
      </w:hyperlink>
    </w:p>
    <w:p w14:paraId="1B5F9D61" w14:textId="77777777" w:rsidR="007C5DF0" w:rsidRDefault="007C5DF0">
      <w:pPr>
        <w:pStyle w:val="Kazalovsebine2"/>
        <w:rPr>
          <w:rFonts w:asciiTheme="minorHAnsi" w:eastAsiaTheme="minorEastAsia" w:hAnsiTheme="minorHAnsi" w:cstheme="minorBidi"/>
          <w:noProof/>
        </w:rPr>
      </w:pPr>
      <w:hyperlink w:anchor="_Toc82170903" w:history="1">
        <w:r w:rsidRPr="009D74DA">
          <w:rPr>
            <w:rStyle w:val="Hiperpovezava"/>
            <w:noProof/>
          </w:rPr>
          <w:t xml:space="preserve">3.2.1 Davčni obračun -  </w:t>
        </w:r>
        <w:r w:rsidRPr="009D74DA">
          <w:rPr>
            <w:rStyle w:val="Hiperpovezava"/>
            <w:rFonts w:cs="Arial"/>
            <w:noProof/>
            <w:shd w:val="clear" w:color="auto" w:fill="F6F6F6"/>
          </w:rPr>
          <w:t>Obračun akontacije dohodnine in dohodnine od dohodka iz dejavnosti</w:t>
        </w:r>
        <w:r>
          <w:rPr>
            <w:noProof/>
            <w:webHidden/>
          </w:rPr>
          <w:tab/>
        </w:r>
        <w:r>
          <w:rPr>
            <w:noProof/>
            <w:webHidden/>
          </w:rPr>
          <w:fldChar w:fldCharType="begin"/>
        </w:r>
        <w:r>
          <w:rPr>
            <w:noProof/>
            <w:webHidden/>
          </w:rPr>
          <w:instrText xml:space="preserve"> PAGEREF _Toc82170903 \h </w:instrText>
        </w:r>
        <w:r>
          <w:rPr>
            <w:noProof/>
            <w:webHidden/>
          </w:rPr>
        </w:r>
        <w:r>
          <w:rPr>
            <w:noProof/>
            <w:webHidden/>
          </w:rPr>
          <w:fldChar w:fldCharType="separate"/>
        </w:r>
        <w:r>
          <w:rPr>
            <w:noProof/>
            <w:webHidden/>
          </w:rPr>
          <w:t>9</w:t>
        </w:r>
        <w:r>
          <w:rPr>
            <w:noProof/>
            <w:webHidden/>
          </w:rPr>
          <w:fldChar w:fldCharType="end"/>
        </w:r>
      </w:hyperlink>
    </w:p>
    <w:p w14:paraId="3E254B09" w14:textId="77777777" w:rsidR="007C5DF0" w:rsidRDefault="007C5DF0">
      <w:pPr>
        <w:pStyle w:val="Kazalovsebine2"/>
        <w:rPr>
          <w:rFonts w:asciiTheme="minorHAnsi" w:eastAsiaTheme="minorEastAsia" w:hAnsiTheme="minorHAnsi" w:cstheme="minorBidi"/>
          <w:noProof/>
        </w:rPr>
      </w:pPr>
      <w:hyperlink w:anchor="_Toc82170904" w:history="1">
        <w:r w:rsidRPr="009D74DA">
          <w:rPr>
            <w:rStyle w:val="Hiperpovezava"/>
            <w:noProof/>
          </w:rPr>
          <w:t>3.2.2 Priznavanje odbitka tujega davka pri izračunu in poračunu dohodnine na letni ravni</w:t>
        </w:r>
        <w:r>
          <w:rPr>
            <w:noProof/>
            <w:webHidden/>
          </w:rPr>
          <w:tab/>
        </w:r>
        <w:r>
          <w:rPr>
            <w:noProof/>
            <w:webHidden/>
          </w:rPr>
          <w:fldChar w:fldCharType="begin"/>
        </w:r>
        <w:r>
          <w:rPr>
            <w:noProof/>
            <w:webHidden/>
          </w:rPr>
          <w:instrText xml:space="preserve"> PAGEREF _Toc82170904 \h </w:instrText>
        </w:r>
        <w:r>
          <w:rPr>
            <w:noProof/>
            <w:webHidden/>
          </w:rPr>
        </w:r>
        <w:r>
          <w:rPr>
            <w:noProof/>
            <w:webHidden/>
          </w:rPr>
          <w:fldChar w:fldCharType="separate"/>
        </w:r>
        <w:r>
          <w:rPr>
            <w:noProof/>
            <w:webHidden/>
          </w:rPr>
          <w:t>10</w:t>
        </w:r>
        <w:r>
          <w:rPr>
            <w:noProof/>
            <w:webHidden/>
          </w:rPr>
          <w:fldChar w:fldCharType="end"/>
        </w:r>
      </w:hyperlink>
    </w:p>
    <w:p w14:paraId="37BC65F9" w14:textId="77777777" w:rsidR="007C5DF0" w:rsidRDefault="007C5DF0">
      <w:pPr>
        <w:pStyle w:val="Kazalovsebine2"/>
        <w:rPr>
          <w:rFonts w:asciiTheme="minorHAnsi" w:eastAsiaTheme="minorEastAsia" w:hAnsiTheme="minorHAnsi" w:cstheme="minorBidi"/>
          <w:noProof/>
        </w:rPr>
      </w:pPr>
      <w:hyperlink w:anchor="_Toc82170905" w:history="1">
        <w:r w:rsidRPr="009D74DA">
          <w:rPr>
            <w:rStyle w:val="Hiperpovezava"/>
            <w:noProof/>
          </w:rPr>
          <w:t>3.2.3 Vloga za vračilo davka</w:t>
        </w:r>
        <w:r>
          <w:rPr>
            <w:noProof/>
            <w:webHidden/>
          </w:rPr>
          <w:tab/>
        </w:r>
        <w:r>
          <w:rPr>
            <w:noProof/>
            <w:webHidden/>
          </w:rPr>
          <w:fldChar w:fldCharType="begin"/>
        </w:r>
        <w:r>
          <w:rPr>
            <w:noProof/>
            <w:webHidden/>
          </w:rPr>
          <w:instrText xml:space="preserve"> PAGEREF _Toc82170905 \h </w:instrText>
        </w:r>
        <w:r>
          <w:rPr>
            <w:noProof/>
            <w:webHidden/>
          </w:rPr>
        </w:r>
        <w:r>
          <w:rPr>
            <w:noProof/>
            <w:webHidden/>
          </w:rPr>
          <w:fldChar w:fldCharType="separate"/>
        </w:r>
        <w:r>
          <w:rPr>
            <w:noProof/>
            <w:webHidden/>
          </w:rPr>
          <w:t>10</w:t>
        </w:r>
        <w:r>
          <w:rPr>
            <w:noProof/>
            <w:webHidden/>
          </w:rPr>
          <w:fldChar w:fldCharType="end"/>
        </w:r>
      </w:hyperlink>
    </w:p>
    <w:p w14:paraId="22C0B283" w14:textId="77777777" w:rsidR="005A5937" w:rsidRDefault="00CE086D" w:rsidP="00CA699D">
      <w:pPr>
        <w:pStyle w:val="FURSnaslov1"/>
        <w:rPr>
          <w:rFonts w:cs="Arial"/>
          <w:b w:val="0"/>
          <w:color w:val="000000" w:themeColor="text1"/>
          <w:sz w:val="20"/>
          <w:szCs w:val="20"/>
          <w:lang w:val="en-US"/>
        </w:rPr>
      </w:pPr>
      <w:r w:rsidRPr="00AE12A9">
        <w:rPr>
          <w:rFonts w:cs="Arial"/>
          <w:b w:val="0"/>
          <w:color w:val="000000" w:themeColor="text1"/>
          <w:sz w:val="20"/>
          <w:szCs w:val="20"/>
          <w:lang w:val="en-US"/>
        </w:rPr>
        <w:fldChar w:fldCharType="end"/>
      </w:r>
    </w:p>
    <w:p w14:paraId="1DFC7705" w14:textId="77777777" w:rsidR="005A5937" w:rsidRDefault="005A5937">
      <w:pPr>
        <w:spacing w:line="240" w:lineRule="auto"/>
        <w:rPr>
          <w:rFonts w:cs="Arial"/>
          <w:color w:val="000000" w:themeColor="text1"/>
          <w:szCs w:val="20"/>
        </w:rPr>
      </w:pPr>
      <w:r>
        <w:rPr>
          <w:rFonts w:cs="Arial"/>
          <w:b/>
          <w:color w:val="000000" w:themeColor="text1"/>
          <w:szCs w:val="20"/>
        </w:rPr>
        <w:br w:type="page"/>
      </w:r>
    </w:p>
    <w:p w14:paraId="2EC9590C" w14:textId="558D04C2" w:rsidR="00887E1E" w:rsidRDefault="000A488B" w:rsidP="00CA699D">
      <w:pPr>
        <w:pStyle w:val="FURSnaslov1"/>
        <w:rPr>
          <w:color w:val="000000" w:themeColor="text1"/>
          <w:sz w:val="28"/>
        </w:rPr>
      </w:pPr>
      <w:bookmarkStart w:id="0" w:name="_Toc82170889"/>
      <w:r w:rsidRPr="00AE12A9">
        <w:rPr>
          <w:color w:val="000000" w:themeColor="text1"/>
          <w:sz w:val="28"/>
        </w:rPr>
        <w:lastRenderedPageBreak/>
        <w:t xml:space="preserve">1.0 </w:t>
      </w:r>
      <w:r w:rsidR="00273608" w:rsidRPr="00AE12A9">
        <w:rPr>
          <w:color w:val="000000" w:themeColor="text1"/>
          <w:sz w:val="28"/>
        </w:rPr>
        <w:t>UVOD</w:t>
      </w:r>
      <w:bookmarkEnd w:id="0"/>
    </w:p>
    <w:p w14:paraId="1D653A45" w14:textId="77777777" w:rsidR="0083049A" w:rsidRDefault="0083049A" w:rsidP="00CA699D">
      <w:pPr>
        <w:pStyle w:val="FURSnaslov1"/>
        <w:rPr>
          <w:color w:val="000000" w:themeColor="text1"/>
          <w:sz w:val="28"/>
        </w:rPr>
      </w:pPr>
    </w:p>
    <w:p w14:paraId="2D6D2C0E" w14:textId="77777777" w:rsidR="001932EF" w:rsidRDefault="00DF4929" w:rsidP="00DF4929">
      <w:pPr>
        <w:jc w:val="both"/>
        <w:rPr>
          <w:color w:val="000000"/>
          <w:lang w:val="sl-SI"/>
        </w:rPr>
      </w:pPr>
      <w:r w:rsidRPr="00DF4929">
        <w:rPr>
          <w:color w:val="000000"/>
          <w:lang w:val="sl-SI"/>
        </w:rPr>
        <w:t xml:space="preserve">V nadaljevanju </w:t>
      </w:r>
      <w:r w:rsidR="009A7042">
        <w:rPr>
          <w:color w:val="000000"/>
          <w:lang w:val="sl-SI"/>
        </w:rPr>
        <w:t>je pojasnjena</w:t>
      </w:r>
      <w:r w:rsidRPr="00DF4929">
        <w:rPr>
          <w:color w:val="000000"/>
          <w:lang w:val="sl-SI"/>
        </w:rPr>
        <w:t xml:space="preserve"> obdavči</w:t>
      </w:r>
      <w:r w:rsidR="009A7042">
        <w:rPr>
          <w:color w:val="000000"/>
          <w:lang w:val="sl-SI"/>
        </w:rPr>
        <w:t>tev</w:t>
      </w:r>
      <w:r w:rsidRPr="00DF4929">
        <w:rPr>
          <w:color w:val="000000"/>
          <w:lang w:val="sl-SI"/>
        </w:rPr>
        <w:t xml:space="preserve"> dohodkov slovenskih rezidentov (poslovnih subjektov,</w:t>
      </w:r>
    </w:p>
    <w:p w14:paraId="166404BC" w14:textId="3B3FFF80" w:rsidR="00DF4929" w:rsidRDefault="00DF4929" w:rsidP="00DF4929">
      <w:pPr>
        <w:jc w:val="both"/>
        <w:rPr>
          <w:color w:val="000000"/>
          <w:lang w:val="sl-SI"/>
        </w:rPr>
      </w:pPr>
      <w:r w:rsidRPr="00DF4929">
        <w:rPr>
          <w:color w:val="000000"/>
          <w:lang w:val="sl-SI"/>
        </w:rPr>
        <w:t>t. j. pravnih oseb in fizičnih oseb z de</w:t>
      </w:r>
      <w:r w:rsidR="001932EF">
        <w:rPr>
          <w:color w:val="000000"/>
          <w:lang w:val="sl-SI"/>
        </w:rPr>
        <w:t>javnostjo), ki dosegajo dohodke</w:t>
      </w:r>
      <w:r w:rsidRPr="00DF4929">
        <w:rPr>
          <w:color w:val="000000"/>
          <w:lang w:val="sl-SI"/>
        </w:rPr>
        <w:t xml:space="preserve"> v ali preko poslovne enote v tujini (t. j. izven Slovenije) ter uveljavljanj</w:t>
      </w:r>
      <w:r w:rsidR="009A7042">
        <w:rPr>
          <w:color w:val="000000"/>
          <w:lang w:val="sl-SI"/>
        </w:rPr>
        <w:t>e</w:t>
      </w:r>
      <w:r w:rsidRPr="00DF4929">
        <w:rPr>
          <w:color w:val="000000"/>
          <w:lang w:val="sl-SI"/>
        </w:rPr>
        <w:t xml:space="preserve"> odbitka oziroma vračila tujega davka</w:t>
      </w:r>
      <w:r w:rsidR="009A7042">
        <w:rPr>
          <w:color w:val="000000"/>
          <w:lang w:val="sl-SI"/>
        </w:rPr>
        <w:t xml:space="preserve"> v Sloveniji</w:t>
      </w:r>
      <w:r w:rsidRPr="00DF4929">
        <w:rPr>
          <w:color w:val="000000"/>
          <w:lang w:val="sl-SI"/>
        </w:rPr>
        <w:t xml:space="preserve">. </w:t>
      </w:r>
    </w:p>
    <w:p w14:paraId="33E2945F" w14:textId="77777777" w:rsidR="00DE3B6F" w:rsidRDefault="00DE3B6F" w:rsidP="00DF4929">
      <w:pPr>
        <w:jc w:val="both"/>
        <w:rPr>
          <w:color w:val="000000"/>
          <w:lang w:val="sl-SI"/>
        </w:rPr>
      </w:pPr>
    </w:p>
    <w:p w14:paraId="10A163B5" w14:textId="297E514F" w:rsidR="00DF4929" w:rsidRPr="00AE1E70" w:rsidRDefault="00DF4929" w:rsidP="00DF4929">
      <w:pPr>
        <w:jc w:val="both"/>
        <w:rPr>
          <w:lang w:val="sl-SI"/>
        </w:rPr>
      </w:pPr>
    </w:p>
    <w:p w14:paraId="2EC95910" w14:textId="10CADA0A" w:rsidR="00273608" w:rsidRDefault="0059670C" w:rsidP="00012E25">
      <w:pPr>
        <w:pStyle w:val="FURSnaslov1"/>
        <w:jc w:val="both"/>
        <w:rPr>
          <w:sz w:val="28"/>
          <w:szCs w:val="28"/>
        </w:rPr>
      </w:pPr>
      <w:bookmarkStart w:id="1" w:name="_Toc82170890"/>
      <w:r w:rsidRPr="00C36D59">
        <w:rPr>
          <w:sz w:val="28"/>
          <w:szCs w:val="28"/>
        </w:rPr>
        <w:t xml:space="preserve">2.0 </w:t>
      </w:r>
      <w:r w:rsidR="00B40936">
        <w:rPr>
          <w:sz w:val="28"/>
          <w:szCs w:val="28"/>
        </w:rPr>
        <w:t>PRAVNE OSEBE</w:t>
      </w:r>
      <w:bookmarkEnd w:id="1"/>
      <w:r w:rsidR="00235A8F">
        <w:rPr>
          <w:sz w:val="28"/>
          <w:szCs w:val="28"/>
        </w:rPr>
        <w:t xml:space="preserve">  </w:t>
      </w:r>
    </w:p>
    <w:p w14:paraId="589D2C7A" w14:textId="77777777" w:rsidR="00DE3B6F" w:rsidRDefault="00DE3B6F" w:rsidP="00012E25">
      <w:pPr>
        <w:pStyle w:val="FURSnaslov1"/>
        <w:jc w:val="both"/>
        <w:rPr>
          <w:sz w:val="28"/>
          <w:szCs w:val="28"/>
        </w:rPr>
      </w:pPr>
    </w:p>
    <w:p w14:paraId="5EAE2A7B" w14:textId="52A088E2" w:rsidR="00DE3B6F" w:rsidRPr="00DF4929" w:rsidRDefault="00DE3B6F" w:rsidP="00DE3B6F">
      <w:pPr>
        <w:jc w:val="both"/>
        <w:rPr>
          <w:lang w:val="sl-SI"/>
        </w:rPr>
      </w:pPr>
      <w:r w:rsidRPr="00DF4929">
        <w:rPr>
          <w:lang w:val="sl-SI"/>
        </w:rPr>
        <w:t xml:space="preserve">Davčni zavezanec – pravna oseba, rezident </w:t>
      </w:r>
      <w:r w:rsidR="00B9078D">
        <w:rPr>
          <w:lang w:val="sl-SI"/>
        </w:rPr>
        <w:t xml:space="preserve">Republike Slovenije </w:t>
      </w:r>
      <w:r w:rsidRPr="00DF4929">
        <w:rPr>
          <w:lang w:val="sl-SI"/>
        </w:rPr>
        <w:t xml:space="preserve">(v nadaljevanju: rezident), je v skladu s 4. členom </w:t>
      </w:r>
      <w:hyperlink r:id="rId11" w:history="1">
        <w:r w:rsidRPr="00DF4929">
          <w:rPr>
            <w:rStyle w:val="Hiperpovezava"/>
            <w:lang w:val="sl-SI"/>
          </w:rPr>
          <w:t>Zakona o davku od doho</w:t>
        </w:r>
        <w:r w:rsidRPr="00DF4929">
          <w:rPr>
            <w:rStyle w:val="Hiperpovezava"/>
            <w:lang w:val="sl-SI"/>
          </w:rPr>
          <w:t>d</w:t>
        </w:r>
        <w:r w:rsidRPr="00DF4929">
          <w:rPr>
            <w:rStyle w:val="Hiperpovezava"/>
            <w:lang w:val="sl-SI"/>
          </w:rPr>
          <w:t>kov pravnih oseb - ZDDPO-2</w:t>
        </w:r>
      </w:hyperlink>
      <w:r w:rsidRPr="00DF4929">
        <w:rPr>
          <w:lang w:val="sl-SI"/>
        </w:rPr>
        <w:t xml:space="preserve"> zavezan za davek od vseh dohodkov, ki imajo svoj vir v Sloveniji in od vseh dohodkov, ki imajo svoj vir izven Slovenije. Dohodki, ki so predmet obdavčitve po ZDDPO-2, se obdavčujejo v obsegu in na način, kot je določeno s tem zakonom. </w:t>
      </w:r>
    </w:p>
    <w:p w14:paraId="5AA0AC9D" w14:textId="77777777" w:rsidR="00DE3B6F" w:rsidRPr="00DF4929" w:rsidRDefault="00DE3B6F" w:rsidP="00DE3B6F">
      <w:pPr>
        <w:jc w:val="both"/>
        <w:rPr>
          <w:lang w:val="sl-SI"/>
        </w:rPr>
      </w:pPr>
    </w:p>
    <w:p w14:paraId="610AED82" w14:textId="77777777" w:rsidR="00DE3B6F" w:rsidRDefault="00DE3B6F" w:rsidP="00DE3B6F">
      <w:pPr>
        <w:jc w:val="both"/>
        <w:rPr>
          <w:lang w:val="sl-SI"/>
        </w:rPr>
      </w:pPr>
      <w:r w:rsidRPr="00DF4929">
        <w:rPr>
          <w:lang w:val="sl-SI"/>
        </w:rPr>
        <w:t>V skladu z navedenim je rezident dolžan dohodke, dosežene v ali preko poslovne enote izven Slovenije, vključiti v davčno osnovo v davčnem obračunu davka od dohodkov pravnih oseb (v nadaljevanju: davčni obračun) na enak način kot to velja za dohodke z virom v Sloveniji.</w:t>
      </w:r>
      <w:r>
        <w:rPr>
          <w:rStyle w:val="Sprotnaopomba-sklic"/>
        </w:rPr>
        <w:footnoteReference w:id="2"/>
      </w:r>
      <w:r w:rsidRPr="00DF4929">
        <w:rPr>
          <w:lang w:val="sl-SI"/>
        </w:rPr>
        <w:t xml:space="preserve"> V skladu z 12. členom ZDDPO-2 je osnova za davek rezidenta dobiček (presežek prihodkov nad odhodki), ki se ugotovi v skladu z določbami tega zakona. Za ugotavljanje dobička v davčnem obračunu se priznajo prihodki in odhodki, ugotovljeni v izkazu poslovnega izida oziroma letnem poročilu, ki prikazuje prihodke, odhodke in poslovni izid na podlagi zakona in v skladu z njim uvedenimi računovodskimi standardi, ob upoštevanju določb ZDDPO-2. </w:t>
      </w:r>
    </w:p>
    <w:p w14:paraId="555E9660" w14:textId="77777777" w:rsidR="00C12135" w:rsidRDefault="00C12135" w:rsidP="00DE3B6F">
      <w:pPr>
        <w:jc w:val="both"/>
        <w:rPr>
          <w:lang w:val="sl-SI"/>
        </w:rPr>
      </w:pPr>
    </w:p>
    <w:p w14:paraId="3F969688" w14:textId="2028D9A9" w:rsidR="0002573A" w:rsidRPr="001A2136" w:rsidRDefault="00C12135" w:rsidP="007B4EE7">
      <w:pPr>
        <w:pStyle w:val="FURSnaslov2"/>
      </w:pPr>
      <w:bookmarkStart w:id="2" w:name="_Toc82170891"/>
      <w:r>
        <w:t xml:space="preserve">2.1 </w:t>
      </w:r>
      <w:r w:rsidRPr="00802262">
        <w:t xml:space="preserve"> </w:t>
      </w:r>
      <w:r>
        <w:t>ODBITEK TUJEGA DAVKA</w:t>
      </w:r>
      <w:r w:rsidR="0002573A" w:rsidRPr="00FC52A2">
        <w:t xml:space="preserve"> </w:t>
      </w:r>
      <w:r w:rsidR="0002573A" w:rsidRPr="001A2136">
        <w:t>(Zakon o davku od dohodkov pravnih oseb - DDPO-2)</w:t>
      </w:r>
      <w:bookmarkEnd w:id="2"/>
    </w:p>
    <w:p w14:paraId="28BBBE76" w14:textId="77777777" w:rsidR="00C12135" w:rsidRPr="00DF4929" w:rsidRDefault="00C12135" w:rsidP="00DE3B6F">
      <w:pPr>
        <w:jc w:val="both"/>
        <w:rPr>
          <w:lang w:val="sl-SI"/>
        </w:rPr>
      </w:pPr>
    </w:p>
    <w:p w14:paraId="38A1D1CA" w14:textId="78CB8C77" w:rsidR="00C12135" w:rsidRPr="00DF4929" w:rsidRDefault="00C12135" w:rsidP="00C12135">
      <w:pPr>
        <w:jc w:val="both"/>
        <w:rPr>
          <w:lang w:val="sl-SI"/>
        </w:rPr>
      </w:pPr>
      <w:r w:rsidRPr="00DF4929">
        <w:rPr>
          <w:lang w:val="sl-SI"/>
        </w:rPr>
        <w:t>ZDDPO-2 odpravo mednarodnega dvojnega obdavčevanja dohodkov rezidenta iz virov izven Slovenije</w:t>
      </w:r>
      <w:r>
        <w:rPr>
          <w:rStyle w:val="Sprotnaopomba-sklic"/>
        </w:rPr>
        <w:footnoteReference w:id="3"/>
      </w:r>
      <w:r w:rsidRPr="00DF4929">
        <w:rPr>
          <w:lang w:val="sl-SI"/>
        </w:rPr>
        <w:t xml:space="preserve"> ureja v 62. do 67. členu. To odpravo dvojnega obdavčenja zakon ureja s t. i. metodo odbitka (kredita), s katero se rezidentu z omejitvami omogoča odbitek v tujini plačanega davka od davčne obveznosti v Sloveniji. Rezident lahko uveljavlja odbitek tujega davka na tuji dohodek, ki je vključen v njegovo davčno osnovo oziroma lahko uveljavlja vračilo tujega davka na tuji dohodek, ki je bil vključen v njegovo davčno osnovo v predhodnih davčnih obdobjih. Vključitev tujega dohodka v davčno osnovo rezidenta v Sloveniji je torej pogoj za uveljavljanje odbitka davka, plačanega v tujini, v Sloveniji.</w:t>
      </w:r>
    </w:p>
    <w:p w14:paraId="32F9FF8F" w14:textId="77777777" w:rsidR="00C12135" w:rsidRPr="00DF4929" w:rsidRDefault="00C12135" w:rsidP="00C12135">
      <w:pPr>
        <w:jc w:val="both"/>
        <w:rPr>
          <w:lang w:val="sl-SI"/>
        </w:rPr>
      </w:pPr>
    </w:p>
    <w:p w14:paraId="3BCDEE3C" w14:textId="77777777" w:rsidR="00C12135" w:rsidRPr="00DF4929" w:rsidRDefault="00C12135" w:rsidP="00C12135">
      <w:pPr>
        <w:jc w:val="both"/>
        <w:rPr>
          <w:lang w:val="sl-SI"/>
        </w:rPr>
      </w:pPr>
      <w:r w:rsidRPr="00DF4929">
        <w:rPr>
          <w:lang w:val="sl-SI"/>
        </w:rPr>
        <w:t xml:space="preserve">Pripominjamo še, da je pravica do odbitka oziroma vračila tujega davka, s katero rezident Slovenije znižuje davčno obveznost v Sloveniji, podana samo za tuji davek, ki ustreza davku po ZDDPO-2. Odbitek oziroma vračilo ni možno za tuje davke, ki vsebinsko ne ustrezajo vrsti davka od dohodkov pravnih oseb v tujih državah. </w:t>
      </w:r>
    </w:p>
    <w:p w14:paraId="4D05C2F1" w14:textId="77777777" w:rsidR="00235A8F" w:rsidRDefault="00235A8F" w:rsidP="00F92965">
      <w:pPr>
        <w:pStyle w:val="FURSnaslov2"/>
      </w:pPr>
    </w:p>
    <w:p w14:paraId="2C91B6B7" w14:textId="0AD575C6" w:rsidR="00235A8F" w:rsidRDefault="00235A8F" w:rsidP="00F92965">
      <w:pPr>
        <w:pStyle w:val="FURSnaslov2"/>
      </w:pPr>
      <w:bookmarkStart w:id="3" w:name="_Toc82170892"/>
      <w:r>
        <w:t xml:space="preserve">2.1.1 </w:t>
      </w:r>
      <w:r w:rsidRPr="00235A8F">
        <w:t>Omejitev odbitka tujega davka</w:t>
      </w:r>
      <w:bookmarkEnd w:id="3"/>
    </w:p>
    <w:p w14:paraId="7A139119" w14:textId="77777777" w:rsidR="00DE3B6F" w:rsidRDefault="00DE3B6F" w:rsidP="00F92965">
      <w:pPr>
        <w:pStyle w:val="FURSnaslov2"/>
      </w:pPr>
    </w:p>
    <w:p w14:paraId="3FA45465" w14:textId="77777777" w:rsidR="00C12135" w:rsidRPr="00DF4929" w:rsidRDefault="00C12135" w:rsidP="00C12135">
      <w:pPr>
        <w:jc w:val="both"/>
        <w:rPr>
          <w:lang w:val="sl-SI"/>
        </w:rPr>
      </w:pPr>
      <w:r w:rsidRPr="00DF4929">
        <w:rPr>
          <w:lang w:val="sl-SI"/>
        </w:rPr>
        <w:lastRenderedPageBreak/>
        <w:t xml:space="preserve">V prvem odstavku 63. člena ZDDPO-2 so določene omejitve glede odbitka tujega davka. V skladu s to določbo odbitek tujega davka ne sme preseči nižjega od: </w:t>
      </w:r>
    </w:p>
    <w:p w14:paraId="1E468FF8" w14:textId="291952C1" w:rsidR="00C12135" w:rsidRPr="00DF4929" w:rsidRDefault="00C12135" w:rsidP="00C12135">
      <w:pPr>
        <w:jc w:val="both"/>
        <w:rPr>
          <w:lang w:val="sl-SI"/>
        </w:rPr>
      </w:pPr>
      <w:r w:rsidRPr="00DF4929">
        <w:rPr>
          <w:lang w:val="sl-SI"/>
        </w:rPr>
        <w:t>1. zneska tujega davka na tuji dohodek, ki je bil končen</w:t>
      </w:r>
      <w:r>
        <w:rPr>
          <w:rStyle w:val="Sprotnaopomba-sklic"/>
        </w:rPr>
        <w:footnoteReference w:id="4"/>
      </w:r>
      <w:r w:rsidRPr="00DF4929">
        <w:rPr>
          <w:lang w:val="sl-SI"/>
        </w:rPr>
        <w:t xml:space="preserve"> in dejansko plačan</w:t>
      </w:r>
      <w:r w:rsidR="00774A88">
        <w:rPr>
          <w:lang w:val="sl-SI"/>
        </w:rPr>
        <w:t>;</w:t>
      </w:r>
      <w:r w:rsidRPr="00DF4929">
        <w:rPr>
          <w:lang w:val="sl-SI"/>
        </w:rPr>
        <w:t xml:space="preserve"> ali </w:t>
      </w:r>
    </w:p>
    <w:p w14:paraId="140DD871" w14:textId="06185305" w:rsidR="00C12135" w:rsidRPr="00DF4929" w:rsidRDefault="00C12135" w:rsidP="00C12135">
      <w:pPr>
        <w:jc w:val="both"/>
        <w:rPr>
          <w:lang w:val="sl-SI"/>
        </w:rPr>
      </w:pPr>
      <w:r w:rsidRPr="00DF4929">
        <w:rPr>
          <w:lang w:val="sl-SI"/>
        </w:rPr>
        <w:t>2. zneska davka, ki bi ga bilo treba plačati po tem zakonu za tuje dohodke, če odbitek ne bi bil možen</w:t>
      </w:r>
      <w:r w:rsidR="00774A88">
        <w:rPr>
          <w:lang w:val="sl-SI"/>
        </w:rPr>
        <w:t>.</w:t>
      </w:r>
      <w:r w:rsidRPr="00DF4929">
        <w:rPr>
          <w:lang w:val="sl-SI"/>
        </w:rPr>
        <w:t xml:space="preserve"> </w:t>
      </w:r>
    </w:p>
    <w:p w14:paraId="72351521" w14:textId="77777777" w:rsidR="00C12135" w:rsidRPr="00DF4929" w:rsidRDefault="00C12135" w:rsidP="00C12135">
      <w:pPr>
        <w:jc w:val="both"/>
        <w:rPr>
          <w:lang w:val="sl-SI"/>
        </w:rPr>
      </w:pPr>
    </w:p>
    <w:p w14:paraId="79788806" w14:textId="6E359678" w:rsidR="00C12135" w:rsidRDefault="00C12135" w:rsidP="00C12135">
      <w:pPr>
        <w:jc w:val="both"/>
        <w:rPr>
          <w:lang w:val="sl-SI"/>
        </w:rPr>
      </w:pPr>
      <w:r w:rsidRPr="00657BEB">
        <w:rPr>
          <w:lang w:val="sl-SI"/>
        </w:rPr>
        <w:t xml:space="preserve">Če ima Slovenija sklenjeno </w:t>
      </w:r>
      <w:hyperlink r:id="rId12" w:anchor="c78" w:history="1">
        <w:r w:rsidRPr="00377021">
          <w:rPr>
            <w:rStyle w:val="Hiperpovezava"/>
            <w:lang w:val="sl-SI"/>
          </w:rPr>
          <w:t>med</w:t>
        </w:r>
        <w:r w:rsidRPr="00377021">
          <w:rPr>
            <w:rStyle w:val="Hiperpovezava"/>
            <w:lang w:val="sl-SI"/>
          </w:rPr>
          <w:t>n</w:t>
        </w:r>
        <w:r w:rsidRPr="00377021">
          <w:rPr>
            <w:rStyle w:val="Hiperpovezava"/>
            <w:lang w:val="sl-SI"/>
          </w:rPr>
          <w:t>arodno pogodbo o izogibanju dvojnega obdavčenja dohodka</w:t>
        </w:r>
      </w:hyperlink>
      <w:r w:rsidRPr="00657BEB">
        <w:rPr>
          <w:lang w:val="sl-SI"/>
        </w:rPr>
        <w:t xml:space="preserve"> z drugo državo</w:t>
      </w:r>
      <w:r w:rsidR="00B9483D">
        <w:rPr>
          <w:lang w:val="sl-SI"/>
        </w:rPr>
        <w:t xml:space="preserve"> (v nadaljevanju: mednarodna pogodba)</w:t>
      </w:r>
      <w:r w:rsidRPr="00657BEB">
        <w:rPr>
          <w:lang w:val="sl-SI"/>
        </w:rPr>
        <w:t>, se v skladu z drugim odstavkom 63. člena ZDDPO-2 za konč</w:t>
      </w:r>
      <w:r w:rsidR="00774A88">
        <w:rPr>
          <w:lang w:val="sl-SI"/>
        </w:rPr>
        <w:t>e</w:t>
      </w:r>
      <w:r w:rsidRPr="00657BEB">
        <w:rPr>
          <w:lang w:val="sl-SI"/>
        </w:rPr>
        <w:t>n tuji davek na dohodke iz te države šteje znesek tujega davka, izračunan po stopnji, določeni v mednarodni pogodbi. To pravilo se uporablja ne glede na to, ali je rezident v tuji državi uveljavljal ugodnosti po sklenjeni in veljavni mednarodni pogodbi o izogibanju dvojnega obdavčenja ali ne.</w:t>
      </w:r>
      <w:r w:rsidR="008C22B0">
        <w:rPr>
          <w:lang w:val="sl-SI"/>
        </w:rPr>
        <w:t xml:space="preserve"> Pravica do odbitka v tujini plačanega davka zavezancu – rezidentu pripada le do višine davka, do katere je na podlagi veljavne mednarodne pogodbe o izogibanju dvojnega obdavčevanja upravičena država vira.</w:t>
      </w:r>
      <w:r w:rsidR="007A7675">
        <w:rPr>
          <w:lang w:val="sl-SI"/>
        </w:rPr>
        <w:t xml:space="preserve"> Za morebitno razliko do več plačanega davka v državi vira, ki ni Republika Slovenija, pa mora rezident vložiti zahtevek za vračilo v državi vira dohodka.</w:t>
      </w:r>
    </w:p>
    <w:p w14:paraId="546AFAA4" w14:textId="271E4484" w:rsidR="008C22B0" w:rsidRDefault="008C22B0" w:rsidP="00C12135">
      <w:pPr>
        <w:jc w:val="both"/>
        <w:rPr>
          <w:lang w:val="sl-SI"/>
        </w:rPr>
      </w:pPr>
    </w:p>
    <w:p w14:paraId="4F3734C0" w14:textId="0772F8F9" w:rsidR="008C22B0" w:rsidRPr="00AE1E70" w:rsidRDefault="008C22B0" w:rsidP="00C12135">
      <w:pPr>
        <w:jc w:val="both"/>
        <w:rPr>
          <w:i/>
          <w:iCs/>
          <w:lang w:val="sl-SI"/>
        </w:rPr>
      </w:pPr>
      <w:r w:rsidRPr="00AE1E70">
        <w:rPr>
          <w:i/>
          <w:iCs/>
          <w:lang w:val="sl-SI"/>
        </w:rPr>
        <w:t>Primer:</w:t>
      </w:r>
    </w:p>
    <w:p w14:paraId="1686B31C" w14:textId="5DED0428" w:rsidR="00FE247B" w:rsidRDefault="007A7675" w:rsidP="00C12135">
      <w:pPr>
        <w:jc w:val="both"/>
        <w:rPr>
          <w:i/>
          <w:lang w:val="sl-SI"/>
        </w:rPr>
      </w:pPr>
      <w:r>
        <w:rPr>
          <w:i/>
          <w:lang w:val="sl-SI"/>
        </w:rPr>
        <w:t xml:space="preserve">Rezident je v državi X prejel 10.000 enot (bruto) obresti od posojila. Od tega zneska je v državi vira izplačevalec obračunal 15% davka (splošna davčna stopnja za davčni odtegljaj v državi X) in zavezancu nakazal 8.500 enot obresti. V skladu s KIDO je med državo X in Republiko Slovenijo je za tovrstne obresti določeno, da državi vira pripada 5% davčnega odtegljaja. Rezident tako lahko kot odbitek tujega davka v obračunu DDPO uveljavlja </w:t>
      </w:r>
      <w:r w:rsidR="00FE247B">
        <w:rPr>
          <w:i/>
          <w:lang w:val="sl-SI"/>
        </w:rPr>
        <w:t xml:space="preserve">največ </w:t>
      </w:r>
      <w:r>
        <w:rPr>
          <w:i/>
          <w:lang w:val="sl-SI"/>
        </w:rPr>
        <w:t xml:space="preserve">500 enot </w:t>
      </w:r>
      <w:r w:rsidR="00FE247B">
        <w:rPr>
          <w:i/>
          <w:lang w:val="sl-SI"/>
        </w:rPr>
        <w:t>(seveda ob izpolnjevanju ostalih pogojev), za razliko, 1.000 denarnih enot, pa lahko vloži zahtevek za vračilo preveč obračunanega davčnega odtegljaja po KIDO v državi X.</w:t>
      </w:r>
    </w:p>
    <w:p w14:paraId="484C0ECE" w14:textId="77777777" w:rsidR="008B39F9" w:rsidRDefault="008B39F9" w:rsidP="00C12135">
      <w:pPr>
        <w:jc w:val="both"/>
        <w:rPr>
          <w:i/>
          <w:lang w:val="sl-SI"/>
        </w:rPr>
      </w:pPr>
    </w:p>
    <w:p w14:paraId="51C46974" w14:textId="3404FFEB" w:rsidR="00C12135" w:rsidRPr="00657BEB" w:rsidRDefault="00774A88" w:rsidP="00C12135">
      <w:pPr>
        <w:jc w:val="both"/>
        <w:rPr>
          <w:lang w:val="sl-SI"/>
        </w:rPr>
      </w:pPr>
      <w:r>
        <w:rPr>
          <w:lang w:val="sl-SI"/>
        </w:rPr>
        <w:t xml:space="preserve">Zneska iz </w:t>
      </w:r>
      <w:r w:rsidR="00C12135" w:rsidRPr="00657BEB">
        <w:rPr>
          <w:lang w:val="sl-SI"/>
        </w:rPr>
        <w:t xml:space="preserve">1. </w:t>
      </w:r>
      <w:r w:rsidR="00D44D15">
        <w:rPr>
          <w:lang w:val="sl-SI"/>
        </w:rPr>
        <w:t xml:space="preserve">in </w:t>
      </w:r>
      <w:r w:rsidR="00C12135" w:rsidRPr="00657BEB">
        <w:rPr>
          <w:lang w:val="sl-SI"/>
        </w:rPr>
        <w:t>2. točk</w:t>
      </w:r>
      <w:r>
        <w:rPr>
          <w:lang w:val="sl-SI"/>
        </w:rPr>
        <w:t>e</w:t>
      </w:r>
      <w:r w:rsidR="00C12135" w:rsidRPr="00657BEB">
        <w:rPr>
          <w:lang w:val="sl-SI"/>
        </w:rPr>
        <w:t xml:space="preserve"> prvega odstavka </w:t>
      </w:r>
      <w:r w:rsidR="00D44D15">
        <w:rPr>
          <w:lang w:val="sl-SI"/>
        </w:rPr>
        <w:t>63. člena ZDDPO-2</w:t>
      </w:r>
      <w:r>
        <w:rPr>
          <w:lang w:val="sl-SI"/>
        </w:rPr>
        <w:t xml:space="preserve"> se</w:t>
      </w:r>
      <w:r w:rsidR="00C12135" w:rsidRPr="00657BEB">
        <w:rPr>
          <w:lang w:val="sl-SI"/>
        </w:rPr>
        <w:t xml:space="preserve"> računata po posameznih državah, v katerih imajo tuji dohodki vir</w:t>
      </w:r>
      <w:r>
        <w:rPr>
          <w:lang w:val="sl-SI"/>
        </w:rPr>
        <w:t>, in sicer za vsako državo posebej</w:t>
      </w:r>
      <w:r w:rsidR="00C12135" w:rsidRPr="00657BEB">
        <w:rPr>
          <w:lang w:val="sl-SI"/>
        </w:rPr>
        <w:t xml:space="preserve">. Da lahko izračunamo pravilni odbitek tujega davka, je treba zneske dovoljenega odbitka izračunati za posamezen dohodek po posamezni državi, saj so davčne osnove in davčne stopnje za posamezne dohodke v tujini lahko različne. Način izračunavanja dovoljenega odbitka tujega davka po posameznih dohodkih v posamezni tuji državi je </w:t>
      </w:r>
      <w:r w:rsidR="00D44D15">
        <w:rPr>
          <w:lang w:val="sl-SI"/>
        </w:rPr>
        <w:t xml:space="preserve">opisan v metodologiji o izpolnjevanu priloge 10, ki je sestavni del </w:t>
      </w:r>
      <w:r w:rsidR="0098306A">
        <w:rPr>
          <w:lang w:val="sl-SI"/>
        </w:rPr>
        <w:t>davčega obračuna in je določen v</w:t>
      </w:r>
      <w:r w:rsidR="00C12135" w:rsidRPr="00657BEB">
        <w:rPr>
          <w:lang w:val="sl-SI"/>
        </w:rPr>
        <w:t xml:space="preserve"> </w:t>
      </w:r>
      <w:hyperlink r:id="rId13" w:history="1">
        <w:r w:rsidR="00C12135" w:rsidRPr="00657BEB">
          <w:rPr>
            <w:rStyle w:val="Hiperpovezava"/>
            <w:lang w:val="sl-SI"/>
          </w:rPr>
          <w:t>Pravilnik</w:t>
        </w:r>
        <w:r w:rsidR="0098306A">
          <w:rPr>
            <w:rStyle w:val="Hiperpovezava"/>
            <w:lang w:val="sl-SI"/>
          </w:rPr>
          <w:t>u</w:t>
        </w:r>
        <w:r w:rsidR="00C12135" w:rsidRPr="00657BEB">
          <w:rPr>
            <w:rStyle w:val="Hiperpovezava"/>
            <w:lang w:val="sl-SI"/>
          </w:rPr>
          <w:t xml:space="preserve"> o da</w:t>
        </w:r>
        <w:r w:rsidR="00C12135" w:rsidRPr="00657BEB">
          <w:rPr>
            <w:rStyle w:val="Hiperpovezava"/>
            <w:lang w:val="sl-SI"/>
          </w:rPr>
          <w:t>v</w:t>
        </w:r>
        <w:r w:rsidR="00C12135" w:rsidRPr="00657BEB">
          <w:rPr>
            <w:rStyle w:val="Hiperpovezava"/>
            <w:lang w:val="sl-SI"/>
          </w:rPr>
          <w:t>čnem obračunu davka od dohodkov pravnih oseb</w:t>
        </w:r>
      </w:hyperlink>
      <w:r w:rsidR="00C12135" w:rsidRPr="00657BEB">
        <w:rPr>
          <w:lang w:val="sl-SI"/>
        </w:rPr>
        <w:t xml:space="preserve">.    </w:t>
      </w:r>
    </w:p>
    <w:p w14:paraId="36C8AE4D" w14:textId="77777777" w:rsidR="00235A8F" w:rsidRDefault="00235A8F" w:rsidP="00F92965">
      <w:pPr>
        <w:pStyle w:val="FURSnaslov2"/>
      </w:pPr>
    </w:p>
    <w:p w14:paraId="7E524691" w14:textId="63DDC627" w:rsidR="00235A8F" w:rsidRDefault="00235A8F" w:rsidP="00F92965">
      <w:pPr>
        <w:pStyle w:val="FURSnaslov2"/>
      </w:pPr>
      <w:bookmarkStart w:id="4" w:name="_Toc82170893"/>
      <w:r>
        <w:t>2.1.2</w:t>
      </w:r>
      <w:r w:rsidRPr="00235A8F">
        <w:t xml:space="preserve"> Prenašanje presežka odbitka</w:t>
      </w:r>
      <w:r w:rsidR="00390610">
        <w:t xml:space="preserve"> tujega davka</w:t>
      </w:r>
      <w:bookmarkEnd w:id="4"/>
    </w:p>
    <w:p w14:paraId="162C3D0B" w14:textId="77777777" w:rsidR="000D5D0C" w:rsidRDefault="000D5D0C" w:rsidP="00F92965">
      <w:pPr>
        <w:pStyle w:val="FURSnaslov2"/>
      </w:pPr>
    </w:p>
    <w:p w14:paraId="2430BA90" w14:textId="44E0D0F5" w:rsidR="000D5D0C" w:rsidRPr="00DF4929" w:rsidRDefault="000D5D0C" w:rsidP="000D5D0C">
      <w:pPr>
        <w:jc w:val="both"/>
        <w:rPr>
          <w:lang w:val="sl-SI"/>
        </w:rPr>
      </w:pPr>
      <w:r w:rsidRPr="00DF4929">
        <w:rPr>
          <w:lang w:val="sl-SI"/>
        </w:rPr>
        <w:t xml:space="preserve">Če je znesek </w:t>
      </w:r>
      <w:r w:rsidR="00321805">
        <w:rPr>
          <w:lang w:val="sl-SI"/>
        </w:rPr>
        <w:t xml:space="preserve">iz </w:t>
      </w:r>
      <w:r w:rsidRPr="00DF4929">
        <w:rPr>
          <w:lang w:val="sl-SI"/>
        </w:rPr>
        <w:t>1. točk</w:t>
      </w:r>
      <w:r w:rsidR="00321805">
        <w:rPr>
          <w:lang w:val="sl-SI"/>
        </w:rPr>
        <w:t>e</w:t>
      </w:r>
      <w:r w:rsidRPr="00DF4929">
        <w:rPr>
          <w:lang w:val="sl-SI"/>
        </w:rPr>
        <w:t xml:space="preserve"> prvega odstavka 63. člena ZDDPO-2 višji od zneska </w:t>
      </w:r>
      <w:r w:rsidR="00321805">
        <w:rPr>
          <w:lang w:val="sl-SI"/>
        </w:rPr>
        <w:t xml:space="preserve">iz </w:t>
      </w:r>
      <w:r w:rsidRPr="00DF4929">
        <w:rPr>
          <w:lang w:val="sl-SI"/>
        </w:rPr>
        <w:t>2. točk</w:t>
      </w:r>
      <w:r w:rsidR="00321805">
        <w:rPr>
          <w:lang w:val="sl-SI"/>
        </w:rPr>
        <w:t>e</w:t>
      </w:r>
      <w:r w:rsidRPr="00DF4929">
        <w:rPr>
          <w:lang w:val="sl-SI"/>
        </w:rPr>
        <w:t xml:space="preserve"> prvega odstavka  63. člena ZDDPO-2, se ugotovljeni znesek razlike (presežek odbitka) ne more prenašati med državami ali uveljavljati kot odbitek v naslednjih ali preteklih davčnih obdobjih</w:t>
      </w:r>
      <w:r w:rsidR="00390610" w:rsidRPr="00390610">
        <w:rPr>
          <w:lang w:val="sl-SI"/>
        </w:rPr>
        <w:t xml:space="preserve"> </w:t>
      </w:r>
      <w:r w:rsidR="00390610">
        <w:rPr>
          <w:lang w:val="sl-SI"/>
        </w:rPr>
        <w:t>(66. člen</w:t>
      </w:r>
      <w:r w:rsidR="00390610" w:rsidRPr="00DF4929">
        <w:rPr>
          <w:lang w:val="sl-SI"/>
        </w:rPr>
        <w:t xml:space="preserve"> ZDDPO-2</w:t>
      </w:r>
      <w:r w:rsidR="00390610">
        <w:rPr>
          <w:lang w:val="sl-SI"/>
        </w:rPr>
        <w:t>)</w:t>
      </w:r>
      <w:r w:rsidRPr="00DF4929">
        <w:rPr>
          <w:lang w:val="sl-SI"/>
        </w:rPr>
        <w:t xml:space="preserve">. Osnovni namen t. i. pravila navadnega odbitka je v tem, da se rezidentu prizna kot odbitek od davka v Sloveniji znesek, ki ni večji od davka, ki bi ga rezident v zvezi s tujimi dohodki plačal v Sloveniji, če tujega davka  ne bi bilo mogoče odbiti. Plačila višjega končnega davka na tuje dohodke v tujini v Sloveniji ni mogoče uveljavljati, če so ti dohodki v Sloveniji manj davčno obremenjeni.  </w:t>
      </w:r>
    </w:p>
    <w:p w14:paraId="7C71F5CF" w14:textId="77777777" w:rsidR="000D5D0C" w:rsidRPr="00DF4929" w:rsidRDefault="000D5D0C" w:rsidP="000D5D0C">
      <w:pPr>
        <w:jc w:val="both"/>
        <w:rPr>
          <w:lang w:val="sl-SI"/>
        </w:rPr>
      </w:pPr>
    </w:p>
    <w:p w14:paraId="3AEFFBB0" w14:textId="77777777" w:rsidR="000D5D0C" w:rsidRPr="00DF4929" w:rsidRDefault="000D5D0C" w:rsidP="000D5D0C">
      <w:pPr>
        <w:jc w:val="both"/>
        <w:rPr>
          <w:i/>
          <w:lang w:val="sl-SI"/>
        </w:rPr>
      </w:pPr>
      <w:r w:rsidRPr="00DF4929">
        <w:rPr>
          <w:i/>
          <w:lang w:val="sl-SI"/>
        </w:rPr>
        <w:t>Primer:</w:t>
      </w:r>
    </w:p>
    <w:p w14:paraId="23976196" w14:textId="77777777" w:rsidR="000D5D0C" w:rsidRPr="00DF4929" w:rsidRDefault="000D5D0C" w:rsidP="000D5D0C">
      <w:pPr>
        <w:jc w:val="both"/>
        <w:rPr>
          <w:i/>
          <w:lang w:val="sl-SI"/>
        </w:rPr>
      </w:pPr>
      <w:r w:rsidRPr="00DF4929">
        <w:rPr>
          <w:i/>
          <w:lang w:val="sl-SI"/>
        </w:rPr>
        <w:t xml:space="preserve">Če bi znesek tujega davka na tuje dohodke v tujini znašal na primer 10.000 enot, znesek davka, ki se pripiše tujim dohodkom v Sloveniji, pa le 8.000 enot, presežka tujega davka v znesku 2.000 enot ni mogoče uveljavljati v davčnem obračunu DDPO, v katerem rezident uveljavlja </w:t>
      </w:r>
      <w:r w:rsidRPr="00DF4929">
        <w:rPr>
          <w:i/>
          <w:lang w:val="sl-SI"/>
        </w:rPr>
        <w:lastRenderedPageBreak/>
        <w:t xml:space="preserve">odbitek tujega davka. Prav tako presežka 2.000 enot ni mogoče prenesti v naslednja davčna obdobja.   </w:t>
      </w:r>
    </w:p>
    <w:p w14:paraId="3D85BF7E" w14:textId="77777777" w:rsidR="00235A8F" w:rsidRDefault="00235A8F" w:rsidP="00F92965">
      <w:pPr>
        <w:pStyle w:val="FURSnaslov2"/>
      </w:pPr>
    </w:p>
    <w:p w14:paraId="36B5B2C1" w14:textId="24AA8DB1" w:rsidR="00235A8F" w:rsidRDefault="00235A8F" w:rsidP="00235A8F">
      <w:pPr>
        <w:pStyle w:val="FURSnaslov2"/>
      </w:pPr>
      <w:bookmarkStart w:id="5" w:name="_Toc82170894"/>
      <w:r>
        <w:t>2.1.3</w:t>
      </w:r>
      <w:r w:rsidRPr="00235A8F">
        <w:t xml:space="preserve"> Nižji odbitek</w:t>
      </w:r>
      <w:r w:rsidR="0059242E">
        <w:t xml:space="preserve"> tujega davka</w:t>
      </w:r>
      <w:bookmarkEnd w:id="5"/>
    </w:p>
    <w:p w14:paraId="61EE10F4" w14:textId="77777777" w:rsidR="000D5D0C" w:rsidRDefault="000D5D0C" w:rsidP="00235A8F">
      <w:pPr>
        <w:pStyle w:val="FURSnaslov2"/>
      </w:pPr>
    </w:p>
    <w:p w14:paraId="6AAE2E24" w14:textId="77777777" w:rsidR="000D5D0C" w:rsidRPr="00DF4929" w:rsidRDefault="000D5D0C" w:rsidP="000D5D0C">
      <w:pPr>
        <w:jc w:val="both"/>
        <w:rPr>
          <w:lang w:val="sl-SI"/>
        </w:rPr>
      </w:pPr>
      <w:r w:rsidRPr="00DF4929">
        <w:rPr>
          <w:lang w:val="sl-SI"/>
        </w:rPr>
        <w:t>Če je znesek davka po ZDDPO-2 nižji od vsakega posameznega zneska iz predhodno navedene 1. in 2. točke prvega odstavka 63. člena, je v skladu s prvim odstavkom 67. člena ZDDPO-2 najvišji možni odbitek odbitek v višini zneska davka. V skladu s to določbo je znesek dovoljenega odbitka dodatno omejen z višino siceršnje davčne obveznosti v davčnem obračunu rezidenta v Sloveniji.</w:t>
      </w:r>
    </w:p>
    <w:p w14:paraId="372D17D6" w14:textId="77777777" w:rsidR="000D5D0C" w:rsidRPr="00DF4929" w:rsidRDefault="000D5D0C" w:rsidP="000D5D0C">
      <w:pPr>
        <w:jc w:val="both"/>
        <w:rPr>
          <w:lang w:val="sl-SI"/>
        </w:rPr>
      </w:pPr>
    </w:p>
    <w:p w14:paraId="57F830C7" w14:textId="77777777" w:rsidR="000D5D0C" w:rsidRPr="00DF4929" w:rsidRDefault="000D5D0C" w:rsidP="000D5D0C">
      <w:pPr>
        <w:jc w:val="both"/>
        <w:rPr>
          <w:i/>
          <w:lang w:val="sl-SI"/>
        </w:rPr>
      </w:pPr>
      <w:r w:rsidRPr="00DF4929">
        <w:rPr>
          <w:i/>
          <w:lang w:val="sl-SI"/>
        </w:rPr>
        <w:t>Primer:</w:t>
      </w:r>
    </w:p>
    <w:p w14:paraId="6774196F" w14:textId="77777777" w:rsidR="000D5D0C" w:rsidRPr="00DF4929" w:rsidRDefault="000D5D0C" w:rsidP="000D5D0C">
      <w:pPr>
        <w:jc w:val="both"/>
        <w:rPr>
          <w:i/>
          <w:lang w:val="sl-SI"/>
        </w:rPr>
      </w:pPr>
      <w:r w:rsidRPr="00DF4929">
        <w:rPr>
          <w:i/>
          <w:lang w:val="sl-SI"/>
        </w:rPr>
        <w:t xml:space="preserve">Če na primer rezident v davčnem obračunu DDPO v Sloveniji ne izkaže davčne obveznosti, ker je davčna osnova enaka nič ali ker je izkazal davčno izgubo, zavezanec ne more uveljavljati odbitka tujega davka. </w:t>
      </w:r>
    </w:p>
    <w:p w14:paraId="6C009AAD" w14:textId="77777777" w:rsidR="000D5D0C" w:rsidRPr="00DF4929" w:rsidRDefault="000D5D0C" w:rsidP="000D5D0C">
      <w:pPr>
        <w:jc w:val="both"/>
        <w:rPr>
          <w:i/>
          <w:lang w:val="sl-SI"/>
        </w:rPr>
      </w:pPr>
    </w:p>
    <w:p w14:paraId="6E3AD981" w14:textId="77777777" w:rsidR="000D5D0C" w:rsidRPr="00DF4929" w:rsidRDefault="000D5D0C" w:rsidP="000D5D0C">
      <w:pPr>
        <w:jc w:val="both"/>
        <w:rPr>
          <w:i/>
          <w:lang w:val="sl-SI"/>
        </w:rPr>
      </w:pPr>
      <w:r w:rsidRPr="00DF4929">
        <w:rPr>
          <w:i/>
          <w:lang w:val="sl-SI"/>
        </w:rPr>
        <w:t xml:space="preserve">Prav tako je v primeru, ko je znesek dokončnega in plačanega tujega davka enak na primer 3.000 enot, sorazmerni del davčne obveznosti od tujih dohodkov v Sloveniji 2.000 enot (dovoljen odbitek tujega davka znaša 2.000 enot), znesek celotne davčne obveznosti rezidenta v Sloveniji pa le 500 enot, največji možen odbitek tujega davka le 500 enot. Torej rezident v Sloveniji ne more vzpostaviti terjatve za tuj davek, če v davčnem obračunu, ob upoštevanju celotne davčne obveznosti po ZDDPO-2 v Sloveniji, ni izkazal obveznosti za davek.  </w:t>
      </w:r>
    </w:p>
    <w:p w14:paraId="62B7110A" w14:textId="77777777" w:rsidR="000D5D0C" w:rsidRPr="00DF4929" w:rsidRDefault="000D5D0C" w:rsidP="000D5D0C">
      <w:pPr>
        <w:jc w:val="both"/>
        <w:rPr>
          <w:i/>
          <w:lang w:val="sl-SI"/>
        </w:rPr>
      </w:pPr>
    </w:p>
    <w:p w14:paraId="24158B1F" w14:textId="3EEBCE74" w:rsidR="000D5D0C" w:rsidRPr="00DF4929" w:rsidRDefault="000D5D0C" w:rsidP="000D5D0C">
      <w:pPr>
        <w:jc w:val="both"/>
        <w:rPr>
          <w:lang w:val="sl-SI"/>
        </w:rPr>
      </w:pPr>
      <w:r w:rsidRPr="00DF4929">
        <w:rPr>
          <w:lang w:val="sl-SI"/>
        </w:rPr>
        <w:t xml:space="preserve">V skladu z drugim odstavkom 67. člena ZDDPO-2, </w:t>
      </w:r>
      <w:r w:rsidR="00321805">
        <w:rPr>
          <w:lang w:val="sl-SI"/>
        </w:rPr>
        <w:t xml:space="preserve">tudi </w:t>
      </w:r>
      <w:r w:rsidRPr="00DF4929">
        <w:rPr>
          <w:lang w:val="sl-SI"/>
        </w:rPr>
        <w:t xml:space="preserve">morebitnega presežka dovoljenega odbitka po 63. členu tega zakona nad celotno obveznostjo za davek v davčnem obračunu rezidenta ni mogoče prenesti v naslednja ali pretekla davčna obdobja. </w:t>
      </w:r>
    </w:p>
    <w:p w14:paraId="6FE7F392" w14:textId="77777777" w:rsidR="00235A8F" w:rsidRDefault="00235A8F" w:rsidP="00235A8F">
      <w:pPr>
        <w:pStyle w:val="FURSnaslov2"/>
      </w:pPr>
    </w:p>
    <w:p w14:paraId="312FEEED" w14:textId="6AF1A887" w:rsidR="00235A8F" w:rsidRDefault="00235A8F" w:rsidP="00235A8F">
      <w:pPr>
        <w:pStyle w:val="FURSnaslov2"/>
      </w:pPr>
      <w:bookmarkStart w:id="6" w:name="_Toc82170895"/>
      <w:r>
        <w:t>2.1.</w:t>
      </w:r>
      <w:r w:rsidR="00D55FBC">
        <w:t>4</w:t>
      </w:r>
      <w:r w:rsidRPr="00235A8F">
        <w:t xml:space="preserve"> </w:t>
      </w:r>
      <w:r w:rsidR="00A55205">
        <w:t>Sprememba odbitka tujega davka</w:t>
      </w:r>
      <w:bookmarkEnd w:id="6"/>
    </w:p>
    <w:p w14:paraId="3F89A09D" w14:textId="77777777" w:rsidR="000D5D0C" w:rsidRDefault="000D5D0C" w:rsidP="00235A8F">
      <w:pPr>
        <w:pStyle w:val="FURSnaslov2"/>
      </w:pPr>
    </w:p>
    <w:p w14:paraId="3D830FA6" w14:textId="4B334136" w:rsidR="000D5D0C" w:rsidRPr="00DF4929" w:rsidRDefault="000D5D0C" w:rsidP="000D5D0C">
      <w:pPr>
        <w:jc w:val="both"/>
        <w:rPr>
          <w:lang w:val="sl-SI"/>
        </w:rPr>
      </w:pPr>
      <w:r w:rsidRPr="00DF4929">
        <w:rPr>
          <w:lang w:val="sl-SI"/>
        </w:rPr>
        <w:t xml:space="preserve">Če se zaradi sprememb, zlasti vračil ali naknadnih plačil tujega davka, spremeni </w:t>
      </w:r>
      <w:r w:rsidR="00321805">
        <w:rPr>
          <w:lang w:val="sl-SI"/>
        </w:rPr>
        <w:t xml:space="preserve">dovoljen </w:t>
      </w:r>
      <w:r w:rsidRPr="00DF4929">
        <w:rPr>
          <w:lang w:val="sl-SI"/>
        </w:rPr>
        <w:t>odbitek, mora</w:t>
      </w:r>
      <w:r w:rsidR="00321805">
        <w:rPr>
          <w:lang w:val="sl-SI"/>
        </w:rPr>
        <w:t xml:space="preserve"> (v primeru previsokega odbitka v že predloženem obračunu</w:t>
      </w:r>
      <w:r w:rsidR="00102912">
        <w:rPr>
          <w:lang w:val="sl-SI"/>
        </w:rPr>
        <w:t xml:space="preserve"> ali vlogi)</w:t>
      </w:r>
      <w:r w:rsidR="00321805">
        <w:rPr>
          <w:lang w:val="sl-SI"/>
        </w:rPr>
        <w:t>)</w:t>
      </w:r>
      <w:r w:rsidRPr="00DF4929">
        <w:rPr>
          <w:lang w:val="sl-SI"/>
        </w:rPr>
        <w:t xml:space="preserve"> oziroma lahko</w:t>
      </w:r>
      <w:r w:rsidR="00102912">
        <w:rPr>
          <w:lang w:val="sl-SI"/>
        </w:rPr>
        <w:t xml:space="preserve"> (v primeru prenizkega odbitka v že predloženem obračunu ali vlogi) </w:t>
      </w:r>
      <w:r w:rsidRPr="00DF4929">
        <w:rPr>
          <w:lang w:val="sl-SI"/>
        </w:rPr>
        <w:t xml:space="preserve"> rezident, v skladu s 65. členom ZDDPO-2, v obdobju, ko je do spremembe prišlo, povečati oziroma zmanjšati davek, in sicer za znesek, enak razliki med priznanim odbitkom in odbitkom, ki bi bil možen, če bi se sprememba upoštevala. </w:t>
      </w:r>
    </w:p>
    <w:p w14:paraId="67FC2859" w14:textId="77777777" w:rsidR="000D5D0C" w:rsidRPr="00DF4929" w:rsidRDefault="000D5D0C" w:rsidP="000D5D0C">
      <w:pPr>
        <w:jc w:val="both"/>
        <w:rPr>
          <w:lang w:val="sl-SI"/>
        </w:rPr>
      </w:pPr>
    </w:p>
    <w:p w14:paraId="4FA4BE64" w14:textId="77777777" w:rsidR="000D5D0C" w:rsidRPr="00DF4929" w:rsidRDefault="000D5D0C" w:rsidP="000D5D0C">
      <w:pPr>
        <w:jc w:val="both"/>
        <w:rPr>
          <w:lang w:val="sl-SI"/>
        </w:rPr>
      </w:pPr>
      <w:r w:rsidRPr="00DF4929">
        <w:rPr>
          <w:lang w:val="sl-SI"/>
        </w:rPr>
        <w:t xml:space="preserve">Omenjeni člen zakona torej ureja pravice in obveznosti rezidenta, kadar se znesek tujega dokončnega in plačanega davka naknadno spremeni. Gre za spremembe, ki nastanejo po tem, ko rezident v davčnem obračunu v Sloveniji že uveljavlja znižanje davčne obveznosti za tuji davek, ali po tem, ko rezident po drugem odstavku 62. člena ZDDPO-2 (t. j. z vlogo) že uveljavlja vračilo tujega davka. </w:t>
      </w:r>
    </w:p>
    <w:p w14:paraId="7E28D6EB" w14:textId="77777777" w:rsidR="000D5D0C" w:rsidRPr="00DF4929" w:rsidRDefault="000D5D0C" w:rsidP="000D5D0C">
      <w:pPr>
        <w:jc w:val="both"/>
        <w:rPr>
          <w:lang w:val="sl-SI"/>
        </w:rPr>
      </w:pPr>
    </w:p>
    <w:p w14:paraId="7FC9F858" w14:textId="77777777" w:rsidR="000D5D0C" w:rsidRPr="00DF4929" w:rsidRDefault="000D5D0C" w:rsidP="000D5D0C">
      <w:pPr>
        <w:jc w:val="both"/>
        <w:rPr>
          <w:lang w:val="sl-SI"/>
        </w:rPr>
      </w:pPr>
      <w:r w:rsidRPr="00DF4929">
        <w:rPr>
          <w:lang w:val="sl-SI"/>
        </w:rPr>
        <w:t>Naknadne spremembe tujega davka lahko povečujejo ali znižujejo znesek dokončnega in plačanega davka v tujini.</w:t>
      </w:r>
      <w:r>
        <w:rPr>
          <w:rStyle w:val="Sprotnaopomba-sklic"/>
        </w:rPr>
        <w:footnoteReference w:id="5"/>
      </w:r>
      <w:r w:rsidRPr="00DF4929">
        <w:rPr>
          <w:lang w:val="sl-SI"/>
        </w:rPr>
        <w:t xml:space="preserve"> Razlogi za takšne spremembe so različni, največkrat pa so posledica naknadnega davčnega nadzora davčnega organa v tuji državi.</w:t>
      </w:r>
    </w:p>
    <w:p w14:paraId="0249354B" w14:textId="77777777" w:rsidR="000D5D0C" w:rsidRPr="00DF4929" w:rsidRDefault="000D5D0C" w:rsidP="000D5D0C">
      <w:pPr>
        <w:jc w:val="both"/>
        <w:rPr>
          <w:lang w:val="sl-SI"/>
        </w:rPr>
      </w:pPr>
    </w:p>
    <w:p w14:paraId="4D8E3252" w14:textId="54B543A2" w:rsidR="000D5D0C" w:rsidRPr="00DF4929" w:rsidRDefault="000D5D0C" w:rsidP="000D5D0C">
      <w:pPr>
        <w:jc w:val="both"/>
        <w:rPr>
          <w:lang w:val="sl-SI"/>
        </w:rPr>
      </w:pPr>
      <w:r w:rsidRPr="00DF4929">
        <w:rPr>
          <w:lang w:val="sl-SI"/>
        </w:rPr>
        <w:lastRenderedPageBreak/>
        <w:t>Rezident poznejšo spremembo dokončnega in plačanega tujega davka uveljavlja v davčnem obračunu, in sicer v davčnem obdobju, ko je sprememba nastala. Spremembo odbitka tujega davka upošteva tako, da poveča ali zmanjša davek za znesek, ki je enak razliki med že priznanim odbitkom in odbitkom, ki bi bil v skladu z ZDDPO-2 možen, če bi se sprememba upoštevala. Pri tem z vidika zneska spremembe tujega davka izhaja iz podatkov tistega davčnega obračuna, v katerem je bil opravljen</w:t>
      </w:r>
      <w:r w:rsidR="00102912">
        <w:rPr>
          <w:lang w:val="sl-SI"/>
        </w:rPr>
        <w:t xml:space="preserve"> prvotni</w:t>
      </w:r>
      <w:r w:rsidRPr="00DF4929">
        <w:rPr>
          <w:lang w:val="sl-SI"/>
        </w:rPr>
        <w:t xml:space="preserve"> odbitek tujega davka.</w:t>
      </w:r>
      <w:r w:rsidR="00102912">
        <w:rPr>
          <w:lang w:val="sl-SI"/>
        </w:rPr>
        <w:t xml:space="preserve"> V ta namen zavezanec izpolni prilogo 11 k obračunu DDPO ter posledično (celotno) prilogo 10 s popravkom, za obdobje, v katerem je imel vklučene te prihodke v davčno osnovo. </w:t>
      </w:r>
      <w:r w:rsidRPr="00DF4929">
        <w:rPr>
          <w:lang w:val="sl-SI"/>
        </w:rPr>
        <w:t xml:space="preserve">       </w:t>
      </w:r>
    </w:p>
    <w:p w14:paraId="3A83BCE0" w14:textId="77777777" w:rsidR="00A55205" w:rsidRDefault="00A55205" w:rsidP="00235A8F">
      <w:pPr>
        <w:pStyle w:val="FURSnaslov2"/>
      </w:pPr>
    </w:p>
    <w:p w14:paraId="65E9B72B" w14:textId="77777777" w:rsidR="00235A8F" w:rsidRDefault="00235A8F" w:rsidP="00F92965">
      <w:pPr>
        <w:pStyle w:val="FURSnaslov2"/>
      </w:pPr>
    </w:p>
    <w:p w14:paraId="6DE2D9A4" w14:textId="64E92F60" w:rsidR="00235A8F" w:rsidRDefault="00235A8F" w:rsidP="00F92965">
      <w:pPr>
        <w:pStyle w:val="FURSnaslov2"/>
      </w:pPr>
      <w:bookmarkStart w:id="7" w:name="_Toc82170896"/>
      <w:r>
        <w:t xml:space="preserve">2.2  </w:t>
      </w:r>
      <w:r w:rsidR="00584966">
        <w:t xml:space="preserve">DAVČNI </w:t>
      </w:r>
      <w:r>
        <w:t>POSTOPEK – Zakon o davčnem postopku – ZDavP-2</w:t>
      </w:r>
      <w:bookmarkEnd w:id="7"/>
    </w:p>
    <w:p w14:paraId="00A2FCD9" w14:textId="77777777" w:rsidR="001753BC" w:rsidRDefault="001753BC" w:rsidP="00F92965">
      <w:pPr>
        <w:pStyle w:val="FURSnaslov2"/>
      </w:pPr>
    </w:p>
    <w:p w14:paraId="090D9A0C" w14:textId="4301F775" w:rsidR="001753BC" w:rsidRPr="00657BEB" w:rsidRDefault="001753BC" w:rsidP="001753BC">
      <w:pPr>
        <w:jc w:val="both"/>
        <w:rPr>
          <w:lang w:val="sl-SI"/>
        </w:rPr>
      </w:pPr>
      <w:r w:rsidRPr="00657BEB">
        <w:rPr>
          <w:lang w:val="sl-SI"/>
        </w:rPr>
        <w:t>Po</w:t>
      </w:r>
      <w:r w:rsidR="007F18D2">
        <w:rPr>
          <w:lang w:val="sl-SI"/>
        </w:rPr>
        <w:t>stopkovna davčna pravila za uveljavljanje odbitka tujega davka</w:t>
      </w:r>
      <w:r w:rsidRPr="00657BEB">
        <w:rPr>
          <w:lang w:val="sl-SI"/>
        </w:rPr>
        <w:t xml:space="preserve"> rezidenta iz virov izven Slovenije so določena v 383. členu </w:t>
      </w:r>
      <w:hyperlink r:id="rId14" w:history="1">
        <w:r w:rsidRPr="00657BEB">
          <w:rPr>
            <w:rStyle w:val="Hiperpovezava"/>
            <w:lang w:val="sl-SI"/>
          </w:rPr>
          <w:t>Zakona o d</w:t>
        </w:r>
        <w:r w:rsidRPr="00657BEB">
          <w:rPr>
            <w:rStyle w:val="Hiperpovezava"/>
            <w:lang w:val="sl-SI"/>
          </w:rPr>
          <w:t>a</w:t>
        </w:r>
        <w:r w:rsidRPr="00657BEB">
          <w:rPr>
            <w:rStyle w:val="Hiperpovezava"/>
            <w:lang w:val="sl-SI"/>
          </w:rPr>
          <w:t>včnem postopku – ZDavP-2</w:t>
        </w:r>
      </w:hyperlink>
      <w:r w:rsidRPr="00657BEB">
        <w:rPr>
          <w:lang w:val="sl-SI"/>
        </w:rPr>
        <w:t>. V skladu s tem členom je možno odbitek oziroma vračilo tujega davka uveljavljati v davčnem obračunu oz. z vlogo.</w:t>
      </w:r>
    </w:p>
    <w:p w14:paraId="1900EFA4" w14:textId="77777777" w:rsidR="00A55205" w:rsidRDefault="00A55205" w:rsidP="00F92965">
      <w:pPr>
        <w:pStyle w:val="FURSnaslov2"/>
      </w:pPr>
    </w:p>
    <w:p w14:paraId="53F61FAC" w14:textId="0F679151" w:rsidR="00A55205" w:rsidRDefault="00A55205" w:rsidP="00F92965">
      <w:pPr>
        <w:pStyle w:val="FURSnaslov2"/>
      </w:pPr>
      <w:bookmarkStart w:id="8" w:name="_Toc82170897"/>
      <w:r>
        <w:t xml:space="preserve">2.2.1 </w:t>
      </w:r>
      <w:r w:rsidR="00657BEB">
        <w:t xml:space="preserve">Davčni obračun - </w:t>
      </w:r>
      <w:r>
        <w:t>Obračun davka od dohodkov pravnih oseb</w:t>
      </w:r>
      <w:bookmarkEnd w:id="8"/>
    </w:p>
    <w:p w14:paraId="5AFBE57A" w14:textId="77777777" w:rsidR="001753BC" w:rsidRDefault="001753BC" w:rsidP="00F92965">
      <w:pPr>
        <w:pStyle w:val="FURSnaslov2"/>
      </w:pPr>
    </w:p>
    <w:p w14:paraId="5A3A1B8D" w14:textId="410DCD56" w:rsidR="001753BC" w:rsidRPr="00657BEB" w:rsidRDefault="001753BC" w:rsidP="001753BC">
      <w:pPr>
        <w:jc w:val="both"/>
        <w:rPr>
          <w:lang w:val="sl-SI"/>
        </w:rPr>
      </w:pPr>
      <w:r w:rsidRPr="00657BEB">
        <w:rPr>
          <w:lang w:val="sl-SI"/>
        </w:rPr>
        <w:t xml:space="preserve">Praviloma odbitek tujega davka rezident uveljavlja neposredno v davčnem obračunu, v katerem so </w:t>
      </w:r>
      <w:r w:rsidR="00783A46">
        <w:rPr>
          <w:lang w:val="sl-SI"/>
        </w:rPr>
        <w:t xml:space="preserve">med prihodke </w:t>
      </w:r>
      <w:r w:rsidRPr="00657BEB">
        <w:rPr>
          <w:lang w:val="sl-SI"/>
        </w:rPr>
        <w:t>vključeni tudi dohodki z virom v tujini, na katere se odbitek nanaša,</w:t>
      </w:r>
      <w:r>
        <w:rPr>
          <w:rStyle w:val="Sprotnaopomba-sklic"/>
        </w:rPr>
        <w:footnoteReference w:id="6"/>
      </w:r>
      <w:r w:rsidRPr="00657BEB">
        <w:rPr>
          <w:lang w:val="sl-SI"/>
        </w:rPr>
        <w:t xml:space="preserve"> in sicer kot znižanje izračunane davčne obveznosti oziroma povedano z drugimi besedami, dvojno obdavčitev rezident v davčnem obračunu odpravi tako, da davčno obveznost, izračunano od celotnih svetovnih dohodkov, zniža za davek, ki ga je plačal od tujih dohodkov v državi vira, pri čemer upošteva omejitve, določene v 63. do 67. členu ZDDPO-2. Osnovni namen teh omejitev je preprečiti višji odbitek davka, kot bi bil na tuje dohodke plačan v Sloveniji, če odbitek ne bi bil možen. Ob tem dodajamo, da rezident ni prost pri odločitvi, kdaj oziroma v katerem davčnem obračunu bo povečal davčno osnovo za tuje dohodke. Po določbi tretjega odstavka 12. člena v povezavi z 10. členom ZDDPO-2 je namreč treba tuje dohodke v davčno osnovo vključiti v davčnem obdobju, ko so dohodki doseženi oziroma ko nastane poslovni dogodek, na podlagi katerega se evidentirajo prihodki v poslovnih knjigah rezidenta. </w:t>
      </w:r>
    </w:p>
    <w:p w14:paraId="023FE650" w14:textId="77777777" w:rsidR="001753BC" w:rsidRPr="00657BEB" w:rsidRDefault="001753BC" w:rsidP="001753BC">
      <w:pPr>
        <w:jc w:val="both"/>
        <w:rPr>
          <w:lang w:val="sl-SI"/>
        </w:rPr>
      </w:pPr>
    </w:p>
    <w:p w14:paraId="687348BA" w14:textId="77777777" w:rsidR="001753BC" w:rsidRPr="00657BEB" w:rsidRDefault="001753BC" w:rsidP="001753BC">
      <w:pPr>
        <w:jc w:val="both"/>
        <w:rPr>
          <w:lang w:val="sl-SI"/>
        </w:rPr>
      </w:pPr>
      <w:r w:rsidRPr="00657BEB">
        <w:rPr>
          <w:lang w:val="sl-SI"/>
        </w:rPr>
        <w:t>Davčnemu obračunu, v katerem uveljavlja odbitek tujega davka, mora rezident predložiti tudi dokazila o davčni obveznosti v tujini, o znesku tujega davka od dohodkov z virom v tujini, osnovi za plačilo davka in o znesku plačanega davka.</w:t>
      </w:r>
      <w:r>
        <w:rPr>
          <w:rStyle w:val="Sprotnaopomba-sklic"/>
        </w:rPr>
        <w:footnoteReference w:id="7"/>
      </w:r>
      <w:r w:rsidRPr="00657BEB">
        <w:rPr>
          <w:lang w:val="sl-SI"/>
        </w:rPr>
        <w:t xml:space="preserve"> Iz dokazil mora biti razvidno, da je bil davek dejansko tudi plačan. Ustreznost dokazil je praviloma omejena na dokazila, ki jih izda davčni organ tuje države. Kot ustrezno dokazilo se upošteva tudi dokument, ki nedvoumno dokazuje obseg in način izpolnitve davčne obveznosti zunaj Slovenije. Ni torej dovolj samo izkazati obstoj davčne obveznosti.</w:t>
      </w:r>
      <w:r>
        <w:rPr>
          <w:rStyle w:val="Sprotnaopomba-sklic"/>
        </w:rPr>
        <w:footnoteReference w:id="8"/>
      </w:r>
      <w:r w:rsidRPr="00657BEB">
        <w:rPr>
          <w:lang w:val="sl-SI"/>
        </w:rPr>
        <w:t xml:space="preserve"> Z dokumentom je treba dokazati izpolnitev davčne obveznosti. Na kakšen način je mogoče izpolniti davčno obveznost (poleg plačila, kar je najverjetnejši način izpolnitve) v tuji državi, pa ureja davčni postopek posamezne tuje države, </w:t>
      </w:r>
      <w:r w:rsidRPr="00657BEB">
        <w:rPr>
          <w:lang w:val="sl-SI"/>
        </w:rPr>
        <w:lastRenderedPageBreak/>
        <w:t>kar pomeni, da je dokazovanje izpolnitve odvisno od vsakega konkretnega primera rezidenta.</w:t>
      </w:r>
      <w:r>
        <w:rPr>
          <w:rStyle w:val="Sprotnaopomba-sklic"/>
        </w:rPr>
        <w:footnoteReference w:id="9"/>
      </w:r>
      <w:r w:rsidRPr="00657BEB">
        <w:rPr>
          <w:lang w:val="sl-SI"/>
        </w:rPr>
        <w:t xml:space="preserve">  </w:t>
      </w:r>
    </w:p>
    <w:p w14:paraId="29B9F438" w14:textId="77777777" w:rsidR="001753BC" w:rsidRPr="00657BEB" w:rsidRDefault="001753BC" w:rsidP="001753BC">
      <w:pPr>
        <w:jc w:val="both"/>
        <w:rPr>
          <w:lang w:val="sl-SI"/>
        </w:rPr>
      </w:pPr>
    </w:p>
    <w:p w14:paraId="5DDAE15B" w14:textId="77777777" w:rsidR="001753BC" w:rsidRPr="00657BEB" w:rsidRDefault="001753BC" w:rsidP="001753BC">
      <w:pPr>
        <w:jc w:val="both"/>
        <w:rPr>
          <w:lang w:val="sl-SI"/>
        </w:rPr>
      </w:pPr>
      <w:r w:rsidRPr="00657BEB">
        <w:rPr>
          <w:lang w:val="sl-SI"/>
        </w:rPr>
        <w:t xml:space="preserve">Rezident, ki v davčnem obračunu uveljavlja odbitek tujega davka na tuji dohodek, ki je bil vključen v njegovo davčno osnovo, zagotovi podatke v zvezi z odbitkom tujega davka na predpisanem obrazcu, ki je Priloga 10 Pravilnika. </w:t>
      </w:r>
    </w:p>
    <w:p w14:paraId="3104582B" w14:textId="77777777" w:rsidR="001753BC" w:rsidRPr="00657BEB" w:rsidRDefault="001753BC" w:rsidP="001753BC">
      <w:pPr>
        <w:jc w:val="both"/>
        <w:rPr>
          <w:lang w:val="sl-SI"/>
        </w:rPr>
      </w:pPr>
    </w:p>
    <w:p w14:paraId="0EB749FB" w14:textId="635DDCD3" w:rsidR="001753BC" w:rsidRPr="00657BEB" w:rsidRDefault="001753BC" w:rsidP="001753BC">
      <w:pPr>
        <w:jc w:val="both"/>
        <w:rPr>
          <w:lang w:val="sl-SI"/>
        </w:rPr>
      </w:pPr>
      <w:r w:rsidRPr="00657BEB">
        <w:rPr>
          <w:lang w:val="sl-SI"/>
        </w:rPr>
        <w:t>V skladu z metodologijo za izpolnjevanje Priloge 10 se npr. v stolpec 3 (Osnova za plačilo davka) vpiše znesek, ki pomeni osnovo za plačilo davka od tujega dohodka, ki ga je zavezanec vključil v davčno osnovo v davčnem obdobju, za katerega se uveljavlja vračilo tujega davka. V primeru poslovne enote je to razlika med prihodki in odhodki poslovne enote, ugotovljenimi v skladu z določbami ZDDPO-2</w:t>
      </w:r>
      <w:r w:rsidR="00380165">
        <w:rPr>
          <w:lang w:val="sl-SI"/>
        </w:rPr>
        <w:t xml:space="preserve"> (kar ni nujno enako davčni osnovi v državi poslovanja)</w:t>
      </w:r>
      <w:r w:rsidRPr="00657BEB">
        <w:rPr>
          <w:lang w:val="sl-SI"/>
        </w:rPr>
        <w:t xml:space="preserve">. Ta znesek je podlaga za izračun zneska davka po 2. točki prvega odstavka 63. člena ZDDPO-2, ki se izkaže v Prilogi 10 v stolpcu 10. </w:t>
      </w:r>
    </w:p>
    <w:p w14:paraId="289DEC4A" w14:textId="77777777" w:rsidR="001753BC" w:rsidRPr="00657BEB" w:rsidRDefault="001753BC" w:rsidP="001753BC">
      <w:pPr>
        <w:jc w:val="both"/>
        <w:rPr>
          <w:lang w:val="sl-SI"/>
        </w:rPr>
      </w:pPr>
    </w:p>
    <w:p w14:paraId="4D7E9F02" w14:textId="12B951A4" w:rsidR="001753BC" w:rsidRPr="00657BEB" w:rsidRDefault="001753BC" w:rsidP="001753BC">
      <w:pPr>
        <w:jc w:val="both"/>
        <w:rPr>
          <w:lang w:val="sl-SI"/>
        </w:rPr>
      </w:pPr>
      <w:r w:rsidRPr="00657BEB">
        <w:rPr>
          <w:lang w:val="sl-SI"/>
        </w:rPr>
        <w:t>Znesek davka, ki bi ga bilo treba plačati po ZDDPO-2 za tuje dohodke, če odbitek ne bi bil možen, se izračuna po formuli, kjer se v primeru poslovne enote v števcu formule, upošteva znesek razlike med prihodki in odhodki poslovne enote, ugotovljenimi v skladu z določbami ZDDPO-2 (znesek iz stolpca 3 Priloge 10 (izračuna se kot razlika med prihodki in odhodki poslovne enote v skladu z določbami ZDDPO-2) v imenovalcu se upošteva znesek razlike med celotnimi davčno priznanimi prihodki in celotnimi davčno priznanimi odhodki (razlika med zaporedno št. 4 in zaporedno št. 8 obrazca Obračuna DDPO) in navedeno se pomnoži z zneskom davka (zap. št. 17 Obračuna DDPO).</w:t>
      </w:r>
      <w:r w:rsidR="00002E12">
        <w:rPr>
          <w:lang w:val="sl-SI"/>
        </w:rPr>
        <w:t xml:space="preserve"> V stolpec 5 se vpiše skupni znesek obračunanega davka od tega prihodka oz. dohodka v državi vira. Če se od določenega dohodka (primeroma dohodka iz dejavnosti </w:t>
      </w:r>
      <w:r w:rsidR="00B9483D">
        <w:rPr>
          <w:lang w:val="sl-SI"/>
        </w:rPr>
        <w:t>poslovne enote</w:t>
      </w:r>
      <w:r w:rsidR="00002E12">
        <w:rPr>
          <w:lang w:val="sl-SI"/>
        </w:rPr>
        <w:t xml:space="preserve"> v tujini) v tujini od iste osnove obračuna več različnih vrst davka (npr, državni davek in lokalni davek) in s</w:t>
      </w:r>
      <w:r w:rsidR="00C10BD0">
        <w:rPr>
          <w:lang w:val="sl-SI"/>
        </w:rPr>
        <w:t>e</w:t>
      </w:r>
      <w:r w:rsidR="00002E12">
        <w:rPr>
          <w:lang w:val="sl-SI"/>
        </w:rPr>
        <w:t xml:space="preserve"> vse te vrste davka po </w:t>
      </w:r>
      <w:r w:rsidR="00B9483D">
        <w:rPr>
          <w:lang w:val="sl-SI"/>
        </w:rPr>
        <w:t xml:space="preserve">mednarodni pogodbi </w:t>
      </w:r>
      <w:r w:rsidR="00002E12">
        <w:rPr>
          <w:lang w:val="sl-SI"/>
        </w:rPr>
        <w:t>z državo vira štejejo po vsebini za primerljiv davek davku od dohodkov pravnih oseb, se tu vpiše skupni znesek.</w:t>
      </w:r>
    </w:p>
    <w:p w14:paraId="0DA6FE8D" w14:textId="77777777" w:rsidR="001753BC" w:rsidRPr="00657BEB" w:rsidRDefault="001753BC" w:rsidP="001753BC">
      <w:pPr>
        <w:jc w:val="both"/>
        <w:rPr>
          <w:lang w:val="sl-SI"/>
        </w:rPr>
      </w:pPr>
    </w:p>
    <w:p w14:paraId="5A800D23" w14:textId="77777777" w:rsidR="001753BC" w:rsidRPr="00657BEB" w:rsidRDefault="001753BC" w:rsidP="001753BC">
      <w:pPr>
        <w:jc w:val="both"/>
        <w:rPr>
          <w:lang w:val="sl-SI"/>
        </w:rPr>
      </w:pPr>
      <w:r w:rsidRPr="00657BEB">
        <w:rPr>
          <w:lang w:val="sl-SI"/>
        </w:rPr>
        <w:t>Pripominjamo, da rezident tudi v primeru spremembe odbitka tujega davka,</w:t>
      </w:r>
      <w:r>
        <w:rPr>
          <w:rStyle w:val="Sprotnaopomba-sklic"/>
        </w:rPr>
        <w:footnoteReference w:id="10"/>
      </w:r>
      <w:r w:rsidRPr="00657BEB">
        <w:rPr>
          <w:lang w:val="sl-SI"/>
        </w:rPr>
        <w:t xml:space="preserve"> to spremembo v davčnem obračunu posebej izkaže. Poleg tega o spremembi odbitka tujega davka poroča tudi na posebnem obrazcu, ki je Priloga 11 Pravilnika. Če naknadno popravlja odbitek tujega davka, mora ponovno preračunati dopustni odbitek tujega davka za tisto davčno obdobje, v katerem je uveljavljal odbitek, ki ga popravlja. </w:t>
      </w:r>
    </w:p>
    <w:p w14:paraId="7D84CE1B" w14:textId="77777777" w:rsidR="001753BC" w:rsidRPr="00657BEB" w:rsidRDefault="001753BC" w:rsidP="001753BC">
      <w:pPr>
        <w:jc w:val="both"/>
        <w:rPr>
          <w:lang w:val="sl-SI"/>
        </w:rPr>
      </w:pPr>
    </w:p>
    <w:p w14:paraId="6AE3CC34" w14:textId="6A7DACDC" w:rsidR="001753BC" w:rsidRPr="00657BEB" w:rsidRDefault="001753BC" w:rsidP="001753BC">
      <w:pPr>
        <w:jc w:val="both"/>
        <w:rPr>
          <w:lang w:val="sl-SI"/>
        </w:rPr>
      </w:pPr>
      <w:r w:rsidRPr="00657BEB">
        <w:rPr>
          <w:lang w:val="sl-SI"/>
        </w:rPr>
        <w:t>Glede dokazovanja naknadne spremembe dokončnega in plačanega tujega davka</w:t>
      </w:r>
      <w:r w:rsidR="00B220DF">
        <w:rPr>
          <w:lang w:val="sl-SI"/>
        </w:rPr>
        <w:t xml:space="preserve"> </w:t>
      </w:r>
      <w:r w:rsidR="00250807">
        <w:rPr>
          <w:lang w:val="sl-SI"/>
        </w:rPr>
        <w:t>velja</w:t>
      </w:r>
      <w:r w:rsidRPr="00657BEB">
        <w:rPr>
          <w:lang w:val="sl-SI"/>
        </w:rPr>
        <w:t>, da se  tudi v tem primeru (kot pri uveljavljanju odbitka tujega davka) upoštevata že omenjena 64. člen ZDDPO-2 in drugi odstavek 383. člena ZDavP-2, v skladu s katerima je rezident dolžan dokazati naravo in znesek spremembe tujega davka.</w:t>
      </w:r>
    </w:p>
    <w:p w14:paraId="4F8F43EC" w14:textId="77777777" w:rsidR="00A55205" w:rsidRDefault="00A55205" w:rsidP="00F92965">
      <w:pPr>
        <w:pStyle w:val="FURSnaslov2"/>
      </w:pPr>
    </w:p>
    <w:p w14:paraId="50683F52" w14:textId="64A6015D" w:rsidR="00A55205" w:rsidRDefault="00A55205" w:rsidP="00A55205">
      <w:pPr>
        <w:pStyle w:val="FURSnaslov2"/>
      </w:pPr>
      <w:bookmarkStart w:id="9" w:name="_Toc82170898"/>
      <w:r>
        <w:t>2.2.2 Vloga za vračilo davka</w:t>
      </w:r>
      <w:bookmarkEnd w:id="9"/>
    </w:p>
    <w:p w14:paraId="22233F8A" w14:textId="77777777" w:rsidR="00012E25" w:rsidRDefault="00012E25" w:rsidP="00A55205">
      <w:pPr>
        <w:pStyle w:val="FURSnaslov2"/>
      </w:pPr>
    </w:p>
    <w:p w14:paraId="08BF5DB3" w14:textId="5D3B7488" w:rsidR="001753BC" w:rsidRPr="00DF4929" w:rsidRDefault="001753BC" w:rsidP="001753BC">
      <w:pPr>
        <w:jc w:val="both"/>
        <w:rPr>
          <w:lang w:val="sl-SI"/>
        </w:rPr>
      </w:pPr>
      <w:r w:rsidRPr="00DF4929">
        <w:rPr>
          <w:lang w:val="sl-SI"/>
        </w:rPr>
        <w:t>V praksi obstajajo primeri, ko oba pogoja, ki morata biti izpolnjena kumulativno (t. j. 1)</w:t>
      </w:r>
      <w:r w:rsidR="00B9483D">
        <w:rPr>
          <w:lang w:val="sl-SI"/>
        </w:rPr>
        <w:t>,</w:t>
      </w:r>
      <w:r w:rsidRPr="00DF4929">
        <w:rPr>
          <w:lang w:val="sl-SI"/>
        </w:rPr>
        <w:t xml:space="preserve"> da so tuji dohodki (prihodki) vključijo v davčno osnovo glede na datum nastanka dohodka in 2)</w:t>
      </w:r>
      <w:r w:rsidR="00B9483D">
        <w:rPr>
          <w:lang w:val="sl-SI"/>
        </w:rPr>
        <w:t>,</w:t>
      </w:r>
      <w:r w:rsidRPr="00DF4929">
        <w:rPr>
          <w:lang w:val="sl-SI"/>
        </w:rPr>
        <w:t xml:space="preserve"> da se odbitek tujega davka prizna na podlagi dokazila o plačanem davku v tujini</w:t>
      </w:r>
      <w:r>
        <w:rPr>
          <w:rStyle w:val="Sprotnaopomba-sklic"/>
        </w:rPr>
        <w:footnoteReference w:id="11"/>
      </w:r>
      <w:r w:rsidRPr="00DF4929">
        <w:rPr>
          <w:lang w:val="sl-SI"/>
        </w:rPr>
        <w:t xml:space="preserve">), da bi rezident lahko odbitek tujega davka uveljavljal v davčnem obračunu, nista izpolnjena hkrati. </w:t>
      </w:r>
      <w:r w:rsidR="00F54B03">
        <w:rPr>
          <w:lang w:val="sl-SI"/>
        </w:rPr>
        <w:t xml:space="preserve">Če v času oddaje davčnega obračuna obračunan davek v tujini, od tujih dohodkov, ki so bili </w:t>
      </w:r>
      <w:r w:rsidR="00F54B03">
        <w:rPr>
          <w:lang w:val="sl-SI"/>
        </w:rPr>
        <w:lastRenderedPageBreak/>
        <w:t>vključeni v osnovo tega obračuna, še ni bil plačan, zavezanec ne more v tem obračunu uveljavljati odbitka v tujini plačanega davka.</w:t>
      </w:r>
    </w:p>
    <w:p w14:paraId="307A5CEB" w14:textId="77777777" w:rsidR="001753BC" w:rsidRPr="00DF4929" w:rsidRDefault="001753BC" w:rsidP="001753BC">
      <w:pPr>
        <w:jc w:val="both"/>
        <w:rPr>
          <w:lang w:val="sl-SI"/>
        </w:rPr>
      </w:pPr>
    </w:p>
    <w:p w14:paraId="614B6262" w14:textId="77777777" w:rsidR="001753BC" w:rsidRPr="00DF4929" w:rsidRDefault="001753BC" w:rsidP="001753BC">
      <w:pPr>
        <w:jc w:val="both"/>
        <w:rPr>
          <w:i/>
          <w:lang w:val="sl-SI"/>
        </w:rPr>
      </w:pPr>
      <w:r w:rsidRPr="00DF4929">
        <w:rPr>
          <w:i/>
          <w:lang w:val="sl-SI"/>
        </w:rPr>
        <w:t>Primer:</w:t>
      </w:r>
    </w:p>
    <w:p w14:paraId="240A4097" w14:textId="77777777" w:rsidR="001753BC" w:rsidRPr="00DF4929" w:rsidRDefault="001753BC" w:rsidP="001753BC">
      <w:pPr>
        <w:jc w:val="both"/>
        <w:rPr>
          <w:i/>
          <w:lang w:val="sl-SI"/>
        </w:rPr>
      </w:pPr>
      <w:r w:rsidRPr="00DF4929">
        <w:rPr>
          <w:i/>
          <w:lang w:val="sl-SI"/>
        </w:rPr>
        <w:t>Rezident razpolaga s podatki o tujih dohodkih za določeno davčno obdobje in jih je že vključil v davčno osnovo (ker je obračunal prihodke po računovodskih standardih) v davčnem obračunu za to davčno obdobje, vendar do datuma predložitve davčnega obračuna davčnemu organu v Sloveniji še nima dokaza o dejanskem plačilu davka v tujini. Tega dobi kasneje.</w:t>
      </w:r>
    </w:p>
    <w:p w14:paraId="385CA56A" w14:textId="77777777" w:rsidR="001753BC" w:rsidRPr="00DF4929" w:rsidRDefault="001753BC" w:rsidP="001753BC">
      <w:pPr>
        <w:jc w:val="both"/>
        <w:rPr>
          <w:lang w:val="sl-SI"/>
        </w:rPr>
      </w:pPr>
    </w:p>
    <w:p w14:paraId="5463D451" w14:textId="44CA0069" w:rsidR="000D20D5" w:rsidRDefault="001753BC" w:rsidP="001753BC">
      <w:pPr>
        <w:jc w:val="both"/>
        <w:rPr>
          <w:lang w:val="sl-SI"/>
        </w:rPr>
      </w:pPr>
      <w:r w:rsidRPr="00DF4929">
        <w:rPr>
          <w:lang w:val="sl-SI"/>
        </w:rPr>
        <w:t xml:space="preserve">V takih primerih lahko rezident vračilo tujega davka na tuji dohodek, ki je bil vključen v njegovo davčno osnovo v </w:t>
      </w:r>
      <w:r w:rsidR="00F54B03">
        <w:rPr>
          <w:lang w:val="sl-SI"/>
        </w:rPr>
        <w:t>zadnjem predloženem obračunu</w:t>
      </w:r>
      <w:r w:rsidRPr="00DF4929">
        <w:rPr>
          <w:lang w:val="sl-SI"/>
        </w:rPr>
        <w:t>, uveljavlja naknadno</w:t>
      </w:r>
      <w:r w:rsidR="005B3C30">
        <w:rPr>
          <w:lang w:val="sl-SI"/>
        </w:rPr>
        <w:t>,</w:t>
      </w:r>
      <w:r w:rsidR="00F54B03">
        <w:rPr>
          <w:lang w:val="sl-SI"/>
        </w:rPr>
        <w:t xml:space="preserve"> po prejemu ustreznih dokazil o plačilu,</w:t>
      </w:r>
      <w:r w:rsidRPr="00DF4929">
        <w:rPr>
          <w:lang w:val="sl-SI"/>
        </w:rPr>
        <w:t xml:space="preserve"> </w:t>
      </w:r>
      <w:r w:rsidR="005B3C30">
        <w:rPr>
          <w:lang w:val="sl-SI"/>
        </w:rPr>
        <w:t xml:space="preserve"> in sicer ali </w:t>
      </w:r>
      <w:r w:rsidRPr="00DF4929">
        <w:rPr>
          <w:lang w:val="sl-SI"/>
        </w:rPr>
        <w:t>z vlogo</w:t>
      </w:r>
      <w:r w:rsidR="005B3C30">
        <w:rPr>
          <w:lang w:val="sl-SI"/>
        </w:rPr>
        <w:t xml:space="preserve"> za vračilo preveč plačanega davka po 383. členu ZDavP-2</w:t>
      </w:r>
      <w:r>
        <w:rPr>
          <w:rStyle w:val="Sprotnaopomba-sklic"/>
        </w:rPr>
        <w:footnoteReference w:id="12"/>
      </w:r>
      <w:r w:rsidRPr="00DF4929">
        <w:rPr>
          <w:lang w:val="sl-SI"/>
        </w:rPr>
        <w:t xml:space="preserve"> </w:t>
      </w:r>
      <w:r w:rsidR="00F54B03">
        <w:rPr>
          <w:lang w:val="sl-SI"/>
        </w:rPr>
        <w:t xml:space="preserve">ali </w:t>
      </w:r>
      <w:r w:rsidRPr="00DF4929">
        <w:rPr>
          <w:lang w:val="sl-SI"/>
        </w:rPr>
        <w:t xml:space="preserve"> </w:t>
      </w:r>
      <w:r w:rsidR="00F54B03">
        <w:rPr>
          <w:lang w:val="sl-SI"/>
        </w:rPr>
        <w:t xml:space="preserve">pa </w:t>
      </w:r>
      <w:r w:rsidR="005B3C30">
        <w:rPr>
          <w:lang w:val="sl-SI"/>
        </w:rPr>
        <w:t xml:space="preserve"> v</w:t>
      </w:r>
      <w:r w:rsidR="00F54B03">
        <w:rPr>
          <w:lang w:val="sl-SI"/>
        </w:rPr>
        <w:t xml:space="preserve"> davčnem obračunu za naslednje</w:t>
      </w:r>
      <w:r w:rsidRPr="00DF4929">
        <w:rPr>
          <w:lang w:val="sl-SI"/>
        </w:rPr>
        <w:t xml:space="preserve"> davčn</w:t>
      </w:r>
      <w:r w:rsidR="00F54B03">
        <w:rPr>
          <w:lang w:val="sl-SI"/>
        </w:rPr>
        <w:t>o</w:t>
      </w:r>
      <w:r w:rsidRPr="00DF4929">
        <w:rPr>
          <w:lang w:val="sl-SI"/>
        </w:rPr>
        <w:t xml:space="preserve"> obdobj</w:t>
      </w:r>
      <w:r w:rsidR="00F54B03">
        <w:rPr>
          <w:lang w:val="sl-SI"/>
        </w:rPr>
        <w:t>e</w:t>
      </w:r>
      <w:r w:rsidR="00B9483D">
        <w:rPr>
          <w:lang w:val="sl-SI"/>
        </w:rPr>
        <w:t>,</w:t>
      </w:r>
      <w:r w:rsidR="005B3C30">
        <w:rPr>
          <w:lang w:val="sl-SI"/>
        </w:rPr>
        <w:t xml:space="preserve"> in sicer preko </w:t>
      </w:r>
      <w:r w:rsidR="00B9483D">
        <w:rPr>
          <w:lang w:val="sl-SI"/>
        </w:rPr>
        <w:t>P</w:t>
      </w:r>
      <w:r w:rsidR="005B3C30">
        <w:rPr>
          <w:lang w:val="sl-SI"/>
        </w:rPr>
        <w:t>riloge 11 k davčnemu obračunu.</w:t>
      </w:r>
      <w:r w:rsidRPr="00DF4929">
        <w:rPr>
          <w:lang w:val="sl-SI"/>
        </w:rPr>
        <w:t xml:space="preserve"> Vračilo davka v naslednjih davčnih obdobjih se rezidentu izvede pod pogoji, ki sicer veljajo za odbitek tujega davka.</w:t>
      </w:r>
      <w:r>
        <w:rPr>
          <w:rStyle w:val="Sprotnaopomba-sklic"/>
        </w:rPr>
        <w:footnoteReference w:id="13"/>
      </w:r>
      <w:r w:rsidRPr="00DF4929">
        <w:rPr>
          <w:lang w:val="sl-SI"/>
        </w:rPr>
        <w:t xml:space="preserve"> To pomeni, da se znesek možnega vračila davka izračuna na način, kot da bi rezident v davčnem obdobju, v katerem je tuje dohodke vključil v davčno osnovo, uveljavljal odbitek tujega davka oziroma znižuje davčne obveznosti za znesek tujega davka.</w:t>
      </w:r>
      <w:r w:rsidR="005B3C30">
        <w:rPr>
          <w:lang w:val="sl-SI"/>
        </w:rPr>
        <w:t xml:space="preserve"> V obeh primerih mora rezident izpolniti tudi </w:t>
      </w:r>
      <w:r w:rsidR="00B9483D">
        <w:rPr>
          <w:lang w:val="sl-SI"/>
        </w:rPr>
        <w:t>P</w:t>
      </w:r>
      <w:r w:rsidR="005B3C30">
        <w:rPr>
          <w:lang w:val="sl-SI"/>
        </w:rPr>
        <w:t>rilogo 10, kjer pri izračunu upošteva podatke iz priloge in podatke iz davčnega obračuna za leto, v katerem so bili vključeni tuji dohodki, za katere uveljavlja v tujini plačan davek,  v davčno osnovo.</w:t>
      </w:r>
      <w:r w:rsidRPr="00DF4929">
        <w:rPr>
          <w:lang w:val="sl-SI"/>
        </w:rPr>
        <w:t xml:space="preserve">  </w:t>
      </w:r>
    </w:p>
    <w:p w14:paraId="1653A722" w14:textId="77777777" w:rsidR="00E366D5" w:rsidRDefault="00E366D5" w:rsidP="001753BC">
      <w:pPr>
        <w:jc w:val="both"/>
        <w:rPr>
          <w:lang w:val="sl-SI"/>
        </w:rPr>
      </w:pPr>
    </w:p>
    <w:p w14:paraId="0BEEE155" w14:textId="3FC3B0A6" w:rsidR="00E366D5" w:rsidRDefault="001753BC" w:rsidP="00657BEB">
      <w:pPr>
        <w:pStyle w:val="FURSnaslov2"/>
      </w:pPr>
      <w:r w:rsidRPr="00DF4929">
        <w:t xml:space="preserve"> </w:t>
      </w:r>
      <w:bookmarkStart w:id="10" w:name="_Toc82170899"/>
      <w:r w:rsidR="00E366D5">
        <w:t>2.2.3 Naknadno odmerjen davek v tujini</w:t>
      </w:r>
      <w:bookmarkEnd w:id="10"/>
    </w:p>
    <w:p w14:paraId="515CAF3D" w14:textId="77777777" w:rsidR="00E366D5" w:rsidRPr="007F18D2" w:rsidRDefault="00E366D5" w:rsidP="003F291E">
      <w:pPr>
        <w:jc w:val="both"/>
        <w:rPr>
          <w:lang w:val="sl-SI"/>
        </w:rPr>
      </w:pPr>
    </w:p>
    <w:p w14:paraId="55FF7292" w14:textId="52BC133A" w:rsidR="00E366D5" w:rsidRPr="00DF4929" w:rsidRDefault="00E366D5" w:rsidP="00E366D5">
      <w:pPr>
        <w:jc w:val="both"/>
        <w:rPr>
          <w:lang w:val="sl-SI"/>
        </w:rPr>
      </w:pPr>
      <w:r w:rsidRPr="00DF4929">
        <w:rPr>
          <w:lang w:val="sl-SI"/>
        </w:rPr>
        <w:t>V primeru, da rezident v davčni obračun, natančneje v davčno osnovo sploh ni vključil dohodkov, ki jih je dosegel v tujini v določenem davčnem obdobju,</w:t>
      </w:r>
      <w:r>
        <w:rPr>
          <w:rStyle w:val="Sprotnaopomba-sklic"/>
        </w:rPr>
        <w:footnoteReference w:id="14"/>
      </w:r>
      <w:r w:rsidRPr="00DF4929">
        <w:rPr>
          <w:lang w:val="sl-SI"/>
        </w:rPr>
        <w:t xml:space="preserve"> davčni organ tuje države pa je naknadno v nadzoru ugotovil obstoj poslovne enote rezidenta v tujini in od dohodkov, doseženih v tej poslovni enoti tudi odmeril davek, je rezident dolžan slovenskemu davčnemu organu predložiti popravek davčnega obračuna, sestavljenega za obdobje, v katerem so bili tuji dohodki doseženi in vanj tudi vključiti te tuje dohodke. V okviru tega popravka davčnega obračuna pa lahko rezident uveljavlja tudi odbitek tujega davka, če za</w:t>
      </w:r>
      <w:r w:rsidR="00B9483D">
        <w:rPr>
          <w:lang w:val="sl-SI"/>
        </w:rPr>
        <w:t xml:space="preserve"> </w:t>
      </w:r>
      <w:r w:rsidRPr="00DF4929">
        <w:rPr>
          <w:lang w:val="sl-SI"/>
        </w:rPr>
        <w:t xml:space="preserve">to izpolnjuje vse, v predhodnih točkah omenjene pogoje.  </w:t>
      </w:r>
    </w:p>
    <w:p w14:paraId="5542B510" w14:textId="57A58F4B" w:rsidR="001753BC" w:rsidRPr="00DF4929" w:rsidRDefault="001753BC" w:rsidP="001753BC">
      <w:pPr>
        <w:jc w:val="both"/>
        <w:rPr>
          <w:lang w:val="sl-SI"/>
        </w:rPr>
      </w:pPr>
    </w:p>
    <w:p w14:paraId="07A49802" w14:textId="77777777" w:rsidR="00A55205" w:rsidRDefault="00A55205" w:rsidP="00F92965">
      <w:pPr>
        <w:pStyle w:val="FURSnaslov2"/>
      </w:pPr>
    </w:p>
    <w:p w14:paraId="2FB934C2" w14:textId="75CAB3DB" w:rsidR="00A55205" w:rsidRDefault="00012E25" w:rsidP="00657BEB">
      <w:pPr>
        <w:pStyle w:val="FURSnaslov1"/>
        <w:jc w:val="both"/>
        <w:rPr>
          <w:sz w:val="28"/>
          <w:szCs w:val="28"/>
        </w:rPr>
      </w:pPr>
      <w:bookmarkStart w:id="11" w:name="_Toc82170900"/>
      <w:r w:rsidRPr="00657BEB">
        <w:rPr>
          <w:sz w:val="28"/>
          <w:szCs w:val="28"/>
        </w:rPr>
        <w:t>3. FIZIČNE OSE</w:t>
      </w:r>
      <w:r w:rsidR="003354C9" w:rsidRPr="00657BEB">
        <w:rPr>
          <w:sz w:val="28"/>
          <w:szCs w:val="28"/>
        </w:rPr>
        <w:t>BE, KI OPRAVLJA</w:t>
      </w:r>
      <w:r w:rsidR="00294402" w:rsidRPr="00657BEB">
        <w:rPr>
          <w:sz w:val="28"/>
          <w:szCs w:val="28"/>
        </w:rPr>
        <w:t>JO DEJAVNOST</w:t>
      </w:r>
      <w:bookmarkEnd w:id="11"/>
      <w:r w:rsidR="00294402" w:rsidRPr="00657BEB">
        <w:rPr>
          <w:sz w:val="28"/>
          <w:szCs w:val="28"/>
        </w:rPr>
        <w:t xml:space="preserve"> </w:t>
      </w:r>
    </w:p>
    <w:p w14:paraId="4921B765" w14:textId="77777777" w:rsidR="00E301C6" w:rsidRDefault="00E301C6" w:rsidP="00657BEB">
      <w:pPr>
        <w:pStyle w:val="FURSnaslov1"/>
        <w:jc w:val="both"/>
        <w:rPr>
          <w:sz w:val="28"/>
          <w:szCs w:val="28"/>
        </w:rPr>
      </w:pPr>
    </w:p>
    <w:p w14:paraId="2598DD8E" w14:textId="77777777" w:rsidR="00E301C6" w:rsidRPr="00DF4929" w:rsidRDefault="00E301C6" w:rsidP="00E301C6">
      <w:pPr>
        <w:jc w:val="both"/>
        <w:rPr>
          <w:lang w:val="sl-SI"/>
        </w:rPr>
      </w:pPr>
      <w:r w:rsidRPr="00DF4929">
        <w:rPr>
          <w:lang w:val="sl-SI"/>
        </w:rPr>
        <w:t xml:space="preserve">Davčni zavezanec – fizična oseba z dejavnostjo, rezident (v nadaljevanju: rezident), je v skladu s prvim odstavkom 5. člena </w:t>
      </w:r>
      <w:hyperlink r:id="rId15" w:history="1">
        <w:r w:rsidRPr="00DF4929">
          <w:rPr>
            <w:rStyle w:val="Hiperpovezava"/>
            <w:lang w:val="sl-SI"/>
          </w:rPr>
          <w:t>Zakon</w:t>
        </w:r>
        <w:r w:rsidRPr="00DF4929">
          <w:rPr>
            <w:rStyle w:val="Hiperpovezava"/>
            <w:lang w:val="sl-SI"/>
          </w:rPr>
          <w:t>a</w:t>
        </w:r>
        <w:r w:rsidRPr="00DF4929">
          <w:rPr>
            <w:rStyle w:val="Hiperpovezava"/>
            <w:lang w:val="sl-SI"/>
          </w:rPr>
          <w:t xml:space="preserve"> o dohodnini – ZDoh-2</w:t>
        </w:r>
      </w:hyperlink>
      <w:r w:rsidRPr="00DF4929">
        <w:rPr>
          <w:lang w:val="sl-SI"/>
        </w:rPr>
        <w:t xml:space="preserve"> zavezan za davek od vseh dohodkov, ki imajo svoj vir v Sloveniji in od vseh dohodkov, ki imajo svoj vir izven Slovenije. Dohodki iz dejavnosti, ki so predmet obdavčitve po ZDoh-2, se obdavčujejo v obsegu in na način, kot je določeno s tem zakonom. </w:t>
      </w:r>
    </w:p>
    <w:p w14:paraId="74786075" w14:textId="77777777" w:rsidR="00E301C6" w:rsidRPr="00DF4929" w:rsidRDefault="00E301C6" w:rsidP="00E301C6">
      <w:pPr>
        <w:jc w:val="both"/>
        <w:rPr>
          <w:lang w:val="sl-SI"/>
        </w:rPr>
      </w:pPr>
    </w:p>
    <w:p w14:paraId="49195A78" w14:textId="77777777" w:rsidR="00E301C6" w:rsidRPr="00DF4929" w:rsidRDefault="00E301C6" w:rsidP="00E301C6">
      <w:pPr>
        <w:jc w:val="both"/>
        <w:rPr>
          <w:lang w:val="sl-SI"/>
        </w:rPr>
      </w:pPr>
      <w:r w:rsidRPr="00DF4929">
        <w:rPr>
          <w:lang w:val="sl-SI"/>
        </w:rPr>
        <w:t>V skladu z navedenim je rezident dolžan dohodke, dosežene v ali preko poslovne enote izven Slovenije, vključiti v davčno osnovo v davčnem obračunu akontacije dohodnine in dohodnine od dohodka iz dejavnosti (v nadaljevanju: davčni obračun) na enak način kot to velja za dohodke z virom v Sloveniji.</w:t>
      </w:r>
      <w:r>
        <w:rPr>
          <w:rStyle w:val="Sprotnaopomba-sklic"/>
        </w:rPr>
        <w:footnoteReference w:id="15"/>
      </w:r>
      <w:r w:rsidRPr="00DF4929">
        <w:rPr>
          <w:lang w:val="sl-SI"/>
        </w:rPr>
        <w:t xml:space="preserve"> V skladu z 48. členom ZDoh-2 je davčna osnova od </w:t>
      </w:r>
      <w:r w:rsidRPr="00DF4929">
        <w:rPr>
          <w:lang w:val="sl-SI"/>
        </w:rPr>
        <w:lastRenderedPageBreak/>
        <w:t xml:space="preserve">dohodka iz dejavnosti rezidenta dobiček (presežek prihodkov nad odhodki), ki se ugotovi v skladu z določbami tega zakona. Za ugotavljanje prihodkov in odhodkov se uporabljajo predpisi o obdavčitvi dohodkov pravnih oseb (t. j. ZDDPO-2), če ni z ZDoh-2 drugače določeno oziroma povedano drugače, pri določanju prihodkov in odhodkov se upoštevajo prihodki in odhodki, ugotovljeni v izkazu poslovnega izida oziroma letnem poročilu, ki ustreza izkazu poslovnega izida, z določenimi prilagoditvami oziroma popravki na strani prihodkov in odhodkov, kot jih zahteva ZDoh-2 in ZDDPO-2.  </w:t>
      </w:r>
    </w:p>
    <w:p w14:paraId="46D30153" w14:textId="77777777" w:rsidR="00012E25" w:rsidRDefault="00012E25" w:rsidP="00F92965">
      <w:pPr>
        <w:pStyle w:val="FURSnaslov2"/>
      </w:pPr>
    </w:p>
    <w:p w14:paraId="3593C7CD" w14:textId="59580F46" w:rsidR="0002573A" w:rsidRDefault="00B53839" w:rsidP="00EF0FD1">
      <w:pPr>
        <w:pStyle w:val="FURSnaslov2"/>
      </w:pPr>
      <w:bookmarkStart w:id="12" w:name="_Toc82170901"/>
      <w:r>
        <w:t xml:space="preserve">3.1 </w:t>
      </w:r>
      <w:r w:rsidRPr="00802262">
        <w:t xml:space="preserve"> </w:t>
      </w:r>
      <w:r>
        <w:t xml:space="preserve">ODBITEK TUJEGA </w:t>
      </w:r>
      <w:r w:rsidRPr="0002573A">
        <w:t>DAVKA</w:t>
      </w:r>
      <w:r w:rsidR="0002573A" w:rsidRPr="001A2136">
        <w:t xml:space="preserve"> ( Zakon o dohodnini – ZDoh-2)</w:t>
      </w:r>
      <w:bookmarkEnd w:id="12"/>
      <w:r w:rsidR="0002573A" w:rsidRPr="001A2136">
        <w:t xml:space="preserve"> </w:t>
      </w:r>
    </w:p>
    <w:p w14:paraId="617F13FB" w14:textId="77777777" w:rsidR="00492709" w:rsidRDefault="00492709" w:rsidP="00EF0FD1">
      <w:pPr>
        <w:pStyle w:val="FURSnaslov2"/>
      </w:pPr>
    </w:p>
    <w:p w14:paraId="632E6FEE" w14:textId="2A4008B8" w:rsidR="00492709" w:rsidRPr="00AE1E70" w:rsidRDefault="00492709" w:rsidP="00AE1E70">
      <w:pPr>
        <w:jc w:val="both"/>
        <w:rPr>
          <w:lang w:val="sl-SI"/>
        </w:rPr>
      </w:pPr>
      <w:r w:rsidRPr="003A18F1">
        <w:rPr>
          <w:lang w:val="sl-SI"/>
        </w:rPr>
        <w:t>Zavezanci, ki davčno osnovo od dohodka iz dejavnosti ugotavljajo z upoštevanjem dejanskih prihodkov in dejanskih odhodkov</w:t>
      </w:r>
      <w:r w:rsidR="00E367B0" w:rsidRPr="00AE1E70">
        <w:rPr>
          <w:rStyle w:val="Sprotnaopomba-sklic"/>
        </w:rPr>
        <w:footnoteReference w:id="16"/>
      </w:r>
      <w:r w:rsidR="00242819" w:rsidRPr="00AE1E70">
        <w:rPr>
          <w:rStyle w:val="Sprotnaopomba-sklic"/>
          <w:lang w:val="sl-SI"/>
        </w:rPr>
        <w:t xml:space="preserve"> </w:t>
      </w:r>
      <w:r w:rsidR="00242819" w:rsidRPr="003A18F1">
        <w:rPr>
          <w:lang w:val="sl-SI"/>
        </w:rPr>
        <w:t>lahko že v davčnem obračunu uveljavljajo odbitek tujega davka in tako znižajo davčno obveznost v davčnem obračunu za znesek v tujini obračunanega in plačanega davka od dohodkov, ki jih iz naslova opravljanja dejavnosti, ustvarijo v tujini.</w:t>
      </w:r>
    </w:p>
    <w:p w14:paraId="6B4B8870" w14:textId="77777777" w:rsidR="00E301C6" w:rsidRPr="00FC084C" w:rsidRDefault="00E301C6" w:rsidP="00B53839">
      <w:pPr>
        <w:pStyle w:val="FURSnaslov2"/>
        <w:rPr>
          <w:b w:val="0"/>
          <w:sz w:val="20"/>
        </w:rPr>
      </w:pPr>
    </w:p>
    <w:p w14:paraId="3A05F349" w14:textId="77777777" w:rsidR="00E301C6" w:rsidRPr="00657BEB" w:rsidRDefault="00E301C6" w:rsidP="00E301C6">
      <w:pPr>
        <w:jc w:val="both"/>
        <w:rPr>
          <w:lang w:val="sl-SI"/>
        </w:rPr>
      </w:pPr>
      <w:r w:rsidRPr="00657BEB">
        <w:rPr>
          <w:lang w:val="sl-SI"/>
        </w:rPr>
        <w:t>ZDoh-2 odpravo mednarodnega dvojnega obdavčevanja dohodkov rezidenta iz virov izven Slovenije</w:t>
      </w:r>
      <w:r w:rsidRPr="00DA1750">
        <w:rPr>
          <w:rStyle w:val="Sprotnaopomba-sklic"/>
        </w:rPr>
        <w:footnoteReference w:id="17"/>
      </w:r>
      <w:r w:rsidRPr="00AE1E70">
        <w:rPr>
          <w:rStyle w:val="Sprotnaopomba-sklic"/>
          <w:lang w:val="sl-SI"/>
        </w:rPr>
        <w:t xml:space="preserve"> </w:t>
      </w:r>
      <w:r w:rsidRPr="00657BEB">
        <w:rPr>
          <w:lang w:val="sl-SI"/>
        </w:rPr>
        <w:t>ureja v 136. do 140. členu.</w:t>
      </w:r>
      <w:r w:rsidRPr="00AE1E70">
        <w:rPr>
          <w:lang w:val="sl-SI"/>
        </w:rPr>
        <w:t xml:space="preserve"> </w:t>
      </w:r>
      <w:r w:rsidRPr="00B9483D">
        <w:rPr>
          <w:lang w:val="sl-SI"/>
        </w:rPr>
        <w:t xml:space="preserve">Vsebina teh členov je primerljiva vsebini 62. do 67. člena ZDDPO-2, ki ureja odpravo mednarodnega dvojnega obdavčevanja dohodkov rezidentov – pravnih oseb iz virov izven Slovenije in je predstavljena v točki 2.1. </w:t>
      </w:r>
      <w:r w:rsidRPr="00657BEB">
        <w:rPr>
          <w:sz w:val="16"/>
          <w:szCs w:val="16"/>
          <w:lang w:val="sl-SI"/>
        </w:rPr>
        <w:t xml:space="preserve"> </w:t>
      </w:r>
      <w:r w:rsidRPr="00657BEB">
        <w:rPr>
          <w:lang w:val="sl-SI"/>
        </w:rPr>
        <w:t xml:space="preserve"> </w:t>
      </w:r>
    </w:p>
    <w:p w14:paraId="11531841" w14:textId="77777777" w:rsidR="00E301C6" w:rsidRPr="00657BEB" w:rsidRDefault="00E301C6" w:rsidP="00E301C6">
      <w:pPr>
        <w:jc w:val="both"/>
        <w:rPr>
          <w:lang w:val="sl-SI"/>
        </w:rPr>
      </w:pPr>
    </w:p>
    <w:p w14:paraId="3BD63C32" w14:textId="77777777" w:rsidR="00E301C6" w:rsidRPr="00657BEB" w:rsidRDefault="00E301C6" w:rsidP="00E301C6">
      <w:pPr>
        <w:jc w:val="both"/>
        <w:rPr>
          <w:lang w:val="sl-SI"/>
        </w:rPr>
      </w:pPr>
      <w:r w:rsidRPr="00657BEB">
        <w:rPr>
          <w:lang w:val="sl-SI"/>
        </w:rPr>
        <w:t>Omenjeno odpravo dvojnega obdavčenja zakon ureja s t. i. metodo odbitka (kredita), s katero se rezidentu z omejitvami omogoča odbitek v tujini plačanega davka od davčne obveznosti v Sloveniji. Rezident lahko uveljavlja odbitek tujega davka na tuji dohodek, ki je vključen v njegovo davčno osnovo. Vključitev tujega dohodka v davčno osnovo rezidenta v Sloveniji je torej pogoj za uveljavljanje odbitka.</w:t>
      </w:r>
    </w:p>
    <w:p w14:paraId="24D0280D" w14:textId="77777777" w:rsidR="00E301C6" w:rsidRPr="00657BEB" w:rsidRDefault="00E301C6" w:rsidP="00E301C6">
      <w:pPr>
        <w:jc w:val="both"/>
        <w:rPr>
          <w:lang w:val="sl-SI"/>
        </w:rPr>
      </w:pPr>
    </w:p>
    <w:p w14:paraId="609D450D" w14:textId="77777777" w:rsidR="00E301C6" w:rsidRDefault="00E301C6" w:rsidP="00E301C6">
      <w:pPr>
        <w:jc w:val="both"/>
        <w:rPr>
          <w:lang w:val="sl-SI"/>
        </w:rPr>
      </w:pPr>
      <w:r w:rsidRPr="00657BEB">
        <w:rPr>
          <w:lang w:val="sl-SI"/>
        </w:rPr>
        <w:t xml:space="preserve">Ob tem pripominjamo, da je pravica do odbitka tujega davka, s katero rezident Slovenije znižuje davčno obveznost v Sloveniji, podana samo za tuji davek, ki ustreza davku od dohodka iz dejavnosti po ZDoh-2. Odbitek ni možen za tuje davke, ki vsebinsko ne ustrezajo vrsti davka od dohodka iz dejavnosti v tujih državah. </w:t>
      </w:r>
    </w:p>
    <w:p w14:paraId="4C1A5D35" w14:textId="77777777" w:rsidR="002916FB" w:rsidRDefault="002916FB" w:rsidP="00E301C6">
      <w:pPr>
        <w:jc w:val="both"/>
        <w:rPr>
          <w:lang w:val="sl-SI"/>
        </w:rPr>
      </w:pPr>
    </w:p>
    <w:p w14:paraId="7B52FECD" w14:textId="77777777" w:rsidR="00E301C6" w:rsidRDefault="00E301C6" w:rsidP="00B53839">
      <w:pPr>
        <w:pStyle w:val="FURSnaslov2"/>
      </w:pPr>
    </w:p>
    <w:p w14:paraId="652A7093" w14:textId="60CB5136" w:rsidR="00B53839" w:rsidRDefault="00B53839" w:rsidP="00B53839">
      <w:pPr>
        <w:pStyle w:val="FURSnaslov2"/>
      </w:pPr>
      <w:bookmarkStart w:id="13" w:name="_Toc82170902"/>
      <w:r>
        <w:t xml:space="preserve">3.2 </w:t>
      </w:r>
      <w:r w:rsidRPr="00802262">
        <w:t xml:space="preserve"> </w:t>
      </w:r>
      <w:r w:rsidR="00584966">
        <w:t xml:space="preserve">DAVČNI </w:t>
      </w:r>
      <w:r>
        <w:t>POSTOPEK -</w:t>
      </w:r>
      <w:r w:rsidRPr="00B53839">
        <w:t xml:space="preserve"> Zakon o davčnem postopku – ZDavP-2</w:t>
      </w:r>
      <w:bookmarkEnd w:id="13"/>
    </w:p>
    <w:p w14:paraId="75E07BEC" w14:textId="77777777" w:rsidR="003910D5" w:rsidRDefault="003910D5" w:rsidP="00B53839">
      <w:pPr>
        <w:pStyle w:val="FURSnaslov2"/>
      </w:pPr>
    </w:p>
    <w:p w14:paraId="52E14D55" w14:textId="383A25A3" w:rsidR="00D12D3D" w:rsidRPr="00AE1E70" w:rsidRDefault="003F291E" w:rsidP="003910D5">
      <w:pPr>
        <w:jc w:val="both"/>
        <w:rPr>
          <w:rFonts w:cs="Arial"/>
          <w:szCs w:val="20"/>
          <w:lang w:val="sl-SI"/>
        </w:rPr>
      </w:pPr>
      <w:r w:rsidRPr="00B9483D">
        <w:rPr>
          <w:rFonts w:cs="Arial"/>
          <w:szCs w:val="20"/>
          <w:lang w:val="sl-SI"/>
        </w:rPr>
        <w:t xml:space="preserve">Postopkovna </w:t>
      </w:r>
      <w:r w:rsidR="003910D5" w:rsidRPr="00B9483D">
        <w:rPr>
          <w:rFonts w:cs="Arial"/>
          <w:szCs w:val="20"/>
          <w:lang w:val="sl-SI"/>
        </w:rPr>
        <w:t>pravila za odpravo dvojnega obdavčenja dohodkov rezidenta</w:t>
      </w:r>
      <w:r w:rsidR="00D12D3D" w:rsidRPr="00AE1E70">
        <w:rPr>
          <w:rFonts w:cs="Arial"/>
          <w:szCs w:val="20"/>
          <w:lang w:val="sl-SI"/>
        </w:rPr>
        <w:t xml:space="preserve"> Slovenije, ki opravlja dejavnost, </w:t>
      </w:r>
      <w:r w:rsidR="003910D5" w:rsidRPr="00AE1E70">
        <w:rPr>
          <w:rFonts w:cs="Arial"/>
          <w:szCs w:val="20"/>
          <w:lang w:val="sl-SI"/>
        </w:rPr>
        <w:t xml:space="preserve"> iz virov i</w:t>
      </w:r>
      <w:r w:rsidR="00D12D3D" w:rsidRPr="00AE1E70">
        <w:rPr>
          <w:rFonts w:cs="Arial"/>
          <w:szCs w:val="20"/>
          <w:lang w:val="sl-SI"/>
        </w:rPr>
        <w:t>zven Slovenije</w:t>
      </w:r>
      <w:r w:rsidR="004D1FFF" w:rsidRPr="00AE1E70">
        <w:rPr>
          <w:rFonts w:cs="Arial"/>
          <w:szCs w:val="20"/>
          <w:lang w:val="sl-SI"/>
        </w:rPr>
        <w:t>,</w:t>
      </w:r>
      <w:r w:rsidR="00D12D3D" w:rsidRPr="00AE1E70">
        <w:rPr>
          <w:rFonts w:cs="Arial"/>
          <w:szCs w:val="20"/>
          <w:lang w:val="sl-SI"/>
        </w:rPr>
        <w:t xml:space="preserve"> so določena</w:t>
      </w:r>
      <w:r w:rsidR="008A6197" w:rsidRPr="00AE1E70">
        <w:rPr>
          <w:rFonts w:cs="Arial"/>
          <w:szCs w:val="20"/>
          <w:lang w:val="sl-SI"/>
        </w:rPr>
        <w:t xml:space="preserve"> v ZDavP-2 in sicer:</w:t>
      </w:r>
    </w:p>
    <w:p w14:paraId="69D2F53E" w14:textId="5746B512" w:rsidR="004D1FFF" w:rsidRPr="00AE1E70" w:rsidRDefault="008A6197" w:rsidP="001A2136">
      <w:pPr>
        <w:pStyle w:val="Odstavekseznama"/>
        <w:numPr>
          <w:ilvl w:val="0"/>
          <w:numId w:val="24"/>
        </w:numPr>
        <w:jc w:val="both"/>
        <w:rPr>
          <w:rFonts w:ascii="Arial" w:hAnsi="Arial" w:cs="Arial"/>
          <w:sz w:val="20"/>
          <w:szCs w:val="20"/>
        </w:rPr>
      </w:pPr>
      <w:r w:rsidRPr="00AE1E70">
        <w:rPr>
          <w:rFonts w:ascii="Arial" w:hAnsi="Arial" w:cs="Arial"/>
          <w:sz w:val="20"/>
          <w:szCs w:val="20"/>
        </w:rPr>
        <w:t>za rezidente, ki opravljajo dejavnost</w:t>
      </w:r>
      <w:r w:rsidR="004D1FFF" w:rsidRPr="00AE1E70">
        <w:rPr>
          <w:rFonts w:ascii="Arial" w:hAnsi="Arial" w:cs="Arial"/>
          <w:sz w:val="20"/>
          <w:szCs w:val="20"/>
        </w:rPr>
        <w:t xml:space="preserve"> in v skladu z ZDoh-2, ugotavljajo davčno osnovo od dohodka iz dejavnosti, na podlagi dejanskih prihodkov in odhodkov v 273. in 284a. členu ZDavP-2 in</w:t>
      </w:r>
    </w:p>
    <w:p w14:paraId="6D8D10C2" w14:textId="360B0E7F" w:rsidR="00B53839" w:rsidRPr="00AE1E70" w:rsidRDefault="004D1FFF" w:rsidP="00B53839">
      <w:pPr>
        <w:pStyle w:val="Odstavekseznama"/>
        <w:numPr>
          <w:ilvl w:val="0"/>
          <w:numId w:val="24"/>
        </w:numPr>
        <w:jc w:val="both"/>
        <w:rPr>
          <w:rFonts w:ascii="Arial" w:hAnsi="Arial" w:cs="Arial"/>
          <w:sz w:val="20"/>
          <w:szCs w:val="20"/>
        </w:rPr>
      </w:pPr>
      <w:r w:rsidRPr="00AE1E70">
        <w:rPr>
          <w:rFonts w:ascii="Arial" w:hAnsi="Arial" w:cs="Arial"/>
          <w:sz w:val="20"/>
          <w:szCs w:val="20"/>
        </w:rPr>
        <w:t xml:space="preserve">za rezidente, ki opravljajo dejavnost in v skladu z ZDoh-2, ugotavljajo davčno osnovo od dohodka iz dejavnosti z upoštevanjem normiranih odhodkov v 307č. členu ZDavP-2. </w:t>
      </w:r>
    </w:p>
    <w:p w14:paraId="472ECF77" w14:textId="632FDC73" w:rsidR="00B53839" w:rsidRPr="001A2136" w:rsidRDefault="00657BEB" w:rsidP="001A2136">
      <w:pPr>
        <w:pStyle w:val="FURSnaslov2"/>
        <w:jc w:val="both"/>
        <w:rPr>
          <w:color w:val="000000" w:themeColor="text1"/>
        </w:rPr>
      </w:pPr>
      <w:bookmarkStart w:id="14" w:name="_Toc82170903"/>
      <w:r>
        <w:lastRenderedPageBreak/>
        <w:t xml:space="preserve">3.2.1 Davčni obračun -  </w:t>
      </w:r>
      <w:r w:rsidR="00136CA8" w:rsidRPr="001A2136">
        <w:rPr>
          <w:rFonts w:cs="Arial"/>
          <w:color w:val="000000" w:themeColor="text1"/>
          <w:shd w:val="clear" w:color="auto" w:fill="F6F6F6"/>
        </w:rPr>
        <w:t>Obračun akontacije dohodnine in dohodnine od dohodka iz dejavnosti</w:t>
      </w:r>
      <w:bookmarkEnd w:id="14"/>
      <w:r w:rsidR="00136CA8" w:rsidRPr="001A2136">
        <w:rPr>
          <w:rFonts w:cs="Arial"/>
          <w:color w:val="000000" w:themeColor="text1"/>
          <w:shd w:val="clear" w:color="auto" w:fill="F6F6F6"/>
        </w:rPr>
        <w:t> </w:t>
      </w:r>
    </w:p>
    <w:p w14:paraId="3AC56290" w14:textId="77777777" w:rsidR="00E301C6" w:rsidRDefault="00E301C6" w:rsidP="00B53839">
      <w:pPr>
        <w:pStyle w:val="FURSnaslov2"/>
      </w:pPr>
    </w:p>
    <w:p w14:paraId="0DB8834D" w14:textId="77777777" w:rsidR="00E301C6" w:rsidRPr="00DF4929" w:rsidRDefault="00E301C6" w:rsidP="00E301C6">
      <w:pPr>
        <w:jc w:val="both"/>
        <w:rPr>
          <w:lang w:val="sl-SI"/>
        </w:rPr>
      </w:pPr>
      <w:r w:rsidRPr="00DF4929">
        <w:rPr>
          <w:lang w:val="sl-SI"/>
        </w:rPr>
        <w:t>Praviloma odbitek tujega davka rezident uveljavlja neposredno v davčnem obračunu,</w:t>
      </w:r>
      <w:r>
        <w:rPr>
          <w:rStyle w:val="Sprotnaopomba-sklic"/>
        </w:rPr>
        <w:footnoteReference w:id="18"/>
      </w:r>
      <w:r w:rsidRPr="00DF4929">
        <w:rPr>
          <w:lang w:val="sl-SI"/>
        </w:rPr>
        <w:t xml:space="preserve"> v katerem so vključeni tudi dohodki z virom v tujini, na katere se odbitek nanaša,</w:t>
      </w:r>
      <w:r>
        <w:rPr>
          <w:rStyle w:val="Sprotnaopomba-sklic"/>
        </w:rPr>
        <w:footnoteReference w:id="19"/>
      </w:r>
      <w:r w:rsidRPr="00DF4929">
        <w:rPr>
          <w:lang w:val="sl-SI"/>
        </w:rPr>
        <w:t xml:space="preserve"> in sicer kot znižanje izračunane davčne obveznosti oziroma povedano z drugimi besedami, dvojno obdavčitev rezident v davčnem obračunu odpravi tako, da davčno obveznost, izračunano od celotnih svetovnih dohodkov, zniža za davek, ki ga je plačal od tujih dohodkov v državi vira, pri čemer upošteva omejitve, določene v 137. do 140. členu ZDoh-2. Osnovni namen teh omejitev je preprečiti višji odbitek davka, kot bi bil na tuje dohodke plačan v Sloveniji, če odbitek ne bi bil možen. </w:t>
      </w:r>
    </w:p>
    <w:p w14:paraId="7A91E741" w14:textId="77777777" w:rsidR="00E301C6" w:rsidRPr="00DF4929" w:rsidRDefault="00E301C6" w:rsidP="00E301C6">
      <w:pPr>
        <w:jc w:val="both"/>
        <w:rPr>
          <w:lang w:val="sl-SI"/>
        </w:rPr>
      </w:pPr>
    </w:p>
    <w:p w14:paraId="4778BEC0" w14:textId="603C2ADF" w:rsidR="00DC5C08" w:rsidRPr="00DF4929" w:rsidRDefault="0098332B" w:rsidP="00DC5C08">
      <w:pPr>
        <w:jc w:val="both"/>
        <w:rPr>
          <w:lang w:val="sl-SI"/>
        </w:rPr>
      </w:pPr>
      <w:r>
        <w:rPr>
          <w:lang w:val="sl-SI"/>
        </w:rPr>
        <w:t>Rezident, ki v davčnem obračunu, uveljavlja odbitek tujega davka na tuji dohodek, ki je bil vključen v njegovo davčno osnovo, mora poleg podatka v zap. št. 21 davčnega obračuna izpolniti tudi prilogo 11</w:t>
      </w:r>
      <w:r w:rsidR="00282E67">
        <w:rPr>
          <w:lang w:val="sl-SI"/>
        </w:rPr>
        <w:t xml:space="preserve"> </w:t>
      </w:r>
      <w:hyperlink r:id="rId16" w:history="1">
        <w:r w:rsidR="00282E67" w:rsidRPr="0047021D">
          <w:rPr>
            <w:rStyle w:val="Hiperpovezava"/>
            <w:lang w:val="sl-SI"/>
          </w:rPr>
          <w:t>Pravilnika o davčnem obračunu ak</w:t>
        </w:r>
        <w:r w:rsidR="00282E67" w:rsidRPr="0047021D">
          <w:rPr>
            <w:rStyle w:val="Hiperpovezava"/>
            <w:lang w:val="sl-SI"/>
          </w:rPr>
          <w:t>o</w:t>
        </w:r>
        <w:r w:rsidR="00282E67" w:rsidRPr="0047021D">
          <w:rPr>
            <w:rStyle w:val="Hiperpovezava"/>
            <w:lang w:val="sl-SI"/>
          </w:rPr>
          <w:t>ntacije dohodnine in dohodnine od dohodka iz dejavnosti</w:t>
        </w:r>
      </w:hyperlink>
      <w:r w:rsidR="00DC5C08" w:rsidRPr="00DC5C08">
        <w:rPr>
          <w:lang w:val="sl-SI"/>
        </w:rPr>
        <w:t xml:space="preserve">, </w:t>
      </w:r>
      <w:r>
        <w:rPr>
          <w:lang w:val="sl-SI"/>
        </w:rPr>
        <w:t>kjer</w:t>
      </w:r>
      <w:r w:rsidR="00DC5C08">
        <w:rPr>
          <w:lang w:val="sl-SI"/>
        </w:rPr>
        <w:t xml:space="preserve"> se navedejo podatki</w:t>
      </w:r>
      <w:r>
        <w:rPr>
          <w:lang w:val="sl-SI"/>
        </w:rPr>
        <w:t xml:space="preserve"> o doseženih dohodkih p</w:t>
      </w:r>
      <w:r w:rsidR="00DC5C08">
        <w:rPr>
          <w:lang w:val="sl-SI"/>
        </w:rPr>
        <w:t>o posameznih državah ter podatki</w:t>
      </w:r>
      <w:r>
        <w:rPr>
          <w:lang w:val="sl-SI"/>
        </w:rPr>
        <w:t xml:space="preserve"> o obračunanem in plačanem davku v tujini. </w:t>
      </w:r>
      <w:r w:rsidR="00DC5C08">
        <w:rPr>
          <w:lang w:val="sl-SI"/>
        </w:rPr>
        <w:t>P</w:t>
      </w:r>
      <w:r w:rsidR="00DC5C08" w:rsidRPr="00DF4929">
        <w:rPr>
          <w:lang w:val="sl-SI"/>
        </w:rPr>
        <w:t>redložiti</w:t>
      </w:r>
      <w:r w:rsidR="00DC5C08">
        <w:rPr>
          <w:lang w:val="sl-SI"/>
        </w:rPr>
        <w:t xml:space="preserve"> mora</w:t>
      </w:r>
      <w:r w:rsidR="00DC5C08" w:rsidRPr="00DF4929">
        <w:rPr>
          <w:lang w:val="sl-SI"/>
        </w:rPr>
        <w:t xml:space="preserve"> tudi ustrezna dokazila glede davčne obveznosti izven Slovenije, znesk</w:t>
      </w:r>
      <w:r w:rsidR="00DC5C08">
        <w:rPr>
          <w:lang w:val="sl-SI"/>
        </w:rPr>
        <w:t>a</w:t>
      </w:r>
      <w:r w:rsidR="00DC5C08" w:rsidRPr="00DF4929">
        <w:rPr>
          <w:lang w:val="sl-SI"/>
        </w:rPr>
        <w:t xml:space="preserve"> tujega davka od dohodkov z virom v tujini, osnove za plačilo davka,</w:t>
      </w:r>
      <w:r w:rsidR="00DC5C08">
        <w:rPr>
          <w:lang w:val="sl-SI"/>
        </w:rPr>
        <w:t xml:space="preserve"> </w:t>
      </w:r>
      <w:r w:rsidR="00DC5C08" w:rsidRPr="00DF4929">
        <w:rPr>
          <w:lang w:val="sl-SI"/>
        </w:rPr>
        <w:t>dokončnosti zneska davka in dejanskega plačila. Dokazno breme je na davčnem zavezancu.</w:t>
      </w:r>
      <w:r w:rsidR="00DC5C08">
        <w:rPr>
          <w:rStyle w:val="Sprotnaopomba-sklic"/>
        </w:rPr>
        <w:footnoteReference w:id="20"/>
      </w:r>
      <w:r w:rsidR="00DC5C08" w:rsidRPr="00DF4929">
        <w:rPr>
          <w:lang w:val="sl-SI"/>
        </w:rPr>
        <w:t xml:space="preserve">  </w:t>
      </w:r>
    </w:p>
    <w:p w14:paraId="7F911512" w14:textId="1EC6B0C9" w:rsidR="0098332B" w:rsidRPr="00657BEB" w:rsidRDefault="0098332B" w:rsidP="0098332B">
      <w:pPr>
        <w:jc w:val="both"/>
        <w:rPr>
          <w:lang w:val="sl-SI"/>
        </w:rPr>
      </w:pPr>
    </w:p>
    <w:p w14:paraId="387DDE26" w14:textId="77777777" w:rsidR="0024141B" w:rsidRPr="00FC18B1" w:rsidRDefault="0024141B" w:rsidP="0024141B">
      <w:pPr>
        <w:jc w:val="both"/>
        <w:rPr>
          <w:lang w:val="sl-SI"/>
        </w:rPr>
      </w:pPr>
      <w:r>
        <w:rPr>
          <w:lang w:val="sl-SI"/>
        </w:rPr>
        <w:t xml:space="preserve">Če se zaradi sprememb, zlasti vračil tujega davka, spremeni odbitek, mora zavezanec v obdobju, ko je do spremembe prišlo, povečati dohodnino za znesek, ki je enak razliki med priznanim odbitkom in odbitkom, ki bi bil mogoč, če bi se sprememba upoštevala. Zavezanec mora predložiti obrazec </w:t>
      </w:r>
      <w:hyperlink r:id="rId17" w:history="1">
        <w:r w:rsidRPr="004E6FC0">
          <w:rPr>
            <w:rStyle w:val="Hiperpovezava"/>
            <w:lang w:val="sl-SI"/>
          </w:rPr>
          <w:t xml:space="preserve">Prilogo 12 – </w:t>
        </w:r>
        <w:r w:rsidRPr="00125DC8">
          <w:rPr>
            <w:rStyle w:val="Hiperpovezava"/>
            <w:lang w:val="sl-SI"/>
          </w:rPr>
          <w:t>P</w:t>
        </w:r>
        <w:r w:rsidRPr="004E6FC0">
          <w:rPr>
            <w:rStyle w:val="Hiperpovezava"/>
            <w:lang w:val="sl-SI"/>
          </w:rPr>
          <w:t xml:space="preserve">odatki </w:t>
        </w:r>
        <w:r w:rsidRPr="004E6FC0">
          <w:rPr>
            <w:rStyle w:val="Hiperpovezava"/>
            <w:lang w:val="sl-SI"/>
          </w:rPr>
          <w:t>v</w:t>
        </w:r>
        <w:r w:rsidRPr="004E6FC0">
          <w:rPr>
            <w:rStyle w:val="Hiperpovezava"/>
            <w:lang w:val="sl-SI"/>
          </w:rPr>
          <w:t xml:space="preserve"> zvezi s povečanjem davka zaradi sprememb odbitka tujega davka.</w:t>
        </w:r>
      </w:hyperlink>
    </w:p>
    <w:p w14:paraId="4162FE09" w14:textId="77777777" w:rsidR="00E301C6" w:rsidRDefault="00E301C6" w:rsidP="00B53839">
      <w:pPr>
        <w:pStyle w:val="FURSnaslov2"/>
      </w:pPr>
    </w:p>
    <w:p w14:paraId="5410AD3C" w14:textId="20724D82" w:rsidR="00051628" w:rsidRDefault="00065573" w:rsidP="001A2136">
      <w:pPr>
        <w:pStyle w:val="FURSnaslov2"/>
        <w:jc w:val="both"/>
      </w:pPr>
      <w:bookmarkStart w:id="15" w:name="_Toc82170904"/>
      <w:r>
        <w:t>3.2.</w:t>
      </w:r>
      <w:r w:rsidR="00051628">
        <w:t>2</w:t>
      </w:r>
      <w:r>
        <w:t xml:space="preserve"> </w:t>
      </w:r>
      <w:r w:rsidR="00334C1B">
        <w:t>Priznavanje odbitka tujega davka pri izračunu in poračunu dohodnine na letni rav</w:t>
      </w:r>
      <w:r w:rsidR="00051628">
        <w:t>ni</w:t>
      </w:r>
      <w:bookmarkEnd w:id="15"/>
    </w:p>
    <w:p w14:paraId="40F75559" w14:textId="77777777" w:rsidR="00051628" w:rsidRDefault="00051628" w:rsidP="001A2136">
      <w:pPr>
        <w:pStyle w:val="FURSnaslov2"/>
        <w:jc w:val="both"/>
      </w:pPr>
    </w:p>
    <w:p w14:paraId="2BFA1885" w14:textId="4CB6EE4D" w:rsidR="00051628" w:rsidRDefault="00051628" w:rsidP="001A2136">
      <w:pPr>
        <w:jc w:val="both"/>
        <w:rPr>
          <w:lang w:val="sl-SI"/>
        </w:rPr>
      </w:pPr>
      <w:r w:rsidRPr="001A2136">
        <w:rPr>
          <w:lang w:val="sl-SI"/>
        </w:rPr>
        <w:t>Ne glede na to, da je davčni zavezanec</w:t>
      </w:r>
      <w:r w:rsidRPr="003F291E">
        <w:rPr>
          <w:sz w:val="16"/>
          <w:lang w:val="sl-SI"/>
        </w:rPr>
        <w:t>,</w:t>
      </w:r>
      <w:r w:rsidRPr="001A2136">
        <w:rPr>
          <w:lang w:val="sl-SI"/>
        </w:rPr>
        <w:t xml:space="preserve"> rezident Slovenije</w:t>
      </w:r>
      <w:r w:rsidRPr="003105BF">
        <w:rPr>
          <w:szCs w:val="20"/>
          <w:lang w:val="sl-SI"/>
        </w:rPr>
        <w:t>,</w:t>
      </w:r>
      <w:r w:rsidR="008A08B7" w:rsidRPr="00AE1E70">
        <w:rPr>
          <w:szCs w:val="20"/>
          <w:lang w:val="sl-SI"/>
        </w:rPr>
        <w:t xml:space="preserve"> ki ugotavlja davčno osnovo od dohodka iz dejavnosti, na podlagi dejanskih prihodkov in odhodkov</w:t>
      </w:r>
      <w:r w:rsidR="008A08B7">
        <w:rPr>
          <w:szCs w:val="20"/>
          <w:lang w:val="sl-SI"/>
        </w:rPr>
        <w:t>,</w:t>
      </w:r>
      <w:r w:rsidR="008A08B7" w:rsidRPr="003105BF">
        <w:rPr>
          <w:szCs w:val="20"/>
          <w:lang w:val="sl-SI"/>
        </w:rPr>
        <w:t xml:space="preserve"> </w:t>
      </w:r>
      <w:r w:rsidRPr="003105BF">
        <w:rPr>
          <w:szCs w:val="20"/>
          <w:lang w:val="sl-SI"/>
        </w:rPr>
        <w:t xml:space="preserve"> </w:t>
      </w:r>
      <w:r w:rsidRPr="001A2136">
        <w:rPr>
          <w:lang w:val="sl-SI"/>
        </w:rPr>
        <w:t>že uveljavljal davek, plačan v tujini, v davčnem obračunu (prvi odstavek 284a. člena ZDavP-2)</w:t>
      </w:r>
      <w:r w:rsidR="003F5D63" w:rsidRPr="001A2136">
        <w:rPr>
          <w:lang w:val="sl-SI"/>
        </w:rPr>
        <w:t>, se mu prizna odbitek davka, plač</w:t>
      </w:r>
      <w:r w:rsidR="002916FB">
        <w:rPr>
          <w:lang w:val="sl-SI"/>
        </w:rPr>
        <w:t>a</w:t>
      </w:r>
      <w:r w:rsidR="003F5D63" w:rsidRPr="001A2136">
        <w:rPr>
          <w:lang w:val="sl-SI"/>
        </w:rPr>
        <w:t>nega v tujini</w:t>
      </w:r>
      <w:r w:rsidR="00CA0AAB" w:rsidRPr="001A2136">
        <w:rPr>
          <w:lang w:val="sl-SI"/>
        </w:rPr>
        <w:t xml:space="preserve"> </w:t>
      </w:r>
      <w:r w:rsidR="004530CB">
        <w:rPr>
          <w:lang w:val="sl-SI"/>
        </w:rPr>
        <w:t>pri izračunu in pora</w:t>
      </w:r>
      <w:r w:rsidR="003F5D63" w:rsidRPr="001A2136">
        <w:rPr>
          <w:lang w:val="sl-SI"/>
        </w:rPr>
        <w:t>čunu dohodnine na letni ravni samo, če uveljavlja odbitek davka, plač</w:t>
      </w:r>
      <w:r w:rsidR="002916FB">
        <w:rPr>
          <w:lang w:val="sl-SI"/>
        </w:rPr>
        <w:t>a</w:t>
      </w:r>
      <w:r w:rsidR="003F5D63" w:rsidRPr="001A2136">
        <w:rPr>
          <w:lang w:val="sl-SI"/>
        </w:rPr>
        <w:t>nega v tujini tudi v ugovoru zoper informativni izračun dohodnine oziroma napovedi za odmero dohodnine v skladu z 273. členom ZDavP</w:t>
      </w:r>
      <w:bookmarkStart w:id="16" w:name="_GoBack"/>
      <w:bookmarkEnd w:id="16"/>
      <w:r w:rsidR="003F5D63" w:rsidRPr="001A2136">
        <w:rPr>
          <w:lang w:val="sl-SI"/>
        </w:rPr>
        <w:t xml:space="preserve">-2. </w:t>
      </w:r>
    </w:p>
    <w:p w14:paraId="7BE24A18" w14:textId="77777777" w:rsidR="001A2136" w:rsidRPr="001A2136" w:rsidRDefault="001A2136" w:rsidP="001A2136">
      <w:pPr>
        <w:jc w:val="both"/>
        <w:rPr>
          <w:lang w:val="sl-SI"/>
        </w:rPr>
      </w:pPr>
    </w:p>
    <w:p w14:paraId="25CF5BDD" w14:textId="77777777" w:rsidR="00CA0AAB" w:rsidRPr="000652BC" w:rsidRDefault="00FB4C85" w:rsidP="001A2136">
      <w:pPr>
        <w:jc w:val="both"/>
        <w:rPr>
          <w:rFonts w:cs="Arial"/>
          <w:szCs w:val="20"/>
          <w:lang w:val="sl-SI"/>
        </w:rPr>
      </w:pPr>
      <w:r w:rsidRPr="001A2136">
        <w:rPr>
          <w:lang w:val="sl-SI"/>
        </w:rPr>
        <w:t>Kadar davčni zavezanec v ugovoru zoper informativni izračun dohodnine oziroma v napovedi za odmero dohodnine uveljavlja odbitek davka, plačanega v tujini, so sestavni del ugovora oziroma</w:t>
      </w:r>
      <w:r w:rsidRPr="000652BC">
        <w:rPr>
          <w:rFonts w:cs="Arial"/>
          <w:szCs w:val="20"/>
          <w:lang w:val="sl-SI"/>
        </w:rPr>
        <w:t xml:space="preserve"> napovedi tudi ustrezna dokazila glede davčne obveznosti izven Republike Slovenije, zlasti o znesku davka, plačanega v tujini, o osnovi za plačilo davka ter o tem, da je znesek davka, plačan v tujini, dokončen in dejansko plačan. </w:t>
      </w:r>
    </w:p>
    <w:p w14:paraId="0226E4A7" w14:textId="1F03FE23" w:rsidR="00FB4C85" w:rsidRPr="001A2136" w:rsidRDefault="00FB4C85" w:rsidP="001A2136">
      <w:pPr>
        <w:pStyle w:val="odstavek"/>
        <w:shd w:val="clear" w:color="auto" w:fill="FFFFFF"/>
        <w:spacing w:before="240" w:beforeAutospacing="0" w:after="0" w:afterAutospacing="0" w:line="260" w:lineRule="atLeast"/>
        <w:jc w:val="both"/>
        <w:rPr>
          <w:rFonts w:ascii="Arial" w:hAnsi="Arial" w:cs="Arial"/>
          <w:sz w:val="20"/>
          <w:szCs w:val="20"/>
        </w:rPr>
      </w:pPr>
      <w:r w:rsidRPr="001A2136">
        <w:rPr>
          <w:rFonts w:ascii="Arial" w:hAnsi="Arial" w:cs="Arial"/>
          <w:sz w:val="20"/>
          <w:szCs w:val="20"/>
        </w:rPr>
        <w:t>Če davčni zavezanec rezident ne uveljavlja odbitka davka, plačanega v tujini v ugovoru zoper informativni izračun dohodnine, mu davčni organ odmeri dohodnino ne da bi se upošteval odbitek davka, plačanega v tujini. Zoper to odločbo ima davčni zavezanec, ne glede na tretji odstavek 267. člena, pravico do pritožbe.</w:t>
      </w:r>
    </w:p>
    <w:p w14:paraId="291E9C3B" w14:textId="732E1039" w:rsidR="00FB4C85" w:rsidRPr="001A2136" w:rsidRDefault="00FB4C85" w:rsidP="001A2136">
      <w:pPr>
        <w:pStyle w:val="odstavek"/>
        <w:shd w:val="clear" w:color="auto" w:fill="FFFFFF"/>
        <w:spacing w:before="240" w:beforeAutospacing="0" w:after="0" w:afterAutospacing="0" w:line="260" w:lineRule="atLeast"/>
        <w:jc w:val="both"/>
        <w:rPr>
          <w:rFonts w:ascii="Arial" w:hAnsi="Arial" w:cs="Arial"/>
          <w:sz w:val="20"/>
          <w:szCs w:val="20"/>
        </w:rPr>
      </w:pPr>
      <w:r w:rsidRPr="001A2136">
        <w:rPr>
          <w:rFonts w:ascii="Arial" w:hAnsi="Arial" w:cs="Arial"/>
          <w:sz w:val="20"/>
          <w:szCs w:val="20"/>
        </w:rPr>
        <w:lastRenderedPageBreak/>
        <w:t>Kot ustrezna</w:t>
      </w:r>
      <w:r w:rsidR="00A05644">
        <w:rPr>
          <w:rFonts w:ascii="Arial" w:hAnsi="Arial" w:cs="Arial"/>
          <w:sz w:val="20"/>
          <w:szCs w:val="20"/>
        </w:rPr>
        <w:t xml:space="preserve"> dokazila o plačilu davka v tujini</w:t>
      </w:r>
      <w:r w:rsidRPr="001A2136">
        <w:rPr>
          <w:rFonts w:ascii="Arial" w:hAnsi="Arial" w:cs="Arial"/>
          <w:sz w:val="20"/>
          <w:szCs w:val="20"/>
        </w:rPr>
        <w:t xml:space="preserve"> se štejejo listine, izdane s strani davčnega organa tuje države, ali drugi dokumenti, ki nedvoumno dokazujejo obstoj davčne obveznosti ali plačilo davka izven Republike Slovenije.</w:t>
      </w:r>
    </w:p>
    <w:p w14:paraId="165C5ACE" w14:textId="4931621A" w:rsidR="00FB4C85" w:rsidRPr="001A2136" w:rsidRDefault="00FB4C85" w:rsidP="001A2136">
      <w:pPr>
        <w:pStyle w:val="odstavek"/>
        <w:shd w:val="clear" w:color="auto" w:fill="FFFFFF"/>
        <w:spacing w:before="240" w:beforeAutospacing="0" w:after="0" w:afterAutospacing="0" w:line="260" w:lineRule="atLeast"/>
        <w:jc w:val="both"/>
        <w:rPr>
          <w:rFonts w:ascii="Arial" w:hAnsi="Arial" w:cs="Arial"/>
          <w:sz w:val="20"/>
          <w:szCs w:val="20"/>
        </w:rPr>
      </w:pPr>
      <w:r w:rsidRPr="001A2136">
        <w:rPr>
          <w:rFonts w:ascii="Arial" w:hAnsi="Arial" w:cs="Arial"/>
          <w:sz w:val="20"/>
          <w:szCs w:val="20"/>
        </w:rPr>
        <w:t>Če davčni zavezanec do poteka roka za vložitev ugovora zoper informativni izračun dohodnine iz 270. člena tega zakona oziroma do poteka roka za vložitev napovedi za odmero dohodnine iz 267. in 270. člena tega zakona še ne razpolaga z ustreznimi dokazili, navede to v ugovoru oziroma v napovedi in na tej podlagi ustrezna dokazila predloži naknadno.</w:t>
      </w:r>
    </w:p>
    <w:p w14:paraId="7014535F" w14:textId="58198782" w:rsidR="00FB4C85" w:rsidRPr="001A2136" w:rsidRDefault="00A05644" w:rsidP="001A2136">
      <w:pPr>
        <w:pStyle w:val="odstavek"/>
        <w:shd w:val="clear" w:color="auto" w:fill="FFFFFF"/>
        <w:spacing w:before="240" w:beforeAutospacing="0" w:after="0" w:afterAutospacing="0" w:line="260" w:lineRule="atLeast"/>
        <w:jc w:val="both"/>
        <w:rPr>
          <w:rFonts w:ascii="Arial" w:hAnsi="Arial" w:cs="Arial"/>
          <w:sz w:val="20"/>
          <w:szCs w:val="20"/>
        </w:rPr>
      </w:pPr>
      <w:r>
        <w:rPr>
          <w:rFonts w:ascii="Arial" w:hAnsi="Arial" w:cs="Arial"/>
          <w:sz w:val="20"/>
          <w:szCs w:val="20"/>
        </w:rPr>
        <w:t>V primeru, da</w:t>
      </w:r>
      <w:r w:rsidR="00FB4C85" w:rsidRPr="001A2136">
        <w:rPr>
          <w:rFonts w:ascii="Arial" w:hAnsi="Arial" w:cs="Arial"/>
          <w:sz w:val="20"/>
          <w:szCs w:val="20"/>
        </w:rPr>
        <w:t xml:space="preserve"> davčni zavezanec ne predloži dokazil do roka za izdajo odločbe,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56CF48BD" w14:textId="6670599F" w:rsidR="00FB4C85" w:rsidRPr="001A2136" w:rsidRDefault="00FB4C85" w:rsidP="001A2136">
      <w:pPr>
        <w:pStyle w:val="odstavek"/>
        <w:shd w:val="clear" w:color="auto" w:fill="FFFFFF"/>
        <w:spacing w:before="240" w:beforeAutospacing="0" w:after="0" w:afterAutospacing="0" w:line="260" w:lineRule="atLeast"/>
        <w:jc w:val="both"/>
        <w:rPr>
          <w:rFonts w:ascii="Arial" w:hAnsi="Arial" w:cs="Arial"/>
          <w:sz w:val="20"/>
          <w:szCs w:val="20"/>
        </w:rPr>
      </w:pPr>
      <w:r w:rsidRPr="001A2136">
        <w:rPr>
          <w:rFonts w:ascii="Arial" w:hAnsi="Arial" w:cs="Arial"/>
          <w:sz w:val="20"/>
          <w:szCs w:val="20"/>
        </w:rPr>
        <w:t>Davčni zavezanec rezident lahko odbitek davka po mednarodni pogodbi o izogibanju dvojnega obdavčevanja, ki obvezuje Slovenijo, uveljavlja tudi v pritožbi zoper odločbo o odmeri dohodnine.</w:t>
      </w:r>
    </w:p>
    <w:p w14:paraId="36937FAB" w14:textId="77777777" w:rsidR="00A31FFC" w:rsidRPr="001A2136" w:rsidRDefault="00A31FFC" w:rsidP="001A2136">
      <w:pPr>
        <w:pStyle w:val="FURSnaslov2"/>
        <w:jc w:val="both"/>
        <w:rPr>
          <w:b w:val="0"/>
          <w:sz w:val="20"/>
          <w:szCs w:val="20"/>
        </w:rPr>
      </w:pPr>
    </w:p>
    <w:p w14:paraId="6B58E3FD" w14:textId="70348599" w:rsidR="00334C1B" w:rsidRDefault="000652BC" w:rsidP="000652BC">
      <w:pPr>
        <w:pStyle w:val="FURSnaslov2"/>
        <w:jc w:val="both"/>
      </w:pPr>
      <w:bookmarkStart w:id="17" w:name="_Toc82170905"/>
      <w:r>
        <w:t>3.2.3</w:t>
      </w:r>
      <w:r w:rsidR="00051628">
        <w:t xml:space="preserve"> Vloga za vračilo davka</w:t>
      </w:r>
      <w:bookmarkEnd w:id="17"/>
    </w:p>
    <w:p w14:paraId="1CEBC712" w14:textId="77777777" w:rsidR="00FB4C85" w:rsidRDefault="00FB4C85" w:rsidP="00B53839">
      <w:pPr>
        <w:pStyle w:val="FURSnaslov2"/>
      </w:pPr>
    </w:p>
    <w:p w14:paraId="2892AB9C" w14:textId="4EB8EA5D" w:rsidR="00110960" w:rsidRPr="000652BC" w:rsidRDefault="00110960" w:rsidP="000652BC">
      <w:pPr>
        <w:jc w:val="both"/>
        <w:rPr>
          <w:lang w:val="sl-SI"/>
        </w:rPr>
      </w:pPr>
      <w:r w:rsidRPr="000652BC">
        <w:rPr>
          <w:lang w:val="sl-SI"/>
        </w:rPr>
        <w:t xml:space="preserve">Davčni zavezanec, rezident Slovenije, ki opravlja dejavnost in v skladu z ZDoh-2, ugotavlja davčno osnovo od dohodka iz dejavnosti z upoštevanjem normiranih odhodkov, lahko zahteva </w:t>
      </w:r>
      <w:r w:rsidR="00372E14" w:rsidRPr="000652BC">
        <w:rPr>
          <w:lang w:val="sl-SI"/>
        </w:rPr>
        <w:t>na podlagi drugega odstavka 307</w:t>
      </w:r>
      <w:r w:rsidR="00685730">
        <w:rPr>
          <w:lang w:val="sl-SI"/>
        </w:rPr>
        <w:t xml:space="preserve">. </w:t>
      </w:r>
      <w:r w:rsidR="00372E14" w:rsidRPr="000652BC">
        <w:rPr>
          <w:lang w:val="sl-SI"/>
        </w:rPr>
        <w:t xml:space="preserve">č. člena ZDavP-2 </w:t>
      </w:r>
      <w:r w:rsidRPr="000652BC">
        <w:rPr>
          <w:lang w:val="sl-SI"/>
        </w:rPr>
        <w:t>vračilo davka s posebnim zahtevkom, če v davčnem obračunu ni uveljavljal odbitka davka, pl</w:t>
      </w:r>
      <w:r w:rsidR="00E22F46" w:rsidRPr="000652BC">
        <w:rPr>
          <w:lang w:val="sl-SI"/>
        </w:rPr>
        <w:t>ačanega v tujini</w:t>
      </w:r>
      <w:r w:rsidRPr="000652BC">
        <w:rPr>
          <w:lang w:val="sl-SI"/>
        </w:rPr>
        <w:t xml:space="preserve"> za dohodke, vključene v davčno osnovo</w:t>
      </w:r>
      <w:r w:rsidR="00372E14" w:rsidRPr="000652BC">
        <w:rPr>
          <w:lang w:val="sl-SI"/>
        </w:rPr>
        <w:t>.</w:t>
      </w:r>
    </w:p>
    <w:p w14:paraId="0C087969" w14:textId="77777777" w:rsidR="00110960" w:rsidRPr="000652BC" w:rsidRDefault="00110960" w:rsidP="000652BC">
      <w:pPr>
        <w:jc w:val="both"/>
        <w:rPr>
          <w:lang w:val="sl-SI"/>
        </w:rPr>
      </w:pPr>
    </w:p>
    <w:p w14:paraId="5EFF3A7E" w14:textId="101089ED" w:rsidR="00367392" w:rsidRPr="000652BC" w:rsidRDefault="00110960" w:rsidP="000652BC">
      <w:pPr>
        <w:jc w:val="both"/>
        <w:rPr>
          <w:lang w:val="sl-SI"/>
        </w:rPr>
      </w:pPr>
      <w:r w:rsidRPr="000652BC">
        <w:rPr>
          <w:lang w:val="sl-SI"/>
        </w:rPr>
        <w:t>Sestavni del zahtevka so ustrezna dokazila glede davčne obveznosti v tujini, zlasti o znesku plačanega davka, osnovi za plačilo davka ter o tem, da je znesek davka, plačan v tujini, dokončen in dejansko plačan.</w:t>
      </w:r>
    </w:p>
    <w:p w14:paraId="6358BE2C" w14:textId="77777777" w:rsidR="008510D5" w:rsidRPr="001A2136" w:rsidRDefault="008510D5" w:rsidP="00657BEB">
      <w:pPr>
        <w:pStyle w:val="FURSnaslov1"/>
        <w:rPr>
          <w:b w:val="0"/>
          <w:color w:val="000000" w:themeColor="text1"/>
        </w:rPr>
      </w:pPr>
    </w:p>
    <w:sectPr w:rsidR="008510D5" w:rsidRPr="001A2136" w:rsidSect="00783310">
      <w:headerReference w:type="default"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F03C5" w16cid:durableId="24D9F2EE"/>
  <w16cid:commentId w16cid:paraId="46E5D0CD" w16cid:durableId="24D9F4F3"/>
  <w16cid:commentId w16cid:paraId="770E68FE" w16cid:durableId="24D9F2EF"/>
  <w16cid:commentId w16cid:paraId="3514E759" w16cid:durableId="24D9F2F0"/>
  <w16cid:commentId w16cid:paraId="79379B45" w16cid:durableId="24D9F84D"/>
  <w16cid:commentId w16cid:paraId="254CA89B" w16cid:durableId="24D9F2F1"/>
  <w16cid:commentId w16cid:paraId="130DFEEC" w16cid:durableId="24D9F2F2"/>
  <w16cid:commentId w16cid:paraId="2BA5BA5E" w16cid:durableId="24DB48B9"/>
  <w16cid:commentId w16cid:paraId="1D688B01" w16cid:durableId="24DB49E5"/>
  <w16cid:commentId w16cid:paraId="201CA2F8" w16cid:durableId="24DB4A28"/>
  <w16cid:commentId w16cid:paraId="21EE7626" w16cid:durableId="24E1C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EFA52" w14:textId="77777777" w:rsidR="00E611CE" w:rsidRDefault="00E611CE">
      <w:r>
        <w:separator/>
      </w:r>
    </w:p>
  </w:endnote>
  <w:endnote w:type="continuationSeparator" w:id="0">
    <w:p w14:paraId="2D50F74D" w14:textId="77777777" w:rsidR="00E611CE" w:rsidRDefault="00E611CE">
      <w:r>
        <w:continuationSeparator/>
      </w:r>
    </w:p>
  </w:endnote>
  <w:endnote w:type="continuationNotice" w:id="1">
    <w:p w14:paraId="3259C942" w14:textId="77777777" w:rsidR="00E611CE" w:rsidRDefault="00E61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597F" w14:textId="4AD1BBC2" w:rsidR="00DF4929" w:rsidRDefault="00DF4929" w:rsidP="009F30FB">
    <w:pPr>
      <w:pStyle w:val="Noga"/>
      <w:jc w:val="right"/>
    </w:pPr>
    <w:r>
      <w:fldChar w:fldCharType="begin"/>
    </w:r>
    <w:r>
      <w:instrText>PAGE   \* MERGEFORMAT</w:instrText>
    </w:r>
    <w:r>
      <w:fldChar w:fldCharType="separate"/>
    </w:r>
    <w:r w:rsidR="007C5DF0" w:rsidRPr="007C5DF0">
      <w:rPr>
        <w:noProof/>
        <w:lang w:val="sl-SI"/>
      </w:rPr>
      <w:t>11</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599A" w14:textId="77777777" w:rsidR="00DF4929" w:rsidRDefault="00DF4929"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51B8" w14:textId="77777777" w:rsidR="00E611CE" w:rsidRDefault="00E611CE">
      <w:r>
        <w:separator/>
      </w:r>
    </w:p>
  </w:footnote>
  <w:footnote w:type="continuationSeparator" w:id="0">
    <w:p w14:paraId="0F92A633" w14:textId="77777777" w:rsidR="00E611CE" w:rsidRDefault="00E611CE">
      <w:r>
        <w:continuationSeparator/>
      </w:r>
    </w:p>
  </w:footnote>
  <w:footnote w:type="continuationNotice" w:id="1">
    <w:p w14:paraId="4ECBCAB1" w14:textId="77777777" w:rsidR="00E611CE" w:rsidRDefault="00E611CE">
      <w:pPr>
        <w:spacing w:line="240" w:lineRule="auto"/>
      </w:pPr>
    </w:p>
  </w:footnote>
  <w:footnote w:id="2">
    <w:p w14:paraId="7B467255" w14:textId="77777777" w:rsidR="00DE3B6F" w:rsidRPr="00E249E7" w:rsidRDefault="00DE3B6F" w:rsidP="00DE3B6F">
      <w:pPr>
        <w:pStyle w:val="Sprotnaopomba-besedilo"/>
        <w:rPr>
          <w:sz w:val="16"/>
          <w:szCs w:val="16"/>
        </w:rPr>
      </w:pPr>
      <w:r w:rsidRPr="00E249E7">
        <w:rPr>
          <w:rStyle w:val="Sprotnaopomba-sklic"/>
          <w:sz w:val="16"/>
          <w:szCs w:val="16"/>
        </w:rPr>
        <w:footnoteRef/>
      </w:r>
      <w:r w:rsidRPr="00E249E7">
        <w:rPr>
          <w:sz w:val="16"/>
          <w:szCs w:val="16"/>
        </w:rPr>
        <w:t xml:space="preserve"> </w:t>
      </w:r>
      <w:r>
        <w:rPr>
          <w:sz w:val="16"/>
          <w:szCs w:val="16"/>
        </w:rPr>
        <w:t>Za tuje dohodke rezidenta veljajo vsa pravila obdavčitve po ZDDPO-2 tako kot za dohodke rezidenta, ki imajo vir v Sloveniji.</w:t>
      </w:r>
    </w:p>
  </w:footnote>
  <w:footnote w:id="3">
    <w:p w14:paraId="6639531B" w14:textId="77777777" w:rsidR="00C12135" w:rsidRPr="00AE1E70" w:rsidRDefault="00C12135" w:rsidP="00C12135">
      <w:pPr>
        <w:pStyle w:val="Sprotnaopomba-besedilo"/>
        <w:rPr>
          <w:sz w:val="16"/>
          <w:szCs w:val="16"/>
          <w:lang w:val="it-IT"/>
        </w:rPr>
      </w:pPr>
      <w:r w:rsidRPr="00690DCE">
        <w:rPr>
          <w:rStyle w:val="Sprotnaopomba-sklic"/>
          <w:sz w:val="16"/>
          <w:szCs w:val="16"/>
        </w:rPr>
        <w:footnoteRef/>
      </w:r>
      <w:r w:rsidRPr="00AE1E70">
        <w:rPr>
          <w:sz w:val="16"/>
          <w:szCs w:val="16"/>
          <w:lang w:val="it-IT"/>
        </w:rPr>
        <w:t xml:space="preserve"> Merila za določanje vira dohodkov so urejena v 8. členu ZDDPO-2.</w:t>
      </w:r>
    </w:p>
  </w:footnote>
  <w:footnote w:id="4">
    <w:p w14:paraId="7EDEE104" w14:textId="77777777" w:rsidR="00C12135" w:rsidRPr="00AE1E70" w:rsidRDefault="00C12135" w:rsidP="00C12135">
      <w:pPr>
        <w:pStyle w:val="Sprotnaopomba-besedilo"/>
        <w:rPr>
          <w:sz w:val="16"/>
          <w:szCs w:val="16"/>
          <w:lang w:val="it-IT"/>
        </w:rPr>
      </w:pPr>
      <w:r w:rsidRPr="00C74887">
        <w:rPr>
          <w:rStyle w:val="Sprotnaopomba-sklic"/>
          <w:sz w:val="16"/>
          <w:szCs w:val="16"/>
        </w:rPr>
        <w:footnoteRef/>
      </w:r>
      <w:r w:rsidRPr="00AE1E70">
        <w:rPr>
          <w:sz w:val="16"/>
          <w:szCs w:val="16"/>
          <w:lang w:val="it-IT"/>
        </w:rPr>
        <w:t xml:space="preserve"> Morebitne akontacije davka niso dokončen davek.</w:t>
      </w:r>
    </w:p>
  </w:footnote>
  <w:footnote w:id="5">
    <w:p w14:paraId="632D56D8" w14:textId="77777777" w:rsidR="000D5D0C" w:rsidRPr="00AE1E70" w:rsidRDefault="000D5D0C" w:rsidP="000D5D0C">
      <w:pPr>
        <w:pStyle w:val="Sprotnaopomba-besedilo"/>
        <w:rPr>
          <w:sz w:val="16"/>
          <w:szCs w:val="16"/>
          <w:lang w:val="it-IT"/>
        </w:rPr>
      </w:pPr>
      <w:r w:rsidRPr="00B96B0F">
        <w:rPr>
          <w:rStyle w:val="Sprotnaopomba-sklic"/>
          <w:sz w:val="16"/>
          <w:szCs w:val="16"/>
        </w:rPr>
        <w:footnoteRef/>
      </w:r>
      <w:r w:rsidRPr="00AE1E70">
        <w:rPr>
          <w:sz w:val="16"/>
          <w:szCs w:val="16"/>
          <w:lang w:val="it-IT"/>
        </w:rPr>
        <w:t xml:space="preserve"> Znižanja plačanega davka v tujini zaradi uveljavljanja ugodnosti po mednarodni pogodbi o izogibanju dvojnega obdavčenja ne spadajo med naknadna znižanja tujega davka v smislu obravnavane določbe zakona, saj se že pri uveljavljanju odbitka ali vračila tujega davka zneski tujega davka izračunavajo na način, da se kot dokončen tuji davek upošteva davek, ugotovljen z mednarodno pogodbo.  </w:t>
      </w:r>
    </w:p>
  </w:footnote>
  <w:footnote w:id="6">
    <w:p w14:paraId="401DE465" w14:textId="77777777" w:rsidR="001753BC" w:rsidRPr="00AE1E70" w:rsidRDefault="001753BC" w:rsidP="001753BC">
      <w:pPr>
        <w:pStyle w:val="Sprotnaopomba-besedilo"/>
        <w:rPr>
          <w:sz w:val="16"/>
          <w:szCs w:val="16"/>
          <w:lang w:val="it-IT"/>
        </w:rPr>
      </w:pPr>
      <w:r w:rsidRPr="006745C4">
        <w:rPr>
          <w:rStyle w:val="Sprotnaopomba-sklic"/>
          <w:sz w:val="16"/>
          <w:szCs w:val="16"/>
        </w:rPr>
        <w:footnoteRef/>
      </w:r>
      <w:r w:rsidRPr="00AE1E70">
        <w:rPr>
          <w:sz w:val="16"/>
          <w:szCs w:val="16"/>
          <w:lang w:val="it-IT"/>
        </w:rPr>
        <w:t xml:space="preserve"> Tuji dohodki so v davčno osnovo rezidenta v Sloveniji vključijo v bruto znesku oziroma skupaj z odtegnjenim davkom v tujini. </w:t>
      </w:r>
    </w:p>
  </w:footnote>
  <w:footnote w:id="7">
    <w:p w14:paraId="55CFDA1F" w14:textId="77777777" w:rsidR="001753BC" w:rsidRPr="00AE1E70" w:rsidRDefault="001753BC" w:rsidP="001753BC">
      <w:pPr>
        <w:pStyle w:val="Sprotnaopomba-besedilo"/>
        <w:rPr>
          <w:sz w:val="16"/>
          <w:szCs w:val="16"/>
          <w:lang w:val="it-IT"/>
        </w:rPr>
      </w:pPr>
      <w:r w:rsidRPr="006745C4">
        <w:rPr>
          <w:rStyle w:val="Sprotnaopomba-sklic"/>
          <w:sz w:val="16"/>
          <w:szCs w:val="16"/>
        </w:rPr>
        <w:footnoteRef/>
      </w:r>
      <w:r w:rsidRPr="00AE1E70">
        <w:rPr>
          <w:sz w:val="16"/>
          <w:szCs w:val="16"/>
          <w:lang w:val="it-IT"/>
        </w:rPr>
        <w:t xml:space="preserve"> Glejte 64. člen ZDDPO-2 v povezavi z drugim odstavkom 383. člena ZDavP-3. Dokazno breme glede davčne obveznosti od tujih dohodkov v državi vira je na davčnem zavezancu.</w:t>
      </w:r>
    </w:p>
  </w:footnote>
  <w:footnote w:id="8">
    <w:p w14:paraId="21EFB287" w14:textId="77777777" w:rsidR="001753BC" w:rsidRPr="00AE1E70" w:rsidRDefault="001753BC" w:rsidP="001753BC">
      <w:pPr>
        <w:pStyle w:val="Sprotnaopomba-besedilo"/>
        <w:rPr>
          <w:sz w:val="16"/>
          <w:szCs w:val="16"/>
          <w:lang w:val="it-IT"/>
        </w:rPr>
      </w:pPr>
      <w:r w:rsidRPr="003530CB">
        <w:rPr>
          <w:rStyle w:val="Sprotnaopomba-sklic"/>
          <w:sz w:val="16"/>
          <w:szCs w:val="16"/>
        </w:rPr>
        <w:footnoteRef/>
      </w:r>
      <w:r w:rsidRPr="00AE1E70">
        <w:rPr>
          <w:sz w:val="16"/>
          <w:szCs w:val="16"/>
          <w:lang w:val="it-IT"/>
        </w:rPr>
        <w:t xml:space="preserve"> Na primer z davčnim obračunom, davčno napovedjo, odločbo.</w:t>
      </w:r>
    </w:p>
  </w:footnote>
  <w:footnote w:id="9">
    <w:p w14:paraId="03A0A1AA" w14:textId="77777777" w:rsidR="001753BC" w:rsidRPr="00AE1E70" w:rsidRDefault="001753BC" w:rsidP="001753BC">
      <w:pPr>
        <w:pStyle w:val="Sprotnaopomba-besedilo"/>
        <w:rPr>
          <w:sz w:val="16"/>
          <w:szCs w:val="16"/>
          <w:lang w:val="it-IT"/>
        </w:rPr>
      </w:pPr>
      <w:r w:rsidRPr="003530CB">
        <w:rPr>
          <w:rStyle w:val="Sprotnaopomba-sklic"/>
          <w:sz w:val="16"/>
          <w:szCs w:val="16"/>
        </w:rPr>
        <w:footnoteRef/>
      </w:r>
      <w:r w:rsidRPr="00AE1E70">
        <w:rPr>
          <w:sz w:val="16"/>
          <w:szCs w:val="16"/>
          <w:lang w:val="it-IT"/>
        </w:rPr>
        <w:t xml:space="preserve"> Kot dokazilo za izpolnitev davčne obveznosti se na primer lahko prizna dokument o vplačilu davka na predpisane vplačilne račune davkov v tujih državah.</w:t>
      </w:r>
    </w:p>
  </w:footnote>
  <w:footnote w:id="10">
    <w:p w14:paraId="4466A836" w14:textId="77777777" w:rsidR="001753BC" w:rsidRPr="00AE1E70" w:rsidRDefault="001753BC" w:rsidP="001753BC">
      <w:pPr>
        <w:pStyle w:val="Sprotnaopomba-besedilo"/>
        <w:rPr>
          <w:sz w:val="16"/>
          <w:szCs w:val="16"/>
          <w:lang w:val="it-IT"/>
        </w:rPr>
      </w:pPr>
      <w:r w:rsidRPr="003B13BB">
        <w:rPr>
          <w:rStyle w:val="Sprotnaopomba-sklic"/>
          <w:sz w:val="16"/>
          <w:szCs w:val="16"/>
        </w:rPr>
        <w:footnoteRef/>
      </w:r>
      <w:r w:rsidRPr="00AE1E70">
        <w:rPr>
          <w:sz w:val="16"/>
          <w:szCs w:val="16"/>
          <w:lang w:val="it-IT"/>
        </w:rPr>
        <w:t xml:space="preserve"> Več o tem v točki 2.1.4</w:t>
      </w:r>
    </w:p>
  </w:footnote>
  <w:footnote w:id="11">
    <w:p w14:paraId="7B2913AE" w14:textId="77777777" w:rsidR="001753BC" w:rsidRPr="00AE1E70" w:rsidRDefault="001753BC" w:rsidP="001753BC">
      <w:pPr>
        <w:pStyle w:val="Sprotnaopomba-besedilo"/>
        <w:rPr>
          <w:sz w:val="16"/>
          <w:szCs w:val="16"/>
          <w:lang w:val="it-IT"/>
        </w:rPr>
      </w:pPr>
      <w:r w:rsidRPr="00A36BA7">
        <w:rPr>
          <w:rStyle w:val="Sprotnaopomba-sklic"/>
          <w:sz w:val="16"/>
          <w:szCs w:val="16"/>
        </w:rPr>
        <w:footnoteRef/>
      </w:r>
      <w:r w:rsidRPr="00AE1E70">
        <w:rPr>
          <w:sz w:val="16"/>
          <w:szCs w:val="16"/>
          <w:lang w:val="it-IT"/>
        </w:rPr>
        <w:t xml:space="preserve"> Glede dokazil glejte točko 2.2.1</w:t>
      </w:r>
    </w:p>
  </w:footnote>
  <w:footnote w:id="12">
    <w:p w14:paraId="71E4F77D" w14:textId="77777777" w:rsidR="001753BC" w:rsidRPr="00AE1E70" w:rsidRDefault="001753BC" w:rsidP="001753BC">
      <w:pPr>
        <w:pStyle w:val="Sprotnaopomba-besedilo"/>
        <w:rPr>
          <w:sz w:val="16"/>
          <w:szCs w:val="16"/>
          <w:lang w:val="it-IT"/>
        </w:rPr>
      </w:pPr>
      <w:r w:rsidRPr="009A48F2">
        <w:rPr>
          <w:rStyle w:val="Sprotnaopomba-sklic"/>
          <w:sz w:val="16"/>
          <w:szCs w:val="16"/>
        </w:rPr>
        <w:footnoteRef/>
      </w:r>
      <w:r w:rsidRPr="00AE1E70">
        <w:rPr>
          <w:sz w:val="16"/>
          <w:szCs w:val="16"/>
          <w:lang w:val="it-IT"/>
        </w:rPr>
        <w:t xml:space="preserve"> Glejte drugi odstavek 62. člena ZDDPO-2 v povezavi s tretjim odstavkom 383. člena ZDavP-2.</w:t>
      </w:r>
    </w:p>
  </w:footnote>
  <w:footnote w:id="13">
    <w:p w14:paraId="77F76B38" w14:textId="77777777" w:rsidR="001753BC" w:rsidRPr="00AE1E70" w:rsidRDefault="001753BC" w:rsidP="001753BC">
      <w:pPr>
        <w:pStyle w:val="Sprotnaopomba-besedilo"/>
        <w:rPr>
          <w:sz w:val="16"/>
          <w:szCs w:val="16"/>
          <w:lang w:val="it-IT"/>
        </w:rPr>
      </w:pPr>
      <w:r w:rsidRPr="00D37938">
        <w:rPr>
          <w:rStyle w:val="Sprotnaopomba-sklic"/>
          <w:sz w:val="16"/>
          <w:szCs w:val="16"/>
        </w:rPr>
        <w:footnoteRef/>
      </w:r>
      <w:r w:rsidRPr="00AE1E70">
        <w:rPr>
          <w:sz w:val="16"/>
          <w:szCs w:val="16"/>
          <w:lang w:val="it-IT"/>
        </w:rPr>
        <w:t xml:space="preserve"> Upoštevajo se zakonske omejitve glede možne višine odbitka po 66. in 67. členu ZDDPO-2.</w:t>
      </w:r>
    </w:p>
  </w:footnote>
  <w:footnote w:id="14">
    <w:p w14:paraId="08ED0692" w14:textId="77777777" w:rsidR="00E366D5" w:rsidRPr="00AE1E70" w:rsidRDefault="00E366D5" w:rsidP="00E366D5">
      <w:pPr>
        <w:pStyle w:val="Sprotnaopomba-besedilo"/>
        <w:rPr>
          <w:sz w:val="16"/>
          <w:szCs w:val="16"/>
          <w:lang w:val="it-IT"/>
        </w:rPr>
      </w:pPr>
      <w:r w:rsidRPr="00F34FCF">
        <w:rPr>
          <w:rStyle w:val="Sprotnaopomba-sklic"/>
          <w:sz w:val="16"/>
          <w:szCs w:val="16"/>
        </w:rPr>
        <w:footnoteRef/>
      </w:r>
      <w:r w:rsidRPr="00AE1E70">
        <w:rPr>
          <w:sz w:val="16"/>
          <w:szCs w:val="16"/>
          <w:lang w:val="it-IT"/>
        </w:rPr>
        <w:t xml:space="preserve"> V skladu z načelom obdavčitve svetovnega dohodka bi bil dolžan to storiti. </w:t>
      </w:r>
    </w:p>
  </w:footnote>
  <w:footnote w:id="15">
    <w:p w14:paraId="6CB09212" w14:textId="77777777" w:rsidR="00E301C6" w:rsidRPr="00AE1E70" w:rsidRDefault="00E301C6" w:rsidP="00E301C6">
      <w:pPr>
        <w:pStyle w:val="Sprotnaopomba-besedilo"/>
        <w:rPr>
          <w:sz w:val="16"/>
          <w:szCs w:val="16"/>
          <w:lang w:val="it-IT"/>
        </w:rPr>
      </w:pPr>
      <w:r w:rsidRPr="00E249E7">
        <w:rPr>
          <w:rStyle w:val="Sprotnaopomba-sklic"/>
          <w:sz w:val="16"/>
          <w:szCs w:val="16"/>
        </w:rPr>
        <w:footnoteRef/>
      </w:r>
      <w:r w:rsidRPr="00AE1E70">
        <w:rPr>
          <w:sz w:val="16"/>
          <w:szCs w:val="16"/>
          <w:lang w:val="it-IT"/>
        </w:rPr>
        <w:t xml:space="preserve"> Za tuje dohodke rezidenta veljajo vsa pravila obdavčitve po ZDoh-2 tako kot za dohodke rezidenta, ki imajo vir v Sloveniji.</w:t>
      </w:r>
    </w:p>
  </w:footnote>
  <w:footnote w:id="16">
    <w:p w14:paraId="1C5C0CF9" w14:textId="77777777" w:rsidR="00E367B0" w:rsidRPr="00B76243" w:rsidRDefault="00E367B0" w:rsidP="00E367B0">
      <w:pPr>
        <w:pStyle w:val="Sprotnaopomba-besedilo"/>
        <w:rPr>
          <w:sz w:val="16"/>
          <w:szCs w:val="16"/>
          <w:lang w:val="it-IT"/>
        </w:rPr>
      </w:pPr>
      <w:r>
        <w:rPr>
          <w:rStyle w:val="Sprotnaopomba-sklic"/>
        </w:rPr>
        <w:footnoteRef/>
      </w:r>
      <w:r w:rsidRPr="00AE1E70">
        <w:rPr>
          <w:lang w:val="it-IT"/>
        </w:rPr>
        <w:t xml:space="preserve"> </w:t>
      </w:r>
      <w:r w:rsidRPr="00B76243">
        <w:rPr>
          <w:sz w:val="16"/>
          <w:szCs w:val="16"/>
          <w:lang w:val="it-IT"/>
        </w:rPr>
        <w:t xml:space="preserve">Enako velja tudi za zavezance, ki davčno osnovo od dohodka iz dejavnosti ugotavljajo z upoštevanjem dejanskih prihodkov in normiranih odhodkov, vendar gre v tem primeru za cedularno obdavčitev in se ne vključuje v Informativni izračun dohodnine (IID). </w:t>
      </w:r>
    </w:p>
    <w:p w14:paraId="759B4F96" w14:textId="292C1CDD" w:rsidR="00E367B0" w:rsidRPr="00AE1E70" w:rsidRDefault="00E367B0">
      <w:pPr>
        <w:pStyle w:val="Sprotnaopomba-besedilo"/>
        <w:rPr>
          <w:lang w:val="it-IT"/>
        </w:rPr>
      </w:pPr>
    </w:p>
  </w:footnote>
  <w:footnote w:id="17">
    <w:p w14:paraId="154AA292" w14:textId="77777777" w:rsidR="00E301C6" w:rsidRPr="00AE1E70" w:rsidRDefault="00E301C6" w:rsidP="00E301C6">
      <w:pPr>
        <w:pStyle w:val="Sprotnaopomba-besedilo"/>
        <w:rPr>
          <w:sz w:val="16"/>
          <w:szCs w:val="16"/>
          <w:lang w:val="it-IT"/>
        </w:rPr>
      </w:pPr>
      <w:r w:rsidRPr="00690DCE">
        <w:rPr>
          <w:rStyle w:val="Sprotnaopomba-sklic"/>
          <w:sz w:val="16"/>
          <w:szCs w:val="16"/>
        </w:rPr>
        <w:footnoteRef/>
      </w:r>
      <w:r w:rsidRPr="00AE1E70">
        <w:rPr>
          <w:sz w:val="16"/>
          <w:szCs w:val="16"/>
          <w:lang w:val="it-IT"/>
        </w:rPr>
        <w:t xml:space="preserve"> Vir dohodka iz opravljanja dejavnosti ZDoh-2 ureja v 11. členu.</w:t>
      </w:r>
    </w:p>
  </w:footnote>
  <w:footnote w:id="18">
    <w:p w14:paraId="6DBAE671" w14:textId="77777777" w:rsidR="00E301C6" w:rsidRPr="00AE1E70" w:rsidRDefault="00E301C6" w:rsidP="00E301C6">
      <w:pPr>
        <w:pStyle w:val="Sprotnaopomba-besedilo"/>
        <w:rPr>
          <w:sz w:val="16"/>
          <w:szCs w:val="16"/>
          <w:lang w:val="it-IT"/>
        </w:rPr>
      </w:pPr>
      <w:r w:rsidRPr="0027582D">
        <w:rPr>
          <w:rStyle w:val="Sprotnaopomba-sklic"/>
          <w:sz w:val="16"/>
          <w:szCs w:val="16"/>
        </w:rPr>
        <w:footnoteRef/>
      </w:r>
      <w:r w:rsidRPr="00AE1E70">
        <w:rPr>
          <w:sz w:val="16"/>
          <w:szCs w:val="16"/>
          <w:lang w:val="it-IT"/>
        </w:rPr>
        <w:t xml:space="preserve"> Glejte prvi odstavek 284.a člena ZDavP-2.</w:t>
      </w:r>
    </w:p>
  </w:footnote>
  <w:footnote w:id="19">
    <w:p w14:paraId="36277829" w14:textId="77777777" w:rsidR="00E301C6" w:rsidRPr="00AE1E70" w:rsidRDefault="00E301C6" w:rsidP="00E301C6">
      <w:pPr>
        <w:pStyle w:val="Sprotnaopomba-besedilo"/>
        <w:rPr>
          <w:sz w:val="16"/>
          <w:szCs w:val="16"/>
          <w:lang w:val="it-IT"/>
        </w:rPr>
      </w:pPr>
      <w:r w:rsidRPr="006745C4">
        <w:rPr>
          <w:rStyle w:val="Sprotnaopomba-sklic"/>
          <w:sz w:val="16"/>
          <w:szCs w:val="16"/>
        </w:rPr>
        <w:footnoteRef/>
      </w:r>
      <w:r w:rsidRPr="00AE1E70">
        <w:rPr>
          <w:sz w:val="16"/>
          <w:szCs w:val="16"/>
          <w:lang w:val="it-IT"/>
        </w:rPr>
        <w:t xml:space="preserve"> Tuji dohodki so v davčno osnovo rezidenta v Sloveniji vključijo v bruto znesku oziroma skupaj z odtegnjenim davkom v tujini. </w:t>
      </w:r>
    </w:p>
  </w:footnote>
  <w:footnote w:id="20">
    <w:p w14:paraId="7E3A9A45" w14:textId="77777777" w:rsidR="00DC5C08" w:rsidRPr="00B76243" w:rsidRDefault="00DC5C08" w:rsidP="00DC5C08">
      <w:pPr>
        <w:pStyle w:val="Sprotnaopomba-besedilo"/>
        <w:rPr>
          <w:sz w:val="16"/>
          <w:szCs w:val="16"/>
          <w:lang w:val="it-IT"/>
        </w:rPr>
      </w:pPr>
      <w:r w:rsidRPr="004000BB">
        <w:rPr>
          <w:rStyle w:val="Sprotnaopomba-sklic"/>
          <w:sz w:val="16"/>
          <w:szCs w:val="16"/>
        </w:rPr>
        <w:footnoteRef/>
      </w:r>
      <w:r w:rsidRPr="00B76243">
        <w:rPr>
          <w:sz w:val="16"/>
          <w:szCs w:val="16"/>
          <w:lang w:val="it-IT"/>
        </w:rPr>
        <w:t xml:space="preserve"> Več o dokazovanju glejte v točki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597E" w14:textId="77777777" w:rsidR="00DF4929" w:rsidRPr="00110CBD" w:rsidRDefault="00DF492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F4929" w:rsidRPr="008F3500" w14:paraId="2EC95991" w14:textId="77777777">
      <w:trPr>
        <w:cantSplit/>
        <w:trHeight w:hRule="exact" w:val="847"/>
      </w:trPr>
      <w:tc>
        <w:tcPr>
          <w:tcW w:w="567" w:type="dxa"/>
        </w:tcPr>
        <w:p w14:paraId="2EC95980" w14:textId="77777777" w:rsidR="00DF4929" w:rsidRDefault="00DF4929"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DF4929" w:rsidRPr="006D42D9" w:rsidRDefault="00DF4929" w:rsidP="006D42D9">
          <w:pPr>
            <w:rPr>
              <w:rFonts w:ascii="Republika" w:hAnsi="Republika"/>
              <w:sz w:val="60"/>
              <w:szCs w:val="60"/>
              <w:lang w:val="sl-SI"/>
            </w:rPr>
          </w:pPr>
        </w:p>
        <w:p w14:paraId="2EC95982" w14:textId="77777777" w:rsidR="00DF4929" w:rsidRPr="006D42D9" w:rsidRDefault="00DF4929" w:rsidP="006D42D9">
          <w:pPr>
            <w:rPr>
              <w:rFonts w:ascii="Republika" w:hAnsi="Republika"/>
              <w:sz w:val="60"/>
              <w:szCs w:val="60"/>
              <w:lang w:val="sl-SI"/>
            </w:rPr>
          </w:pPr>
        </w:p>
        <w:p w14:paraId="2EC95983" w14:textId="77777777" w:rsidR="00DF4929" w:rsidRPr="006D42D9" w:rsidRDefault="00DF4929" w:rsidP="006D42D9">
          <w:pPr>
            <w:rPr>
              <w:rFonts w:ascii="Republika" w:hAnsi="Republika"/>
              <w:sz w:val="60"/>
              <w:szCs w:val="60"/>
              <w:lang w:val="sl-SI"/>
            </w:rPr>
          </w:pPr>
        </w:p>
        <w:p w14:paraId="2EC95984" w14:textId="77777777" w:rsidR="00DF4929" w:rsidRPr="006D42D9" w:rsidRDefault="00DF4929" w:rsidP="006D42D9">
          <w:pPr>
            <w:rPr>
              <w:rFonts w:ascii="Republika" w:hAnsi="Republika"/>
              <w:sz w:val="60"/>
              <w:szCs w:val="60"/>
              <w:lang w:val="sl-SI"/>
            </w:rPr>
          </w:pPr>
        </w:p>
        <w:p w14:paraId="2EC95985" w14:textId="77777777" w:rsidR="00DF4929" w:rsidRPr="006D42D9" w:rsidRDefault="00DF4929" w:rsidP="006D42D9">
          <w:pPr>
            <w:rPr>
              <w:rFonts w:ascii="Republika" w:hAnsi="Republika"/>
              <w:sz w:val="60"/>
              <w:szCs w:val="60"/>
              <w:lang w:val="sl-SI"/>
            </w:rPr>
          </w:pPr>
        </w:p>
        <w:p w14:paraId="2EC95986" w14:textId="77777777" w:rsidR="00DF4929" w:rsidRPr="006D42D9" w:rsidRDefault="00DF4929" w:rsidP="006D42D9">
          <w:pPr>
            <w:rPr>
              <w:rFonts w:ascii="Republika" w:hAnsi="Republika"/>
              <w:sz w:val="60"/>
              <w:szCs w:val="60"/>
              <w:lang w:val="sl-SI"/>
            </w:rPr>
          </w:pPr>
        </w:p>
        <w:p w14:paraId="2EC95987" w14:textId="77777777" w:rsidR="00DF4929" w:rsidRPr="006D42D9" w:rsidRDefault="00DF4929" w:rsidP="006D42D9">
          <w:pPr>
            <w:rPr>
              <w:rFonts w:ascii="Republika" w:hAnsi="Republika"/>
              <w:sz w:val="60"/>
              <w:szCs w:val="60"/>
              <w:lang w:val="sl-SI"/>
            </w:rPr>
          </w:pPr>
        </w:p>
        <w:p w14:paraId="2EC95988" w14:textId="77777777" w:rsidR="00DF4929" w:rsidRPr="006D42D9" w:rsidRDefault="00DF4929" w:rsidP="006D42D9">
          <w:pPr>
            <w:rPr>
              <w:rFonts w:ascii="Republika" w:hAnsi="Republika"/>
              <w:sz w:val="60"/>
              <w:szCs w:val="60"/>
              <w:lang w:val="sl-SI"/>
            </w:rPr>
          </w:pPr>
        </w:p>
        <w:p w14:paraId="2EC95989" w14:textId="77777777" w:rsidR="00DF4929" w:rsidRPr="006D42D9" w:rsidRDefault="00DF4929" w:rsidP="006D42D9">
          <w:pPr>
            <w:rPr>
              <w:rFonts w:ascii="Republika" w:hAnsi="Republika"/>
              <w:sz w:val="60"/>
              <w:szCs w:val="60"/>
              <w:lang w:val="sl-SI"/>
            </w:rPr>
          </w:pPr>
        </w:p>
        <w:p w14:paraId="2EC9598A" w14:textId="77777777" w:rsidR="00DF4929" w:rsidRPr="006D42D9" w:rsidRDefault="00DF4929" w:rsidP="006D42D9">
          <w:pPr>
            <w:rPr>
              <w:rFonts w:ascii="Republika" w:hAnsi="Republika"/>
              <w:sz w:val="60"/>
              <w:szCs w:val="60"/>
              <w:lang w:val="sl-SI"/>
            </w:rPr>
          </w:pPr>
        </w:p>
        <w:p w14:paraId="2EC9598B" w14:textId="77777777" w:rsidR="00DF4929" w:rsidRPr="006D42D9" w:rsidRDefault="00DF4929" w:rsidP="006D42D9">
          <w:pPr>
            <w:rPr>
              <w:rFonts w:ascii="Republika" w:hAnsi="Republika"/>
              <w:sz w:val="60"/>
              <w:szCs w:val="60"/>
              <w:lang w:val="sl-SI"/>
            </w:rPr>
          </w:pPr>
        </w:p>
        <w:p w14:paraId="2EC9598C" w14:textId="77777777" w:rsidR="00DF4929" w:rsidRPr="006D42D9" w:rsidRDefault="00DF4929" w:rsidP="006D42D9">
          <w:pPr>
            <w:rPr>
              <w:rFonts w:ascii="Republika" w:hAnsi="Republika"/>
              <w:sz w:val="60"/>
              <w:szCs w:val="60"/>
              <w:lang w:val="sl-SI"/>
            </w:rPr>
          </w:pPr>
        </w:p>
        <w:p w14:paraId="2EC9598D" w14:textId="77777777" w:rsidR="00DF4929" w:rsidRPr="006D42D9" w:rsidRDefault="00DF4929" w:rsidP="006D42D9">
          <w:pPr>
            <w:rPr>
              <w:rFonts w:ascii="Republika" w:hAnsi="Republika"/>
              <w:sz w:val="60"/>
              <w:szCs w:val="60"/>
              <w:lang w:val="sl-SI"/>
            </w:rPr>
          </w:pPr>
        </w:p>
        <w:p w14:paraId="2EC9598E" w14:textId="77777777" w:rsidR="00DF4929" w:rsidRPr="006D42D9" w:rsidRDefault="00DF4929" w:rsidP="006D42D9">
          <w:pPr>
            <w:rPr>
              <w:rFonts w:ascii="Republika" w:hAnsi="Republika"/>
              <w:sz w:val="60"/>
              <w:szCs w:val="60"/>
              <w:lang w:val="sl-SI"/>
            </w:rPr>
          </w:pPr>
        </w:p>
        <w:p w14:paraId="2EC9598F" w14:textId="77777777" w:rsidR="00DF4929" w:rsidRPr="006D42D9" w:rsidRDefault="00DF4929" w:rsidP="006D42D9">
          <w:pPr>
            <w:rPr>
              <w:rFonts w:ascii="Republika" w:hAnsi="Republika"/>
              <w:sz w:val="60"/>
              <w:szCs w:val="60"/>
              <w:lang w:val="sl-SI"/>
            </w:rPr>
          </w:pPr>
        </w:p>
        <w:p w14:paraId="2EC95990" w14:textId="77777777" w:rsidR="00DF4929" w:rsidRPr="006D42D9" w:rsidRDefault="00DF4929" w:rsidP="006D42D9">
          <w:pPr>
            <w:rPr>
              <w:rFonts w:ascii="Republika" w:hAnsi="Republika"/>
              <w:sz w:val="60"/>
              <w:szCs w:val="60"/>
              <w:lang w:val="sl-SI"/>
            </w:rPr>
          </w:pPr>
        </w:p>
      </w:tc>
    </w:tr>
  </w:tbl>
  <w:p w14:paraId="2EC95992" w14:textId="6B035B5E" w:rsidR="00DF4929" w:rsidRPr="008F3500" w:rsidRDefault="00DF4929"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7AD659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DF4929" w:rsidRPr="008F3500" w:rsidRDefault="00DF492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DF4929" w:rsidRDefault="00DF4929"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DF4929" w:rsidRPr="008F3500" w:rsidRDefault="00DF4929"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7" w14:textId="20BFE9B4" w:rsidR="00DF4929" w:rsidRPr="008F3500" w:rsidRDefault="00DF492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DF4929" w:rsidRPr="008F3500" w:rsidRDefault="00DF4929"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DF4929" w:rsidRPr="008F3500" w:rsidRDefault="00DF492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309"/>
    <w:multiLevelType w:val="hybridMultilevel"/>
    <w:tmpl w:val="14044958"/>
    <w:lvl w:ilvl="0" w:tplc="0D7A5CB6">
      <w:start w:val="1"/>
      <w:numFmt w:val="bullet"/>
      <w:lvlText w:val="•"/>
      <w:lvlJc w:val="left"/>
      <w:pPr>
        <w:tabs>
          <w:tab w:val="num" w:pos="720"/>
        </w:tabs>
        <w:ind w:left="720" w:hanging="360"/>
      </w:pPr>
      <w:rPr>
        <w:rFonts w:ascii="Times New Roman" w:hAnsi="Times New Roman" w:hint="default"/>
      </w:rPr>
    </w:lvl>
    <w:lvl w:ilvl="1" w:tplc="2108B556" w:tentative="1">
      <w:start w:val="1"/>
      <w:numFmt w:val="bullet"/>
      <w:lvlText w:val="•"/>
      <w:lvlJc w:val="left"/>
      <w:pPr>
        <w:tabs>
          <w:tab w:val="num" w:pos="1440"/>
        </w:tabs>
        <w:ind w:left="1440" w:hanging="360"/>
      </w:pPr>
      <w:rPr>
        <w:rFonts w:ascii="Times New Roman" w:hAnsi="Times New Roman" w:hint="default"/>
      </w:rPr>
    </w:lvl>
    <w:lvl w:ilvl="2" w:tplc="45009A1C" w:tentative="1">
      <w:start w:val="1"/>
      <w:numFmt w:val="bullet"/>
      <w:lvlText w:val="•"/>
      <w:lvlJc w:val="left"/>
      <w:pPr>
        <w:tabs>
          <w:tab w:val="num" w:pos="2160"/>
        </w:tabs>
        <w:ind w:left="2160" w:hanging="360"/>
      </w:pPr>
      <w:rPr>
        <w:rFonts w:ascii="Times New Roman" w:hAnsi="Times New Roman" w:hint="default"/>
      </w:rPr>
    </w:lvl>
    <w:lvl w:ilvl="3" w:tplc="B6E62804" w:tentative="1">
      <w:start w:val="1"/>
      <w:numFmt w:val="bullet"/>
      <w:lvlText w:val="•"/>
      <w:lvlJc w:val="left"/>
      <w:pPr>
        <w:tabs>
          <w:tab w:val="num" w:pos="2880"/>
        </w:tabs>
        <w:ind w:left="2880" w:hanging="360"/>
      </w:pPr>
      <w:rPr>
        <w:rFonts w:ascii="Times New Roman" w:hAnsi="Times New Roman" w:hint="default"/>
      </w:rPr>
    </w:lvl>
    <w:lvl w:ilvl="4" w:tplc="883E2FA8" w:tentative="1">
      <w:start w:val="1"/>
      <w:numFmt w:val="bullet"/>
      <w:lvlText w:val="•"/>
      <w:lvlJc w:val="left"/>
      <w:pPr>
        <w:tabs>
          <w:tab w:val="num" w:pos="3600"/>
        </w:tabs>
        <w:ind w:left="3600" w:hanging="360"/>
      </w:pPr>
      <w:rPr>
        <w:rFonts w:ascii="Times New Roman" w:hAnsi="Times New Roman" w:hint="default"/>
      </w:rPr>
    </w:lvl>
    <w:lvl w:ilvl="5" w:tplc="B8449EC0" w:tentative="1">
      <w:start w:val="1"/>
      <w:numFmt w:val="bullet"/>
      <w:lvlText w:val="•"/>
      <w:lvlJc w:val="left"/>
      <w:pPr>
        <w:tabs>
          <w:tab w:val="num" w:pos="4320"/>
        </w:tabs>
        <w:ind w:left="4320" w:hanging="360"/>
      </w:pPr>
      <w:rPr>
        <w:rFonts w:ascii="Times New Roman" w:hAnsi="Times New Roman" w:hint="default"/>
      </w:rPr>
    </w:lvl>
    <w:lvl w:ilvl="6" w:tplc="A73630A6" w:tentative="1">
      <w:start w:val="1"/>
      <w:numFmt w:val="bullet"/>
      <w:lvlText w:val="•"/>
      <w:lvlJc w:val="left"/>
      <w:pPr>
        <w:tabs>
          <w:tab w:val="num" w:pos="5040"/>
        </w:tabs>
        <w:ind w:left="5040" w:hanging="360"/>
      </w:pPr>
      <w:rPr>
        <w:rFonts w:ascii="Times New Roman" w:hAnsi="Times New Roman" w:hint="default"/>
      </w:rPr>
    </w:lvl>
    <w:lvl w:ilvl="7" w:tplc="BD807502" w:tentative="1">
      <w:start w:val="1"/>
      <w:numFmt w:val="bullet"/>
      <w:lvlText w:val="•"/>
      <w:lvlJc w:val="left"/>
      <w:pPr>
        <w:tabs>
          <w:tab w:val="num" w:pos="5760"/>
        </w:tabs>
        <w:ind w:left="5760" w:hanging="360"/>
      </w:pPr>
      <w:rPr>
        <w:rFonts w:ascii="Times New Roman" w:hAnsi="Times New Roman" w:hint="default"/>
      </w:rPr>
    </w:lvl>
    <w:lvl w:ilvl="8" w:tplc="55BC73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2114EA"/>
    <w:multiLevelType w:val="multilevel"/>
    <w:tmpl w:val="4C780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317246"/>
    <w:multiLevelType w:val="hybridMultilevel"/>
    <w:tmpl w:val="7868A3FA"/>
    <w:lvl w:ilvl="0" w:tplc="1E841BFE">
      <w:start w:val="1"/>
      <w:numFmt w:val="upperLetter"/>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AEE5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AA15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23B1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847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45B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048F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E66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02C5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A25FAF"/>
    <w:multiLevelType w:val="hybridMultilevel"/>
    <w:tmpl w:val="EA821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F0760F"/>
    <w:multiLevelType w:val="multilevel"/>
    <w:tmpl w:val="AA6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7462F"/>
    <w:multiLevelType w:val="hybridMultilevel"/>
    <w:tmpl w:val="5DAE3A70"/>
    <w:lvl w:ilvl="0" w:tplc="2DCE9DBE">
      <w:start w:val="1"/>
      <w:numFmt w:val="bullet"/>
      <w:lvlText w:val="•"/>
      <w:lvlJc w:val="left"/>
      <w:pPr>
        <w:tabs>
          <w:tab w:val="num" w:pos="720"/>
        </w:tabs>
        <w:ind w:left="720" w:hanging="360"/>
      </w:pPr>
      <w:rPr>
        <w:rFonts w:ascii="Arial" w:hAnsi="Arial" w:hint="default"/>
      </w:rPr>
    </w:lvl>
    <w:lvl w:ilvl="1" w:tplc="ED1E288E" w:tentative="1">
      <w:start w:val="1"/>
      <w:numFmt w:val="bullet"/>
      <w:lvlText w:val="•"/>
      <w:lvlJc w:val="left"/>
      <w:pPr>
        <w:tabs>
          <w:tab w:val="num" w:pos="1440"/>
        </w:tabs>
        <w:ind w:left="1440" w:hanging="360"/>
      </w:pPr>
      <w:rPr>
        <w:rFonts w:ascii="Arial" w:hAnsi="Arial" w:hint="default"/>
      </w:rPr>
    </w:lvl>
    <w:lvl w:ilvl="2" w:tplc="245669B0" w:tentative="1">
      <w:start w:val="1"/>
      <w:numFmt w:val="bullet"/>
      <w:lvlText w:val="•"/>
      <w:lvlJc w:val="left"/>
      <w:pPr>
        <w:tabs>
          <w:tab w:val="num" w:pos="2160"/>
        </w:tabs>
        <w:ind w:left="2160" w:hanging="360"/>
      </w:pPr>
      <w:rPr>
        <w:rFonts w:ascii="Arial" w:hAnsi="Arial" w:hint="default"/>
      </w:rPr>
    </w:lvl>
    <w:lvl w:ilvl="3" w:tplc="153C048A" w:tentative="1">
      <w:start w:val="1"/>
      <w:numFmt w:val="bullet"/>
      <w:lvlText w:val="•"/>
      <w:lvlJc w:val="left"/>
      <w:pPr>
        <w:tabs>
          <w:tab w:val="num" w:pos="2880"/>
        </w:tabs>
        <w:ind w:left="2880" w:hanging="360"/>
      </w:pPr>
      <w:rPr>
        <w:rFonts w:ascii="Arial" w:hAnsi="Arial" w:hint="default"/>
      </w:rPr>
    </w:lvl>
    <w:lvl w:ilvl="4" w:tplc="8C087AF4" w:tentative="1">
      <w:start w:val="1"/>
      <w:numFmt w:val="bullet"/>
      <w:lvlText w:val="•"/>
      <w:lvlJc w:val="left"/>
      <w:pPr>
        <w:tabs>
          <w:tab w:val="num" w:pos="3600"/>
        </w:tabs>
        <w:ind w:left="3600" w:hanging="360"/>
      </w:pPr>
      <w:rPr>
        <w:rFonts w:ascii="Arial" w:hAnsi="Arial" w:hint="default"/>
      </w:rPr>
    </w:lvl>
    <w:lvl w:ilvl="5" w:tplc="42F65100" w:tentative="1">
      <w:start w:val="1"/>
      <w:numFmt w:val="bullet"/>
      <w:lvlText w:val="•"/>
      <w:lvlJc w:val="left"/>
      <w:pPr>
        <w:tabs>
          <w:tab w:val="num" w:pos="4320"/>
        </w:tabs>
        <w:ind w:left="4320" w:hanging="360"/>
      </w:pPr>
      <w:rPr>
        <w:rFonts w:ascii="Arial" w:hAnsi="Arial" w:hint="default"/>
      </w:rPr>
    </w:lvl>
    <w:lvl w:ilvl="6" w:tplc="D808277A" w:tentative="1">
      <w:start w:val="1"/>
      <w:numFmt w:val="bullet"/>
      <w:lvlText w:val="•"/>
      <w:lvlJc w:val="left"/>
      <w:pPr>
        <w:tabs>
          <w:tab w:val="num" w:pos="5040"/>
        </w:tabs>
        <w:ind w:left="5040" w:hanging="360"/>
      </w:pPr>
      <w:rPr>
        <w:rFonts w:ascii="Arial" w:hAnsi="Arial" w:hint="default"/>
      </w:rPr>
    </w:lvl>
    <w:lvl w:ilvl="7" w:tplc="F8C401BA" w:tentative="1">
      <w:start w:val="1"/>
      <w:numFmt w:val="bullet"/>
      <w:lvlText w:val="•"/>
      <w:lvlJc w:val="left"/>
      <w:pPr>
        <w:tabs>
          <w:tab w:val="num" w:pos="5760"/>
        </w:tabs>
        <w:ind w:left="5760" w:hanging="360"/>
      </w:pPr>
      <w:rPr>
        <w:rFonts w:ascii="Arial" w:hAnsi="Arial" w:hint="default"/>
      </w:rPr>
    </w:lvl>
    <w:lvl w:ilvl="8" w:tplc="AC9C65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E23B25"/>
    <w:multiLevelType w:val="multilevel"/>
    <w:tmpl w:val="86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74CE2"/>
    <w:multiLevelType w:val="multilevel"/>
    <w:tmpl w:val="4C780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994FBB"/>
    <w:multiLevelType w:val="hybridMultilevel"/>
    <w:tmpl w:val="022CCF38"/>
    <w:lvl w:ilvl="0" w:tplc="44060A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982C">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038CA">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EC53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0743E">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8389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E3D9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8DF2A">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A4FBDC">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303926"/>
    <w:multiLevelType w:val="hybridMultilevel"/>
    <w:tmpl w:val="49802338"/>
    <w:lvl w:ilvl="0" w:tplc="64AA444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6C6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A88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88B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79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EA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89F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8F0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E92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F8112F"/>
    <w:multiLevelType w:val="hybridMultilevel"/>
    <w:tmpl w:val="E1F6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DE0DA7"/>
    <w:multiLevelType w:val="hybridMultilevel"/>
    <w:tmpl w:val="C632051E"/>
    <w:lvl w:ilvl="0" w:tplc="997E18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EB7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2A7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0479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6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CE1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4C8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851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603A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70423F"/>
    <w:multiLevelType w:val="hybridMultilevel"/>
    <w:tmpl w:val="71A67678"/>
    <w:lvl w:ilvl="0" w:tplc="3C10816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3299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005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C93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41F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03D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053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80D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21D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AF27BE"/>
    <w:multiLevelType w:val="multilevel"/>
    <w:tmpl w:val="4C780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6B3762"/>
    <w:multiLevelType w:val="hybridMultilevel"/>
    <w:tmpl w:val="EFC87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4E0877"/>
    <w:multiLevelType w:val="multilevel"/>
    <w:tmpl w:val="4C780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01725E"/>
    <w:multiLevelType w:val="hybridMultilevel"/>
    <w:tmpl w:val="9618B69C"/>
    <w:lvl w:ilvl="0" w:tplc="EF96EA2C">
      <w:start w:val="1"/>
      <w:numFmt w:val="bullet"/>
      <w:lvlText w:val="•"/>
      <w:lvlJc w:val="left"/>
      <w:pPr>
        <w:tabs>
          <w:tab w:val="num" w:pos="720"/>
        </w:tabs>
        <w:ind w:left="720" w:hanging="360"/>
      </w:pPr>
      <w:rPr>
        <w:rFonts w:ascii="Arial" w:hAnsi="Arial" w:hint="default"/>
      </w:rPr>
    </w:lvl>
    <w:lvl w:ilvl="1" w:tplc="3A88C832" w:tentative="1">
      <w:start w:val="1"/>
      <w:numFmt w:val="bullet"/>
      <w:lvlText w:val="•"/>
      <w:lvlJc w:val="left"/>
      <w:pPr>
        <w:tabs>
          <w:tab w:val="num" w:pos="1440"/>
        </w:tabs>
        <w:ind w:left="1440" w:hanging="360"/>
      </w:pPr>
      <w:rPr>
        <w:rFonts w:ascii="Arial" w:hAnsi="Arial" w:hint="default"/>
      </w:rPr>
    </w:lvl>
    <w:lvl w:ilvl="2" w:tplc="BB20521A" w:tentative="1">
      <w:start w:val="1"/>
      <w:numFmt w:val="bullet"/>
      <w:lvlText w:val="•"/>
      <w:lvlJc w:val="left"/>
      <w:pPr>
        <w:tabs>
          <w:tab w:val="num" w:pos="2160"/>
        </w:tabs>
        <w:ind w:left="2160" w:hanging="360"/>
      </w:pPr>
      <w:rPr>
        <w:rFonts w:ascii="Arial" w:hAnsi="Arial" w:hint="default"/>
      </w:rPr>
    </w:lvl>
    <w:lvl w:ilvl="3" w:tplc="0CD8FDDA" w:tentative="1">
      <w:start w:val="1"/>
      <w:numFmt w:val="bullet"/>
      <w:lvlText w:val="•"/>
      <w:lvlJc w:val="left"/>
      <w:pPr>
        <w:tabs>
          <w:tab w:val="num" w:pos="2880"/>
        </w:tabs>
        <w:ind w:left="2880" w:hanging="360"/>
      </w:pPr>
      <w:rPr>
        <w:rFonts w:ascii="Arial" w:hAnsi="Arial" w:hint="default"/>
      </w:rPr>
    </w:lvl>
    <w:lvl w:ilvl="4" w:tplc="38325508" w:tentative="1">
      <w:start w:val="1"/>
      <w:numFmt w:val="bullet"/>
      <w:lvlText w:val="•"/>
      <w:lvlJc w:val="left"/>
      <w:pPr>
        <w:tabs>
          <w:tab w:val="num" w:pos="3600"/>
        </w:tabs>
        <w:ind w:left="3600" w:hanging="360"/>
      </w:pPr>
      <w:rPr>
        <w:rFonts w:ascii="Arial" w:hAnsi="Arial" w:hint="default"/>
      </w:rPr>
    </w:lvl>
    <w:lvl w:ilvl="5" w:tplc="98AA5506" w:tentative="1">
      <w:start w:val="1"/>
      <w:numFmt w:val="bullet"/>
      <w:lvlText w:val="•"/>
      <w:lvlJc w:val="left"/>
      <w:pPr>
        <w:tabs>
          <w:tab w:val="num" w:pos="4320"/>
        </w:tabs>
        <w:ind w:left="4320" w:hanging="360"/>
      </w:pPr>
      <w:rPr>
        <w:rFonts w:ascii="Arial" w:hAnsi="Arial" w:hint="default"/>
      </w:rPr>
    </w:lvl>
    <w:lvl w:ilvl="6" w:tplc="47062A22" w:tentative="1">
      <w:start w:val="1"/>
      <w:numFmt w:val="bullet"/>
      <w:lvlText w:val="•"/>
      <w:lvlJc w:val="left"/>
      <w:pPr>
        <w:tabs>
          <w:tab w:val="num" w:pos="5040"/>
        </w:tabs>
        <w:ind w:left="5040" w:hanging="360"/>
      </w:pPr>
      <w:rPr>
        <w:rFonts w:ascii="Arial" w:hAnsi="Arial" w:hint="default"/>
      </w:rPr>
    </w:lvl>
    <w:lvl w:ilvl="7" w:tplc="A88EBD96" w:tentative="1">
      <w:start w:val="1"/>
      <w:numFmt w:val="bullet"/>
      <w:lvlText w:val="•"/>
      <w:lvlJc w:val="left"/>
      <w:pPr>
        <w:tabs>
          <w:tab w:val="num" w:pos="5760"/>
        </w:tabs>
        <w:ind w:left="5760" w:hanging="360"/>
      </w:pPr>
      <w:rPr>
        <w:rFonts w:ascii="Arial" w:hAnsi="Arial" w:hint="default"/>
      </w:rPr>
    </w:lvl>
    <w:lvl w:ilvl="8" w:tplc="BC26B2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7B4F94"/>
    <w:multiLevelType w:val="hybridMultilevel"/>
    <w:tmpl w:val="7090E0C2"/>
    <w:lvl w:ilvl="0" w:tplc="258CE612">
      <w:start w:val="1"/>
      <w:numFmt w:val="bullet"/>
      <w:lvlText w:val="•"/>
      <w:lvlJc w:val="left"/>
      <w:pPr>
        <w:tabs>
          <w:tab w:val="num" w:pos="720"/>
        </w:tabs>
        <w:ind w:left="720" w:hanging="360"/>
      </w:pPr>
      <w:rPr>
        <w:rFonts w:ascii="Arial" w:hAnsi="Arial" w:hint="default"/>
      </w:rPr>
    </w:lvl>
    <w:lvl w:ilvl="1" w:tplc="017C4F72" w:tentative="1">
      <w:start w:val="1"/>
      <w:numFmt w:val="bullet"/>
      <w:lvlText w:val="•"/>
      <w:lvlJc w:val="left"/>
      <w:pPr>
        <w:tabs>
          <w:tab w:val="num" w:pos="1440"/>
        </w:tabs>
        <w:ind w:left="1440" w:hanging="360"/>
      </w:pPr>
      <w:rPr>
        <w:rFonts w:ascii="Arial" w:hAnsi="Arial" w:hint="default"/>
      </w:rPr>
    </w:lvl>
    <w:lvl w:ilvl="2" w:tplc="5BBA5EF0" w:tentative="1">
      <w:start w:val="1"/>
      <w:numFmt w:val="bullet"/>
      <w:lvlText w:val="•"/>
      <w:lvlJc w:val="left"/>
      <w:pPr>
        <w:tabs>
          <w:tab w:val="num" w:pos="2160"/>
        </w:tabs>
        <w:ind w:left="2160" w:hanging="360"/>
      </w:pPr>
      <w:rPr>
        <w:rFonts w:ascii="Arial" w:hAnsi="Arial" w:hint="default"/>
      </w:rPr>
    </w:lvl>
    <w:lvl w:ilvl="3" w:tplc="A95A78EE" w:tentative="1">
      <w:start w:val="1"/>
      <w:numFmt w:val="bullet"/>
      <w:lvlText w:val="•"/>
      <w:lvlJc w:val="left"/>
      <w:pPr>
        <w:tabs>
          <w:tab w:val="num" w:pos="2880"/>
        </w:tabs>
        <w:ind w:left="2880" w:hanging="360"/>
      </w:pPr>
      <w:rPr>
        <w:rFonts w:ascii="Arial" w:hAnsi="Arial" w:hint="default"/>
      </w:rPr>
    </w:lvl>
    <w:lvl w:ilvl="4" w:tplc="DC5A08BC" w:tentative="1">
      <w:start w:val="1"/>
      <w:numFmt w:val="bullet"/>
      <w:lvlText w:val="•"/>
      <w:lvlJc w:val="left"/>
      <w:pPr>
        <w:tabs>
          <w:tab w:val="num" w:pos="3600"/>
        </w:tabs>
        <w:ind w:left="3600" w:hanging="360"/>
      </w:pPr>
      <w:rPr>
        <w:rFonts w:ascii="Arial" w:hAnsi="Arial" w:hint="default"/>
      </w:rPr>
    </w:lvl>
    <w:lvl w:ilvl="5" w:tplc="5B02DE00" w:tentative="1">
      <w:start w:val="1"/>
      <w:numFmt w:val="bullet"/>
      <w:lvlText w:val="•"/>
      <w:lvlJc w:val="left"/>
      <w:pPr>
        <w:tabs>
          <w:tab w:val="num" w:pos="4320"/>
        </w:tabs>
        <w:ind w:left="4320" w:hanging="360"/>
      </w:pPr>
      <w:rPr>
        <w:rFonts w:ascii="Arial" w:hAnsi="Arial" w:hint="default"/>
      </w:rPr>
    </w:lvl>
    <w:lvl w:ilvl="6" w:tplc="36E08B2E" w:tentative="1">
      <w:start w:val="1"/>
      <w:numFmt w:val="bullet"/>
      <w:lvlText w:val="•"/>
      <w:lvlJc w:val="left"/>
      <w:pPr>
        <w:tabs>
          <w:tab w:val="num" w:pos="5040"/>
        </w:tabs>
        <w:ind w:left="5040" w:hanging="360"/>
      </w:pPr>
      <w:rPr>
        <w:rFonts w:ascii="Arial" w:hAnsi="Arial" w:hint="default"/>
      </w:rPr>
    </w:lvl>
    <w:lvl w:ilvl="7" w:tplc="E0CC90BC" w:tentative="1">
      <w:start w:val="1"/>
      <w:numFmt w:val="bullet"/>
      <w:lvlText w:val="•"/>
      <w:lvlJc w:val="left"/>
      <w:pPr>
        <w:tabs>
          <w:tab w:val="num" w:pos="5760"/>
        </w:tabs>
        <w:ind w:left="5760" w:hanging="360"/>
      </w:pPr>
      <w:rPr>
        <w:rFonts w:ascii="Arial" w:hAnsi="Arial" w:hint="default"/>
      </w:rPr>
    </w:lvl>
    <w:lvl w:ilvl="8" w:tplc="24F076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DB0EEE"/>
    <w:multiLevelType w:val="hybridMultilevel"/>
    <w:tmpl w:val="ED0A4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401097"/>
    <w:multiLevelType w:val="multilevel"/>
    <w:tmpl w:val="529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9D528D"/>
    <w:multiLevelType w:val="hybridMultilevel"/>
    <w:tmpl w:val="998ACEDC"/>
    <w:lvl w:ilvl="0" w:tplc="F4562B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C52319C"/>
    <w:multiLevelType w:val="hybridMultilevel"/>
    <w:tmpl w:val="22F0BBF0"/>
    <w:lvl w:ilvl="0" w:tplc="2FFE7EA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6479C1"/>
    <w:multiLevelType w:val="hybridMultilevel"/>
    <w:tmpl w:val="830E11E4"/>
    <w:lvl w:ilvl="0" w:tplc="BE58D040">
      <w:start w:val="1"/>
      <w:numFmt w:val="bullet"/>
      <w:lvlText w:val="•"/>
      <w:lvlJc w:val="left"/>
      <w:pPr>
        <w:tabs>
          <w:tab w:val="num" w:pos="720"/>
        </w:tabs>
        <w:ind w:left="720" w:hanging="360"/>
      </w:pPr>
      <w:rPr>
        <w:rFonts w:ascii="Arial" w:hAnsi="Arial" w:hint="default"/>
      </w:rPr>
    </w:lvl>
    <w:lvl w:ilvl="1" w:tplc="A964F494" w:tentative="1">
      <w:start w:val="1"/>
      <w:numFmt w:val="bullet"/>
      <w:lvlText w:val="•"/>
      <w:lvlJc w:val="left"/>
      <w:pPr>
        <w:tabs>
          <w:tab w:val="num" w:pos="1440"/>
        </w:tabs>
        <w:ind w:left="1440" w:hanging="360"/>
      </w:pPr>
      <w:rPr>
        <w:rFonts w:ascii="Arial" w:hAnsi="Arial" w:hint="default"/>
      </w:rPr>
    </w:lvl>
    <w:lvl w:ilvl="2" w:tplc="906AB53E" w:tentative="1">
      <w:start w:val="1"/>
      <w:numFmt w:val="bullet"/>
      <w:lvlText w:val="•"/>
      <w:lvlJc w:val="left"/>
      <w:pPr>
        <w:tabs>
          <w:tab w:val="num" w:pos="2160"/>
        </w:tabs>
        <w:ind w:left="2160" w:hanging="360"/>
      </w:pPr>
      <w:rPr>
        <w:rFonts w:ascii="Arial" w:hAnsi="Arial" w:hint="default"/>
      </w:rPr>
    </w:lvl>
    <w:lvl w:ilvl="3" w:tplc="93943C7E" w:tentative="1">
      <w:start w:val="1"/>
      <w:numFmt w:val="bullet"/>
      <w:lvlText w:val="•"/>
      <w:lvlJc w:val="left"/>
      <w:pPr>
        <w:tabs>
          <w:tab w:val="num" w:pos="2880"/>
        </w:tabs>
        <w:ind w:left="2880" w:hanging="360"/>
      </w:pPr>
      <w:rPr>
        <w:rFonts w:ascii="Arial" w:hAnsi="Arial" w:hint="default"/>
      </w:rPr>
    </w:lvl>
    <w:lvl w:ilvl="4" w:tplc="2FE4AF88" w:tentative="1">
      <w:start w:val="1"/>
      <w:numFmt w:val="bullet"/>
      <w:lvlText w:val="•"/>
      <w:lvlJc w:val="left"/>
      <w:pPr>
        <w:tabs>
          <w:tab w:val="num" w:pos="3600"/>
        </w:tabs>
        <w:ind w:left="3600" w:hanging="360"/>
      </w:pPr>
      <w:rPr>
        <w:rFonts w:ascii="Arial" w:hAnsi="Arial" w:hint="default"/>
      </w:rPr>
    </w:lvl>
    <w:lvl w:ilvl="5" w:tplc="612C6C1E" w:tentative="1">
      <w:start w:val="1"/>
      <w:numFmt w:val="bullet"/>
      <w:lvlText w:val="•"/>
      <w:lvlJc w:val="left"/>
      <w:pPr>
        <w:tabs>
          <w:tab w:val="num" w:pos="4320"/>
        </w:tabs>
        <w:ind w:left="4320" w:hanging="360"/>
      </w:pPr>
      <w:rPr>
        <w:rFonts w:ascii="Arial" w:hAnsi="Arial" w:hint="default"/>
      </w:rPr>
    </w:lvl>
    <w:lvl w:ilvl="6" w:tplc="2BC0CEF8" w:tentative="1">
      <w:start w:val="1"/>
      <w:numFmt w:val="bullet"/>
      <w:lvlText w:val="•"/>
      <w:lvlJc w:val="left"/>
      <w:pPr>
        <w:tabs>
          <w:tab w:val="num" w:pos="5040"/>
        </w:tabs>
        <w:ind w:left="5040" w:hanging="360"/>
      </w:pPr>
      <w:rPr>
        <w:rFonts w:ascii="Arial" w:hAnsi="Arial" w:hint="default"/>
      </w:rPr>
    </w:lvl>
    <w:lvl w:ilvl="7" w:tplc="75EA19CA" w:tentative="1">
      <w:start w:val="1"/>
      <w:numFmt w:val="bullet"/>
      <w:lvlText w:val="•"/>
      <w:lvlJc w:val="left"/>
      <w:pPr>
        <w:tabs>
          <w:tab w:val="num" w:pos="5760"/>
        </w:tabs>
        <w:ind w:left="5760" w:hanging="360"/>
      </w:pPr>
      <w:rPr>
        <w:rFonts w:ascii="Arial" w:hAnsi="Arial" w:hint="default"/>
      </w:rPr>
    </w:lvl>
    <w:lvl w:ilvl="8" w:tplc="9E7EB8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6E7146"/>
    <w:multiLevelType w:val="hybridMultilevel"/>
    <w:tmpl w:val="2A86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9"/>
  </w:num>
  <w:num w:numId="5">
    <w:abstractNumId w:val="2"/>
  </w:num>
  <w:num w:numId="6">
    <w:abstractNumId w:val="6"/>
  </w:num>
  <w:num w:numId="7">
    <w:abstractNumId w:val="4"/>
  </w:num>
  <w:num w:numId="8">
    <w:abstractNumId w:val="19"/>
  </w:num>
  <w:num w:numId="9">
    <w:abstractNumId w:val="3"/>
  </w:num>
  <w:num w:numId="10">
    <w:abstractNumId w:val="23"/>
  </w:num>
  <w:num w:numId="11">
    <w:abstractNumId w:val="10"/>
  </w:num>
  <w:num w:numId="12">
    <w:abstractNumId w:val="14"/>
  </w:num>
  <w:num w:numId="13">
    <w:abstractNumId w:val="22"/>
  </w:num>
  <w:num w:numId="14">
    <w:abstractNumId w:val="17"/>
  </w:num>
  <w:num w:numId="15">
    <w:abstractNumId w:val="16"/>
  </w:num>
  <w:num w:numId="16">
    <w:abstractNumId w:val="21"/>
  </w:num>
  <w:num w:numId="17">
    <w:abstractNumId w:val="20"/>
  </w:num>
  <w:num w:numId="18">
    <w:abstractNumId w:val="5"/>
  </w:num>
  <w:num w:numId="19">
    <w:abstractNumId w:val="0"/>
  </w:num>
  <w:num w:numId="20">
    <w:abstractNumId w:val="7"/>
  </w:num>
  <w:num w:numId="21">
    <w:abstractNumId w:val="13"/>
  </w:num>
  <w:num w:numId="22">
    <w:abstractNumId w:val="15"/>
  </w:num>
  <w:num w:numId="23">
    <w:abstractNumId w:val="1"/>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2E12"/>
    <w:rsid w:val="00003886"/>
    <w:rsid w:val="000063FF"/>
    <w:rsid w:val="00006CF8"/>
    <w:rsid w:val="00010BF0"/>
    <w:rsid w:val="00012E25"/>
    <w:rsid w:val="00016EE3"/>
    <w:rsid w:val="000206D6"/>
    <w:rsid w:val="000230A0"/>
    <w:rsid w:val="000236B5"/>
    <w:rsid w:val="00023A88"/>
    <w:rsid w:val="0002573A"/>
    <w:rsid w:val="00025FB5"/>
    <w:rsid w:val="000408B1"/>
    <w:rsid w:val="00043C4D"/>
    <w:rsid w:val="00051628"/>
    <w:rsid w:val="000517B6"/>
    <w:rsid w:val="000519EF"/>
    <w:rsid w:val="00055D7A"/>
    <w:rsid w:val="00057B99"/>
    <w:rsid w:val="000652BC"/>
    <w:rsid w:val="00065573"/>
    <w:rsid w:val="0007156A"/>
    <w:rsid w:val="00071753"/>
    <w:rsid w:val="00077747"/>
    <w:rsid w:val="000805EA"/>
    <w:rsid w:val="0008140D"/>
    <w:rsid w:val="00081B92"/>
    <w:rsid w:val="0008352D"/>
    <w:rsid w:val="000835D4"/>
    <w:rsid w:val="00086D8C"/>
    <w:rsid w:val="000A488B"/>
    <w:rsid w:val="000A5125"/>
    <w:rsid w:val="000A7238"/>
    <w:rsid w:val="000B0458"/>
    <w:rsid w:val="000B0B21"/>
    <w:rsid w:val="000B7B40"/>
    <w:rsid w:val="000C067C"/>
    <w:rsid w:val="000C1A82"/>
    <w:rsid w:val="000C2273"/>
    <w:rsid w:val="000C3925"/>
    <w:rsid w:val="000C68DC"/>
    <w:rsid w:val="000D20D5"/>
    <w:rsid w:val="000D3F5F"/>
    <w:rsid w:val="000D5D0C"/>
    <w:rsid w:val="000E4FA7"/>
    <w:rsid w:val="000F0DDC"/>
    <w:rsid w:val="000F3F58"/>
    <w:rsid w:val="000F557D"/>
    <w:rsid w:val="000F69EB"/>
    <w:rsid w:val="00100C98"/>
    <w:rsid w:val="00102912"/>
    <w:rsid w:val="00104124"/>
    <w:rsid w:val="0010621D"/>
    <w:rsid w:val="001076C5"/>
    <w:rsid w:val="00110960"/>
    <w:rsid w:val="00113120"/>
    <w:rsid w:val="0011766D"/>
    <w:rsid w:val="001236BE"/>
    <w:rsid w:val="00125573"/>
    <w:rsid w:val="001357B2"/>
    <w:rsid w:val="00136CA8"/>
    <w:rsid w:val="00137534"/>
    <w:rsid w:val="001420C2"/>
    <w:rsid w:val="00143B12"/>
    <w:rsid w:val="00144867"/>
    <w:rsid w:val="0014593A"/>
    <w:rsid w:val="00146621"/>
    <w:rsid w:val="00146AA8"/>
    <w:rsid w:val="00151B90"/>
    <w:rsid w:val="00153AF0"/>
    <w:rsid w:val="001603EE"/>
    <w:rsid w:val="0016450C"/>
    <w:rsid w:val="00167B41"/>
    <w:rsid w:val="001753BC"/>
    <w:rsid w:val="001932EF"/>
    <w:rsid w:val="00197AE5"/>
    <w:rsid w:val="001A1923"/>
    <w:rsid w:val="001A2136"/>
    <w:rsid w:val="001A3BA5"/>
    <w:rsid w:val="001B0308"/>
    <w:rsid w:val="001B1406"/>
    <w:rsid w:val="001B2843"/>
    <w:rsid w:val="001B5B4B"/>
    <w:rsid w:val="001C2D67"/>
    <w:rsid w:val="001D0BA8"/>
    <w:rsid w:val="001D1D78"/>
    <w:rsid w:val="001D46F7"/>
    <w:rsid w:val="001E400B"/>
    <w:rsid w:val="001E5E7C"/>
    <w:rsid w:val="001E6161"/>
    <w:rsid w:val="001F12F4"/>
    <w:rsid w:val="001F4287"/>
    <w:rsid w:val="001F5F56"/>
    <w:rsid w:val="001F7BC0"/>
    <w:rsid w:val="001F7DEA"/>
    <w:rsid w:val="00202A77"/>
    <w:rsid w:val="00205208"/>
    <w:rsid w:val="0021263A"/>
    <w:rsid w:val="00216FF0"/>
    <w:rsid w:val="00227CC0"/>
    <w:rsid w:val="00230BB9"/>
    <w:rsid w:val="002346BF"/>
    <w:rsid w:val="00235A8F"/>
    <w:rsid w:val="00235E1E"/>
    <w:rsid w:val="0024011F"/>
    <w:rsid w:val="00240182"/>
    <w:rsid w:val="0024141B"/>
    <w:rsid w:val="00241854"/>
    <w:rsid w:val="00242819"/>
    <w:rsid w:val="00250807"/>
    <w:rsid w:val="00257F75"/>
    <w:rsid w:val="00260F9B"/>
    <w:rsid w:val="00262625"/>
    <w:rsid w:val="00266399"/>
    <w:rsid w:val="00271CE5"/>
    <w:rsid w:val="00273608"/>
    <w:rsid w:val="002736E4"/>
    <w:rsid w:val="00282020"/>
    <w:rsid w:val="00282E67"/>
    <w:rsid w:val="002914A4"/>
    <w:rsid w:val="002916FB"/>
    <w:rsid w:val="0029262E"/>
    <w:rsid w:val="00294402"/>
    <w:rsid w:val="002963DC"/>
    <w:rsid w:val="002A45D7"/>
    <w:rsid w:val="002A5510"/>
    <w:rsid w:val="002B559B"/>
    <w:rsid w:val="002B5D68"/>
    <w:rsid w:val="002C15E8"/>
    <w:rsid w:val="002C2E6F"/>
    <w:rsid w:val="002D0CF8"/>
    <w:rsid w:val="002D41AB"/>
    <w:rsid w:val="002D7233"/>
    <w:rsid w:val="002E29E6"/>
    <w:rsid w:val="002F0F1A"/>
    <w:rsid w:val="00300259"/>
    <w:rsid w:val="003017FA"/>
    <w:rsid w:val="00302A35"/>
    <w:rsid w:val="00307AC7"/>
    <w:rsid w:val="003105BF"/>
    <w:rsid w:val="00310ED0"/>
    <w:rsid w:val="00311347"/>
    <w:rsid w:val="0031259A"/>
    <w:rsid w:val="00320EDD"/>
    <w:rsid w:val="00321805"/>
    <w:rsid w:val="003221C5"/>
    <w:rsid w:val="0033432A"/>
    <w:rsid w:val="00334C1B"/>
    <w:rsid w:val="003354C9"/>
    <w:rsid w:val="00342BA0"/>
    <w:rsid w:val="003511F6"/>
    <w:rsid w:val="00355663"/>
    <w:rsid w:val="00355A25"/>
    <w:rsid w:val="00356358"/>
    <w:rsid w:val="003563BD"/>
    <w:rsid w:val="00357B51"/>
    <w:rsid w:val="00361FC4"/>
    <w:rsid w:val="003634C2"/>
    <w:rsid w:val="003636BF"/>
    <w:rsid w:val="00366D53"/>
    <w:rsid w:val="0036705F"/>
    <w:rsid w:val="00367392"/>
    <w:rsid w:val="00370AA7"/>
    <w:rsid w:val="00372E14"/>
    <w:rsid w:val="00373479"/>
    <w:rsid w:val="0037479F"/>
    <w:rsid w:val="003748E2"/>
    <w:rsid w:val="00377021"/>
    <w:rsid w:val="00380165"/>
    <w:rsid w:val="003845B4"/>
    <w:rsid w:val="00386B31"/>
    <w:rsid w:val="00387B1A"/>
    <w:rsid w:val="00390610"/>
    <w:rsid w:val="003910D5"/>
    <w:rsid w:val="00391C6C"/>
    <w:rsid w:val="00396454"/>
    <w:rsid w:val="003A18F1"/>
    <w:rsid w:val="003A6641"/>
    <w:rsid w:val="003A7D13"/>
    <w:rsid w:val="003B60FA"/>
    <w:rsid w:val="003B687B"/>
    <w:rsid w:val="003B73D5"/>
    <w:rsid w:val="003B74AE"/>
    <w:rsid w:val="003B7826"/>
    <w:rsid w:val="003C13C4"/>
    <w:rsid w:val="003C1E09"/>
    <w:rsid w:val="003C3C25"/>
    <w:rsid w:val="003C4E3F"/>
    <w:rsid w:val="003D166C"/>
    <w:rsid w:val="003D6EE6"/>
    <w:rsid w:val="003E1770"/>
    <w:rsid w:val="003E1C74"/>
    <w:rsid w:val="003E39DF"/>
    <w:rsid w:val="003E537C"/>
    <w:rsid w:val="003E5C3A"/>
    <w:rsid w:val="003E6A0E"/>
    <w:rsid w:val="003F291E"/>
    <w:rsid w:val="003F29CB"/>
    <w:rsid w:val="003F5D63"/>
    <w:rsid w:val="003F6343"/>
    <w:rsid w:val="00400969"/>
    <w:rsid w:val="00400AA4"/>
    <w:rsid w:val="00404A5E"/>
    <w:rsid w:val="0041042A"/>
    <w:rsid w:val="004119EA"/>
    <w:rsid w:val="00412E1C"/>
    <w:rsid w:val="0041446B"/>
    <w:rsid w:val="0042108D"/>
    <w:rsid w:val="00425304"/>
    <w:rsid w:val="0043067C"/>
    <w:rsid w:val="00433BE7"/>
    <w:rsid w:val="004437A4"/>
    <w:rsid w:val="00443BEE"/>
    <w:rsid w:val="00446AC9"/>
    <w:rsid w:val="00447FC0"/>
    <w:rsid w:val="00450172"/>
    <w:rsid w:val="004530CB"/>
    <w:rsid w:val="004577B5"/>
    <w:rsid w:val="0046010F"/>
    <w:rsid w:val="00460484"/>
    <w:rsid w:val="0047021D"/>
    <w:rsid w:val="00470BF1"/>
    <w:rsid w:val="00474E49"/>
    <w:rsid w:val="00481795"/>
    <w:rsid w:val="00484102"/>
    <w:rsid w:val="004873C2"/>
    <w:rsid w:val="00492709"/>
    <w:rsid w:val="004A1143"/>
    <w:rsid w:val="004A1832"/>
    <w:rsid w:val="004A368D"/>
    <w:rsid w:val="004A4227"/>
    <w:rsid w:val="004A4780"/>
    <w:rsid w:val="004A4C2E"/>
    <w:rsid w:val="004A7020"/>
    <w:rsid w:val="004A704A"/>
    <w:rsid w:val="004A71BE"/>
    <w:rsid w:val="004B0F3B"/>
    <w:rsid w:val="004B1554"/>
    <w:rsid w:val="004B24A1"/>
    <w:rsid w:val="004B3457"/>
    <w:rsid w:val="004B61FD"/>
    <w:rsid w:val="004C6511"/>
    <w:rsid w:val="004D1FFF"/>
    <w:rsid w:val="004D5BB0"/>
    <w:rsid w:val="004D60F5"/>
    <w:rsid w:val="004D65C9"/>
    <w:rsid w:val="004D77E9"/>
    <w:rsid w:val="004E04B7"/>
    <w:rsid w:val="004E327E"/>
    <w:rsid w:val="004E6FC0"/>
    <w:rsid w:val="004F2CFF"/>
    <w:rsid w:val="004F36C8"/>
    <w:rsid w:val="004F637F"/>
    <w:rsid w:val="00504508"/>
    <w:rsid w:val="005106D1"/>
    <w:rsid w:val="00513EA8"/>
    <w:rsid w:val="00513FC9"/>
    <w:rsid w:val="00525594"/>
    <w:rsid w:val="00526246"/>
    <w:rsid w:val="00527EF5"/>
    <w:rsid w:val="00531987"/>
    <w:rsid w:val="005333C5"/>
    <w:rsid w:val="0053578B"/>
    <w:rsid w:val="005367A4"/>
    <w:rsid w:val="0054396B"/>
    <w:rsid w:val="0054435B"/>
    <w:rsid w:val="00544800"/>
    <w:rsid w:val="0055078B"/>
    <w:rsid w:val="00557499"/>
    <w:rsid w:val="00557C03"/>
    <w:rsid w:val="00557E37"/>
    <w:rsid w:val="00560834"/>
    <w:rsid w:val="005610FE"/>
    <w:rsid w:val="00567106"/>
    <w:rsid w:val="00571210"/>
    <w:rsid w:val="00573995"/>
    <w:rsid w:val="00573E98"/>
    <w:rsid w:val="0057512E"/>
    <w:rsid w:val="005759A0"/>
    <w:rsid w:val="00580588"/>
    <w:rsid w:val="00580EBC"/>
    <w:rsid w:val="005816E9"/>
    <w:rsid w:val="00584912"/>
    <w:rsid w:val="00584966"/>
    <w:rsid w:val="00590BA9"/>
    <w:rsid w:val="00590CD4"/>
    <w:rsid w:val="0059242E"/>
    <w:rsid w:val="00592549"/>
    <w:rsid w:val="00593913"/>
    <w:rsid w:val="0059429E"/>
    <w:rsid w:val="0059670C"/>
    <w:rsid w:val="005A3FA3"/>
    <w:rsid w:val="005A5937"/>
    <w:rsid w:val="005B1A1A"/>
    <w:rsid w:val="005B34EF"/>
    <w:rsid w:val="005B3C30"/>
    <w:rsid w:val="005B63BD"/>
    <w:rsid w:val="005C1E46"/>
    <w:rsid w:val="005C2DA2"/>
    <w:rsid w:val="005C3115"/>
    <w:rsid w:val="005C6B7A"/>
    <w:rsid w:val="005C74CF"/>
    <w:rsid w:val="005D1260"/>
    <w:rsid w:val="005D4497"/>
    <w:rsid w:val="005D4DF6"/>
    <w:rsid w:val="005E1D3C"/>
    <w:rsid w:val="005E3F82"/>
    <w:rsid w:val="005E734B"/>
    <w:rsid w:val="005F0FE4"/>
    <w:rsid w:val="006014E4"/>
    <w:rsid w:val="00607587"/>
    <w:rsid w:val="00632253"/>
    <w:rsid w:val="00635BA3"/>
    <w:rsid w:val="00636CD1"/>
    <w:rsid w:val="00636FA4"/>
    <w:rsid w:val="00640BCA"/>
    <w:rsid w:val="006414F2"/>
    <w:rsid w:val="0064160A"/>
    <w:rsid w:val="006417C4"/>
    <w:rsid w:val="00642714"/>
    <w:rsid w:val="00643C4E"/>
    <w:rsid w:val="006455CE"/>
    <w:rsid w:val="00654933"/>
    <w:rsid w:val="00657283"/>
    <w:rsid w:val="00657BEB"/>
    <w:rsid w:val="00663C2F"/>
    <w:rsid w:val="006667EF"/>
    <w:rsid w:val="00667F78"/>
    <w:rsid w:val="00671DA4"/>
    <w:rsid w:val="00672506"/>
    <w:rsid w:val="0068122C"/>
    <w:rsid w:val="00685068"/>
    <w:rsid w:val="006852B4"/>
    <w:rsid w:val="00685510"/>
    <w:rsid w:val="00685730"/>
    <w:rsid w:val="00690B90"/>
    <w:rsid w:val="00696567"/>
    <w:rsid w:val="006A332E"/>
    <w:rsid w:val="006B44FC"/>
    <w:rsid w:val="006C02AD"/>
    <w:rsid w:val="006C408D"/>
    <w:rsid w:val="006D2FCD"/>
    <w:rsid w:val="006D42D9"/>
    <w:rsid w:val="006E4269"/>
    <w:rsid w:val="006E4C9A"/>
    <w:rsid w:val="006E6A8E"/>
    <w:rsid w:val="006E79CA"/>
    <w:rsid w:val="006F22C1"/>
    <w:rsid w:val="006F24D2"/>
    <w:rsid w:val="006F4A04"/>
    <w:rsid w:val="007000FC"/>
    <w:rsid w:val="00700E3F"/>
    <w:rsid w:val="00701B70"/>
    <w:rsid w:val="0070502F"/>
    <w:rsid w:val="007061BD"/>
    <w:rsid w:val="00707868"/>
    <w:rsid w:val="00707887"/>
    <w:rsid w:val="0071210F"/>
    <w:rsid w:val="0071579D"/>
    <w:rsid w:val="007255E5"/>
    <w:rsid w:val="00726463"/>
    <w:rsid w:val="007304DE"/>
    <w:rsid w:val="007305B7"/>
    <w:rsid w:val="00733017"/>
    <w:rsid w:val="00733774"/>
    <w:rsid w:val="00740B5C"/>
    <w:rsid w:val="00747264"/>
    <w:rsid w:val="00751D38"/>
    <w:rsid w:val="007545B7"/>
    <w:rsid w:val="007559F0"/>
    <w:rsid w:val="00756DF1"/>
    <w:rsid w:val="00764548"/>
    <w:rsid w:val="007736E5"/>
    <w:rsid w:val="00774A88"/>
    <w:rsid w:val="00777A8E"/>
    <w:rsid w:val="007820A9"/>
    <w:rsid w:val="0078242D"/>
    <w:rsid w:val="00783310"/>
    <w:rsid w:val="00783A46"/>
    <w:rsid w:val="00787D3F"/>
    <w:rsid w:val="00793CD8"/>
    <w:rsid w:val="0079614B"/>
    <w:rsid w:val="007A01ED"/>
    <w:rsid w:val="007A09C4"/>
    <w:rsid w:val="007A3D87"/>
    <w:rsid w:val="007A4A6D"/>
    <w:rsid w:val="007A72D4"/>
    <w:rsid w:val="007A7675"/>
    <w:rsid w:val="007B4EE7"/>
    <w:rsid w:val="007C2498"/>
    <w:rsid w:val="007C2EB2"/>
    <w:rsid w:val="007C5DF0"/>
    <w:rsid w:val="007D1BCF"/>
    <w:rsid w:val="007D2E64"/>
    <w:rsid w:val="007D59AF"/>
    <w:rsid w:val="007D75CF"/>
    <w:rsid w:val="007E566E"/>
    <w:rsid w:val="007E6DC5"/>
    <w:rsid w:val="007F0D3D"/>
    <w:rsid w:val="007F18D2"/>
    <w:rsid w:val="007F2494"/>
    <w:rsid w:val="00802262"/>
    <w:rsid w:val="00807D11"/>
    <w:rsid w:val="008102C0"/>
    <w:rsid w:val="00822FE4"/>
    <w:rsid w:val="0083049A"/>
    <w:rsid w:val="00846718"/>
    <w:rsid w:val="008510D5"/>
    <w:rsid w:val="00860440"/>
    <w:rsid w:val="00862404"/>
    <w:rsid w:val="00862F17"/>
    <w:rsid w:val="00862F4A"/>
    <w:rsid w:val="00874D91"/>
    <w:rsid w:val="0087647E"/>
    <w:rsid w:val="00877B0C"/>
    <w:rsid w:val="0088043C"/>
    <w:rsid w:val="00883A0E"/>
    <w:rsid w:val="00885358"/>
    <w:rsid w:val="00886A70"/>
    <w:rsid w:val="00887E1E"/>
    <w:rsid w:val="008906C9"/>
    <w:rsid w:val="0089596A"/>
    <w:rsid w:val="008A08B7"/>
    <w:rsid w:val="008A546B"/>
    <w:rsid w:val="008A6197"/>
    <w:rsid w:val="008B39F9"/>
    <w:rsid w:val="008C22B0"/>
    <w:rsid w:val="008C4B9B"/>
    <w:rsid w:val="008C55EF"/>
    <w:rsid w:val="008C5738"/>
    <w:rsid w:val="008D044B"/>
    <w:rsid w:val="008D04F0"/>
    <w:rsid w:val="008E0ECC"/>
    <w:rsid w:val="008E267D"/>
    <w:rsid w:val="008E2E02"/>
    <w:rsid w:val="008F3500"/>
    <w:rsid w:val="009010B5"/>
    <w:rsid w:val="009067DA"/>
    <w:rsid w:val="00910014"/>
    <w:rsid w:val="00915BCC"/>
    <w:rsid w:val="00922F71"/>
    <w:rsid w:val="00924E3C"/>
    <w:rsid w:val="009328D3"/>
    <w:rsid w:val="00937F8A"/>
    <w:rsid w:val="00942742"/>
    <w:rsid w:val="00944FF3"/>
    <w:rsid w:val="009477FA"/>
    <w:rsid w:val="00954129"/>
    <w:rsid w:val="009541F3"/>
    <w:rsid w:val="00956866"/>
    <w:rsid w:val="009612BB"/>
    <w:rsid w:val="00961645"/>
    <w:rsid w:val="00966561"/>
    <w:rsid w:val="009674E6"/>
    <w:rsid w:val="00967FEC"/>
    <w:rsid w:val="00970307"/>
    <w:rsid w:val="00971A76"/>
    <w:rsid w:val="009755D0"/>
    <w:rsid w:val="0097734D"/>
    <w:rsid w:val="00981FA4"/>
    <w:rsid w:val="00982E55"/>
    <w:rsid w:val="0098306A"/>
    <w:rsid w:val="0098332B"/>
    <w:rsid w:val="00984EFF"/>
    <w:rsid w:val="00984FA6"/>
    <w:rsid w:val="0099184D"/>
    <w:rsid w:val="00992386"/>
    <w:rsid w:val="00995ED8"/>
    <w:rsid w:val="009A09DB"/>
    <w:rsid w:val="009A15B4"/>
    <w:rsid w:val="009A2D8F"/>
    <w:rsid w:val="009A36DE"/>
    <w:rsid w:val="009A587D"/>
    <w:rsid w:val="009A7042"/>
    <w:rsid w:val="009B335E"/>
    <w:rsid w:val="009B33EC"/>
    <w:rsid w:val="009B3F68"/>
    <w:rsid w:val="009C08E2"/>
    <w:rsid w:val="009D1793"/>
    <w:rsid w:val="009D1CB2"/>
    <w:rsid w:val="009D33BC"/>
    <w:rsid w:val="009D57E6"/>
    <w:rsid w:val="009D6E30"/>
    <w:rsid w:val="009D7BA2"/>
    <w:rsid w:val="009E6210"/>
    <w:rsid w:val="009E6AC6"/>
    <w:rsid w:val="009F30FB"/>
    <w:rsid w:val="009F7C2B"/>
    <w:rsid w:val="00A000F2"/>
    <w:rsid w:val="00A01652"/>
    <w:rsid w:val="00A04D2F"/>
    <w:rsid w:val="00A04D35"/>
    <w:rsid w:val="00A05644"/>
    <w:rsid w:val="00A0703E"/>
    <w:rsid w:val="00A07E0A"/>
    <w:rsid w:val="00A10D18"/>
    <w:rsid w:val="00A113D8"/>
    <w:rsid w:val="00A125C5"/>
    <w:rsid w:val="00A12D5C"/>
    <w:rsid w:val="00A206EC"/>
    <w:rsid w:val="00A314B9"/>
    <w:rsid w:val="00A31FB3"/>
    <w:rsid w:val="00A31FFC"/>
    <w:rsid w:val="00A33CE1"/>
    <w:rsid w:val="00A36098"/>
    <w:rsid w:val="00A405C4"/>
    <w:rsid w:val="00A45C46"/>
    <w:rsid w:val="00A5039D"/>
    <w:rsid w:val="00A541DB"/>
    <w:rsid w:val="00A55205"/>
    <w:rsid w:val="00A55CCE"/>
    <w:rsid w:val="00A55FF3"/>
    <w:rsid w:val="00A61123"/>
    <w:rsid w:val="00A63382"/>
    <w:rsid w:val="00A65EE7"/>
    <w:rsid w:val="00A667A4"/>
    <w:rsid w:val="00A70133"/>
    <w:rsid w:val="00A7443C"/>
    <w:rsid w:val="00A74B49"/>
    <w:rsid w:val="00A8253B"/>
    <w:rsid w:val="00A862E9"/>
    <w:rsid w:val="00A9576E"/>
    <w:rsid w:val="00A97510"/>
    <w:rsid w:val="00AA0125"/>
    <w:rsid w:val="00AB2775"/>
    <w:rsid w:val="00AB6220"/>
    <w:rsid w:val="00AB6FEF"/>
    <w:rsid w:val="00AC5762"/>
    <w:rsid w:val="00AC5C16"/>
    <w:rsid w:val="00AC780C"/>
    <w:rsid w:val="00AD38C2"/>
    <w:rsid w:val="00AD7F1A"/>
    <w:rsid w:val="00AE080B"/>
    <w:rsid w:val="00AE12A9"/>
    <w:rsid w:val="00AE1E70"/>
    <w:rsid w:val="00AE41F7"/>
    <w:rsid w:val="00AE5DBE"/>
    <w:rsid w:val="00AE65F8"/>
    <w:rsid w:val="00AF0821"/>
    <w:rsid w:val="00AF1E50"/>
    <w:rsid w:val="00AF20FE"/>
    <w:rsid w:val="00AF4994"/>
    <w:rsid w:val="00AF4A79"/>
    <w:rsid w:val="00B015BB"/>
    <w:rsid w:val="00B03AA9"/>
    <w:rsid w:val="00B0567E"/>
    <w:rsid w:val="00B1337D"/>
    <w:rsid w:val="00B1697A"/>
    <w:rsid w:val="00B17141"/>
    <w:rsid w:val="00B214B1"/>
    <w:rsid w:val="00B219D6"/>
    <w:rsid w:val="00B220DF"/>
    <w:rsid w:val="00B23FC5"/>
    <w:rsid w:val="00B27607"/>
    <w:rsid w:val="00B31575"/>
    <w:rsid w:val="00B40026"/>
    <w:rsid w:val="00B40936"/>
    <w:rsid w:val="00B43CB0"/>
    <w:rsid w:val="00B4556C"/>
    <w:rsid w:val="00B47AF6"/>
    <w:rsid w:val="00B50A6A"/>
    <w:rsid w:val="00B53839"/>
    <w:rsid w:val="00B54DFC"/>
    <w:rsid w:val="00B612D2"/>
    <w:rsid w:val="00B66B14"/>
    <w:rsid w:val="00B81308"/>
    <w:rsid w:val="00B8547D"/>
    <w:rsid w:val="00B86209"/>
    <w:rsid w:val="00B9078D"/>
    <w:rsid w:val="00B9483D"/>
    <w:rsid w:val="00B956FD"/>
    <w:rsid w:val="00BA2AFA"/>
    <w:rsid w:val="00BA4865"/>
    <w:rsid w:val="00BA786C"/>
    <w:rsid w:val="00BB1EC8"/>
    <w:rsid w:val="00BC2891"/>
    <w:rsid w:val="00BC3E3A"/>
    <w:rsid w:val="00BD2139"/>
    <w:rsid w:val="00BD58D6"/>
    <w:rsid w:val="00BE094A"/>
    <w:rsid w:val="00BE12CB"/>
    <w:rsid w:val="00BE2161"/>
    <w:rsid w:val="00BE4C1E"/>
    <w:rsid w:val="00BE4E9B"/>
    <w:rsid w:val="00BF1ACA"/>
    <w:rsid w:val="00BF3D82"/>
    <w:rsid w:val="00BF3FD3"/>
    <w:rsid w:val="00C01EC8"/>
    <w:rsid w:val="00C0712B"/>
    <w:rsid w:val="00C10BD0"/>
    <w:rsid w:val="00C12135"/>
    <w:rsid w:val="00C141FF"/>
    <w:rsid w:val="00C16EC5"/>
    <w:rsid w:val="00C177B0"/>
    <w:rsid w:val="00C20985"/>
    <w:rsid w:val="00C214C7"/>
    <w:rsid w:val="00C22285"/>
    <w:rsid w:val="00C242F4"/>
    <w:rsid w:val="00C24C53"/>
    <w:rsid w:val="00C250D5"/>
    <w:rsid w:val="00C27259"/>
    <w:rsid w:val="00C34D53"/>
    <w:rsid w:val="00C36D59"/>
    <w:rsid w:val="00C47F7E"/>
    <w:rsid w:val="00C47F8D"/>
    <w:rsid w:val="00C51F27"/>
    <w:rsid w:val="00C5275F"/>
    <w:rsid w:val="00C54116"/>
    <w:rsid w:val="00C54504"/>
    <w:rsid w:val="00C669B9"/>
    <w:rsid w:val="00C71942"/>
    <w:rsid w:val="00C759D6"/>
    <w:rsid w:val="00C75D4D"/>
    <w:rsid w:val="00C81391"/>
    <w:rsid w:val="00C81BE6"/>
    <w:rsid w:val="00C85B06"/>
    <w:rsid w:val="00C877C7"/>
    <w:rsid w:val="00C92898"/>
    <w:rsid w:val="00C930E5"/>
    <w:rsid w:val="00C93A8C"/>
    <w:rsid w:val="00CA0AAB"/>
    <w:rsid w:val="00CA5034"/>
    <w:rsid w:val="00CA699D"/>
    <w:rsid w:val="00CA7160"/>
    <w:rsid w:val="00CB48BA"/>
    <w:rsid w:val="00CB736A"/>
    <w:rsid w:val="00CC179C"/>
    <w:rsid w:val="00CC1F69"/>
    <w:rsid w:val="00CC41CD"/>
    <w:rsid w:val="00CD277E"/>
    <w:rsid w:val="00CE086D"/>
    <w:rsid w:val="00CE7514"/>
    <w:rsid w:val="00CF5CE7"/>
    <w:rsid w:val="00D00BBD"/>
    <w:rsid w:val="00D07BB3"/>
    <w:rsid w:val="00D126C3"/>
    <w:rsid w:val="00D12D3D"/>
    <w:rsid w:val="00D13AFF"/>
    <w:rsid w:val="00D22E82"/>
    <w:rsid w:val="00D248DE"/>
    <w:rsid w:val="00D27B90"/>
    <w:rsid w:val="00D27C37"/>
    <w:rsid w:val="00D27CD1"/>
    <w:rsid w:val="00D34A9E"/>
    <w:rsid w:val="00D43718"/>
    <w:rsid w:val="00D44D15"/>
    <w:rsid w:val="00D45A18"/>
    <w:rsid w:val="00D46976"/>
    <w:rsid w:val="00D472E8"/>
    <w:rsid w:val="00D5350C"/>
    <w:rsid w:val="00D55F2C"/>
    <w:rsid w:val="00D55FBC"/>
    <w:rsid w:val="00D5667B"/>
    <w:rsid w:val="00D566BA"/>
    <w:rsid w:val="00D57250"/>
    <w:rsid w:val="00D57A30"/>
    <w:rsid w:val="00D726F8"/>
    <w:rsid w:val="00D81D35"/>
    <w:rsid w:val="00D83599"/>
    <w:rsid w:val="00D8542D"/>
    <w:rsid w:val="00D8573E"/>
    <w:rsid w:val="00D857C5"/>
    <w:rsid w:val="00D87DD2"/>
    <w:rsid w:val="00D92729"/>
    <w:rsid w:val="00D92B90"/>
    <w:rsid w:val="00DA1750"/>
    <w:rsid w:val="00DA2C9A"/>
    <w:rsid w:val="00DB5A61"/>
    <w:rsid w:val="00DB6EDF"/>
    <w:rsid w:val="00DB7AB0"/>
    <w:rsid w:val="00DC40C0"/>
    <w:rsid w:val="00DC48FF"/>
    <w:rsid w:val="00DC4E66"/>
    <w:rsid w:val="00DC52AA"/>
    <w:rsid w:val="00DC5C08"/>
    <w:rsid w:val="00DC5D0B"/>
    <w:rsid w:val="00DC6A71"/>
    <w:rsid w:val="00DD4376"/>
    <w:rsid w:val="00DD49A4"/>
    <w:rsid w:val="00DD6B02"/>
    <w:rsid w:val="00DD6CCE"/>
    <w:rsid w:val="00DE3B6F"/>
    <w:rsid w:val="00DE4EEA"/>
    <w:rsid w:val="00DE5080"/>
    <w:rsid w:val="00DE51BE"/>
    <w:rsid w:val="00DE5B46"/>
    <w:rsid w:val="00DF1876"/>
    <w:rsid w:val="00DF4929"/>
    <w:rsid w:val="00E00059"/>
    <w:rsid w:val="00E00C49"/>
    <w:rsid w:val="00E0225A"/>
    <w:rsid w:val="00E0357D"/>
    <w:rsid w:val="00E11DEB"/>
    <w:rsid w:val="00E13BE4"/>
    <w:rsid w:val="00E22F46"/>
    <w:rsid w:val="00E2427A"/>
    <w:rsid w:val="00E24EC2"/>
    <w:rsid w:val="00E301C6"/>
    <w:rsid w:val="00E366D5"/>
    <w:rsid w:val="00E367B0"/>
    <w:rsid w:val="00E4436F"/>
    <w:rsid w:val="00E574D2"/>
    <w:rsid w:val="00E611CE"/>
    <w:rsid w:val="00E72275"/>
    <w:rsid w:val="00E74289"/>
    <w:rsid w:val="00E7474B"/>
    <w:rsid w:val="00E75112"/>
    <w:rsid w:val="00E770D4"/>
    <w:rsid w:val="00E853E8"/>
    <w:rsid w:val="00E93D62"/>
    <w:rsid w:val="00E95FE3"/>
    <w:rsid w:val="00EA0191"/>
    <w:rsid w:val="00EA1CC1"/>
    <w:rsid w:val="00EA3266"/>
    <w:rsid w:val="00EB0AA6"/>
    <w:rsid w:val="00EB4E14"/>
    <w:rsid w:val="00EB5436"/>
    <w:rsid w:val="00EC013E"/>
    <w:rsid w:val="00ED1735"/>
    <w:rsid w:val="00ED18FC"/>
    <w:rsid w:val="00ED2122"/>
    <w:rsid w:val="00ED7E82"/>
    <w:rsid w:val="00EE2292"/>
    <w:rsid w:val="00EE2494"/>
    <w:rsid w:val="00EE51D9"/>
    <w:rsid w:val="00EE630A"/>
    <w:rsid w:val="00EE6836"/>
    <w:rsid w:val="00EE68B2"/>
    <w:rsid w:val="00EE73E7"/>
    <w:rsid w:val="00EE7492"/>
    <w:rsid w:val="00EE7CB6"/>
    <w:rsid w:val="00EE7D79"/>
    <w:rsid w:val="00EF0FD1"/>
    <w:rsid w:val="00EF7CDD"/>
    <w:rsid w:val="00F038F5"/>
    <w:rsid w:val="00F05D58"/>
    <w:rsid w:val="00F068D5"/>
    <w:rsid w:val="00F079C5"/>
    <w:rsid w:val="00F10615"/>
    <w:rsid w:val="00F16E0E"/>
    <w:rsid w:val="00F240BB"/>
    <w:rsid w:val="00F3185B"/>
    <w:rsid w:val="00F32482"/>
    <w:rsid w:val="00F402E9"/>
    <w:rsid w:val="00F465AF"/>
    <w:rsid w:val="00F46724"/>
    <w:rsid w:val="00F532F5"/>
    <w:rsid w:val="00F54B03"/>
    <w:rsid w:val="00F57FED"/>
    <w:rsid w:val="00F6064C"/>
    <w:rsid w:val="00F72B45"/>
    <w:rsid w:val="00F825FF"/>
    <w:rsid w:val="00F82A29"/>
    <w:rsid w:val="00F907E8"/>
    <w:rsid w:val="00F920E4"/>
    <w:rsid w:val="00F92965"/>
    <w:rsid w:val="00FA12CC"/>
    <w:rsid w:val="00FB1DEB"/>
    <w:rsid w:val="00FB2935"/>
    <w:rsid w:val="00FB2C8C"/>
    <w:rsid w:val="00FB38C9"/>
    <w:rsid w:val="00FB438F"/>
    <w:rsid w:val="00FB4C85"/>
    <w:rsid w:val="00FB69B0"/>
    <w:rsid w:val="00FB6EFD"/>
    <w:rsid w:val="00FB738D"/>
    <w:rsid w:val="00FC084C"/>
    <w:rsid w:val="00FC18B1"/>
    <w:rsid w:val="00FC429F"/>
    <w:rsid w:val="00FC52A2"/>
    <w:rsid w:val="00FD0997"/>
    <w:rsid w:val="00FD2BEC"/>
    <w:rsid w:val="00FD52F1"/>
    <w:rsid w:val="00FD61D5"/>
    <w:rsid w:val="00FE247B"/>
    <w:rsid w:val="00FE3790"/>
    <w:rsid w:val="00FE5B5D"/>
    <w:rsid w:val="00FF3F64"/>
    <w:rsid w:val="00FF4A7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82E6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A4227"/>
    <w:pPr>
      <w:keepNext/>
      <w:spacing w:before="240" w:after="60"/>
      <w:jc w:val="both"/>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4A7020"/>
    <w:pPr>
      <w:keepNext/>
      <w:spacing w:before="240" w:after="60"/>
      <w:outlineLvl w:val="2"/>
    </w:pPr>
    <w:rPr>
      <w:b/>
      <w:bCs/>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4A7020"/>
    <w:rPr>
      <w:rFonts w:ascii="Arial" w:hAnsi="Arial"/>
      <w:b/>
      <w:bCs/>
      <w:sz w:val="22"/>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uiPriority w:val="99"/>
    <w:rsid w:val="009A15B4"/>
    <w:pPr>
      <w:jc w:val="both"/>
    </w:pPr>
    <w:rPr>
      <w:szCs w:val="20"/>
    </w:rPr>
  </w:style>
  <w:style w:type="character" w:customStyle="1" w:styleId="Sprotnaopomba-besediloZnak">
    <w:name w:val="Sprotna opomba - besedilo Znak"/>
    <w:basedOn w:val="Privzetapisavaodstavka"/>
    <w:link w:val="Sprotnaopomba-besedilo"/>
    <w:uiPriority w:val="99"/>
    <w:rsid w:val="009A15B4"/>
    <w:rPr>
      <w:rFonts w:ascii="Arial" w:hAnsi="Arial"/>
      <w:lang w:val="en-US" w:eastAsia="en-US"/>
    </w:rPr>
  </w:style>
  <w:style w:type="character" w:styleId="Sprotnaopomba-sklic">
    <w:name w:val="footnote reference"/>
    <w:uiPriority w:val="99"/>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uiPriority w:val="99"/>
    <w:semiHidden/>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uiPriority w:val="99"/>
    <w:semiHidden/>
    <w:unhideWhenUsed/>
    <w:rsid w:val="00B612D2"/>
    <w:pPr>
      <w:spacing w:line="240" w:lineRule="auto"/>
    </w:pPr>
    <w:rPr>
      <w:szCs w:val="20"/>
    </w:rPr>
  </w:style>
  <w:style w:type="character" w:customStyle="1" w:styleId="PripombabesediloZnak">
    <w:name w:val="Pripomba – besedilo Znak"/>
    <w:basedOn w:val="Privzetapisavaodstavka"/>
    <w:link w:val="Pripombabesedilo"/>
    <w:uiPriority w:val="99"/>
    <w:semiHidden/>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paragraph" w:customStyle="1" w:styleId="odstavek">
    <w:name w:val="odstavek"/>
    <w:basedOn w:val="Navaden"/>
    <w:rsid w:val="00FB4C85"/>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5006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32778154">
      <w:bodyDiv w:val="1"/>
      <w:marLeft w:val="0"/>
      <w:marRight w:val="0"/>
      <w:marTop w:val="0"/>
      <w:marBottom w:val="0"/>
      <w:divBdr>
        <w:top w:val="none" w:sz="0" w:space="0" w:color="auto"/>
        <w:left w:val="none" w:sz="0" w:space="0" w:color="auto"/>
        <w:bottom w:val="none" w:sz="0" w:space="0" w:color="auto"/>
        <w:right w:val="none" w:sz="0" w:space="0" w:color="auto"/>
      </w:divBdr>
      <w:divsChild>
        <w:div w:id="636880519">
          <w:marLeft w:val="994"/>
          <w:marRight w:val="0"/>
          <w:marTop w:val="67"/>
          <w:marBottom w:val="0"/>
          <w:divBdr>
            <w:top w:val="none" w:sz="0" w:space="0" w:color="auto"/>
            <w:left w:val="none" w:sz="0" w:space="0" w:color="auto"/>
            <w:bottom w:val="none" w:sz="0" w:space="0" w:color="auto"/>
            <w:right w:val="none" w:sz="0" w:space="0" w:color="auto"/>
          </w:divBdr>
        </w:div>
        <w:div w:id="2027367371">
          <w:marLeft w:val="994"/>
          <w:marRight w:val="0"/>
          <w:marTop w:val="67"/>
          <w:marBottom w:val="0"/>
          <w:divBdr>
            <w:top w:val="none" w:sz="0" w:space="0" w:color="auto"/>
            <w:left w:val="none" w:sz="0" w:space="0" w:color="auto"/>
            <w:bottom w:val="none" w:sz="0" w:space="0" w:color="auto"/>
            <w:right w:val="none" w:sz="0" w:space="0" w:color="auto"/>
          </w:divBdr>
        </w:div>
        <w:div w:id="862089830">
          <w:marLeft w:val="994"/>
          <w:marRight w:val="0"/>
          <w:marTop w:val="67"/>
          <w:marBottom w:val="0"/>
          <w:divBdr>
            <w:top w:val="none" w:sz="0" w:space="0" w:color="auto"/>
            <w:left w:val="none" w:sz="0" w:space="0" w:color="auto"/>
            <w:bottom w:val="none" w:sz="0" w:space="0" w:color="auto"/>
            <w:right w:val="none" w:sz="0" w:space="0" w:color="auto"/>
          </w:divBdr>
        </w:div>
      </w:divsChild>
    </w:div>
    <w:div w:id="1544102115">
      <w:bodyDiv w:val="1"/>
      <w:marLeft w:val="0"/>
      <w:marRight w:val="0"/>
      <w:marTop w:val="0"/>
      <w:marBottom w:val="0"/>
      <w:divBdr>
        <w:top w:val="none" w:sz="0" w:space="0" w:color="auto"/>
        <w:left w:val="none" w:sz="0" w:space="0" w:color="auto"/>
        <w:bottom w:val="none" w:sz="0" w:space="0" w:color="auto"/>
        <w:right w:val="none" w:sz="0" w:space="0" w:color="auto"/>
      </w:divBdr>
      <w:divsChild>
        <w:div w:id="2004502713">
          <w:marLeft w:val="547"/>
          <w:marRight w:val="0"/>
          <w:marTop w:val="67"/>
          <w:marBottom w:val="0"/>
          <w:divBdr>
            <w:top w:val="none" w:sz="0" w:space="0" w:color="auto"/>
            <w:left w:val="none" w:sz="0" w:space="0" w:color="auto"/>
            <w:bottom w:val="none" w:sz="0" w:space="0" w:color="auto"/>
            <w:right w:val="none" w:sz="0" w:space="0" w:color="auto"/>
          </w:divBdr>
        </w:div>
        <w:div w:id="1060010851">
          <w:marLeft w:val="547"/>
          <w:marRight w:val="0"/>
          <w:marTop w:val="67"/>
          <w:marBottom w:val="0"/>
          <w:divBdr>
            <w:top w:val="none" w:sz="0" w:space="0" w:color="auto"/>
            <w:left w:val="none" w:sz="0" w:space="0" w:color="auto"/>
            <w:bottom w:val="none" w:sz="0" w:space="0" w:color="auto"/>
            <w:right w:val="none" w:sz="0" w:space="0" w:color="auto"/>
          </w:divBdr>
        </w:div>
        <w:div w:id="65457686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PRAV1175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u.gov.si/davki_in_druge_dajatve/podrocja/mednarodno_obdavcenje/" TargetMode="External"/><Relationship Id="rId17" Type="http://schemas.openxmlformats.org/officeDocument/2006/relationships/hyperlink" Target="https://edavki.durs.si/OpenPortal/Dokumenti/ddd_ddd_p12.i.sl.pdf" TargetMode="External"/><Relationship Id="rId2" Type="http://schemas.openxmlformats.org/officeDocument/2006/relationships/customXml" Target="../customXml/item2.xml"/><Relationship Id="rId16" Type="http://schemas.openxmlformats.org/officeDocument/2006/relationships/hyperlink" Target="http://www.pisrs.si/Pis.web/pregledPredpisa?id=PRAV117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4687"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isrs.si/Pis.web/pregledPredpisa?id=ZAKO46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3"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D66C9EAC762A4E91AB83BF700ED764" ma:contentTypeVersion="2" ma:contentTypeDescription="Ustvari nov dokument." ma:contentTypeScope="" ma:versionID="acfd02e5231c918c146ff9baa1b16888">
  <xsd:schema xmlns:xsd="http://www.w3.org/2001/XMLSchema" xmlns:xs="http://www.w3.org/2001/XMLSchema" xmlns:p="http://schemas.microsoft.com/office/2006/metadata/properties" targetNamespace="http://schemas.microsoft.com/office/2006/metadata/properties" ma:root="true" ma:fieldsID="072397d5e72a23114344c22dbe7941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6ED5-5DAA-406C-80FC-49D1E6F3F6C8}">
  <ds:schemaRefs>
    <ds:schemaRef ds:uri="http://schemas.microsoft.com/sharepoint/v3/contenttype/forms"/>
  </ds:schemaRefs>
</ds:datastoreItem>
</file>

<file path=customXml/itemProps2.xml><?xml version="1.0" encoding="utf-8"?>
<ds:datastoreItem xmlns:ds="http://schemas.openxmlformats.org/officeDocument/2006/customXml" ds:itemID="{C34F589D-0276-4265-93B4-5E3D0B5B23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7E2B551-3D25-4E3C-AA81-69211E66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61398B-3B10-40FC-9885-30FAC2BD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4113</Words>
  <Characters>24115</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28172</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tanja hrastovec</cp:lastModifiedBy>
  <cp:revision>5</cp:revision>
  <cp:lastPrinted>2021-07-13T08:20:00Z</cp:lastPrinted>
  <dcterms:created xsi:type="dcterms:W3CDTF">2021-09-10T10:43:00Z</dcterms:created>
  <dcterms:modified xsi:type="dcterms:W3CDTF">2021-09-10T10:54:00Z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0x010100F4D66C9EAC762A4E91AB83BF700ED764</vt:lpwstr>
  </property>
</Properties>
</file>