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76FAF" w14:textId="77777777" w:rsidR="00666077" w:rsidRPr="00D40C41" w:rsidRDefault="00666077" w:rsidP="00756903">
      <w:pPr>
        <w:tabs>
          <w:tab w:val="left" w:pos="1701"/>
        </w:tabs>
        <w:jc w:val="center"/>
        <w:rPr>
          <w:rFonts w:ascii="Arial" w:eastAsia="Times New Roman" w:hAnsi="Arial" w:cs="Arial"/>
          <w:sz w:val="20"/>
          <w:szCs w:val="20"/>
        </w:rPr>
      </w:pPr>
    </w:p>
    <w:p w14:paraId="1BD45170" w14:textId="77777777" w:rsidR="00666077" w:rsidRPr="00D40C41" w:rsidRDefault="00666077" w:rsidP="00756903">
      <w:pPr>
        <w:tabs>
          <w:tab w:val="left" w:pos="1701"/>
        </w:tabs>
        <w:jc w:val="center"/>
        <w:rPr>
          <w:rFonts w:ascii="Arial" w:eastAsia="Times New Roman" w:hAnsi="Arial" w:cs="Arial"/>
          <w:sz w:val="20"/>
          <w:szCs w:val="20"/>
        </w:rPr>
      </w:pPr>
    </w:p>
    <w:p w14:paraId="3B44E664" w14:textId="77777777" w:rsidR="00666077" w:rsidRPr="00D40C41" w:rsidRDefault="00666077" w:rsidP="00756903">
      <w:pPr>
        <w:tabs>
          <w:tab w:val="left" w:pos="1701"/>
        </w:tabs>
        <w:jc w:val="center"/>
        <w:rPr>
          <w:rFonts w:ascii="Arial" w:eastAsia="Times New Roman" w:hAnsi="Arial" w:cs="Arial"/>
          <w:sz w:val="20"/>
          <w:szCs w:val="20"/>
        </w:rPr>
      </w:pPr>
    </w:p>
    <w:p w14:paraId="5D4766B7" w14:textId="77777777" w:rsidR="00666077" w:rsidRPr="00D40C41" w:rsidRDefault="00666077" w:rsidP="00756903">
      <w:pPr>
        <w:tabs>
          <w:tab w:val="left" w:pos="1701"/>
        </w:tabs>
        <w:jc w:val="center"/>
        <w:rPr>
          <w:rFonts w:ascii="Arial" w:eastAsia="Times New Roman" w:hAnsi="Arial" w:cs="Arial"/>
          <w:sz w:val="20"/>
          <w:szCs w:val="20"/>
        </w:rPr>
      </w:pPr>
    </w:p>
    <w:p w14:paraId="173C52E6" w14:textId="77777777" w:rsidR="00666077" w:rsidRPr="00D40C41" w:rsidRDefault="00666077" w:rsidP="00756903">
      <w:pPr>
        <w:tabs>
          <w:tab w:val="left" w:pos="1701"/>
        </w:tabs>
        <w:jc w:val="center"/>
        <w:rPr>
          <w:rFonts w:ascii="Arial" w:eastAsia="Times New Roman" w:hAnsi="Arial" w:cs="Arial"/>
          <w:sz w:val="20"/>
          <w:szCs w:val="20"/>
        </w:rPr>
      </w:pPr>
    </w:p>
    <w:p w14:paraId="004501EC" w14:textId="77777777" w:rsidR="00666077" w:rsidRPr="00D40C41" w:rsidRDefault="00666077" w:rsidP="00756903">
      <w:pPr>
        <w:tabs>
          <w:tab w:val="left" w:pos="1701"/>
        </w:tabs>
        <w:jc w:val="center"/>
        <w:rPr>
          <w:rFonts w:ascii="Arial" w:eastAsia="Times New Roman" w:hAnsi="Arial" w:cs="Arial"/>
          <w:sz w:val="20"/>
          <w:szCs w:val="20"/>
        </w:rPr>
      </w:pPr>
    </w:p>
    <w:p w14:paraId="72676F55" w14:textId="77777777" w:rsidR="00666077" w:rsidRPr="00D40C41" w:rsidRDefault="00666077" w:rsidP="00756903">
      <w:pPr>
        <w:tabs>
          <w:tab w:val="left" w:pos="1701"/>
        </w:tabs>
        <w:jc w:val="center"/>
        <w:rPr>
          <w:rFonts w:ascii="Arial" w:eastAsia="Times New Roman" w:hAnsi="Arial" w:cs="Arial"/>
          <w:sz w:val="20"/>
          <w:szCs w:val="20"/>
        </w:rPr>
      </w:pPr>
    </w:p>
    <w:p w14:paraId="0526FD5B" w14:textId="77777777" w:rsidR="00666077" w:rsidRDefault="00666077" w:rsidP="00756903">
      <w:pPr>
        <w:tabs>
          <w:tab w:val="left" w:pos="1701"/>
        </w:tabs>
        <w:jc w:val="center"/>
        <w:rPr>
          <w:rFonts w:ascii="Arial" w:eastAsia="Times New Roman" w:hAnsi="Arial" w:cs="Arial"/>
          <w:sz w:val="20"/>
          <w:szCs w:val="20"/>
        </w:rPr>
      </w:pPr>
    </w:p>
    <w:p w14:paraId="43D23618" w14:textId="77777777" w:rsidR="005E781A" w:rsidRDefault="005E781A" w:rsidP="00756903">
      <w:pPr>
        <w:tabs>
          <w:tab w:val="left" w:pos="1701"/>
        </w:tabs>
        <w:jc w:val="center"/>
        <w:rPr>
          <w:rFonts w:ascii="Arial" w:eastAsia="Times New Roman" w:hAnsi="Arial" w:cs="Arial"/>
          <w:sz w:val="20"/>
          <w:szCs w:val="20"/>
        </w:rPr>
      </w:pPr>
    </w:p>
    <w:p w14:paraId="72720CBC" w14:textId="77777777" w:rsidR="005E781A" w:rsidRPr="00D40C41" w:rsidRDefault="005E781A" w:rsidP="00756903">
      <w:pPr>
        <w:tabs>
          <w:tab w:val="left" w:pos="1701"/>
        </w:tabs>
        <w:jc w:val="center"/>
        <w:rPr>
          <w:rFonts w:ascii="Arial" w:eastAsia="Times New Roman" w:hAnsi="Arial" w:cs="Arial"/>
          <w:sz w:val="20"/>
          <w:szCs w:val="20"/>
        </w:rPr>
      </w:pPr>
    </w:p>
    <w:p w14:paraId="1C5F7638" w14:textId="77777777" w:rsidR="00666077" w:rsidRDefault="00666077" w:rsidP="00756903">
      <w:pPr>
        <w:tabs>
          <w:tab w:val="left" w:pos="1701"/>
        </w:tabs>
        <w:jc w:val="center"/>
        <w:rPr>
          <w:rFonts w:ascii="Arial" w:eastAsia="Times New Roman" w:hAnsi="Arial" w:cs="Arial"/>
          <w:sz w:val="20"/>
          <w:szCs w:val="20"/>
        </w:rPr>
      </w:pPr>
    </w:p>
    <w:p w14:paraId="154707CE" w14:textId="77777777" w:rsidR="00856D89" w:rsidRDefault="00856D89" w:rsidP="00756903">
      <w:pPr>
        <w:tabs>
          <w:tab w:val="left" w:pos="1701"/>
        </w:tabs>
        <w:jc w:val="center"/>
        <w:rPr>
          <w:rFonts w:ascii="Arial" w:eastAsia="Times New Roman" w:hAnsi="Arial" w:cs="Arial"/>
          <w:sz w:val="20"/>
          <w:szCs w:val="20"/>
        </w:rPr>
      </w:pPr>
    </w:p>
    <w:p w14:paraId="61032BEC" w14:textId="77777777" w:rsidR="00856D89" w:rsidRPr="00D40C41" w:rsidRDefault="00856D89" w:rsidP="00756903">
      <w:pPr>
        <w:tabs>
          <w:tab w:val="left" w:pos="1701"/>
        </w:tabs>
        <w:jc w:val="center"/>
        <w:rPr>
          <w:rFonts w:ascii="Arial" w:eastAsia="Times New Roman" w:hAnsi="Arial" w:cs="Arial"/>
          <w:sz w:val="20"/>
          <w:szCs w:val="20"/>
        </w:rPr>
      </w:pPr>
    </w:p>
    <w:p w14:paraId="51B8DE84" w14:textId="77777777" w:rsidR="00666077" w:rsidRPr="00D40C41" w:rsidRDefault="00660732" w:rsidP="00756903">
      <w:pPr>
        <w:tabs>
          <w:tab w:val="left" w:pos="1701"/>
        </w:tabs>
        <w:jc w:val="center"/>
        <w:rPr>
          <w:rFonts w:ascii="Arial" w:eastAsia="Times New Roman" w:hAnsi="Arial" w:cs="Arial"/>
          <w:sz w:val="20"/>
          <w:szCs w:val="20"/>
        </w:rPr>
      </w:pPr>
      <w:r>
        <w:rPr>
          <w:rFonts w:ascii="Arial" w:eastAsia="Times New Roman" w:hAnsi="Arial" w:cs="Arial"/>
          <w:b/>
          <w:bCs/>
          <w:sz w:val="32"/>
          <w:szCs w:val="32"/>
          <w:lang w:val="en-GB"/>
        </w:rPr>
        <w:t>TRANSFER PRICING</w:t>
      </w:r>
    </w:p>
    <w:p w14:paraId="3C3D495E" w14:textId="77777777" w:rsidR="00856D89" w:rsidRPr="00D40C41" w:rsidRDefault="00856D89" w:rsidP="00856D89">
      <w:pPr>
        <w:tabs>
          <w:tab w:val="left" w:pos="1701"/>
        </w:tabs>
        <w:rPr>
          <w:rFonts w:ascii="Arial" w:eastAsia="Times New Roman" w:hAnsi="Arial" w:cs="Arial"/>
          <w:sz w:val="20"/>
          <w:szCs w:val="20"/>
        </w:rPr>
      </w:pPr>
    </w:p>
    <w:p w14:paraId="163465B4" w14:textId="77777777" w:rsidR="00666077" w:rsidRPr="00D40C41" w:rsidRDefault="00756903" w:rsidP="00756903">
      <w:pPr>
        <w:tabs>
          <w:tab w:val="left" w:pos="1701"/>
          <w:tab w:val="left" w:pos="3621"/>
        </w:tabs>
        <w:rPr>
          <w:rFonts w:ascii="Arial" w:eastAsia="Times New Roman" w:hAnsi="Arial" w:cs="Arial"/>
          <w:sz w:val="20"/>
          <w:szCs w:val="20"/>
        </w:rPr>
      </w:pPr>
      <w:r>
        <w:rPr>
          <w:lang w:val="en-GB"/>
        </w:rPr>
        <w:tab/>
      </w:r>
    </w:p>
    <w:p w14:paraId="732E79F6" w14:textId="77777777" w:rsidR="00666077" w:rsidRPr="00D40C41" w:rsidRDefault="00666077" w:rsidP="00756903">
      <w:pPr>
        <w:tabs>
          <w:tab w:val="left" w:pos="1701"/>
        </w:tabs>
        <w:jc w:val="center"/>
        <w:rPr>
          <w:rFonts w:ascii="Arial" w:eastAsia="Times New Roman" w:hAnsi="Arial" w:cs="Arial"/>
          <w:sz w:val="20"/>
          <w:szCs w:val="20"/>
        </w:rPr>
      </w:pPr>
    </w:p>
    <w:p w14:paraId="5909CED2" w14:textId="77777777" w:rsidR="00666077" w:rsidRPr="00D40C41" w:rsidRDefault="00666077" w:rsidP="00756903">
      <w:pPr>
        <w:pStyle w:val="datumtevilka"/>
        <w:spacing w:line="240" w:lineRule="atLeast"/>
        <w:jc w:val="center"/>
        <w:rPr>
          <w:rFonts w:cs="Arial"/>
          <w:b/>
          <w:sz w:val="28"/>
          <w:szCs w:val="28"/>
        </w:rPr>
      </w:pPr>
      <w:r>
        <w:rPr>
          <w:rFonts w:cs="Arial"/>
          <w:b/>
          <w:bCs/>
          <w:sz w:val="28"/>
          <w:szCs w:val="28"/>
          <w:lang w:val="en-GB"/>
        </w:rPr>
        <w:t>Detailed description</w:t>
      </w:r>
    </w:p>
    <w:p w14:paraId="68504340" w14:textId="77777777" w:rsidR="00666077" w:rsidRPr="00D40C41" w:rsidRDefault="00666077" w:rsidP="00756903">
      <w:pPr>
        <w:tabs>
          <w:tab w:val="left" w:pos="1701"/>
        </w:tabs>
        <w:jc w:val="center"/>
        <w:rPr>
          <w:rFonts w:ascii="Arial" w:eastAsia="Times New Roman" w:hAnsi="Arial" w:cs="Arial"/>
          <w:sz w:val="20"/>
          <w:szCs w:val="20"/>
        </w:rPr>
      </w:pPr>
    </w:p>
    <w:p w14:paraId="6A30DCD8" w14:textId="77777777" w:rsidR="00666077" w:rsidRPr="00D40C41" w:rsidRDefault="00666077" w:rsidP="00756903">
      <w:pPr>
        <w:tabs>
          <w:tab w:val="left" w:pos="1701"/>
        </w:tabs>
        <w:jc w:val="center"/>
        <w:rPr>
          <w:rFonts w:ascii="Arial" w:eastAsia="Times New Roman" w:hAnsi="Arial" w:cs="Arial"/>
          <w:sz w:val="20"/>
          <w:szCs w:val="20"/>
        </w:rPr>
      </w:pPr>
    </w:p>
    <w:p w14:paraId="6F952834" w14:textId="77777777" w:rsidR="00666077" w:rsidRPr="00D40C41" w:rsidRDefault="00666077" w:rsidP="00756903">
      <w:pPr>
        <w:tabs>
          <w:tab w:val="left" w:pos="1701"/>
        </w:tabs>
        <w:jc w:val="center"/>
        <w:rPr>
          <w:rFonts w:ascii="Arial" w:eastAsia="Times New Roman" w:hAnsi="Arial" w:cs="Arial"/>
          <w:sz w:val="20"/>
          <w:szCs w:val="20"/>
        </w:rPr>
      </w:pPr>
    </w:p>
    <w:p w14:paraId="483435A5" w14:textId="77777777" w:rsidR="00666077" w:rsidRPr="00D40C41" w:rsidRDefault="00666077" w:rsidP="00756903">
      <w:pPr>
        <w:tabs>
          <w:tab w:val="left" w:pos="1701"/>
        </w:tabs>
        <w:jc w:val="center"/>
        <w:rPr>
          <w:rFonts w:ascii="Arial" w:eastAsia="Times New Roman" w:hAnsi="Arial" w:cs="Arial"/>
          <w:sz w:val="20"/>
          <w:szCs w:val="20"/>
        </w:rPr>
      </w:pPr>
    </w:p>
    <w:p w14:paraId="15FAE45E" w14:textId="77777777" w:rsidR="00666077" w:rsidRPr="00D40C41" w:rsidRDefault="00666077" w:rsidP="00756903">
      <w:pPr>
        <w:tabs>
          <w:tab w:val="left" w:pos="1701"/>
        </w:tabs>
        <w:jc w:val="center"/>
        <w:rPr>
          <w:rFonts w:ascii="Arial" w:eastAsia="Times New Roman" w:hAnsi="Arial" w:cs="Arial"/>
          <w:sz w:val="20"/>
          <w:szCs w:val="20"/>
        </w:rPr>
      </w:pPr>
    </w:p>
    <w:p w14:paraId="5517B36D" w14:textId="77777777" w:rsidR="00666077" w:rsidRPr="00D40C41" w:rsidRDefault="00666077" w:rsidP="00756903">
      <w:pPr>
        <w:tabs>
          <w:tab w:val="left" w:pos="3402"/>
        </w:tabs>
        <w:jc w:val="center"/>
        <w:rPr>
          <w:rFonts w:ascii="Arial" w:eastAsia="Times New Roman" w:hAnsi="Arial" w:cs="Arial"/>
          <w:sz w:val="20"/>
          <w:szCs w:val="24"/>
        </w:rPr>
      </w:pPr>
    </w:p>
    <w:p w14:paraId="094B4F2B" w14:textId="77777777" w:rsidR="00666077" w:rsidRPr="00D40C41" w:rsidRDefault="00666077" w:rsidP="00756903">
      <w:pPr>
        <w:tabs>
          <w:tab w:val="left" w:pos="3402"/>
        </w:tabs>
        <w:jc w:val="center"/>
        <w:rPr>
          <w:rFonts w:ascii="Arial" w:eastAsia="Times New Roman" w:hAnsi="Arial" w:cs="Arial"/>
          <w:sz w:val="20"/>
          <w:szCs w:val="24"/>
        </w:rPr>
      </w:pPr>
    </w:p>
    <w:p w14:paraId="2928CDAF" w14:textId="77777777" w:rsidR="00666077" w:rsidRPr="00D40C41" w:rsidRDefault="00666077" w:rsidP="00756903">
      <w:pPr>
        <w:tabs>
          <w:tab w:val="left" w:pos="3402"/>
        </w:tabs>
        <w:jc w:val="center"/>
        <w:rPr>
          <w:rFonts w:ascii="Arial" w:eastAsia="Times New Roman" w:hAnsi="Arial" w:cs="Arial"/>
          <w:sz w:val="20"/>
          <w:szCs w:val="24"/>
        </w:rPr>
      </w:pPr>
    </w:p>
    <w:p w14:paraId="1D677ABC" w14:textId="77777777" w:rsidR="00666077" w:rsidRPr="00D40C41" w:rsidRDefault="00666077" w:rsidP="00756903">
      <w:pPr>
        <w:tabs>
          <w:tab w:val="left" w:pos="3402"/>
        </w:tabs>
        <w:jc w:val="center"/>
        <w:rPr>
          <w:rFonts w:ascii="Arial" w:eastAsia="Times New Roman" w:hAnsi="Arial" w:cs="Arial"/>
          <w:sz w:val="20"/>
          <w:szCs w:val="24"/>
        </w:rPr>
      </w:pPr>
    </w:p>
    <w:p w14:paraId="25DC2EB4" w14:textId="77777777" w:rsidR="00666077" w:rsidRPr="00D40C41" w:rsidRDefault="00666077" w:rsidP="00756903">
      <w:pPr>
        <w:tabs>
          <w:tab w:val="left" w:pos="3402"/>
        </w:tabs>
        <w:jc w:val="center"/>
        <w:rPr>
          <w:rFonts w:ascii="Arial" w:eastAsia="Times New Roman" w:hAnsi="Arial" w:cs="Arial"/>
          <w:sz w:val="20"/>
          <w:szCs w:val="24"/>
        </w:rPr>
      </w:pPr>
    </w:p>
    <w:p w14:paraId="0AF86FE8" w14:textId="77777777" w:rsidR="00666077" w:rsidRPr="00D40C41" w:rsidRDefault="00666077" w:rsidP="00756903">
      <w:pPr>
        <w:tabs>
          <w:tab w:val="left" w:pos="3402"/>
        </w:tabs>
        <w:jc w:val="center"/>
        <w:rPr>
          <w:rFonts w:ascii="Arial" w:eastAsia="Times New Roman" w:hAnsi="Arial" w:cs="Arial"/>
          <w:sz w:val="20"/>
          <w:szCs w:val="24"/>
        </w:rPr>
      </w:pPr>
    </w:p>
    <w:p w14:paraId="77E9D9D1" w14:textId="77777777" w:rsidR="00666077" w:rsidRPr="00D40C41" w:rsidRDefault="00666077" w:rsidP="00756903">
      <w:pPr>
        <w:tabs>
          <w:tab w:val="left" w:pos="3402"/>
        </w:tabs>
        <w:jc w:val="center"/>
        <w:rPr>
          <w:rFonts w:ascii="Arial" w:eastAsia="Times New Roman" w:hAnsi="Arial" w:cs="Arial"/>
          <w:sz w:val="20"/>
          <w:szCs w:val="24"/>
        </w:rPr>
      </w:pPr>
    </w:p>
    <w:p w14:paraId="61560C27" w14:textId="77777777" w:rsidR="00666077" w:rsidRPr="00D40C41" w:rsidRDefault="00666077" w:rsidP="00756903">
      <w:pPr>
        <w:tabs>
          <w:tab w:val="left" w:pos="3402"/>
        </w:tabs>
        <w:jc w:val="center"/>
        <w:rPr>
          <w:rFonts w:ascii="Arial" w:eastAsia="Times New Roman" w:hAnsi="Arial" w:cs="Arial"/>
          <w:sz w:val="20"/>
          <w:szCs w:val="24"/>
        </w:rPr>
      </w:pPr>
    </w:p>
    <w:p w14:paraId="3D1D1D4B" w14:textId="77777777" w:rsidR="00666077" w:rsidRPr="00D40C41" w:rsidRDefault="00666077" w:rsidP="00756903">
      <w:pPr>
        <w:tabs>
          <w:tab w:val="left" w:pos="3402"/>
        </w:tabs>
        <w:jc w:val="center"/>
        <w:rPr>
          <w:rFonts w:ascii="Arial" w:eastAsia="Times New Roman" w:hAnsi="Arial" w:cs="Arial"/>
          <w:sz w:val="20"/>
          <w:szCs w:val="24"/>
        </w:rPr>
      </w:pPr>
    </w:p>
    <w:p w14:paraId="20F99A05" w14:textId="77777777" w:rsidR="00666077" w:rsidRDefault="00666077" w:rsidP="00756903">
      <w:pPr>
        <w:tabs>
          <w:tab w:val="left" w:pos="3402"/>
        </w:tabs>
        <w:jc w:val="center"/>
        <w:rPr>
          <w:rFonts w:ascii="Arial" w:eastAsia="Times New Roman" w:hAnsi="Arial" w:cs="Arial"/>
          <w:sz w:val="20"/>
          <w:szCs w:val="24"/>
        </w:rPr>
      </w:pPr>
    </w:p>
    <w:p w14:paraId="22966824" w14:textId="77777777" w:rsidR="00227C1D" w:rsidRDefault="00227C1D" w:rsidP="00756903">
      <w:pPr>
        <w:tabs>
          <w:tab w:val="left" w:pos="3402"/>
        </w:tabs>
        <w:jc w:val="center"/>
        <w:rPr>
          <w:rFonts w:ascii="Arial" w:eastAsia="Times New Roman" w:hAnsi="Arial" w:cs="Arial"/>
          <w:sz w:val="20"/>
          <w:szCs w:val="24"/>
        </w:rPr>
      </w:pPr>
    </w:p>
    <w:p w14:paraId="7F25FB00" w14:textId="77777777" w:rsidR="00227C1D" w:rsidRDefault="00227C1D" w:rsidP="00756903">
      <w:pPr>
        <w:tabs>
          <w:tab w:val="left" w:pos="3402"/>
        </w:tabs>
        <w:jc w:val="center"/>
        <w:rPr>
          <w:rFonts w:ascii="Arial" w:eastAsia="Times New Roman" w:hAnsi="Arial" w:cs="Arial"/>
          <w:sz w:val="20"/>
          <w:szCs w:val="24"/>
        </w:rPr>
      </w:pPr>
    </w:p>
    <w:p w14:paraId="6F1B2B9A" w14:textId="77777777" w:rsidR="00227C1D" w:rsidRDefault="00227C1D" w:rsidP="00756903">
      <w:pPr>
        <w:tabs>
          <w:tab w:val="left" w:pos="3402"/>
        </w:tabs>
        <w:jc w:val="center"/>
        <w:rPr>
          <w:rFonts w:ascii="Arial" w:eastAsia="Times New Roman" w:hAnsi="Arial" w:cs="Arial"/>
          <w:sz w:val="20"/>
          <w:szCs w:val="24"/>
        </w:rPr>
      </w:pPr>
    </w:p>
    <w:p w14:paraId="0064B5D9" w14:textId="77777777" w:rsidR="00227C1D" w:rsidRDefault="00227C1D" w:rsidP="00756903">
      <w:pPr>
        <w:tabs>
          <w:tab w:val="left" w:pos="3402"/>
        </w:tabs>
        <w:jc w:val="center"/>
        <w:rPr>
          <w:rFonts w:ascii="Arial" w:eastAsia="Times New Roman" w:hAnsi="Arial" w:cs="Arial"/>
          <w:sz w:val="20"/>
          <w:szCs w:val="24"/>
        </w:rPr>
      </w:pPr>
    </w:p>
    <w:p w14:paraId="32A105E6" w14:textId="77777777" w:rsidR="00227C1D" w:rsidRDefault="00227C1D" w:rsidP="00756903">
      <w:pPr>
        <w:tabs>
          <w:tab w:val="left" w:pos="3402"/>
        </w:tabs>
        <w:jc w:val="center"/>
        <w:rPr>
          <w:rFonts w:ascii="Arial" w:eastAsia="Times New Roman" w:hAnsi="Arial" w:cs="Arial"/>
          <w:sz w:val="20"/>
          <w:szCs w:val="24"/>
        </w:rPr>
      </w:pPr>
    </w:p>
    <w:p w14:paraId="666C07A5" w14:textId="77777777" w:rsidR="00856D89" w:rsidRDefault="00856D89" w:rsidP="00756903">
      <w:pPr>
        <w:tabs>
          <w:tab w:val="left" w:pos="3402"/>
        </w:tabs>
        <w:jc w:val="center"/>
        <w:rPr>
          <w:rFonts w:ascii="Arial" w:eastAsia="Times New Roman" w:hAnsi="Arial" w:cs="Arial"/>
          <w:sz w:val="20"/>
          <w:szCs w:val="24"/>
        </w:rPr>
      </w:pPr>
    </w:p>
    <w:p w14:paraId="596E2AEB" w14:textId="77777777" w:rsidR="00856D89" w:rsidRDefault="00856D89" w:rsidP="00756903">
      <w:pPr>
        <w:tabs>
          <w:tab w:val="left" w:pos="3402"/>
        </w:tabs>
        <w:jc w:val="center"/>
        <w:rPr>
          <w:rFonts w:ascii="Arial" w:eastAsia="Times New Roman" w:hAnsi="Arial" w:cs="Arial"/>
          <w:sz w:val="20"/>
          <w:szCs w:val="24"/>
        </w:rPr>
      </w:pPr>
    </w:p>
    <w:p w14:paraId="72715B60" w14:textId="77777777" w:rsidR="00856D89" w:rsidRDefault="00856D89" w:rsidP="00756903">
      <w:pPr>
        <w:tabs>
          <w:tab w:val="left" w:pos="3402"/>
        </w:tabs>
        <w:jc w:val="center"/>
        <w:rPr>
          <w:rFonts w:ascii="Arial" w:eastAsia="Times New Roman" w:hAnsi="Arial" w:cs="Arial"/>
          <w:sz w:val="20"/>
          <w:szCs w:val="24"/>
        </w:rPr>
      </w:pPr>
    </w:p>
    <w:p w14:paraId="01CB6232" w14:textId="77777777" w:rsidR="00227C1D" w:rsidRDefault="00227C1D" w:rsidP="00756903">
      <w:pPr>
        <w:tabs>
          <w:tab w:val="left" w:pos="3402"/>
        </w:tabs>
        <w:jc w:val="center"/>
        <w:rPr>
          <w:rFonts w:ascii="Arial" w:eastAsia="Times New Roman" w:hAnsi="Arial" w:cs="Arial"/>
          <w:sz w:val="20"/>
          <w:szCs w:val="24"/>
        </w:rPr>
      </w:pPr>
    </w:p>
    <w:p w14:paraId="7282D66D" w14:textId="77777777" w:rsidR="00227C1D" w:rsidRPr="00D40C41" w:rsidRDefault="00227C1D" w:rsidP="00756903">
      <w:pPr>
        <w:tabs>
          <w:tab w:val="left" w:pos="3402"/>
        </w:tabs>
        <w:jc w:val="center"/>
        <w:rPr>
          <w:rFonts w:ascii="Arial" w:eastAsia="Times New Roman" w:hAnsi="Arial" w:cs="Arial"/>
          <w:sz w:val="20"/>
          <w:szCs w:val="24"/>
        </w:rPr>
      </w:pPr>
    </w:p>
    <w:p w14:paraId="206911A2" w14:textId="77777777" w:rsidR="00666077" w:rsidRDefault="00666077" w:rsidP="00756903">
      <w:pPr>
        <w:tabs>
          <w:tab w:val="left" w:pos="3402"/>
        </w:tabs>
        <w:jc w:val="center"/>
        <w:rPr>
          <w:rFonts w:ascii="Arial" w:eastAsia="Times New Roman" w:hAnsi="Arial" w:cs="Arial"/>
          <w:sz w:val="20"/>
          <w:szCs w:val="24"/>
        </w:rPr>
      </w:pPr>
    </w:p>
    <w:p w14:paraId="79D62BF8" w14:textId="77777777" w:rsidR="00831279" w:rsidRDefault="00831279" w:rsidP="00756903">
      <w:pPr>
        <w:tabs>
          <w:tab w:val="left" w:pos="3402"/>
        </w:tabs>
        <w:jc w:val="center"/>
        <w:rPr>
          <w:rFonts w:ascii="Arial" w:eastAsia="Times New Roman" w:hAnsi="Arial" w:cs="Arial"/>
          <w:sz w:val="20"/>
          <w:szCs w:val="24"/>
        </w:rPr>
      </w:pPr>
    </w:p>
    <w:p w14:paraId="2861CB2C" w14:textId="77777777" w:rsidR="00856D89" w:rsidRDefault="00856D89" w:rsidP="00756903">
      <w:pPr>
        <w:tabs>
          <w:tab w:val="left" w:pos="3402"/>
        </w:tabs>
        <w:jc w:val="center"/>
        <w:rPr>
          <w:rFonts w:ascii="Arial" w:eastAsia="Times New Roman" w:hAnsi="Arial" w:cs="Arial"/>
          <w:sz w:val="20"/>
          <w:szCs w:val="24"/>
        </w:rPr>
      </w:pPr>
    </w:p>
    <w:p w14:paraId="4ABC170C" w14:textId="77777777" w:rsidR="00856D89" w:rsidRDefault="00856D89" w:rsidP="00756903">
      <w:pPr>
        <w:tabs>
          <w:tab w:val="left" w:pos="3402"/>
        </w:tabs>
        <w:jc w:val="center"/>
        <w:rPr>
          <w:rFonts w:ascii="Arial" w:eastAsia="Times New Roman" w:hAnsi="Arial" w:cs="Arial"/>
          <w:sz w:val="20"/>
          <w:szCs w:val="24"/>
        </w:rPr>
      </w:pPr>
    </w:p>
    <w:p w14:paraId="2CCD0CD0" w14:textId="77777777" w:rsidR="00856D89" w:rsidRDefault="00865EDD" w:rsidP="00865EDD">
      <w:pPr>
        <w:tabs>
          <w:tab w:val="left" w:pos="2933"/>
          <w:tab w:val="left" w:pos="3402"/>
        </w:tabs>
        <w:rPr>
          <w:rFonts w:ascii="Arial" w:eastAsia="Times New Roman" w:hAnsi="Arial" w:cs="Arial"/>
          <w:sz w:val="20"/>
          <w:szCs w:val="24"/>
        </w:rPr>
      </w:pPr>
      <w:r>
        <w:rPr>
          <w:rFonts w:ascii="Arial" w:eastAsia="Times New Roman" w:hAnsi="Arial" w:cs="Arial"/>
          <w:sz w:val="20"/>
          <w:szCs w:val="24"/>
          <w:lang w:val="en-GB"/>
        </w:rPr>
        <w:tab/>
      </w:r>
      <w:r>
        <w:rPr>
          <w:rFonts w:ascii="Arial" w:eastAsia="Times New Roman" w:hAnsi="Arial" w:cs="Arial"/>
          <w:sz w:val="20"/>
          <w:szCs w:val="24"/>
          <w:lang w:val="en-GB"/>
        </w:rPr>
        <w:tab/>
      </w:r>
    </w:p>
    <w:p w14:paraId="51715F27" w14:textId="77777777" w:rsidR="00831279" w:rsidRPr="00D40C41" w:rsidRDefault="00831279" w:rsidP="00756903">
      <w:pPr>
        <w:tabs>
          <w:tab w:val="left" w:pos="3402"/>
        </w:tabs>
        <w:jc w:val="center"/>
        <w:rPr>
          <w:rFonts w:ascii="Arial" w:eastAsia="Times New Roman" w:hAnsi="Arial" w:cs="Arial"/>
          <w:sz w:val="20"/>
          <w:szCs w:val="24"/>
        </w:rPr>
      </w:pPr>
    </w:p>
    <w:p w14:paraId="055C41F9" w14:textId="77777777" w:rsidR="00AA2C04" w:rsidRDefault="00AC0A8A" w:rsidP="005E781A">
      <w:pPr>
        <w:tabs>
          <w:tab w:val="left" w:pos="3402"/>
        </w:tabs>
        <w:jc w:val="center"/>
      </w:pPr>
      <w:r>
        <w:rPr>
          <w:rFonts w:ascii="Arial" w:hAnsi="Arial"/>
          <w:sz w:val="28"/>
          <w:szCs w:val="28"/>
          <w:lang w:val="en-GB"/>
        </w:rPr>
        <w:t>2</w:t>
      </w:r>
      <w:r>
        <w:rPr>
          <w:rFonts w:ascii="Arial" w:hAnsi="Arial"/>
          <w:sz w:val="28"/>
          <w:szCs w:val="28"/>
          <w:vertAlign w:val="superscript"/>
          <w:lang w:val="en-GB"/>
        </w:rPr>
        <w:t>nd</w:t>
      </w:r>
      <w:r>
        <w:rPr>
          <w:rFonts w:ascii="Arial" w:hAnsi="Arial"/>
          <w:b/>
          <w:bCs/>
          <w:sz w:val="28"/>
          <w:szCs w:val="28"/>
          <w:lang w:val="en-GB"/>
        </w:rPr>
        <w:t xml:space="preserve"> issue, January 2022</w:t>
      </w:r>
      <w:r>
        <w:rPr>
          <w:rFonts w:ascii="Arial" w:hAnsi="Arial"/>
          <w:sz w:val="28"/>
          <w:szCs w:val="24"/>
          <w:lang w:val="en-GB"/>
        </w:rPr>
        <w:br w:type="page"/>
      </w:r>
    </w:p>
    <w:sdt>
      <w:sdtPr>
        <w:rPr>
          <w:rFonts w:asciiTheme="minorHAnsi" w:eastAsiaTheme="minorHAnsi" w:hAnsiTheme="minorHAnsi" w:cstheme="minorBidi"/>
          <w:b w:val="0"/>
          <w:bCs w:val="0"/>
          <w:color w:val="auto"/>
          <w:sz w:val="20"/>
          <w:szCs w:val="20"/>
          <w:lang w:eastAsia="en-US"/>
        </w:rPr>
        <w:id w:val="378757679"/>
        <w:docPartObj>
          <w:docPartGallery w:val="Table of Contents"/>
          <w:docPartUnique/>
        </w:docPartObj>
      </w:sdtPr>
      <w:sdtEndPr>
        <w:rPr>
          <w:rFonts w:ascii="Arial" w:hAnsi="Arial" w:cs="Arial"/>
        </w:rPr>
      </w:sdtEndPr>
      <w:sdtContent>
        <w:p w14:paraId="3F5BA907" w14:textId="77777777" w:rsidR="00C6054C" w:rsidRPr="004F2499" w:rsidRDefault="00C6054C" w:rsidP="00756903">
          <w:pPr>
            <w:pStyle w:val="NaslovTOC"/>
            <w:spacing w:before="0" w:line="240" w:lineRule="atLeast"/>
            <w:rPr>
              <w:rFonts w:ascii="Arial" w:hAnsi="Arial" w:cs="Arial"/>
              <w:color w:val="000000" w:themeColor="text1"/>
              <w:sz w:val="22"/>
            </w:rPr>
          </w:pPr>
          <w:r>
            <w:rPr>
              <w:rFonts w:ascii="Arial" w:hAnsi="Arial" w:cs="Arial"/>
              <w:color w:val="000000" w:themeColor="text1"/>
              <w:sz w:val="22"/>
              <w:lang w:val="en-GB"/>
            </w:rPr>
            <w:t>TABLE OF CONTENTS:</w:t>
          </w:r>
        </w:p>
        <w:p w14:paraId="3A703488" w14:textId="77777777" w:rsidR="00E542EE" w:rsidRPr="00AA2C04" w:rsidRDefault="00E542EE" w:rsidP="00756903">
          <w:pPr>
            <w:rPr>
              <w:rFonts w:ascii="Arial" w:hAnsi="Arial" w:cs="Arial"/>
            </w:rPr>
          </w:pPr>
        </w:p>
        <w:p w14:paraId="7D9C07B7" w14:textId="40C3118A" w:rsidR="00512591" w:rsidRPr="00280D10" w:rsidRDefault="00C6054C" w:rsidP="00280D10">
          <w:pPr>
            <w:pStyle w:val="Kazalovsebine1"/>
            <w:spacing w:line="360" w:lineRule="auto"/>
            <w:rPr>
              <w:rFonts w:asciiTheme="minorHAnsi" w:eastAsiaTheme="minorEastAsia" w:hAnsiTheme="minorHAnsi" w:cstheme="minorBidi"/>
              <w:b w:val="0"/>
              <w:bCs w:val="0"/>
              <w:noProof/>
              <w:szCs w:val="20"/>
              <w:lang w:eastAsia="sl-SI"/>
            </w:rPr>
          </w:pPr>
          <w:r w:rsidRPr="00280D10">
            <w:rPr>
              <w:szCs w:val="20"/>
              <w:lang w:val="en-GB"/>
            </w:rPr>
            <w:fldChar w:fldCharType="begin"/>
          </w:r>
          <w:r w:rsidRPr="00280D10">
            <w:rPr>
              <w:szCs w:val="20"/>
            </w:rPr>
            <w:instrText xml:space="preserve"> TOC \o "1-3" \h \z \u </w:instrText>
          </w:r>
          <w:r w:rsidRPr="00280D10">
            <w:rPr>
              <w:szCs w:val="20"/>
            </w:rPr>
            <w:fldChar w:fldCharType="separate"/>
          </w:r>
          <w:hyperlink w:anchor="_Toc103257422" w:history="1">
            <w:r w:rsidR="00512591" w:rsidRPr="00280D10">
              <w:rPr>
                <w:rStyle w:val="Hiperpovezava"/>
                <w:noProof/>
                <w:szCs w:val="20"/>
                <w:lang w:val="en-GB"/>
              </w:rPr>
              <w:t>1. TRANSFER PRICES</w:t>
            </w:r>
            <w:r w:rsidR="00512591" w:rsidRPr="00280D10">
              <w:rPr>
                <w:noProof/>
                <w:webHidden/>
                <w:szCs w:val="20"/>
              </w:rPr>
              <w:tab/>
            </w:r>
            <w:r w:rsidR="00512591" w:rsidRPr="00280D10">
              <w:rPr>
                <w:noProof/>
                <w:webHidden/>
                <w:szCs w:val="20"/>
              </w:rPr>
              <w:fldChar w:fldCharType="begin"/>
            </w:r>
            <w:r w:rsidR="00512591" w:rsidRPr="00280D10">
              <w:rPr>
                <w:noProof/>
                <w:webHidden/>
                <w:szCs w:val="20"/>
              </w:rPr>
              <w:instrText xml:space="preserve"> PAGEREF _Toc103257422 \h </w:instrText>
            </w:r>
            <w:r w:rsidR="00512591" w:rsidRPr="00280D10">
              <w:rPr>
                <w:noProof/>
                <w:webHidden/>
                <w:szCs w:val="20"/>
              </w:rPr>
            </w:r>
            <w:r w:rsidR="00512591" w:rsidRPr="00280D10">
              <w:rPr>
                <w:noProof/>
                <w:webHidden/>
                <w:szCs w:val="20"/>
              </w:rPr>
              <w:fldChar w:fldCharType="separate"/>
            </w:r>
            <w:r w:rsidR="009961F5">
              <w:rPr>
                <w:noProof/>
                <w:webHidden/>
                <w:szCs w:val="20"/>
              </w:rPr>
              <w:t>3</w:t>
            </w:r>
            <w:r w:rsidR="00512591" w:rsidRPr="00280D10">
              <w:rPr>
                <w:noProof/>
                <w:webHidden/>
                <w:szCs w:val="20"/>
              </w:rPr>
              <w:fldChar w:fldCharType="end"/>
            </w:r>
          </w:hyperlink>
        </w:p>
        <w:p w14:paraId="65E0EE2A" w14:textId="1BC75C54" w:rsidR="00512591" w:rsidRPr="00280D10" w:rsidRDefault="00BB1FF6" w:rsidP="00280D10">
          <w:pPr>
            <w:pStyle w:val="Kazalovsebine2"/>
            <w:spacing w:line="360" w:lineRule="auto"/>
            <w:rPr>
              <w:rFonts w:asciiTheme="minorHAnsi" w:eastAsiaTheme="minorEastAsia" w:hAnsiTheme="minorHAnsi" w:cstheme="minorBidi"/>
              <w:noProof/>
              <w:szCs w:val="20"/>
            </w:rPr>
          </w:pPr>
          <w:hyperlink w:anchor="_Toc103257423" w:history="1">
            <w:r w:rsidR="00512591" w:rsidRPr="00280D10">
              <w:rPr>
                <w:rStyle w:val="Hiperpovezava"/>
                <w:rFonts w:cs="Arial"/>
                <w:noProof/>
                <w:szCs w:val="20"/>
                <w:lang w:val="en-GB"/>
              </w:rPr>
              <w:t>1.1 TRANSFER PRICE DEFINITION</w:t>
            </w:r>
            <w:r w:rsidR="00512591" w:rsidRPr="00280D10">
              <w:rPr>
                <w:noProof/>
                <w:webHidden/>
                <w:szCs w:val="20"/>
              </w:rPr>
              <w:tab/>
            </w:r>
            <w:r w:rsidR="00512591" w:rsidRPr="00280D10">
              <w:rPr>
                <w:noProof/>
                <w:webHidden/>
                <w:szCs w:val="20"/>
              </w:rPr>
              <w:fldChar w:fldCharType="begin"/>
            </w:r>
            <w:r w:rsidR="00512591" w:rsidRPr="00280D10">
              <w:rPr>
                <w:noProof/>
                <w:webHidden/>
                <w:szCs w:val="20"/>
              </w:rPr>
              <w:instrText xml:space="preserve"> PAGEREF _Toc103257423 \h </w:instrText>
            </w:r>
            <w:r w:rsidR="00512591" w:rsidRPr="00280D10">
              <w:rPr>
                <w:noProof/>
                <w:webHidden/>
                <w:szCs w:val="20"/>
              </w:rPr>
            </w:r>
            <w:r w:rsidR="00512591" w:rsidRPr="00280D10">
              <w:rPr>
                <w:noProof/>
                <w:webHidden/>
                <w:szCs w:val="20"/>
              </w:rPr>
              <w:fldChar w:fldCharType="separate"/>
            </w:r>
            <w:r w:rsidR="009961F5">
              <w:rPr>
                <w:noProof/>
                <w:webHidden/>
                <w:szCs w:val="20"/>
              </w:rPr>
              <w:t>3</w:t>
            </w:r>
            <w:r w:rsidR="00512591" w:rsidRPr="00280D10">
              <w:rPr>
                <w:noProof/>
                <w:webHidden/>
                <w:szCs w:val="20"/>
              </w:rPr>
              <w:fldChar w:fldCharType="end"/>
            </w:r>
          </w:hyperlink>
        </w:p>
        <w:p w14:paraId="011DB6AD" w14:textId="6BFEACCE" w:rsidR="00512591" w:rsidRPr="00280D10" w:rsidRDefault="00BB1FF6" w:rsidP="00280D10">
          <w:pPr>
            <w:pStyle w:val="Kazalovsebine2"/>
            <w:spacing w:line="360" w:lineRule="auto"/>
            <w:rPr>
              <w:rFonts w:asciiTheme="minorHAnsi" w:eastAsiaTheme="minorEastAsia" w:hAnsiTheme="minorHAnsi" w:cstheme="minorBidi"/>
              <w:noProof/>
              <w:szCs w:val="20"/>
            </w:rPr>
          </w:pPr>
          <w:hyperlink w:anchor="_Toc103257424" w:history="1">
            <w:r w:rsidR="00512591" w:rsidRPr="00280D10">
              <w:rPr>
                <w:rStyle w:val="Hiperpovezava"/>
                <w:rFonts w:cs="Arial"/>
                <w:noProof/>
                <w:szCs w:val="20"/>
                <w:lang w:val="en-GB"/>
              </w:rPr>
              <w:t>1.2 SLOVENIAN TRANSFER PRICING LEGISLATION</w:t>
            </w:r>
            <w:r w:rsidR="00512591" w:rsidRPr="00280D10">
              <w:rPr>
                <w:noProof/>
                <w:webHidden/>
                <w:szCs w:val="20"/>
              </w:rPr>
              <w:tab/>
            </w:r>
            <w:r w:rsidR="00512591" w:rsidRPr="00280D10">
              <w:rPr>
                <w:noProof/>
                <w:webHidden/>
                <w:szCs w:val="20"/>
              </w:rPr>
              <w:fldChar w:fldCharType="begin"/>
            </w:r>
            <w:r w:rsidR="00512591" w:rsidRPr="00280D10">
              <w:rPr>
                <w:noProof/>
                <w:webHidden/>
                <w:szCs w:val="20"/>
              </w:rPr>
              <w:instrText xml:space="preserve"> PAGEREF _Toc103257424 \h </w:instrText>
            </w:r>
            <w:r w:rsidR="00512591" w:rsidRPr="00280D10">
              <w:rPr>
                <w:noProof/>
                <w:webHidden/>
                <w:szCs w:val="20"/>
              </w:rPr>
            </w:r>
            <w:r w:rsidR="00512591" w:rsidRPr="00280D10">
              <w:rPr>
                <w:noProof/>
                <w:webHidden/>
                <w:szCs w:val="20"/>
              </w:rPr>
              <w:fldChar w:fldCharType="separate"/>
            </w:r>
            <w:r w:rsidR="009961F5">
              <w:rPr>
                <w:noProof/>
                <w:webHidden/>
                <w:szCs w:val="20"/>
              </w:rPr>
              <w:t>4</w:t>
            </w:r>
            <w:r w:rsidR="00512591" w:rsidRPr="00280D10">
              <w:rPr>
                <w:noProof/>
                <w:webHidden/>
                <w:szCs w:val="20"/>
              </w:rPr>
              <w:fldChar w:fldCharType="end"/>
            </w:r>
          </w:hyperlink>
        </w:p>
        <w:p w14:paraId="6BF5B029" w14:textId="7251102B" w:rsidR="00512591" w:rsidRPr="00280D10" w:rsidRDefault="00BB1FF6" w:rsidP="00280D10">
          <w:pPr>
            <w:pStyle w:val="Kazalovsebine2"/>
            <w:spacing w:line="360" w:lineRule="auto"/>
            <w:rPr>
              <w:noProof/>
              <w:szCs w:val="20"/>
            </w:rPr>
          </w:pPr>
          <w:hyperlink w:anchor="_Toc103257425" w:history="1">
            <w:r w:rsidR="00512591" w:rsidRPr="00280D10">
              <w:rPr>
                <w:rStyle w:val="Hiperpovezava"/>
                <w:rFonts w:cs="Arial"/>
                <w:noProof/>
                <w:szCs w:val="20"/>
                <w:lang w:val="en-GB"/>
              </w:rPr>
              <w:t xml:space="preserve">1.3 REPORTING BY TAXABLE PERSONS DOING BUSINESS WITH </w:t>
            </w:r>
            <w:r w:rsidR="003E0B4B" w:rsidRPr="00280D10">
              <w:rPr>
                <w:rStyle w:val="Hiperpovezava"/>
                <w:rFonts w:cs="Arial"/>
                <w:noProof/>
                <w:szCs w:val="20"/>
                <w:lang w:val="en-GB"/>
              </w:rPr>
              <w:t>ASSOCIATED</w:t>
            </w:r>
            <w:r w:rsidR="00512591" w:rsidRPr="00280D10">
              <w:rPr>
                <w:rStyle w:val="Hiperpovezava"/>
                <w:rFonts w:cs="Arial"/>
                <w:noProof/>
                <w:szCs w:val="20"/>
                <w:lang w:val="en-GB"/>
              </w:rPr>
              <w:t xml:space="preserve"> PARTIES</w:t>
            </w:r>
            <w:r w:rsidR="00512591" w:rsidRPr="00280D10">
              <w:rPr>
                <w:noProof/>
                <w:webHidden/>
                <w:szCs w:val="20"/>
              </w:rPr>
              <w:tab/>
            </w:r>
            <w:r w:rsidR="00512591" w:rsidRPr="00280D10">
              <w:rPr>
                <w:noProof/>
                <w:webHidden/>
                <w:szCs w:val="20"/>
              </w:rPr>
              <w:fldChar w:fldCharType="begin"/>
            </w:r>
            <w:r w:rsidR="00512591" w:rsidRPr="00280D10">
              <w:rPr>
                <w:noProof/>
                <w:webHidden/>
                <w:szCs w:val="20"/>
              </w:rPr>
              <w:instrText xml:space="preserve"> PAGEREF _Toc103257425 \h </w:instrText>
            </w:r>
            <w:r w:rsidR="00512591" w:rsidRPr="00280D10">
              <w:rPr>
                <w:noProof/>
                <w:webHidden/>
                <w:szCs w:val="20"/>
              </w:rPr>
            </w:r>
            <w:r w:rsidR="00512591" w:rsidRPr="00280D10">
              <w:rPr>
                <w:noProof/>
                <w:webHidden/>
                <w:szCs w:val="20"/>
              </w:rPr>
              <w:fldChar w:fldCharType="separate"/>
            </w:r>
            <w:r w:rsidR="009961F5">
              <w:rPr>
                <w:noProof/>
                <w:webHidden/>
                <w:szCs w:val="20"/>
              </w:rPr>
              <w:t>6</w:t>
            </w:r>
            <w:r w:rsidR="00512591" w:rsidRPr="00280D10">
              <w:rPr>
                <w:noProof/>
                <w:webHidden/>
                <w:szCs w:val="20"/>
              </w:rPr>
              <w:fldChar w:fldCharType="end"/>
            </w:r>
          </w:hyperlink>
        </w:p>
        <w:p w14:paraId="0FECD420" w14:textId="77777777" w:rsidR="00280D10" w:rsidRPr="00280D10" w:rsidRDefault="00280D10" w:rsidP="00280D10">
          <w:pPr>
            <w:spacing w:line="360" w:lineRule="auto"/>
            <w:rPr>
              <w:noProof/>
              <w:sz w:val="20"/>
              <w:szCs w:val="20"/>
              <w:lang w:eastAsia="sl-SI"/>
            </w:rPr>
          </w:pPr>
        </w:p>
        <w:p w14:paraId="4B740045" w14:textId="507F95A1" w:rsidR="00512591" w:rsidRPr="00280D10" w:rsidRDefault="00BB1FF6" w:rsidP="00280D10">
          <w:pPr>
            <w:pStyle w:val="Kazalovsebine1"/>
            <w:spacing w:line="360" w:lineRule="auto"/>
            <w:rPr>
              <w:rFonts w:asciiTheme="minorHAnsi" w:eastAsiaTheme="minorEastAsia" w:hAnsiTheme="minorHAnsi" w:cstheme="minorBidi"/>
              <w:b w:val="0"/>
              <w:bCs w:val="0"/>
              <w:noProof/>
              <w:szCs w:val="20"/>
              <w:lang w:eastAsia="sl-SI"/>
            </w:rPr>
          </w:pPr>
          <w:hyperlink w:anchor="_Toc103257426" w:history="1">
            <w:r w:rsidR="00512591" w:rsidRPr="00280D10">
              <w:rPr>
                <w:rStyle w:val="Hiperpovezava"/>
                <w:noProof/>
                <w:szCs w:val="20"/>
                <w:lang w:val="en-GB"/>
              </w:rPr>
              <w:t xml:space="preserve">2. INFORMATION CONCERNING TRANSFER PRICES AND PRICES AMONG RESIDENT </w:t>
            </w:r>
            <w:r w:rsidR="003E0B4B" w:rsidRPr="00280D10">
              <w:rPr>
                <w:rStyle w:val="Hiperpovezava"/>
                <w:noProof/>
                <w:szCs w:val="20"/>
                <w:lang w:val="en-GB"/>
              </w:rPr>
              <w:t>ASSOCIATED</w:t>
            </w:r>
            <w:r w:rsidR="00512591" w:rsidRPr="00280D10">
              <w:rPr>
                <w:rStyle w:val="Hiperpovezava"/>
                <w:noProof/>
                <w:szCs w:val="20"/>
                <w:lang w:val="en-GB"/>
              </w:rPr>
              <w:t xml:space="preserve"> PARTIES</w:t>
            </w:r>
            <w:r w:rsidR="00512591" w:rsidRPr="00280D10">
              <w:rPr>
                <w:noProof/>
                <w:webHidden/>
                <w:szCs w:val="20"/>
              </w:rPr>
              <w:tab/>
            </w:r>
            <w:r w:rsidR="00512591" w:rsidRPr="00280D10">
              <w:rPr>
                <w:noProof/>
                <w:webHidden/>
                <w:szCs w:val="20"/>
              </w:rPr>
              <w:fldChar w:fldCharType="begin"/>
            </w:r>
            <w:r w:rsidR="00512591" w:rsidRPr="00280D10">
              <w:rPr>
                <w:noProof/>
                <w:webHidden/>
                <w:szCs w:val="20"/>
              </w:rPr>
              <w:instrText xml:space="preserve"> PAGEREF _Toc103257426 \h </w:instrText>
            </w:r>
            <w:r w:rsidR="00512591" w:rsidRPr="00280D10">
              <w:rPr>
                <w:noProof/>
                <w:webHidden/>
                <w:szCs w:val="20"/>
              </w:rPr>
            </w:r>
            <w:r w:rsidR="00512591" w:rsidRPr="00280D10">
              <w:rPr>
                <w:noProof/>
                <w:webHidden/>
                <w:szCs w:val="20"/>
              </w:rPr>
              <w:fldChar w:fldCharType="separate"/>
            </w:r>
            <w:r w:rsidR="009961F5">
              <w:rPr>
                <w:noProof/>
                <w:webHidden/>
                <w:szCs w:val="20"/>
              </w:rPr>
              <w:t>9</w:t>
            </w:r>
            <w:r w:rsidR="00512591" w:rsidRPr="00280D10">
              <w:rPr>
                <w:noProof/>
                <w:webHidden/>
                <w:szCs w:val="20"/>
              </w:rPr>
              <w:fldChar w:fldCharType="end"/>
            </w:r>
          </w:hyperlink>
        </w:p>
        <w:p w14:paraId="3C3B2152" w14:textId="598B70E3" w:rsidR="00512591" w:rsidRPr="00280D10" w:rsidRDefault="00BB1FF6" w:rsidP="00280D10">
          <w:pPr>
            <w:pStyle w:val="Kazalovsebine2"/>
            <w:spacing w:line="360" w:lineRule="auto"/>
            <w:rPr>
              <w:rFonts w:asciiTheme="minorHAnsi" w:eastAsiaTheme="minorEastAsia" w:hAnsiTheme="minorHAnsi" w:cstheme="minorBidi"/>
              <w:noProof/>
              <w:szCs w:val="20"/>
            </w:rPr>
          </w:pPr>
          <w:hyperlink w:anchor="_Toc103257427" w:history="1">
            <w:r w:rsidR="00512591" w:rsidRPr="00280D10">
              <w:rPr>
                <w:rStyle w:val="Hiperpovezava"/>
                <w:rFonts w:cs="Arial"/>
                <w:noProof/>
                <w:szCs w:val="20"/>
                <w:lang w:val="en-GB"/>
              </w:rPr>
              <w:t>2.1 TRANSFER PRICING DOCUMENTS</w:t>
            </w:r>
            <w:r w:rsidR="00512591" w:rsidRPr="00280D10">
              <w:rPr>
                <w:noProof/>
                <w:webHidden/>
                <w:szCs w:val="20"/>
              </w:rPr>
              <w:tab/>
            </w:r>
            <w:r w:rsidR="00512591" w:rsidRPr="00280D10">
              <w:rPr>
                <w:noProof/>
                <w:webHidden/>
                <w:szCs w:val="20"/>
              </w:rPr>
              <w:fldChar w:fldCharType="begin"/>
            </w:r>
            <w:r w:rsidR="00512591" w:rsidRPr="00280D10">
              <w:rPr>
                <w:noProof/>
                <w:webHidden/>
                <w:szCs w:val="20"/>
              </w:rPr>
              <w:instrText xml:space="preserve"> PAGEREF _Toc103257427 \h </w:instrText>
            </w:r>
            <w:r w:rsidR="00512591" w:rsidRPr="00280D10">
              <w:rPr>
                <w:noProof/>
                <w:webHidden/>
                <w:szCs w:val="20"/>
              </w:rPr>
            </w:r>
            <w:r w:rsidR="00512591" w:rsidRPr="00280D10">
              <w:rPr>
                <w:noProof/>
                <w:webHidden/>
                <w:szCs w:val="20"/>
              </w:rPr>
              <w:fldChar w:fldCharType="separate"/>
            </w:r>
            <w:r w:rsidR="009961F5">
              <w:rPr>
                <w:noProof/>
                <w:webHidden/>
                <w:szCs w:val="20"/>
              </w:rPr>
              <w:t>9</w:t>
            </w:r>
            <w:r w:rsidR="00512591" w:rsidRPr="00280D10">
              <w:rPr>
                <w:noProof/>
                <w:webHidden/>
                <w:szCs w:val="20"/>
              </w:rPr>
              <w:fldChar w:fldCharType="end"/>
            </w:r>
          </w:hyperlink>
        </w:p>
        <w:p w14:paraId="437A20DA" w14:textId="22DBA064" w:rsidR="00512591" w:rsidRPr="00280D10" w:rsidRDefault="00BB1FF6" w:rsidP="00280D10">
          <w:pPr>
            <w:pStyle w:val="Kazalovsebine2"/>
            <w:spacing w:line="360" w:lineRule="auto"/>
            <w:rPr>
              <w:rFonts w:asciiTheme="minorHAnsi" w:eastAsiaTheme="minorEastAsia" w:hAnsiTheme="minorHAnsi" w:cstheme="minorBidi"/>
              <w:noProof/>
              <w:szCs w:val="20"/>
            </w:rPr>
          </w:pPr>
          <w:hyperlink w:anchor="_Toc103257428" w:history="1">
            <w:r w:rsidR="00512591" w:rsidRPr="00280D10">
              <w:rPr>
                <w:rStyle w:val="Hiperpovezava"/>
                <w:rFonts w:cs="Arial"/>
                <w:noProof/>
                <w:szCs w:val="20"/>
                <w:lang w:val="en-GB"/>
              </w:rPr>
              <w:t>2.2 TRANSFER PRICING METHODS</w:t>
            </w:r>
            <w:r w:rsidR="00512591" w:rsidRPr="00280D10">
              <w:rPr>
                <w:noProof/>
                <w:webHidden/>
                <w:szCs w:val="20"/>
              </w:rPr>
              <w:tab/>
            </w:r>
            <w:r w:rsidR="00512591" w:rsidRPr="00280D10">
              <w:rPr>
                <w:noProof/>
                <w:webHidden/>
                <w:szCs w:val="20"/>
              </w:rPr>
              <w:fldChar w:fldCharType="begin"/>
            </w:r>
            <w:r w:rsidR="00512591" w:rsidRPr="00280D10">
              <w:rPr>
                <w:noProof/>
                <w:webHidden/>
                <w:szCs w:val="20"/>
              </w:rPr>
              <w:instrText xml:space="preserve"> PAGEREF _Toc103257428 \h </w:instrText>
            </w:r>
            <w:r w:rsidR="00512591" w:rsidRPr="00280D10">
              <w:rPr>
                <w:noProof/>
                <w:webHidden/>
                <w:szCs w:val="20"/>
              </w:rPr>
            </w:r>
            <w:r w:rsidR="00512591" w:rsidRPr="00280D10">
              <w:rPr>
                <w:noProof/>
                <w:webHidden/>
                <w:szCs w:val="20"/>
              </w:rPr>
              <w:fldChar w:fldCharType="separate"/>
            </w:r>
            <w:r w:rsidR="009961F5">
              <w:rPr>
                <w:noProof/>
                <w:webHidden/>
                <w:szCs w:val="20"/>
              </w:rPr>
              <w:t>12</w:t>
            </w:r>
            <w:r w:rsidR="00512591" w:rsidRPr="00280D10">
              <w:rPr>
                <w:noProof/>
                <w:webHidden/>
                <w:szCs w:val="20"/>
              </w:rPr>
              <w:fldChar w:fldCharType="end"/>
            </w:r>
          </w:hyperlink>
        </w:p>
        <w:p w14:paraId="3F4B31C6" w14:textId="7251B1E9" w:rsidR="00512591" w:rsidRPr="00280D10" w:rsidRDefault="00BB1FF6" w:rsidP="00280D10">
          <w:pPr>
            <w:pStyle w:val="Kazalovsebine3"/>
            <w:spacing w:line="360" w:lineRule="auto"/>
            <w:rPr>
              <w:rFonts w:asciiTheme="minorHAnsi" w:eastAsiaTheme="minorEastAsia" w:hAnsiTheme="minorHAnsi" w:cstheme="minorBidi"/>
              <w:noProof/>
              <w:szCs w:val="20"/>
            </w:rPr>
          </w:pPr>
          <w:hyperlink w:anchor="_Toc103257429" w:history="1">
            <w:r w:rsidR="00512591" w:rsidRPr="00280D10">
              <w:rPr>
                <w:rStyle w:val="Hiperpovezava"/>
                <w:rFonts w:cs="Arial"/>
                <w:noProof/>
                <w:szCs w:val="20"/>
                <w:lang w:val="en-GB"/>
              </w:rPr>
              <w:t>2.2.1 THE COMPARABLE UNCONTROLLED PRICE METHOD</w:t>
            </w:r>
            <w:r w:rsidR="00512591" w:rsidRPr="00280D10">
              <w:rPr>
                <w:noProof/>
                <w:webHidden/>
                <w:szCs w:val="20"/>
              </w:rPr>
              <w:tab/>
            </w:r>
            <w:r w:rsidR="00512591" w:rsidRPr="00280D10">
              <w:rPr>
                <w:noProof/>
                <w:webHidden/>
                <w:szCs w:val="20"/>
              </w:rPr>
              <w:fldChar w:fldCharType="begin"/>
            </w:r>
            <w:r w:rsidR="00512591" w:rsidRPr="00280D10">
              <w:rPr>
                <w:noProof/>
                <w:webHidden/>
                <w:szCs w:val="20"/>
              </w:rPr>
              <w:instrText xml:space="preserve"> PAGEREF _Toc103257429 \h </w:instrText>
            </w:r>
            <w:r w:rsidR="00512591" w:rsidRPr="00280D10">
              <w:rPr>
                <w:noProof/>
                <w:webHidden/>
                <w:szCs w:val="20"/>
              </w:rPr>
            </w:r>
            <w:r w:rsidR="00512591" w:rsidRPr="00280D10">
              <w:rPr>
                <w:noProof/>
                <w:webHidden/>
                <w:szCs w:val="20"/>
              </w:rPr>
              <w:fldChar w:fldCharType="separate"/>
            </w:r>
            <w:r w:rsidR="009961F5">
              <w:rPr>
                <w:noProof/>
                <w:webHidden/>
                <w:szCs w:val="20"/>
              </w:rPr>
              <w:t>12</w:t>
            </w:r>
            <w:r w:rsidR="00512591" w:rsidRPr="00280D10">
              <w:rPr>
                <w:noProof/>
                <w:webHidden/>
                <w:szCs w:val="20"/>
              </w:rPr>
              <w:fldChar w:fldCharType="end"/>
            </w:r>
          </w:hyperlink>
        </w:p>
        <w:p w14:paraId="42C145F5" w14:textId="35D2275F" w:rsidR="00512591" w:rsidRPr="00280D10" w:rsidRDefault="00BB1FF6" w:rsidP="00280D10">
          <w:pPr>
            <w:pStyle w:val="Kazalovsebine3"/>
            <w:spacing w:line="360" w:lineRule="auto"/>
            <w:rPr>
              <w:rFonts w:asciiTheme="minorHAnsi" w:eastAsiaTheme="minorEastAsia" w:hAnsiTheme="minorHAnsi" w:cstheme="minorBidi"/>
              <w:noProof/>
              <w:szCs w:val="20"/>
            </w:rPr>
          </w:pPr>
          <w:hyperlink w:anchor="_Toc103257430" w:history="1">
            <w:r w:rsidR="00512591" w:rsidRPr="00280D10">
              <w:rPr>
                <w:rStyle w:val="Hiperpovezava"/>
                <w:rFonts w:cs="Arial"/>
                <w:noProof/>
                <w:szCs w:val="20"/>
                <w:lang w:val="en-GB"/>
              </w:rPr>
              <w:t>2.2.2 THE RESALE PRICE METHOD</w:t>
            </w:r>
            <w:r w:rsidR="00512591" w:rsidRPr="00280D10">
              <w:rPr>
                <w:noProof/>
                <w:webHidden/>
                <w:szCs w:val="20"/>
              </w:rPr>
              <w:tab/>
            </w:r>
            <w:r w:rsidR="00512591" w:rsidRPr="00280D10">
              <w:rPr>
                <w:noProof/>
                <w:webHidden/>
                <w:szCs w:val="20"/>
              </w:rPr>
              <w:fldChar w:fldCharType="begin"/>
            </w:r>
            <w:r w:rsidR="00512591" w:rsidRPr="00280D10">
              <w:rPr>
                <w:noProof/>
                <w:webHidden/>
                <w:szCs w:val="20"/>
              </w:rPr>
              <w:instrText xml:space="preserve"> PAGEREF _Toc103257430 \h </w:instrText>
            </w:r>
            <w:r w:rsidR="00512591" w:rsidRPr="00280D10">
              <w:rPr>
                <w:noProof/>
                <w:webHidden/>
                <w:szCs w:val="20"/>
              </w:rPr>
            </w:r>
            <w:r w:rsidR="00512591" w:rsidRPr="00280D10">
              <w:rPr>
                <w:noProof/>
                <w:webHidden/>
                <w:szCs w:val="20"/>
              </w:rPr>
              <w:fldChar w:fldCharType="separate"/>
            </w:r>
            <w:r w:rsidR="009961F5">
              <w:rPr>
                <w:noProof/>
                <w:webHidden/>
                <w:szCs w:val="20"/>
              </w:rPr>
              <w:t>14</w:t>
            </w:r>
            <w:r w:rsidR="00512591" w:rsidRPr="00280D10">
              <w:rPr>
                <w:noProof/>
                <w:webHidden/>
                <w:szCs w:val="20"/>
              </w:rPr>
              <w:fldChar w:fldCharType="end"/>
            </w:r>
          </w:hyperlink>
        </w:p>
        <w:p w14:paraId="0BA5975B" w14:textId="4A5B96BF" w:rsidR="00512591" w:rsidRPr="00280D10" w:rsidRDefault="00BB1FF6" w:rsidP="00280D10">
          <w:pPr>
            <w:pStyle w:val="Kazalovsebine3"/>
            <w:spacing w:line="360" w:lineRule="auto"/>
            <w:rPr>
              <w:rFonts w:asciiTheme="minorHAnsi" w:eastAsiaTheme="minorEastAsia" w:hAnsiTheme="minorHAnsi" w:cstheme="minorBidi"/>
              <w:noProof/>
              <w:szCs w:val="20"/>
            </w:rPr>
          </w:pPr>
          <w:hyperlink w:anchor="_Toc103257431" w:history="1">
            <w:r w:rsidR="00512591" w:rsidRPr="00280D10">
              <w:rPr>
                <w:rStyle w:val="Hiperpovezava"/>
                <w:rFonts w:cs="Arial"/>
                <w:noProof/>
                <w:szCs w:val="20"/>
                <w:lang w:val="en-GB"/>
              </w:rPr>
              <w:t>2.2.3 THE COST PLUS METHOD</w:t>
            </w:r>
            <w:r w:rsidR="00512591" w:rsidRPr="00280D10">
              <w:rPr>
                <w:noProof/>
                <w:webHidden/>
                <w:szCs w:val="20"/>
              </w:rPr>
              <w:tab/>
            </w:r>
            <w:r w:rsidR="00512591" w:rsidRPr="00280D10">
              <w:rPr>
                <w:noProof/>
                <w:webHidden/>
                <w:szCs w:val="20"/>
              </w:rPr>
              <w:fldChar w:fldCharType="begin"/>
            </w:r>
            <w:r w:rsidR="00512591" w:rsidRPr="00280D10">
              <w:rPr>
                <w:noProof/>
                <w:webHidden/>
                <w:szCs w:val="20"/>
              </w:rPr>
              <w:instrText xml:space="preserve"> PAGEREF _Toc103257431 \h </w:instrText>
            </w:r>
            <w:r w:rsidR="00512591" w:rsidRPr="00280D10">
              <w:rPr>
                <w:noProof/>
                <w:webHidden/>
                <w:szCs w:val="20"/>
              </w:rPr>
            </w:r>
            <w:r w:rsidR="00512591" w:rsidRPr="00280D10">
              <w:rPr>
                <w:noProof/>
                <w:webHidden/>
                <w:szCs w:val="20"/>
              </w:rPr>
              <w:fldChar w:fldCharType="separate"/>
            </w:r>
            <w:r w:rsidR="009961F5">
              <w:rPr>
                <w:noProof/>
                <w:webHidden/>
                <w:szCs w:val="20"/>
              </w:rPr>
              <w:t>14</w:t>
            </w:r>
            <w:r w:rsidR="00512591" w:rsidRPr="00280D10">
              <w:rPr>
                <w:noProof/>
                <w:webHidden/>
                <w:szCs w:val="20"/>
              </w:rPr>
              <w:fldChar w:fldCharType="end"/>
            </w:r>
          </w:hyperlink>
        </w:p>
        <w:p w14:paraId="6AAC3F3E" w14:textId="2072895B" w:rsidR="00512591" w:rsidRPr="00280D10" w:rsidRDefault="00BB1FF6" w:rsidP="00280D10">
          <w:pPr>
            <w:pStyle w:val="Kazalovsebine3"/>
            <w:spacing w:line="360" w:lineRule="auto"/>
            <w:rPr>
              <w:rFonts w:asciiTheme="minorHAnsi" w:eastAsiaTheme="minorEastAsia" w:hAnsiTheme="minorHAnsi" w:cstheme="minorBidi"/>
              <w:noProof/>
              <w:szCs w:val="20"/>
            </w:rPr>
          </w:pPr>
          <w:hyperlink w:anchor="_Toc103257432" w:history="1">
            <w:r w:rsidR="00512591" w:rsidRPr="00280D10">
              <w:rPr>
                <w:rStyle w:val="Hiperpovezava"/>
                <w:rFonts w:cs="Arial"/>
                <w:noProof/>
                <w:szCs w:val="20"/>
                <w:lang w:val="en-GB"/>
              </w:rPr>
              <w:t>2.2.4 THE TRANSACTIONAL NET MARGIN METHOD</w:t>
            </w:r>
            <w:r w:rsidR="00512591" w:rsidRPr="00280D10">
              <w:rPr>
                <w:noProof/>
                <w:webHidden/>
                <w:szCs w:val="20"/>
              </w:rPr>
              <w:tab/>
            </w:r>
            <w:r w:rsidR="00512591" w:rsidRPr="00280D10">
              <w:rPr>
                <w:noProof/>
                <w:webHidden/>
                <w:szCs w:val="20"/>
              </w:rPr>
              <w:fldChar w:fldCharType="begin"/>
            </w:r>
            <w:r w:rsidR="00512591" w:rsidRPr="00280D10">
              <w:rPr>
                <w:noProof/>
                <w:webHidden/>
                <w:szCs w:val="20"/>
              </w:rPr>
              <w:instrText xml:space="preserve"> PAGEREF _Toc103257432 \h </w:instrText>
            </w:r>
            <w:r w:rsidR="00512591" w:rsidRPr="00280D10">
              <w:rPr>
                <w:noProof/>
                <w:webHidden/>
                <w:szCs w:val="20"/>
              </w:rPr>
            </w:r>
            <w:r w:rsidR="00512591" w:rsidRPr="00280D10">
              <w:rPr>
                <w:noProof/>
                <w:webHidden/>
                <w:szCs w:val="20"/>
              </w:rPr>
              <w:fldChar w:fldCharType="separate"/>
            </w:r>
            <w:r w:rsidR="009961F5">
              <w:rPr>
                <w:noProof/>
                <w:webHidden/>
                <w:szCs w:val="20"/>
              </w:rPr>
              <w:t>15</w:t>
            </w:r>
            <w:r w:rsidR="00512591" w:rsidRPr="00280D10">
              <w:rPr>
                <w:noProof/>
                <w:webHidden/>
                <w:szCs w:val="20"/>
              </w:rPr>
              <w:fldChar w:fldCharType="end"/>
            </w:r>
          </w:hyperlink>
        </w:p>
        <w:p w14:paraId="6D032EC6" w14:textId="36C57918" w:rsidR="00512591" w:rsidRPr="00280D10" w:rsidRDefault="00BB1FF6" w:rsidP="00280D10">
          <w:pPr>
            <w:pStyle w:val="Kazalovsebine3"/>
            <w:spacing w:line="360" w:lineRule="auto"/>
            <w:rPr>
              <w:rFonts w:asciiTheme="minorHAnsi" w:eastAsiaTheme="minorEastAsia" w:hAnsiTheme="minorHAnsi" w:cstheme="minorBidi"/>
              <w:noProof/>
              <w:szCs w:val="20"/>
            </w:rPr>
          </w:pPr>
          <w:hyperlink w:anchor="_Toc103257433" w:history="1">
            <w:r w:rsidR="00512591" w:rsidRPr="00280D10">
              <w:rPr>
                <w:rStyle w:val="Hiperpovezava"/>
                <w:rFonts w:cs="Arial"/>
                <w:noProof/>
                <w:szCs w:val="20"/>
                <w:lang w:val="en-GB"/>
              </w:rPr>
              <w:t>2.2.5 THE PROFIT SPLIT METHOD</w:t>
            </w:r>
            <w:r w:rsidR="00512591" w:rsidRPr="00280D10">
              <w:rPr>
                <w:noProof/>
                <w:webHidden/>
                <w:szCs w:val="20"/>
              </w:rPr>
              <w:tab/>
            </w:r>
            <w:r w:rsidR="00512591" w:rsidRPr="00280D10">
              <w:rPr>
                <w:noProof/>
                <w:webHidden/>
                <w:szCs w:val="20"/>
              </w:rPr>
              <w:fldChar w:fldCharType="begin"/>
            </w:r>
            <w:r w:rsidR="00512591" w:rsidRPr="00280D10">
              <w:rPr>
                <w:noProof/>
                <w:webHidden/>
                <w:szCs w:val="20"/>
              </w:rPr>
              <w:instrText xml:space="preserve"> PAGEREF _Toc103257433 \h </w:instrText>
            </w:r>
            <w:r w:rsidR="00512591" w:rsidRPr="00280D10">
              <w:rPr>
                <w:noProof/>
                <w:webHidden/>
                <w:szCs w:val="20"/>
              </w:rPr>
            </w:r>
            <w:r w:rsidR="00512591" w:rsidRPr="00280D10">
              <w:rPr>
                <w:noProof/>
                <w:webHidden/>
                <w:szCs w:val="20"/>
              </w:rPr>
              <w:fldChar w:fldCharType="separate"/>
            </w:r>
            <w:r w:rsidR="009961F5">
              <w:rPr>
                <w:noProof/>
                <w:webHidden/>
                <w:szCs w:val="20"/>
              </w:rPr>
              <w:t>17</w:t>
            </w:r>
            <w:r w:rsidR="00512591" w:rsidRPr="00280D10">
              <w:rPr>
                <w:noProof/>
                <w:webHidden/>
                <w:szCs w:val="20"/>
              </w:rPr>
              <w:fldChar w:fldCharType="end"/>
            </w:r>
          </w:hyperlink>
        </w:p>
        <w:p w14:paraId="2E26486F" w14:textId="0FBDC54E" w:rsidR="00512591" w:rsidRPr="00280D10" w:rsidRDefault="00BB1FF6" w:rsidP="00280D10">
          <w:pPr>
            <w:pStyle w:val="Kazalovsebine3"/>
            <w:spacing w:line="360" w:lineRule="auto"/>
            <w:rPr>
              <w:rFonts w:asciiTheme="minorHAnsi" w:eastAsiaTheme="minorEastAsia" w:hAnsiTheme="minorHAnsi" w:cstheme="minorBidi"/>
              <w:noProof/>
              <w:szCs w:val="20"/>
            </w:rPr>
          </w:pPr>
          <w:hyperlink w:anchor="_Toc103257434" w:history="1">
            <w:r w:rsidR="00512591" w:rsidRPr="00280D10">
              <w:rPr>
                <w:rStyle w:val="Hiperpovezava"/>
                <w:rFonts w:cs="Arial"/>
                <w:noProof/>
                <w:szCs w:val="20"/>
                <w:lang w:val="en-GB"/>
              </w:rPr>
              <w:t>2.2.6 CHOOSING THE MOST APPROPRIATE TRANSFER PRICING METHOD</w:t>
            </w:r>
            <w:r w:rsidR="00512591" w:rsidRPr="00280D10">
              <w:rPr>
                <w:noProof/>
                <w:webHidden/>
                <w:szCs w:val="20"/>
              </w:rPr>
              <w:tab/>
            </w:r>
            <w:r w:rsidR="00512591" w:rsidRPr="00280D10">
              <w:rPr>
                <w:noProof/>
                <w:webHidden/>
                <w:szCs w:val="20"/>
              </w:rPr>
              <w:fldChar w:fldCharType="begin"/>
            </w:r>
            <w:r w:rsidR="00512591" w:rsidRPr="00280D10">
              <w:rPr>
                <w:noProof/>
                <w:webHidden/>
                <w:szCs w:val="20"/>
              </w:rPr>
              <w:instrText xml:space="preserve"> PAGEREF _Toc103257434 \h </w:instrText>
            </w:r>
            <w:r w:rsidR="00512591" w:rsidRPr="00280D10">
              <w:rPr>
                <w:noProof/>
                <w:webHidden/>
                <w:szCs w:val="20"/>
              </w:rPr>
            </w:r>
            <w:r w:rsidR="00512591" w:rsidRPr="00280D10">
              <w:rPr>
                <w:noProof/>
                <w:webHidden/>
                <w:szCs w:val="20"/>
              </w:rPr>
              <w:fldChar w:fldCharType="separate"/>
            </w:r>
            <w:r w:rsidR="009961F5">
              <w:rPr>
                <w:noProof/>
                <w:webHidden/>
                <w:szCs w:val="20"/>
              </w:rPr>
              <w:t>19</w:t>
            </w:r>
            <w:r w:rsidR="00512591" w:rsidRPr="00280D10">
              <w:rPr>
                <w:noProof/>
                <w:webHidden/>
                <w:szCs w:val="20"/>
              </w:rPr>
              <w:fldChar w:fldCharType="end"/>
            </w:r>
          </w:hyperlink>
        </w:p>
        <w:p w14:paraId="0DB59063" w14:textId="5078DFF6" w:rsidR="00512591" w:rsidRPr="00280D10" w:rsidRDefault="00BB1FF6" w:rsidP="00280D10">
          <w:pPr>
            <w:pStyle w:val="Kazalovsebine2"/>
            <w:spacing w:line="360" w:lineRule="auto"/>
            <w:rPr>
              <w:rFonts w:asciiTheme="minorHAnsi" w:eastAsiaTheme="minorEastAsia" w:hAnsiTheme="minorHAnsi" w:cstheme="minorBidi"/>
              <w:noProof/>
              <w:szCs w:val="20"/>
            </w:rPr>
          </w:pPr>
          <w:hyperlink w:anchor="_Toc103257435" w:history="1">
            <w:r w:rsidR="00512591" w:rsidRPr="00280D10">
              <w:rPr>
                <w:rStyle w:val="Hiperpovezava"/>
                <w:rFonts w:cs="Arial"/>
                <w:noProof/>
                <w:szCs w:val="20"/>
                <w:lang w:val="en-GB"/>
              </w:rPr>
              <w:t>2.3 COMPARABILITY ANALYSIS AND THE USE OF DATABASES</w:t>
            </w:r>
            <w:r w:rsidR="00512591" w:rsidRPr="00280D10">
              <w:rPr>
                <w:noProof/>
                <w:webHidden/>
                <w:szCs w:val="20"/>
              </w:rPr>
              <w:tab/>
            </w:r>
            <w:r w:rsidR="00512591" w:rsidRPr="00280D10">
              <w:rPr>
                <w:noProof/>
                <w:webHidden/>
                <w:szCs w:val="20"/>
              </w:rPr>
              <w:fldChar w:fldCharType="begin"/>
            </w:r>
            <w:r w:rsidR="00512591" w:rsidRPr="00280D10">
              <w:rPr>
                <w:noProof/>
                <w:webHidden/>
                <w:szCs w:val="20"/>
              </w:rPr>
              <w:instrText xml:space="preserve"> PAGEREF _Toc103257435 \h </w:instrText>
            </w:r>
            <w:r w:rsidR="00512591" w:rsidRPr="00280D10">
              <w:rPr>
                <w:noProof/>
                <w:webHidden/>
                <w:szCs w:val="20"/>
              </w:rPr>
            </w:r>
            <w:r w:rsidR="00512591" w:rsidRPr="00280D10">
              <w:rPr>
                <w:noProof/>
                <w:webHidden/>
                <w:szCs w:val="20"/>
              </w:rPr>
              <w:fldChar w:fldCharType="separate"/>
            </w:r>
            <w:r w:rsidR="009961F5">
              <w:rPr>
                <w:noProof/>
                <w:webHidden/>
                <w:szCs w:val="20"/>
              </w:rPr>
              <w:t>21</w:t>
            </w:r>
            <w:r w:rsidR="00512591" w:rsidRPr="00280D10">
              <w:rPr>
                <w:noProof/>
                <w:webHidden/>
                <w:szCs w:val="20"/>
              </w:rPr>
              <w:fldChar w:fldCharType="end"/>
            </w:r>
          </w:hyperlink>
        </w:p>
        <w:p w14:paraId="0970D313" w14:textId="6CC86E3A" w:rsidR="00512591" w:rsidRPr="00280D10" w:rsidRDefault="00BB1FF6" w:rsidP="00280D10">
          <w:pPr>
            <w:pStyle w:val="Kazalovsebine3"/>
            <w:spacing w:line="360" w:lineRule="auto"/>
            <w:rPr>
              <w:rFonts w:asciiTheme="minorHAnsi" w:eastAsiaTheme="minorEastAsia" w:hAnsiTheme="minorHAnsi" w:cstheme="minorBidi"/>
              <w:noProof/>
              <w:szCs w:val="20"/>
            </w:rPr>
          </w:pPr>
          <w:hyperlink w:anchor="_Toc103257436" w:history="1">
            <w:r w:rsidR="00512591" w:rsidRPr="00280D10">
              <w:rPr>
                <w:rStyle w:val="Hiperpovezava"/>
                <w:rFonts w:cs="Arial"/>
                <w:noProof/>
                <w:szCs w:val="20"/>
                <w:lang w:val="en-GB"/>
              </w:rPr>
              <w:t>2.3.1 COMPARABILITY ANALYSIS</w:t>
            </w:r>
            <w:r w:rsidR="00512591" w:rsidRPr="00280D10">
              <w:rPr>
                <w:noProof/>
                <w:webHidden/>
                <w:szCs w:val="20"/>
              </w:rPr>
              <w:tab/>
            </w:r>
            <w:r w:rsidR="00512591" w:rsidRPr="00280D10">
              <w:rPr>
                <w:noProof/>
                <w:webHidden/>
                <w:szCs w:val="20"/>
              </w:rPr>
              <w:fldChar w:fldCharType="begin"/>
            </w:r>
            <w:r w:rsidR="00512591" w:rsidRPr="00280D10">
              <w:rPr>
                <w:noProof/>
                <w:webHidden/>
                <w:szCs w:val="20"/>
              </w:rPr>
              <w:instrText xml:space="preserve"> PAGEREF _Toc103257436 \h </w:instrText>
            </w:r>
            <w:r w:rsidR="00512591" w:rsidRPr="00280D10">
              <w:rPr>
                <w:noProof/>
                <w:webHidden/>
                <w:szCs w:val="20"/>
              </w:rPr>
            </w:r>
            <w:r w:rsidR="00512591" w:rsidRPr="00280D10">
              <w:rPr>
                <w:noProof/>
                <w:webHidden/>
                <w:szCs w:val="20"/>
              </w:rPr>
              <w:fldChar w:fldCharType="separate"/>
            </w:r>
            <w:r w:rsidR="009961F5">
              <w:rPr>
                <w:noProof/>
                <w:webHidden/>
                <w:szCs w:val="20"/>
              </w:rPr>
              <w:t>21</w:t>
            </w:r>
            <w:r w:rsidR="00512591" w:rsidRPr="00280D10">
              <w:rPr>
                <w:noProof/>
                <w:webHidden/>
                <w:szCs w:val="20"/>
              </w:rPr>
              <w:fldChar w:fldCharType="end"/>
            </w:r>
          </w:hyperlink>
        </w:p>
        <w:p w14:paraId="485E40B7" w14:textId="483A8354" w:rsidR="00512591" w:rsidRPr="00280D10" w:rsidRDefault="00BB1FF6" w:rsidP="00280D10">
          <w:pPr>
            <w:pStyle w:val="Kazalovsebine3"/>
            <w:spacing w:line="360" w:lineRule="auto"/>
            <w:rPr>
              <w:rFonts w:asciiTheme="minorHAnsi" w:eastAsiaTheme="minorEastAsia" w:hAnsiTheme="minorHAnsi" w:cstheme="minorBidi"/>
              <w:noProof/>
              <w:szCs w:val="20"/>
            </w:rPr>
          </w:pPr>
          <w:hyperlink w:anchor="_Toc103257437" w:history="1">
            <w:r w:rsidR="00512591" w:rsidRPr="00280D10">
              <w:rPr>
                <w:rStyle w:val="Hiperpovezava"/>
                <w:rFonts w:cs="Arial"/>
                <w:noProof/>
                <w:szCs w:val="20"/>
                <w:lang w:val="en-GB"/>
              </w:rPr>
              <w:t>2.3.2 DATABASES</w:t>
            </w:r>
            <w:r w:rsidR="00512591" w:rsidRPr="00280D10">
              <w:rPr>
                <w:noProof/>
                <w:webHidden/>
                <w:szCs w:val="20"/>
              </w:rPr>
              <w:tab/>
            </w:r>
            <w:r w:rsidR="00512591" w:rsidRPr="00280D10">
              <w:rPr>
                <w:noProof/>
                <w:webHidden/>
                <w:szCs w:val="20"/>
              </w:rPr>
              <w:fldChar w:fldCharType="begin"/>
            </w:r>
            <w:r w:rsidR="00512591" w:rsidRPr="00280D10">
              <w:rPr>
                <w:noProof/>
                <w:webHidden/>
                <w:szCs w:val="20"/>
              </w:rPr>
              <w:instrText xml:space="preserve"> PAGEREF _Toc103257437 \h </w:instrText>
            </w:r>
            <w:r w:rsidR="00512591" w:rsidRPr="00280D10">
              <w:rPr>
                <w:noProof/>
                <w:webHidden/>
                <w:szCs w:val="20"/>
              </w:rPr>
            </w:r>
            <w:r w:rsidR="00512591" w:rsidRPr="00280D10">
              <w:rPr>
                <w:noProof/>
                <w:webHidden/>
                <w:szCs w:val="20"/>
              </w:rPr>
              <w:fldChar w:fldCharType="separate"/>
            </w:r>
            <w:r w:rsidR="009961F5">
              <w:rPr>
                <w:noProof/>
                <w:webHidden/>
                <w:szCs w:val="20"/>
              </w:rPr>
              <w:t>23</w:t>
            </w:r>
            <w:r w:rsidR="00512591" w:rsidRPr="00280D10">
              <w:rPr>
                <w:noProof/>
                <w:webHidden/>
                <w:szCs w:val="20"/>
              </w:rPr>
              <w:fldChar w:fldCharType="end"/>
            </w:r>
          </w:hyperlink>
        </w:p>
        <w:p w14:paraId="62E58AE3" w14:textId="7E31CA6C" w:rsidR="00512591" w:rsidRPr="00280D10" w:rsidRDefault="00BB1FF6" w:rsidP="00280D10">
          <w:pPr>
            <w:pStyle w:val="Kazalovsebine2"/>
            <w:spacing w:line="360" w:lineRule="auto"/>
            <w:rPr>
              <w:rFonts w:asciiTheme="minorHAnsi" w:eastAsiaTheme="minorEastAsia" w:hAnsiTheme="minorHAnsi" w:cstheme="minorBidi"/>
              <w:noProof/>
              <w:szCs w:val="20"/>
            </w:rPr>
          </w:pPr>
          <w:hyperlink w:anchor="_Toc103257438" w:history="1">
            <w:r w:rsidR="00512591" w:rsidRPr="00280D10">
              <w:rPr>
                <w:rStyle w:val="Hiperpovezava"/>
                <w:rFonts w:cs="Arial"/>
                <w:noProof/>
                <w:szCs w:val="20"/>
                <w:lang w:val="en-GB"/>
              </w:rPr>
              <w:t>2.4. SPECIAL FEATURES OF INTANGIBLE ASSETS</w:t>
            </w:r>
            <w:r w:rsidR="00512591" w:rsidRPr="00280D10">
              <w:rPr>
                <w:noProof/>
                <w:webHidden/>
                <w:szCs w:val="20"/>
              </w:rPr>
              <w:tab/>
            </w:r>
            <w:r w:rsidR="00512591" w:rsidRPr="00280D10">
              <w:rPr>
                <w:noProof/>
                <w:webHidden/>
                <w:szCs w:val="20"/>
              </w:rPr>
              <w:fldChar w:fldCharType="begin"/>
            </w:r>
            <w:r w:rsidR="00512591" w:rsidRPr="00280D10">
              <w:rPr>
                <w:noProof/>
                <w:webHidden/>
                <w:szCs w:val="20"/>
              </w:rPr>
              <w:instrText xml:space="preserve"> PAGEREF _Toc103257438 \h </w:instrText>
            </w:r>
            <w:r w:rsidR="00512591" w:rsidRPr="00280D10">
              <w:rPr>
                <w:noProof/>
                <w:webHidden/>
                <w:szCs w:val="20"/>
              </w:rPr>
            </w:r>
            <w:r w:rsidR="00512591" w:rsidRPr="00280D10">
              <w:rPr>
                <w:noProof/>
                <w:webHidden/>
                <w:szCs w:val="20"/>
              </w:rPr>
              <w:fldChar w:fldCharType="separate"/>
            </w:r>
            <w:r w:rsidR="009961F5">
              <w:rPr>
                <w:noProof/>
                <w:webHidden/>
                <w:szCs w:val="20"/>
              </w:rPr>
              <w:t>24</w:t>
            </w:r>
            <w:r w:rsidR="00512591" w:rsidRPr="00280D10">
              <w:rPr>
                <w:noProof/>
                <w:webHidden/>
                <w:szCs w:val="20"/>
              </w:rPr>
              <w:fldChar w:fldCharType="end"/>
            </w:r>
          </w:hyperlink>
        </w:p>
        <w:p w14:paraId="1B0E2193" w14:textId="3B25E8F7" w:rsidR="00512591" w:rsidRPr="00280D10" w:rsidRDefault="00BB1FF6" w:rsidP="00280D10">
          <w:pPr>
            <w:pStyle w:val="Kazalovsebine3"/>
            <w:spacing w:line="360" w:lineRule="auto"/>
            <w:rPr>
              <w:rFonts w:asciiTheme="minorHAnsi" w:eastAsiaTheme="minorEastAsia" w:hAnsiTheme="minorHAnsi" w:cstheme="minorBidi"/>
              <w:noProof/>
              <w:szCs w:val="20"/>
            </w:rPr>
          </w:pPr>
          <w:hyperlink w:anchor="_Toc103257439" w:history="1">
            <w:r w:rsidR="00512591" w:rsidRPr="00280D10">
              <w:rPr>
                <w:rStyle w:val="Hiperpovezava"/>
                <w:rFonts w:cs="Arial"/>
                <w:noProof/>
                <w:szCs w:val="20"/>
                <w:lang w:val="en-GB"/>
              </w:rPr>
              <w:t>2.4.1. HARD-TO-VALUE INTANGIBLE ASSETS</w:t>
            </w:r>
            <w:r w:rsidR="00512591" w:rsidRPr="00280D10">
              <w:rPr>
                <w:noProof/>
                <w:webHidden/>
                <w:szCs w:val="20"/>
              </w:rPr>
              <w:tab/>
            </w:r>
            <w:r w:rsidR="00512591" w:rsidRPr="00280D10">
              <w:rPr>
                <w:noProof/>
                <w:webHidden/>
                <w:szCs w:val="20"/>
              </w:rPr>
              <w:fldChar w:fldCharType="begin"/>
            </w:r>
            <w:r w:rsidR="00512591" w:rsidRPr="00280D10">
              <w:rPr>
                <w:noProof/>
                <w:webHidden/>
                <w:szCs w:val="20"/>
              </w:rPr>
              <w:instrText xml:space="preserve"> PAGEREF _Toc103257439 \h </w:instrText>
            </w:r>
            <w:r w:rsidR="00512591" w:rsidRPr="00280D10">
              <w:rPr>
                <w:noProof/>
                <w:webHidden/>
                <w:szCs w:val="20"/>
              </w:rPr>
            </w:r>
            <w:r w:rsidR="00512591" w:rsidRPr="00280D10">
              <w:rPr>
                <w:noProof/>
                <w:webHidden/>
                <w:szCs w:val="20"/>
              </w:rPr>
              <w:fldChar w:fldCharType="separate"/>
            </w:r>
            <w:r w:rsidR="009961F5">
              <w:rPr>
                <w:noProof/>
                <w:webHidden/>
                <w:szCs w:val="20"/>
              </w:rPr>
              <w:t>27</w:t>
            </w:r>
            <w:r w:rsidR="00512591" w:rsidRPr="00280D10">
              <w:rPr>
                <w:noProof/>
                <w:webHidden/>
                <w:szCs w:val="20"/>
              </w:rPr>
              <w:fldChar w:fldCharType="end"/>
            </w:r>
          </w:hyperlink>
        </w:p>
        <w:p w14:paraId="082AC897" w14:textId="47213A99" w:rsidR="00512591" w:rsidRPr="00280D10" w:rsidRDefault="00BB1FF6" w:rsidP="00280D10">
          <w:pPr>
            <w:pStyle w:val="Kazalovsebine2"/>
            <w:spacing w:line="360" w:lineRule="auto"/>
            <w:rPr>
              <w:rFonts w:asciiTheme="minorHAnsi" w:eastAsiaTheme="minorEastAsia" w:hAnsiTheme="minorHAnsi" w:cstheme="minorBidi"/>
              <w:noProof/>
              <w:szCs w:val="20"/>
            </w:rPr>
          </w:pPr>
          <w:hyperlink w:anchor="_Toc103257440" w:history="1">
            <w:r w:rsidR="00512591" w:rsidRPr="00280D10">
              <w:rPr>
                <w:rStyle w:val="Hiperpovezava"/>
                <w:rFonts w:cs="Arial"/>
                <w:noProof/>
                <w:szCs w:val="20"/>
                <w:lang w:val="en-GB"/>
              </w:rPr>
              <w:t>2.5. SPECIAL FEATURES OF SERVICES</w:t>
            </w:r>
            <w:r w:rsidR="00512591" w:rsidRPr="00280D10">
              <w:rPr>
                <w:noProof/>
                <w:webHidden/>
                <w:szCs w:val="20"/>
              </w:rPr>
              <w:tab/>
            </w:r>
            <w:r w:rsidR="00512591" w:rsidRPr="00280D10">
              <w:rPr>
                <w:noProof/>
                <w:webHidden/>
                <w:szCs w:val="20"/>
              </w:rPr>
              <w:fldChar w:fldCharType="begin"/>
            </w:r>
            <w:r w:rsidR="00512591" w:rsidRPr="00280D10">
              <w:rPr>
                <w:noProof/>
                <w:webHidden/>
                <w:szCs w:val="20"/>
              </w:rPr>
              <w:instrText xml:space="preserve"> PAGEREF _Toc103257440 \h </w:instrText>
            </w:r>
            <w:r w:rsidR="00512591" w:rsidRPr="00280D10">
              <w:rPr>
                <w:noProof/>
                <w:webHidden/>
                <w:szCs w:val="20"/>
              </w:rPr>
            </w:r>
            <w:r w:rsidR="00512591" w:rsidRPr="00280D10">
              <w:rPr>
                <w:noProof/>
                <w:webHidden/>
                <w:szCs w:val="20"/>
              </w:rPr>
              <w:fldChar w:fldCharType="separate"/>
            </w:r>
            <w:r w:rsidR="009961F5">
              <w:rPr>
                <w:noProof/>
                <w:webHidden/>
                <w:szCs w:val="20"/>
              </w:rPr>
              <w:t>27</w:t>
            </w:r>
            <w:r w:rsidR="00512591" w:rsidRPr="00280D10">
              <w:rPr>
                <w:noProof/>
                <w:webHidden/>
                <w:szCs w:val="20"/>
              </w:rPr>
              <w:fldChar w:fldCharType="end"/>
            </w:r>
          </w:hyperlink>
        </w:p>
        <w:p w14:paraId="6C5E0791" w14:textId="021D9E19" w:rsidR="00512591" w:rsidRPr="00280D10" w:rsidRDefault="00BB1FF6" w:rsidP="00280D10">
          <w:pPr>
            <w:pStyle w:val="Kazalovsebine3"/>
            <w:spacing w:line="360" w:lineRule="auto"/>
            <w:rPr>
              <w:noProof/>
              <w:szCs w:val="20"/>
            </w:rPr>
          </w:pPr>
          <w:hyperlink w:anchor="_Toc103257441" w:history="1">
            <w:r w:rsidR="00512591" w:rsidRPr="00280D10">
              <w:rPr>
                <w:rStyle w:val="Hiperpovezava"/>
                <w:rFonts w:cs="Arial"/>
                <w:noProof/>
                <w:szCs w:val="20"/>
                <w:lang w:val="en-GB"/>
              </w:rPr>
              <w:t>2.5.1 LOW VALUE-ADDED SERVICES</w:t>
            </w:r>
            <w:r w:rsidR="00512591" w:rsidRPr="00280D10">
              <w:rPr>
                <w:noProof/>
                <w:webHidden/>
                <w:szCs w:val="20"/>
              </w:rPr>
              <w:tab/>
            </w:r>
            <w:r w:rsidR="00512591" w:rsidRPr="00280D10">
              <w:rPr>
                <w:noProof/>
                <w:webHidden/>
                <w:szCs w:val="20"/>
              </w:rPr>
              <w:fldChar w:fldCharType="begin"/>
            </w:r>
            <w:r w:rsidR="00512591" w:rsidRPr="00280D10">
              <w:rPr>
                <w:noProof/>
                <w:webHidden/>
                <w:szCs w:val="20"/>
              </w:rPr>
              <w:instrText xml:space="preserve"> PAGEREF _Toc103257441 \h </w:instrText>
            </w:r>
            <w:r w:rsidR="00512591" w:rsidRPr="00280D10">
              <w:rPr>
                <w:noProof/>
                <w:webHidden/>
                <w:szCs w:val="20"/>
              </w:rPr>
            </w:r>
            <w:r w:rsidR="00512591" w:rsidRPr="00280D10">
              <w:rPr>
                <w:noProof/>
                <w:webHidden/>
                <w:szCs w:val="20"/>
              </w:rPr>
              <w:fldChar w:fldCharType="separate"/>
            </w:r>
            <w:r w:rsidR="009961F5">
              <w:rPr>
                <w:noProof/>
                <w:webHidden/>
                <w:szCs w:val="20"/>
              </w:rPr>
              <w:t>29</w:t>
            </w:r>
            <w:r w:rsidR="00512591" w:rsidRPr="00280D10">
              <w:rPr>
                <w:noProof/>
                <w:webHidden/>
                <w:szCs w:val="20"/>
              </w:rPr>
              <w:fldChar w:fldCharType="end"/>
            </w:r>
          </w:hyperlink>
        </w:p>
        <w:p w14:paraId="11CA2AF2" w14:textId="77777777" w:rsidR="00280D10" w:rsidRPr="00280D10" w:rsidRDefault="00280D10" w:rsidP="00280D10">
          <w:pPr>
            <w:spacing w:line="360" w:lineRule="auto"/>
            <w:rPr>
              <w:noProof/>
              <w:sz w:val="20"/>
              <w:szCs w:val="20"/>
              <w:lang w:eastAsia="sl-SI"/>
            </w:rPr>
          </w:pPr>
        </w:p>
        <w:p w14:paraId="6E554726" w14:textId="21843F36" w:rsidR="00512591" w:rsidRPr="00280D10" w:rsidRDefault="00BB1FF6" w:rsidP="00280D10">
          <w:pPr>
            <w:pStyle w:val="Kazalovsebine1"/>
            <w:spacing w:line="360" w:lineRule="auto"/>
            <w:rPr>
              <w:rFonts w:asciiTheme="minorHAnsi" w:eastAsiaTheme="minorEastAsia" w:hAnsiTheme="minorHAnsi" w:cstheme="minorBidi"/>
              <w:b w:val="0"/>
              <w:bCs w:val="0"/>
              <w:noProof/>
              <w:szCs w:val="20"/>
              <w:lang w:eastAsia="sl-SI"/>
            </w:rPr>
          </w:pPr>
          <w:hyperlink w:anchor="_Toc103257442" w:history="1">
            <w:r w:rsidR="00512591" w:rsidRPr="00280D10">
              <w:rPr>
                <w:rStyle w:val="Hiperpovezava"/>
                <w:noProof/>
                <w:szCs w:val="20"/>
                <w:lang w:val="en-GB"/>
              </w:rPr>
              <w:t>3. PROCEDURES FOR ELIMINATING DOUBLE TAXATION</w:t>
            </w:r>
            <w:r w:rsidR="00512591" w:rsidRPr="00280D10">
              <w:rPr>
                <w:noProof/>
                <w:webHidden/>
                <w:szCs w:val="20"/>
              </w:rPr>
              <w:tab/>
            </w:r>
            <w:r w:rsidR="00512591" w:rsidRPr="00280D10">
              <w:rPr>
                <w:noProof/>
                <w:webHidden/>
                <w:szCs w:val="20"/>
              </w:rPr>
              <w:fldChar w:fldCharType="begin"/>
            </w:r>
            <w:r w:rsidR="00512591" w:rsidRPr="00280D10">
              <w:rPr>
                <w:noProof/>
                <w:webHidden/>
                <w:szCs w:val="20"/>
              </w:rPr>
              <w:instrText xml:space="preserve"> PAGEREF _Toc103257442 \h </w:instrText>
            </w:r>
            <w:r w:rsidR="00512591" w:rsidRPr="00280D10">
              <w:rPr>
                <w:noProof/>
                <w:webHidden/>
                <w:szCs w:val="20"/>
              </w:rPr>
            </w:r>
            <w:r w:rsidR="00512591" w:rsidRPr="00280D10">
              <w:rPr>
                <w:noProof/>
                <w:webHidden/>
                <w:szCs w:val="20"/>
              </w:rPr>
              <w:fldChar w:fldCharType="separate"/>
            </w:r>
            <w:r w:rsidR="009961F5">
              <w:rPr>
                <w:noProof/>
                <w:webHidden/>
                <w:szCs w:val="20"/>
              </w:rPr>
              <w:t>30</w:t>
            </w:r>
            <w:r w:rsidR="00512591" w:rsidRPr="00280D10">
              <w:rPr>
                <w:noProof/>
                <w:webHidden/>
                <w:szCs w:val="20"/>
              </w:rPr>
              <w:fldChar w:fldCharType="end"/>
            </w:r>
          </w:hyperlink>
        </w:p>
        <w:p w14:paraId="58977836" w14:textId="43D02439" w:rsidR="00512591" w:rsidRPr="00280D10" w:rsidRDefault="00BB1FF6" w:rsidP="00280D10">
          <w:pPr>
            <w:pStyle w:val="Kazalovsebine2"/>
            <w:spacing w:line="360" w:lineRule="auto"/>
            <w:rPr>
              <w:rFonts w:asciiTheme="minorHAnsi" w:eastAsiaTheme="minorEastAsia" w:hAnsiTheme="minorHAnsi" w:cstheme="minorBidi"/>
              <w:noProof/>
              <w:szCs w:val="20"/>
            </w:rPr>
          </w:pPr>
          <w:hyperlink w:anchor="_Toc103257443" w:history="1">
            <w:r w:rsidR="00512591" w:rsidRPr="00280D10">
              <w:rPr>
                <w:rStyle w:val="Hiperpovezava"/>
                <w:noProof/>
                <w:szCs w:val="20"/>
                <w:lang w:val="en-GB"/>
              </w:rPr>
              <w:t>3.1 THE MUTUAL AGREEMENT PROCEDURE FOR ELIMINATING DOUBLE TAXATION (MAP)</w:t>
            </w:r>
            <w:r w:rsidR="00512591" w:rsidRPr="00280D10">
              <w:rPr>
                <w:noProof/>
                <w:webHidden/>
                <w:szCs w:val="20"/>
              </w:rPr>
              <w:tab/>
            </w:r>
            <w:r w:rsidR="00512591" w:rsidRPr="00280D10">
              <w:rPr>
                <w:noProof/>
                <w:webHidden/>
                <w:szCs w:val="20"/>
              </w:rPr>
              <w:fldChar w:fldCharType="begin"/>
            </w:r>
            <w:r w:rsidR="00512591" w:rsidRPr="00280D10">
              <w:rPr>
                <w:noProof/>
                <w:webHidden/>
                <w:szCs w:val="20"/>
              </w:rPr>
              <w:instrText xml:space="preserve"> PAGEREF _Toc103257443 \h </w:instrText>
            </w:r>
            <w:r w:rsidR="00512591" w:rsidRPr="00280D10">
              <w:rPr>
                <w:noProof/>
                <w:webHidden/>
                <w:szCs w:val="20"/>
              </w:rPr>
            </w:r>
            <w:r w:rsidR="00512591" w:rsidRPr="00280D10">
              <w:rPr>
                <w:noProof/>
                <w:webHidden/>
                <w:szCs w:val="20"/>
              </w:rPr>
              <w:fldChar w:fldCharType="separate"/>
            </w:r>
            <w:r w:rsidR="009961F5">
              <w:rPr>
                <w:noProof/>
                <w:webHidden/>
                <w:szCs w:val="20"/>
              </w:rPr>
              <w:t>30</w:t>
            </w:r>
            <w:r w:rsidR="00512591" w:rsidRPr="00280D10">
              <w:rPr>
                <w:noProof/>
                <w:webHidden/>
                <w:szCs w:val="20"/>
              </w:rPr>
              <w:fldChar w:fldCharType="end"/>
            </w:r>
          </w:hyperlink>
        </w:p>
        <w:p w14:paraId="45EB8FC0" w14:textId="795BFC24" w:rsidR="00512591" w:rsidRPr="00280D10" w:rsidRDefault="00BB1FF6" w:rsidP="00280D10">
          <w:pPr>
            <w:pStyle w:val="Kazalovsebine2"/>
            <w:spacing w:line="360" w:lineRule="auto"/>
            <w:rPr>
              <w:rFonts w:asciiTheme="minorHAnsi" w:eastAsiaTheme="minorEastAsia" w:hAnsiTheme="minorHAnsi" w:cstheme="minorBidi"/>
              <w:noProof/>
              <w:szCs w:val="20"/>
            </w:rPr>
          </w:pPr>
          <w:hyperlink w:anchor="_Toc103257444" w:history="1">
            <w:r w:rsidR="00512591" w:rsidRPr="00280D10">
              <w:rPr>
                <w:rStyle w:val="Hiperpovezava"/>
                <w:noProof/>
                <w:szCs w:val="20"/>
                <w:lang w:val="en-GB"/>
              </w:rPr>
              <w:t>3.2 ADVANCE PRICING ARRANGEMENTS (APA)</w:t>
            </w:r>
            <w:r w:rsidR="00512591" w:rsidRPr="00280D10">
              <w:rPr>
                <w:noProof/>
                <w:webHidden/>
                <w:szCs w:val="20"/>
              </w:rPr>
              <w:tab/>
            </w:r>
            <w:r w:rsidR="00512591" w:rsidRPr="00280D10">
              <w:rPr>
                <w:noProof/>
                <w:webHidden/>
                <w:szCs w:val="20"/>
              </w:rPr>
              <w:fldChar w:fldCharType="begin"/>
            </w:r>
            <w:r w:rsidR="00512591" w:rsidRPr="00280D10">
              <w:rPr>
                <w:noProof/>
                <w:webHidden/>
                <w:szCs w:val="20"/>
              </w:rPr>
              <w:instrText xml:space="preserve"> PAGEREF _Toc103257444 \h </w:instrText>
            </w:r>
            <w:r w:rsidR="00512591" w:rsidRPr="00280D10">
              <w:rPr>
                <w:noProof/>
                <w:webHidden/>
                <w:szCs w:val="20"/>
              </w:rPr>
            </w:r>
            <w:r w:rsidR="00512591" w:rsidRPr="00280D10">
              <w:rPr>
                <w:noProof/>
                <w:webHidden/>
                <w:szCs w:val="20"/>
              </w:rPr>
              <w:fldChar w:fldCharType="separate"/>
            </w:r>
            <w:r w:rsidR="009961F5">
              <w:rPr>
                <w:noProof/>
                <w:webHidden/>
                <w:szCs w:val="20"/>
              </w:rPr>
              <w:t>31</w:t>
            </w:r>
            <w:r w:rsidR="00512591" w:rsidRPr="00280D10">
              <w:rPr>
                <w:noProof/>
                <w:webHidden/>
                <w:szCs w:val="20"/>
              </w:rPr>
              <w:fldChar w:fldCharType="end"/>
            </w:r>
          </w:hyperlink>
        </w:p>
        <w:p w14:paraId="78F6944F" w14:textId="77777777" w:rsidR="00C6054C" w:rsidRPr="00280D10" w:rsidRDefault="00C6054C" w:rsidP="000E5730">
          <w:pPr>
            <w:spacing w:line="360" w:lineRule="auto"/>
            <w:ind w:left="426" w:hanging="425"/>
            <w:rPr>
              <w:rFonts w:ascii="Arial" w:hAnsi="Arial" w:cs="Arial"/>
              <w:sz w:val="20"/>
              <w:szCs w:val="20"/>
            </w:rPr>
          </w:pPr>
          <w:r w:rsidRPr="00280D10">
            <w:rPr>
              <w:rFonts w:ascii="Arial" w:hAnsi="Arial" w:cs="Arial"/>
              <w:b/>
              <w:bCs/>
              <w:sz w:val="20"/>
              <w:szCs w:val="20"/>
            </w:rPr>
            <w:fldChar w:fldCharType="end"/>
          </w:r>
        </w:p>
      </w:sdtContent>
    </w:sdt>
    <w:p w14:paraId="26A4998E" w14:textId="77777777" w:rsidR="00B67A80" w:rsidRPr="00280D10" w:rsidRDefault="00B67A80" w:rsidP="000E5730">
      <w:pPr>
        <w:spacing w:line="360" w:lineRule="auto"/>
        <w:jc w:val="both"/>
        <w:rPr>
          <w:rFonts w:ascii="Arial" w:eastAsia="Times New Roman" w:hAnsi="Arial" w:cs="Arial"/>
          <w:b/>
          <w:bCs/>
          <w:sz w:val="20"/>
          <w:szCs w:val="20"/>
        </w:rPr>
      </w:pPr>
    </w:p>
    <w:p w14:paraId="13A3A3FF" w14:textId="77777777" w:rsidR="00666077" w:rsidRPr="00831279" w:rsidRDefault="00666077" w:rsidP="000E5730">
      <w:pPr>
        <w:tabs>
          <w:tab w:val="right" w:leader="dot" w:pos="8498"/>
        </w:tabs>
        <w:spacing w:line="360" w:lineRule="auto"/>
        <w:ind w:left="284"/>
        <w:rPr>
          <w:rFonts w:ascii="Arial" w:eastAsia="Times New Roman" w:hAnsi="Arial" w:cs="Arial"/>
          <w:sz w:val="20"/>
          <w:szCs w:val="24"/>
        </w:rPr>
      </w:pPr>
    </w:p>
    <w:p w14:paraId="07D72516" w14:textId="77777777" w:rsidR="007B681B" w:rsidRPr="00AD51AA" w:rsidRDefault="007B681B" w:rsidP="000E5730">
      <w:pPr>
        <w:spacing w:line="360" w:lineRule="auto"/>
        <w:jc w:val="both"/>
        <w:rPr>
          <w:rFonts w:ascii="Arial" w:eastAsia="Times New Roman" w:hAnsi="Arial" w:cs="Arial"/>
          <w:sz w:val="20"/>
          <w:szCs w:val="24"/>
        </w:rPr>
      </w:pPr>
    </w:p>
    <w:p w14:paraId="63B6805A" w14:textId="77777777" w:rsidR="007B681B" w:rsidRPr="00F27413" w:rsidRDefault="007B681B" w:rsidP="000E5730">
      <w:pPr>
        <w:spacing w:line="360" w:lineRule="auto"/>
        <w:jc w:val="both"/>
        <w:rPr>
          <w:rFonts w:ascii="Arial" w:eastAsia="Times New Roman" w:hAnsi="Arial" w:cs="Arial"/>
          <w:sz w:val="20"/>
          <w:szCs w:val="24"/>
        </w:rPr>
      </w:pPr>
    </w:p>
    <w:p w14:paraId="6B66E1D9" w14:textId="77777777" w:rsidR="007B681B" w:rsidRPr="00C91A50" w:rsidRDefault="007B681B" w:rsidP="000E5730">
      <w:pPr>
        <w:spacing w:line="360" w:lineRule="auto"/>
        <w:jc w:val="both"/>
        <w:rPr>
          <w:rFonts w:ascii="Arial" w:eastAsia="Times New Roman" w:hAnsi="Arial" w:cs="Arial"/>
          <w:sz w:val="20"/>
          <w:szCs w:val="24"/>
        </w:rPr>
      </w:pPr>
    </w:p>
    <w:p w14:paraId="64F323E9" w14:textId="77777777" w:rsidR="007B681B" w:rsidRPr="00AA2C04" w:rsidRDefault="007B681B" w:rsidP="000E5730">
      <w:pPr>
        <w:spacing w:line="360" w:lineRule="auto"/>
        <w:jc w:val="both"/>
        <w:rPr>
          <w:rFonts w:ascii="Arial" w:eastAsia="Times New Roman" w:hAnsi="Arial" w:cs="Arial"/>
          <w:sz w:val="20"/>
          <w:szCs w:val="24"/>
        </w:rPr>
      </w:pPr>
    </w:p>
    <w:p w14:paraId="5EB59901" w14:textId="77777777" w:rsidR="007B681B" w:rsidRPr="00AA2C04" w:rsidRDefault="007B681B" w:rsidP="000E5730">
      <w:pPr>
        <w:spacing w:line="360" w:lineRule="auto"/>
        <w:jc w:val="both"/>
        <w:rPr>
          <w:rFonts w:ascii="Arial" w:eastAsia="Times New Roman" w:hAnsi="Arial" w:cs="Arial"/>
          <w:sz w:val="20"/>
          <w:szCs w:val="24"/>
        </w:rPr>
      </w:pPr>
    </w:p>
    <w:p w14:paraId="77BBA2C3" w14:textId="77777777" w:rsidR="007B681B" w:rsidRPr="00AA2C04" w:rsidRDefault="007B681B" w:rsidP="000E5730">
      <w:pPr>
        <w:spacing w:line="360" w:lineRule="auto"/>
        <w:jc w:val="both"/>
        <w:rPr>
          <w:rFonts w:ascii="Arial" w:eastAsia="Times New Roman" w:hAnsi="Arial" w:cs="Arial"/>
          <w:sz w:val="20"/>
          <w:szCs w:val="24"/>
        </w:rPr>
      </w:pPr>
    </w:p>
    <w:p w14:paraId="74600627" w14:textId="77777777" w:rsidR="007B681B" w:rsidRPr="00AA2C04" w:rsidRDefault="007B681B" w:rsidP="000E5730">
      <w:pPr>
        <w:spacing w:line="360" w:lineRule="auto"/>
        <w:jc w:val="both"/>
        <w:rPr>
          <w:rFonts w:ascii="Arial" w:eastAsia="Times New Roman" w:hAnsi="Arial" w:cs="Arial"/>
          <w:sz w:val="20"/>
          <w:szCs w:val="24"/>
        </w:rPr>
      </w:pPr>
    </w:p>
    <w:p w14:paraId="22D8F4FD" w14:textId="77777777" w:rsidR="007B681B" w:rsidRDefault="007B681B" w:rsidP="000E5730">
      <w:pPr>
        <w:spacing w:line="360" w:lineRule="auto"/>
        <w:jc w:val="both"/>
        <w:rPr>
          <w:rFonts w:ascii="Arial" w:eastAsia="Times New Roman" w:hAnsi="Arial" w:cs="Arial"/>
          <w:sz w:val="20"/>
          <w:szCs w:val="24"/>
        </w:rPr>
      </w:pPr>
    </w:p>
    <w:p w14:paraId="5188F0E0" w14:textId="77777777" w:rsidR="00666077" w:rsidRPr="00AA2C04" w:rsidRDefault="00666077" w:rsidP="00756903">
      <w:pPr>
        <w:pStyle w:val="Naslov1"/>
        <w:ind w:left="0" w:firstLine="0"/>
      </w:pPr>
      <w:bookmarkStart w:id="0" w:name="_Toc103257422"/>
      <w:bookmarkStart w:id="1" w:name="_Toc435774134"/>
      <w:bookmarkStart w:id="2" w:name="_Toc406651356"/>
      <w:bookmarkStart w:id="3" w:name="_Toc406573941"/>
      <w:r>
        <w:rPr>
          <w:bCs/>
          <w:lang w:val="en-GB"/>
        </w:rPr>
        <w:t>1. TRANSFER PRICES</w:t>
      </w:r>
      <w:bookmarkEnd w:id="0"/>
      <w:r>
        <w:rPr>
          <w:bCs/>
          <w:lang w:val="en-GB"/>
        </w:rPr>
        <w:t xml:space="preserve"> </w:t>
      </w:r>
    </w:p>
    <w:p w14:paraId="0D8D91C7" w14:textId="77777777" w:rsidR="00546123" w:rsidRPr="00AA2C04" w:rsidRDefault="00546123" w:rsidP="00756903">
      <w:pPr>
        <w:pStyle w:val="Brezrazmikov"/>
        <w:spacing w:line="240" w:lineRule="atLeast"/>
      </w:pPr>
    </w:p>
    <w:p w14:paraId="0B1E2EF3" w14:textId="77777777" w:rsidR="00666077" w:rsidRPr="00C761FB" w:rsidRDefault="00666077" w:rsidP="00756903">
      <w:pPr>
        <w:pStyle w:val="Naslov2"/>
        <w:spacing w:before="0" w:after="0" w:line="240" w:lineRule="atLeast"/>
        <w:rPr>
          <w:rFonts w:cs="Arial"/>
          <w:b w:val="0"/>
          <w:bCs w:val="0"/>
          <w:iCs w:val="0"/>
        </w:rPr>
      </w:pPr>
      <w:bookmarkStart w:id="4" w:name="_Toc103257423"/>
      <w:r>
        <w:rPr>
          <w:rFonts w:cs="Arial"/>
          <w:iCs w:val="0"/>
          <w:lang w:val="en-GB"/>
        </w:rPr>
        <w:t>1.1 TRANSFER PRICE DEFINITION</w:t>
      </w:r>
      <w:bookmarkEnd w:id="4"/>
    </w:p>
    <w:p w14:paraId="1FFBE7D6" w14:textId="77777777" w:rsidR="00756903" w:rsidRDefault="00756903" w:rsidP="00756903">
      <w:pPr>
        <w:jc w:val="both"/>
        <w:rPr>
          <w:rFonts w:ascii="Arial" w:eastAsia="Calibri" w:hAnsi="Arial" w:cs="Arial"/>
          <w:sz w:val="20"/>
          <w:szCs w:val="20"/>
        </w:rPr>
      </w:pPr>
    </w:p>
    <w:p w14:paraId="1DF9C221" w14:textId="77777777" w:rsidR="00666077" w:rsidRPr="00904D3B" w:rsidRDefault="00666077" w:rsidP="000E5730">
      <w:pPr>
        <w:spacing w:line="260" w:lineRule="atLeast"/>
        <w:jc w:val="both"/>
        <w:rPr>
          <w:rFonts w:ascii="Arial" w:eastAsia="Calibri" w:hAnsi="Arial" w:cs="Arial"/>
          <w:sz w:val="20"/>
          <w:szCs w:val="20"/>
        </w:rPr>
      </w:pPr>
      <w:r>
        <w:rPr>
          <w:rFonts w:ascii="Arial" w:eastAsia="Calibri" w:hAnsi="Arial" w:cs="Arial"/>
          <w:sz w:val="20"/>
          <w:szCs w:val="20"/>
          <w:lang w:val="en-GB"/>
        </w:rPr>
        <w:t>Transfer prices are prices charged in transactions between associated enterprises operating within multinational enterprise groups, which are currently the most important players in the globalised economy; therefore, transfer prices are one of the major international tax issues today. Furthermore, this is confirmed by a number of measures taken by the Organisation for Economic Co-operation and Development (hereinafter: the OECD) and EU Directives governing this area with a view to preventing the transfer of profits from the countries where such profits are generated. Multinational enterprises have the potential to do so by abusing transfer pricing; therefore, all conditions in transactions between associated enterprises concerning goods, financial services, intangible assets, services, etc., must be such that taxes are paid in the countries where profits are actually made.</w:t>
      </w:r>
    </w:p>
    <w:p w14:paraId="1199271C" w14:textId="77777777" w:rsidR="00666077" w:rsidRPr="00904D3B" w:rsidRDefault="00666077" w:rsidP="000E5730">
      <w:pPr>
        <w:spacing w:line="260" w:lineRule="atLeast"/>
        <w:jc w:val="both"/>
        <w:rPr>
          <w:rFonts w:ascii="Arial" w:eastAsia="Calibri" w:hAnsi="Arial" w:cs="Arial"/>
          <w:sz w:val="20"/>
          <w:szCs w:val="20"/>
        </w:rPr>
      </w:pPr>
    </w:p>
    <w:p w14:paraId="3B7E1CB6" w14:textId="77777777" w:rsidR="001935E7" w:rsidRDefault="00666077" w:rsidP="000E5730">
      <w:pPr>
        <w:spacing w:line="260" w:lineRule="atLeast"/>
        <w:jc w:val="both"/>
        <w:rPr>
          <w:rFonts w:ascii="Arial" w:eastAsia="Calibri" w:hAnsi="Arial" w:cs="Arial"/>
          <w:sz w:val="20"/>
          <w:szCs w:val="20"/>
        </w:rPr>
      </w:pPr>
      <w:r>
        <w:rPr>
          <w:rFonts w:ascii="Arial" w:eastAsia="Calibri" w:hAnsi="Arial" w:cs="Arial"/>
          <w:sz w:val="20"/>
          <w:szCs w:val="20"/>
          <w:lang w:val="en-GB"/>
        </w:rPr>
        <w:t xml:space="preserve">The basic standard to be taken into account in transfer pricing is the arm’s length principle, which is set out in Article 9 of the OECD Model Convention for the Avoidance of Double Taxation (hereinafter: CADT) and serves as the basis for Slovenia entering into international treaties with the countries that are its major trading partners (the full list of international treaties is available at </w:t>
      </w:r>
    </w:p>
    <w:p w14:paraId="70204D27" w14:textId="77777777" w:rsidR="00936EA8" w:rsidRPr="00904D3B" w:rsidRDefault="00BB1FF6" w:rsidP="000E5730">
      <w:pPr>
        <w:spacing w:line="260" w:lineRule="atLeast"/>
        <w:jc w:val="both"/>
        <w:rPr>
          <w:rFonts w:ascii="Arial" w:eastAsia="Calibri" w:hAnsi="Arial" w:cs="Arial"/>
          <w:sz w:val="20"/>
          <w:szCs w:val="20"/>
        </w:rPr>
      </w:pPr>
      <w:hyperlink r:id="rId11" w:history="1">
        <w:r w:rsidR="00616D90" w:rsidRPr="00A74126">
          <w:rPr>
            <w:rStyle w:val="Hiperpovezava"/>
            <w:rFonts w:ascii="Arial" w:eastAsia="Calibri" w:hAnsi="Arial" w:cs="Arial"/>
            <w:sz w:val="20"/>
            <w:szCs w:val="20"/>
          </w:rPr>
          <w:t>https://www.fu.gov.si/davki_in_druge_dajatve/podrocja/mednarodno_obdavcenje/</w:t>
        </w:r>
      </w:hyperlink>
      <w:r w:rsidR="00616D90" w:rsidRPr="00A74126">
        <w:t>).</w:t>
      </w:r>
    </w:p>
    <w:p w14:paraId="223CC59C" w14:textId="77777777" w:rsidR="00666077" w:rsidRPr="00904D3B" w:rsidRDefault="00666077" w:rsidP="000E5730">
      <w:pPr>
        <w:spacing w:line="260" w:lineRule="atLeast"/>
        <w:jc w:val="both"/>
        <w:rPr>
          <w:rFonts w:ascii="Arial" w:eastAsia="Calibri" w:hAnsi="Arial" w:cs="Arial"/>
          <w:sz w:val="20"/>
          <w:szCs w:val="20"/>
        </w:rPr>
      </w:pPr>
    </w:p>
    <w:p w14:paraId="1075AFA4" w14:textId="77777777" w:rsidR="00666077" w:rsidRDefault="00666077" w:rsidP="000E5730">
      <w:pPr>
        <w:spacing w:line="260" w:lineRule="atLeast"/>
        <w:jc w:val="both"/>
        <w:rPr>
          <w:rFonts w:ascii="Arial" w:eastAsia="Calibri" w:hAnsi="Arial" w:cs="Arial"/>
          <w:sz w:val="20"/>
          <w:szCs w:val="20"/>
        </w:rPr>
      </w:pPr>
      <w:r>
        <w:rPr>
          <w:rFonts w:ascii="Arial" w:eastAsia="Calibri" w:hAnsi="Arial" w:cs="Arial"/>
          <w:sz w:val="20"/>
          <w:szCs w:val="20"/>
          <w:lang w:val="en-GB"/>
        </w:rPr>
        <w:t xml:space="preserve">According to the arm's length principle, prices between associated enterprises must be such that, under the same conditions, the prices between non-associated enterprises are as determined by the market. The principle reads as follows: </w:t>
      </w:r>
    </w:p>
    <w:p w14:paraId="0DDFE260" w14:textId="77777777" w:rsidR="00666077" w:rsidRPr="00904D3B" w:rsidRDefault="00666077" w:rsidP="000E5730">
      <w:pPr>
        <w:spacing w:line="260" w:lineRule="atLeast"/>
        <w:jc w:val="both"/>
        <w:rPr>
          <w:rFonts w:ascii="Arial" w:eastAsia="Calibri" w:hAnsi="Arial" w:cs="Arial"/>
          <w:i/>
          <w:sz w:val="20"/>
          <w:szCs w:val="20"/>
        </w:rPr>
      </w:pPr>
      <w:r>
        <w:rPr>
          <w:rFonts w:ascii="Arial" w:eastAsia="Calibri" w:hAnsi="Arial" w:cs="Arial"/>
          <w:i/>
          <w:iCs/>
          <w:sz w:val="20"/>
          <w:szCs w:val="20"/>
          <w:lang w:val="en-GB"/>
        </w:rPr>
        <w:t xml:space="preserve">“Where and in either case conditions are made or imposed between the two enterprises in their commercial or financial relations which differ from those which would be made between independent enterprises, then any profits which would, but for those conditions, have accrued to one of the enterprises, but, by reason of those conditions, have not so accrued, may be included in the profits of that enterprise and taxed accordingly.” </w:t>
      </w:r>
    </w:p>
    <w:p w14:paraId="60FC2E67" w14:textId="77777777" w:rsidR="00666077" w:rsidRPr="00904D3B" w:rsidRDefault="00666077" w:rsidP="000E5730">
      <w:pPr>
        <w:spacing w:line="260" w:lineRule="atLeast"/>
        <w:jc w:val="both"/>
        <w:rPr>
          <w:rFonts w:ascii="Arial" w:eastAsia="Times New Roman" w:hAnsi="Arial" w:cs="Arial"/>
          <w:sz w:val="20"/>
          <w:szCs w:val="24"/>
        </w:rPr>
      </w:pPr>
    </w:p>
    <w:p w14:paraId="458D01BB" w14:textId="73A1FF7E" w:rsidR="00666077" w:rsidRPr="00227C1D" w:rsidRDefault="00666077" w:rsidP="000E5730">
      <w:pPr>
        <w:spacing w:line="260" w:lineRule="atLeast"/>
        <w:jc w:val="both"/>
        <w:rPr>
          <w:rFonts w:ascii="Arial" w:eastAsia="Times New Roman" w:hAnsi="Arial" w:cs="Arial"/>
          <w:sz w:val="20"/>
          <w:szCs w:val="24"/>
        </w:rPr>
      </w:pPr>
      <w:r>
        <w:rPr>
          <w:rFonts w:ascii="Arial" w:eastAsia="Times New Roman" w:hAnsi="Arial" w:cs="Arial"/>
          <w:sz w:val="20"/>
          <w:szCs w:val="24"/>
          <w:lang w:val="en-GB"/>
        </w:rPr>
        <w:t xml:space="preserve">The use of the arm’s length principle is defined in </w:t>
      </w:r>
      <w:proofErr w:type="gramStart"/>
      <w:r>
        <w:rPr>
          <w:rFonts w:ascii="Arial" w:eastAsia="Times New Roman" w:hAnsi="Arial" w:cs="Arial"/>
          <w:sz w:val="20"/>
          <w:szCs w:val="24"/>
          <w:lang w:val="en-GB"/>
        </w:rPr>
        <w:t>great detail</w:t>
      </w:r>
      <w:proofErr w:type="gramEnd"/>
      <w:r>
        <w:rPr>
          <w:rFonts w:ascii="Arial" w:eastAsia="Times New Roman" w:hAnsi="Arial" w:cs="Arial"/>
          <w:sz w:val="20"/>
          <w:szCs w:val="24"/>
          <w:lang w:val="en-GB"/>
        </w:rPr>
        <w:t xml:space="preserve"> in the OECD Transfer Pricing Guidelines for Multinational Enterprises and Tax Administrations (hereinafter: OECD guidelines)</w:t>
      </w:r>
      <w:r>
        <w:rPr>
          <w:rFonts w:ascii="Arial" w:eastAsia="Times New Roman" w:hAnsi="Arial" w:cs="Arial"/>
          <w:szCs w:val="24"/>
          <w:vertAlign w:val="superscript"/>
          <w:lang w:val="en-GB"/>
        </w:rPr>
        <w:footnoteReference w:id="1"/>
      </w:r>
      <w:r>
        <w:rPr>
          <w:rFonts w:ascii="Arial" w:eastAsia="Times New Roman" w:hAnsi="Arial" w:cs="Arial"/>
          <w:sz w:val="20"/>
          <w:szCs w:val="24"/>
          <w:lang w:val="en-GB"/>
        </w:rPr>
        <w:t xml:space="preserve">. The OECD Guidelines were partially amended in July 2017 and February 2020 </w:t>
      </w:r>
      <w:proofErr w:type="gramStart"/>
      <w:r>
        <w:rPr>
          <w:rFonts w:ascii="Arial" w:eastAsia="Times New Roman" w:hAnsi="Arial" w:cs="Arial"/>
          <w:sz w:val="20"/>
          <w:szCs w:val="24"/>
          <w:lang w:val="en-GB"/>
        </w:rPr>
        <w:t>as a result of</w:t>
      </w:r>
      <w:proofErr w:type="gramEnd"/>
      <w:r>
        <w:rPr>
          <w:rFonts w:ascii="Arial" w:eastAsia="Times New Roman" w:hAnsi="Arial" w:cs="Arial"/>
          <w:sz w:val="20"/>
          <w:szCs w:val="24"/>
          <w:lang w:val="en-GB"/>
        </w:rPr>
        <w:t xml:space="preserve"> OECD measures to prevent tax base erosion and profit transfer, known as BEPS (Base Erosion and Profit Shifting) measures </w:t>
      </w:r>
      <w:r w:rsidR="00C83F1E">
        <w:rPr>
          <w:rFonts w:ascii="Arial" w:eastAsia="Times New Roman" w:hAnsi="Arial" w:cs="Arial"/>
          <w:sz w:val="20"/>
          <w:szCs w:val="24"/>
          <w:lang w:val="en-GB"/>
        </w:rPr>
        <w:t>(</w:t>
      </w:r>
      <w:r>
        <w:rPr>
          <w:rFonts w:ascii="Arial" w:eastAsia="Times New Roman" w:hAnsi="Arial" w:cs="Arial"/>
          <w:sz w:val="20"/>
          <w:szCs w:val="24"/>
          <w:lang w:val="en-GB"/>
        </w:rPr>
        <w:t>hereinafter: BEPS).</w:t>
      </w:r>
    </w:p>
    <w:p w14:paraId="4D883461" w14:textId="77777777" w:rsidR="00666077" w:rsidRPr="00904D3B" w:rsidRDefault="00666077" w:rsidP="000E5730">
      <w:pPr>
        <w:spacing w:line="260" w:lineRule="atLeast"/>
        <w:jc w:val="both"/>
        <w:rPr>
          <w:rFonts w:ascii="Arial" w:eastAsia="Times New Roman" w:hAnsi="Arial" w:cs="Arial"/>
          <w:sz w:val="20"/>
          <w:szCs w:val="24"/>
        </w:rPr>
      </w:pPr>
    </w:p>
    <w:p w14:paraId="7D4E5815" w14:textId="0BD8CD16" w:rsidR="00666077" w:rsidRDefault="00CC21F6" w:rsidP="000E5730">
      <w:pPr>
        <w:spacing w:line="260" w:lineRule="atLeast"/>
        <w:jc w:val="both"/>
        <w:rPr>
          <w:rFonts w:ascii="Arial" w:eastAsia="Times New Roman" w:hAnsi="Arial" w:cs="Arial"/>
          <w:sz w:val="20"/>
          <w:szCs w:val="24"/>
        </w:rPr>
      </w:pPr>
      <w:r>
        <w:rPr>
          <w:rFonts w:ascii="Arial" w:eastAsia="Times New Roman" w:hAnsi="Arial" w:cs="Arial"/>
          <w:sz w:val="20"/>
          <w:szCs w:val="24"/>
          <w:lang w:val="en-GB"/>
        </w:rPr>
        <w:t>The Financial Administration of the Republic of Slovenia (hereinafter: FURS) pays special attention to the area of transfer pricing by regularly monitoring taxable persons who deal with</w:t>
      </w:r>
      <w:r w:rsidR="00D53E63">
        <w:rPr>
          <w:rFonts w:ascii="Arial" w:eastAsia="Times New Roman" w:hAnsi="Arial" w:cs="Arial"/>
          <w:sz w:val="20"/>
          <w:szCs w:val="24"/>
          <w:lang w:val="en-GB"/>
        </w:rPr>
        <w:t xml:space="preserve"> non-resident </w:t>
      </w:r>
      <w:r w:rsidR="003E0B4B">
        <w:rPr>
          <w:rFonts w:ascii="Arial" w:eastAsia="Times New Roman" w:hAnsi="Arial" w:cs="Arial"/>
          <w:sz w:val="20"/>
          <w:szCs w:val="24"/>
          <w:lang w:val="en-GB"/>
        </w:rPr>
        <w:t>associated</w:t>
      </w:r>
      <w:r>
        <w:rPr>
          <w:rFonts w:ascii="Arial" w:eastAsia="Times New Roman" w:hAnsi="Arial" w:cs="Arial"/>
          <w:sz w:val="20"/>
          <w:szCs w:val="24"/>
          <w:lang w:val="en-GB"/>
        </w:rPr>
        <w:t xml:space="preserve"> parties. It also monitors the activity of foreign companies in the territory of the Republic of Slovenia with a view to determining whether such activity is carried out by a permanent establishment, as in such case the Republic of Slovenia has the right to tax non-residents’ profits. For more information about the tax</w:t>
      </w:r>
      <w:r w:rsidR="00E65834">
        <w:rPr>
          <w:rFonts w:ascii="Arial" w:eastAsia="Times New Roman" w:hAnsi="Arial" w:cs="Arial"/>
          <w:sz w:val="20"/>
          <w:szCs w:val="24"/>
          <w:lang w:val="en-GB"/>
        </w:rPr>
        <w:t xml:space="preserve"> audit</w:t>
      </w:r>
      <w:r>
        <w:rPr>
          <w:rFonts w:ascii="Arial" w:eastAsia="Times New Roman" w:hAnsi="Arial" w:cs="Arial"/>
          <w:sz w:val="20"/>
          <w:szCs w:val="24"/>
          <w:lang w:val="en-GB"/>
        </w:rPr>
        <w:t xml:space="preserve"> of transfer pricing, see: </w:t>
      </w:r>
      <w:hyperlink r:id="rId12" w:history="1">
        <w:proofErr w:type="spellStart"/>
        <w:r>
          <w:rPr>
            <w:rStyle w:val="Hiperpovezava"/>
            <w:rFonts w:ascii="Arial" w:eastAsia="Times New Roman" w:hAnsi="Arial" w:cs="Arial"/>
            <w:sz w:val="20"/>
            <w:szCs w:val="24"/>
            <w:lang w:val="en-GB"/>
          </w:rPr>
          <w:t>Davčni</w:t>
        </w:r>
        <w:proofErr w:type="spellEnd"/>
        <w:r>
          <w:rPr>
            <w:rStyle w:val="Hiperpovezava"/>
            <w:rFonts w:ascii="Arial" w:eastAsia="Times New Roman" w:hAnsi="Arial" w:cs="Arial"/>
            <w:sz w:val="20"/>
            <w:szCs w:val="24"/>
            <w:lang w:val="en-GB"/>
          </w:rPr>
          <w:t xml:space="preserve"> </w:t>
        </w:r>
        <w:proofErr w:type="spellStart"/>
        <w:r>
          <w:rPr>
            <w:rStyle w:val="Hiperpovezava"/>
            <w:rFonts w:ascii="Arial" w:eastAsia="Times New Roman" w:hAnsi="Arial" w:cs="Arial"/>
            <w:sz w:val="20"/>
            <w:szCs w:val="24"/>
            <w:lang w:val="en-GB"/>
          </w:rPr>
          <w:t>inšpekcijski</w:t>
        </w:r>
        <w:proofErr w:type="spellEnd"/>
        <w:r>
          <w:rPr>
            <w:rStyle w:val="Hiperpovezava"/>
            <w:rFonts w:ascii="Arial" w:eastAsia="Times New Roman" w:hAnsi="Arial" w:cs="Arial"/>
            <w:sz w:val="20"/>
            <w:szCs w:val="24"/>
            <w:lang w:val="en-GB"/>
          </w:rPr>
          <w:t xml:space="preserve"> </w:t>
        </w:r>
        <w:proofErr w:type="spellStart"/>
        <w:r>
          <w:rPr>
            <w:rStyle w:val="Hiperpovezava"/>
            <w:rFonts w:ascii="Arial" w:eastAsia="Times New Roman" w:hAnsi="Arial" w:cs="Arial"/>
            <w:sz w:val="20"/>
            <w:szCs w:val="24"/>
            <w:lang w:val="en-GB"/>
          </w:rPr>
          <w:t>nadzor</w:t>
        </w:r>
        <w:proofErr w:type="spellEnd"/>
        <w:r>
          <w:rPr>
            <w:rStyle w:val="Hiperpovezava"/>
            <w:rFonts w:ascii="Arial" w:eastAsia="Times New Roman" w:hAnsi="Arial" w:cs="Arial"/>
            <w:sz w:val="20"/>
            <w:szCs w:val="24"/>
            <w:lang w:val="en-GB"/>
          </w:rPr>
          <w:t xml:space="preserve"> </w:t>
        </w:r>
        <w:proofErr w:type="spellStart"/>
        <w:r>
          <w:rPr>
            <w:rStyle w:val="Hiperpovezava"/>
            <w:rFonts w:ascii="Arial" w:eastAsia="Times New Roman" w:hAnsi="Arial" w:cs="Arial"/>
            <w:sz w:val="20"/>
            <w:szCs w:val="24"/>
            <w:lang w:val="en-GB"/>
          </w:rPr>
          <w:t>transfernih</w:t>
        </w:r>
        <w:proofErr w:type="spellEnd"/>
        <w:r>
          <w:rPr>
            <w:rStyle w:val="Hiperpovezava"/>
            <w:rFonts w:ascii="Arial" w:eastAsia="Times New Roman" w:hAnsi="Arial" w:cs="Arial"/>
            <w:sz w:val="20"/>
            <w:szCs w:val="24"/>
            <w:lang w:val="en-GB"/>
          </w:rPr>
          <w:t xml:space="preserve"> </w:t>
        </w:r>
        <w:proofErr w:type="spellStart"/>
        <w:r>
          <w:rPr>
            <w:rStyle w:val="Hiperpovezava"/>
            <w:rFonts w:ascii="Arial" w:eastAsia="Times New Roman" w:hAnsi="Arial" w:cs="Arial"/>
            <w:sz w:val="20"/>
            <w:szCs w:val="24"/>
            <w:lang w:val="en-GB"/>
          </w:rPr>
          <w:t>cen</w:t>
        </w:r>
        <w:proofErr w:type="spellEnd"/>
        <w:r>
          <w:rPr>
            <w:rStyle w:val="Hiperpovezava"/>
            <w:rFonts w:ascii="Arial" w:eastAsia="Times New Roman" w:hAnsi="Arial" w:cs="Arial"/>
            <w:sz w:val="20"/>
            <w:szCs w:val="24"/>
            <w:lang w:val="en-GB"/>
          </w:rPr>
          <w:t xml:space="preserve"> (Transfer pricing inspection procedure)</w:t>
        </w:r>
      </w:hyperlink>
      <w:r>
        <w:rPr>
          <w:rFonts w:ascii="Arial" w:eastAsia="Times New Roman" w:hAnsi="Arial" w:cs="Arial"/>
          <w:sz w:val="20"/>
          <w:szCs w:val="24"/>
          <w:lang w:val="en-GB"/>
        </w:rPr>
        <w:t xml:space="preserve">. </w:t>
      </w:r>
    </w:p>
    <w:p w14:paraId="41961E95" w14:textId="77777777" w:rsidR="000E5730" w:rsidRDefault="000E5730" w:rsidP="000E5730">
      <w:pPr>
        <w:spacing w:line="260" w:lineRule="atLeast"/>
        <w:jc w:val="both"/>
        <w:rPr>
          <w:rFonts w:ascii="Arial" w:eastAsia="Times New Roman" w:hAnsi="Arial" w:cs="Arial"/>
          <w:sz w:val="20"/>
          <w:szCs w:val="24"/>
          <w:vertAlign w:val="superscript"/>
        </w:rPr>
      </w:pPr>
    </w:p>
    <w:p w14:paraId="372004D5" w14:textId="77777777" w:rsidR="00FA4D15" w:rsidRDefault="00FA4D15" w:rsidP="000E5730">
      <w:pPr>
        <w:spacing w:line="260" w:lineRule="atLeast"/>
        <w:jc w:val="both"/>
        <w:rPr>
          <w:rFonts w:ascii="Arial" w:eastAsia="Times New Roman" w:hAnsi="Arial" w:cs="Arial"/>
          <w:sz w:val="20"/>
          <w:szCs w:val="24"/>
          <w:vertAlign w:val="superscript"/>
        </w:rPr>
      </w:pPr>
    </w:p>
    <w:p w14:paraId="62663CE3" w14:textId="4D09D263" w:rsidR="004A7D62" w:rsidRDefault="004A7D62" w:rsidP="000E5730">
      <w:pPr>
        <w:spacing w:line="260" w:lineRule="atLeast"/>
        <w:jc w:val="both"/>
        <w:rPr>
          <w:rFonts w:ascii="Arial" w:eastAsia="Times New Roman" w:hAnsi="Arial" w:cs="Arial"/>
          <w:sz w:val="20"/>
          <w:szCs w:val="24"/>
          <w:vertAlign w:val="superscript"/>
        </w:rPr>
      </w:pPr>
    </w:p>
    <w:p w14:paraId="0CD908F1" w14:textId="77777777" w:rsidR="00520D91" w:rsidRDefault="00520D91" w:rsidP="000E5730">
      <w:pPr>
        <w:spacing w:line="260" w:lineRule="atLeast"/>
        <w:jc w:val="both"/>
        <w:rPr>
          <w:rFonts w:ascii="Arial" w:eastAsia="Times New Roman" w:hAnsi="Arial" w:cs="Arial"/>
          <w:sz w:val="20"/>
          <w:szCs w:val="24"/>
          <w:vertAlign w:val="superscript"/>
        </w:rPr>
      </w:pPr>
    </w:p>
    <w:p w14:paraId="073AC4AF" w14:textId="77777777" w:rsidR="004A7D62" w:rsidRDefault="004A7D62" w:rsidP="000E5730">
      <w:pPr>
        <w:spacing w:line="260" w:lineRule="atLeast"/>
        <w:jc w:val="both"/>
        <w:rPr>
          <w:rFonts w:ascii="Arial" w:eastAsia="Times New Roman" w:hAnsi="Arial" w:cs="Arial"/>
          <w:sz w:val="20"/>
          <w:szCs w:val="24"/>
          <w:vertAlign w:val="superscript"/>
        </w:rPr>
      </w:pPr>
    </w:p>
    <w:p w14:paraId="7498167B" w14:textId="77777777" w:rsidR="004A7D62" w:rsidRPr="00FA4D15" w:rsidRDefault="004A7D62" w:rsidP="000E5730">
      <w:pPr>
        <w:spacing w:line="260" w:lineRule="atLeast"/>
        <w:jc w:val="both"/>
        <w:rPr>
          <w:rFonts w:ascii="Arial" w:eastAsia="Times New Roman" w:hAnsi="Arial" w:cs="Arial"/>
          <w:sz w:val="20"/>
          <w:szCs w:val="24"/>
          <w:vertAlign w:val="superscript"/>
        </w:rPr>
      </w:pPr>
    </w:p>
    <w:p w14:paraId="09A373A2" w14:textId="77777777" w:rsidR="00666077" w:rsidRPr="00C761FB" w:rsidRDefault="00666077" w:rsidP="00756903">
      <w:pPr>
        <w:pStyle w:val="Naslov2"/>
        <w:spacing w:before="0" w:after="0" w:line="240" w:lineRule="atLeast"/>
        <w:rPr>
          <w:rFonts w:cs="Arial"/>
        </w:rPr>
      </w:pPr>
      <w:bookmarkStart w:id="5" w:name="_Toc103257424"/>
      <w:r>
        <w:rPr>
          <w:rFonts w:cs="Arial"/>
          <w:iCs w:val="0"/>
          <w:lang w:val="en-GB"/>
        </w:rPr>
        <w:t>1.2 SLOVENIAN TRANSFER PRICING LEGISLATION</w:t>
      </w:r>
      <w:bookmarkEnd w:id="5"/>
    </w:p>
    <w:p w14:paraId="5E97C692" w14:textId="77777777" w:rsidR="00062CEF" w:rsidRPr="00904D3B" w:rsidRDefault="00062CEF" w:rsidP="00756903">
      <w:pPr>
        <w:jc w:val="both"/>
        <w:rPr>
          <w:rFonts w:ascii="Arial" w:eastAsia="Times New Roman" w:hAnsi="Arial" w:cs="Arial"/>
          <w:sz w:val="20"/>
          <w:szCs w:val="24"/>
        </w:rPr>
      </w:pPr>
    </w:p>
    <w:p w14:paraId="7FA9BC22" w14:textId="1F46462C" w:rsidR="00666077" w:rsidRPr="00F27413" w:rsidRDefault="00666077" w:rsidP="000E5730">
      <w:pPr>
        <w:spacing w:line="260" w:lineRule="atLeast"/>
        <w:jc w:val="both"/>
        <w:rPr>
          <w:rFonts w:ascii="Arial" w:eastAsia="Times New Roman" w:hAnsi="Arial" w:cs="Arial"/>
          <w:sz w:val="20"/>
          <w:szCs w:val="20"/>
        </w:rPr>
      </w:pPr>
      <w:r>
        <w:rPr>
          <w:rFonts w:ascii="Arial" w:eastAsia="Times New Roman" w:hAnsi="Arial" w:cs="Arial"/>
          <w:sz w:val="20"/>
          <w:szCs w:val="20"/>
          <w:lang w:val="en-GB"/>
        </w:rPr>
        <w:t xml:space="preserve">The arm’s length principle is implemented in Slovenian legislation through </w:t>
      </w:r>
      <w:r>
        <w:rPr>
          <w:rFonts w:ascii="Arial" w:eastAsia="Times New Roman" w:hAnsi="Arial" w:cs="Arial"/>
          <w:b/>
          <w:bCs/>
          <w:sz w:val="20"/>
          <w:szCs w:val="20"/>
          <w:lang w:val="en-GB"/>
        </w:rPr>
        <w:t>Article 16 of the Corporate Income Tax Act</w:t>
      </w:r>
      <w:r>
        <w:rPr>
          <w:rFonts w:ascii="Arial" w:eastAsia="Times New Roman" w:hAnsi="Arial" w:cs="Arial"/>
          <w:sz w:val="20"/>
          <w:szCs w:val="20"/>
          <w:lang w:val="en-GB"/>
        </w:rPr>
        <w:t xml:space="preserve"> (hereinafter: ZDDPO-2</w:t>
      </w:r>
      <w:r>
        <w:rPr>
          <w:rFonts w:ascii="Arial" w:eastAsia="Times New Roman" w:hAnsi="Arial" w:cs="Arial"/>
          <w:sz w:val="20"/>
          <w:szCs w:val="20"/>
          <w:vertAlign w:val="superscript"/>
          <w:lang w:val="en-GB"/>
        </w:rPr>
        <w:footnoteReference w:id="2"/>
      </w:r>
      <w:r>
        <w:rPr>
          <w:rFonts w:ascii="Arial" w:eastAsia="Times New Roman" w:hAnsi="Arial" w:cs="Arial"/>
          <w:sz w:val="20"/>
          <w:szCs w:val="20"/>
          <w:lang w:val="en-GB"/>
        </w:rPr>
        <w:t xml:space="preserve">), which provides that a resident or non-resident taxable person and a foreign legal entity or foreign person without legal personality who is not a taxable person (hereinafter: </w:t>
      </w:r>
      <w:r w:rsidR="00854956">
        <w:rPr>
          <w:rFonts w:ascii="Arial" w:eastAsia="Times New Roman" w:hAnsi="Arial" w:cs="Arial"/>
          <w:sz w:val="20"/>
          <w:szCs w:val="20"/>
          <w:lang w:val="en-GB"/>
        </w:rPr>
        <w:t>foreign person</w:t>
      </w:r>
      <w:r>
        <w:rPr>
          <w:rFonts w:ascii="Arial" w:eastAsia="Times New Roman" w:hAnsi="Arial" w:cs="Arial"/>
          <w:sz w:val="20"/>
          <w:szCs w:val="20"/>
          <w:lang w:val="en-GB"/>
        </w:rPr>
        <w:t xml:space="preserve">) is deemed to be </w:t>
      </w:r>
      <w:proofErr w:type="spellStart"/>
      <w:r>
        <w:rPr>
          <w:rFonts w:ascii="Arial" w:eastAsia="Times New Roman" w:hAnsi="Arial" w:cs="Arial"/>
          <w:sz w:val="20"/>
          <w:szCs w:val="20"/>
          <w:lang w:val="en-GB"/>
        </w:rPr>
        <w:t>a</w:t>
      </w:r>
      <w:proofErr w:type="spellEnd"/>
      <w:r>
        <w:rPr>
          <w:rFonts w:ascii="Arial" w:eastAsia="Times New Roman" w:hAnsi="Arial" w:cs="Arial"/>
          <w:sz w:val="20"/>
          <w:szCs w:val="20"/>
          <w:lang w:val="en-GB"/>
        </w:rPr>
        <w:t xml:space="preserve"> </w:t>
      </w:r>
      <w:r w:rsidR="003E0B4B">
        <w:rPr>
          <w:rFonts w:ascii="Arial" w:eastAsia="Times New Roman" w:hAnsi="Arial" w:cs="Arial"/>
          <w:sz w:val="20"/>
          <w:szCs w:val="20"/>
          <w:lang w:val="en-GB"/>
        </w:rPr>
        <w:t>associated</w:t>
      </w:r>
      <w:r>
        <w:rPr>
          <w:rFonts w:ascii="Arial" w:eastAsia="Times New Roman" w:hAnsi="Arial" w:cs="Arial"/>
          <w:sz w:val="20"/>
          <w:szCs w:val="20"/>
          <w:lang w:val="en-GB"/>
        </w:rPr>
        <w:t xml:space="preserve"> party where:</w:t>
      </w:r>
    </w:p>
    <w:p w14:paraId="2DA3502D" w14:textId="69090D15" w:rsidR="00666077" w:rsidRPr="00AA2C04" w:rsidRDefault="00666077" w:rsidP="000E5730">
      <w:pPr>
        <w:numPr>
          <w:ilvl w:val="0"/>
          <w:numId w:val="32"/>
        </w:numPr>
        <w:spacing w:line="260" w:lineRule="atLeast"/>
        <w:jc w:val="both"/>
        <w:rPr>
          <w:rFonts w:ascii="Arial" w:eastAsia="Times New Roman" w:hAnsi="Arial" w:cs="Arial"/>
          <w:sz w:val="20"/>
          <w:szCs w:val="24"/>
        </w:rPr>
      </w:pPr>
      <w:r>
        <w:rPr>
          <w:rFonts w:ascii="Arial" w:eastAsia="Times New Roman" w:hAnsi="Arial" w:cs="Arial"/>
          <w:sz w:val="20"/>
          <w:szCs w:val="24"/>
          <w:lang w:val="en-GB"/>
        </w:rPr>
        <w:t>a taxable person directly or indirectly holds at least 25% of the value or number of shares or equity holdings, shares in management or</w:t>
      </w:r>
      <w:r w:rsidR="0076364A">
        <w:rPr>
          <w:rFonts w:ascii="Arial" w:eastAsia="Times New Roman" w:hAnsi="Arial" w:cs="Arial"/>
          <w:sz w:val="20"/>
          <w:szCs w:val="24"/>
          <w:lang w:val="en-GB"/>
        </w:rPr>
        <w:t xml:space="preserve"> control or the voting rights in</w:t>
      </w:r>
      <w:r>
        <w:rPr>
          <w:rFonts w:ascii="Arial" w:eastAsia="Times New Roman" w:hAnsi="Arial" w:cs="Arial"/>
          <w:sz w:val="20"/>
          <w:szCs w:val="24"/>
          <w:lang w:val="en-GB"/>
        </w:rPr>
        <w:t xml:space="preserve"> a</w:t>
      </w:r>
      <w:r w:rsidR="00854956">
        <w:rPr>
          <w:rFonts w:ascii="Arial" w:eastAsia="Times New Roman" w:hAnsi="Arial" w:cs="Arial"/>
          <w:sz w:val="20"/>
          <w:szCs w:val="24"/>
          <w:lang w:val="en-GB"/>
        </w:rPr>
        <w:t xml:space="preserve"> foreign person</w:t>
      </w:r>
      <w:r w:rsidR="0076364A">
        <w:rPr>
          <w:rFonts w:ascii="Arial" w:eastAsia="Times New Roman" w:hAnsi="Arial" w:cs="Arial"/>
          <w:sz w:val="20"/>
          <w:szCs w:val="24"/>
          <w:lang w:val="en-GB"/>
        </w:rPr>
        <w:t xml:space="preserve">, or controls the </w:t>
      </w:r>
      <w:r w:rsidR="00854956">
        <w:rPr>
          <w:rFonts w:ascii="Arial" w:eastAsia="Times New Roman" w:hAnsi="Arial" w:cs="Arial"/>
          <w:sz w:val="20"/>
          <w:szCs w:val="24"/>
          <w:lang w:val="en-GB"/>
        </w:rPr>
        <w:t>foreign person</w:t>
      </w:r>
      <w:r>
        <w:rPr>
          <w:rFonts w:ascii="Arial" w:eastAsia="Times New Roman" w:hAnsi="Arial" w:cs="Arial"/>
          <w:sz w:val="20"/>
          <w:szCs w:val="24"/>
          <w:lang w:val="en-GB"/>
        </w:rPr>
        <w:t xml:space="preserve"> on the basis of a contract, or the transaction conditions differ from the conditions that have been or would have been reached between </w:t>
      </w:r>
      <w:proofErr w:type="spellStart"/>
      <w:r>
        <w:rPr>
          <w:rFonts w:ascii="Arial" w:eastAsia="Times New Roman" w:hAnsi="Arial" w:cs="Arial"/>
          <w:sz w:val="20"/>
          <w:szCs w:val="24"/>
          <w:lang w:val="en-GB"/>
        </w:rPr>
        <w:t>un</w:t>
      </w:r>
      <w:r w:rsidR="003E0B4B">
        <w:rPr>
          <w:rFonts w:ascii="Arial" w:eastAsia="Times New Roman" w:hAnsi="Arial" w:cs="Arial"/>
          <w:sz w:val="20"/>
          <w:szCs w:val="24"/>
          <w:lang w:val="en-GB"/>
        </w:rPr>
        <w:t>associated</w:t>
      </w:r>
      <w:proofErr w:type="spellEnd"/>
      <w:r>
        <w:rPr>
          <w:rFonts w:ascii="Arial" w:eastAsia="Times New Roman" w:hAnsi="Arial" w:cs="Arial"/>
          <w:sz w:val="20"/>
          <w:szCs w:val="24"/>
          <w:lang w:val="en-GB"/>
        </w:rPr>
        <w:t xml:space="preserve"> parties in equal or comparable circumstances; or</w:t>
      </w:r>
    </w:p>
    <w:p w14:paraId="6D479082" w14:textId="2BC70AE2" w:rsidR="00666077" w:rsidRPr="00AA2C04" w:rsidRDefault="00854956" w:rsidP="000E5730">
      <w:pPr>
        <w:numPr>
          <w:ilvl w:val="0"/>
          <w:numId w:val="32"/>
        </w:numPr>
        <w:spacing w:line="260" w:lineRule="atLeast"/>
        <w:jc w:val="both"/>
        <w:rPr>
          <w:rFonts w:ascii="Arial" w:eastAsia="Times New Roman" w:hAnsi="Arial" w:cs="Arial"/>
          <w:sz w:val="20"/>
          <w:szCs w:val="24"/>
        </w:rPr>
      </w:pPr>
      <w:r>
        <w:rPr>
          <w:rFonts w:ascii="Arial" w:eastAsia="Times New Roman" w:hAnsi="Arial" w:cs="Arial"/>
          <w:sz w:val="20"/>
          <w:szCs w:val="24"/>
          <w:lang w:val="en-GB"/>
        </w:rPr>
        <w:t>the foreign person</w:t>
      </w:r>
      <w:r w:rsidR="00197DB3">
        <w:rPr>
          <w:rFonts w:ascii="Arial" w:eastAsia="Times New Roman" w:hAnsi="Arial" w:cs="Arial"/>
          <w:sz w:val="20"/>
          <w:szCs w:val="24"/>
          <w:lang w:val="en-GB"/>
        </w:rPr>
        <w:t xml:space="preserve"> </w:t>
      </w:r>
      <w:r w:rsidR="00666077">
        <w:rPr>
          <w:rFonts w:ascii="Arial" w:eastAsia="Times New Roman" w:hAnsi="Arial" w:cs="Arial"/>
          <w:sz w:val="20"/>
          <w:szCs w:val="24"/>
          <w:lang w:val="en-GB"/>
        </w:rPr>
        <w:t>directly or indirectly holds at least 25% of the value or number of shares or equity holdings, shares in management or control or voting rights of the taxable person, or controls the taxable person on the basis of a contract, or the transaction conditions differ from the conditions that have been or would be reached between non-</w:t>
      </w:r>
      <w:r w:rsidR="003E0B4B">
        <w:rPr>
          <w:rFonts w:ascii="Arial" w:eastAsia="Times New Roman" w:hAnsi="Arial" w:cs="Arial"/>
          <w:sz w:val="20"/>
          <w:szCs w:val="24"/>
          <w:lang w:val="en-GB"/>
        </w:rPr>
        <w:t>associated</w:t>
      </w:r>
      <w:r w:rsidR="00666077">
        <w:rPr>
          <w:rFonts w:ascii="Arial" w:eastAsia="Times New Roman" w:hAnsi="Arial" w:cs="Arial"/>
          <w:sz w:val="20"/>
          <w:szCs w:val="24"/>
          <w:lang w:val="en-GB"/>
        </w:rPr>
        <w:t xml:space="preserve"> parties in equal or comparable circumstances; or</w:t>
      </w:r>
    </w:p>
    <w:p w14:paraId="6D7FB3F9" w14:textId="55472D03" w:rsidR="00666077" w:rsidRPr="00AA2C04" w:rsidRDefault="00666077" w:rsidP="000E5730">
      <w:pPr>
        <w:numPr>
          <w:ilvl w:val="0"/>
          <w:numId w:val="32"/>
        </w:numPr>
        <w:spacing w:line="260" w:lineRule="atLeast"/>
        <w:jc w:val="both"/>
        <w:rPr>
          <w:rFonts w:ascii="Arial" w:eastAsia="Times New Roman" w:hAnsi="Arial" w:cs="Arial"/>
          <w:sz w:val="20"/>
          <w:szCs w:val="24"/>
        </w:rPr>
      </w:pPr>
      <w:r>
        <w:rPr>
          <w:rFonts w:ascii="Arial" w:eastAsia="Times New Roman" w:hAnsi="Arial" w:cs="Arial"/>
          <w:sz w:val="20"/>
          <w:szCs w:val="24"/>
          <w:lang w:val="en-GB"/>
        </w:rPr>
        <w:t xml:space="preserve">the same person at the same time directly or indirectly holds at least 25% of the value or number of shares or equity holdings, shares in management or control of the taxable person and </w:t>
      </w:r>
      <w:r w:rsidR="00854956">
        <w:rPr>
          <w:rFonts w:ascii="Arial" w:eastAsia="Times New Roman" w:hAnsi="Arial" w:cs="Arial"/>
          <w:sz w:val="20"/>
          <w:szCs w:val="24"/>
          <w:lang w:val="en-GB"/>
        </w:rPr>
        <w:t>foreign person</w:t>
      </w:r>
      <w:r>
        <w:rPr>
          <w:rFonts w:ascii="Arial" w:eastAsia="Times New Roman" w:hAnsi="Arial" w:cs="Arial"/>
          <w:sz w:val="20"/>
          <w:szCs w:val="24"/>
          <w:lang w:val="en-GB"/>
        </w:rPr>
        <w:t xml:space="preserve"> or of two taxable persons, or controls them on the basis of a contract or the transaction conditions differ from the conditions that have been or would be reached between non-</w:t>
      </w:r>
      <w:r w:rsidR="003E0B4B">
        <w:rPr>
          <w:rFonts w:ascii="Arial" w:eastAsia="Times New Roman" w:hAnsi="Arial" w:cs="Arial"/>
          <w:sz w:val="20"/>
          <w:szCs w:val="24"/>
          <w:lang w:val="en-GB"/>
        </w:rPr>
        <w:t>associated</w:t>
      </w:r>
      <w:r>
        <w:rPr>
          <w:rFonts w:ascii="Arial" w:eastAsia="Times New Roman" w:hAnsi="Arial" w:cs="Arial"/>
          <w:sz w:val="20"/>
          <w:szCs w:val="24"/>
          <w:lang w:val="en-GB"/>
        </w:rPr>
        <w:t xml:space="preserve"> parties in equal or comparable circumstances; or</w:t>
      </w:r>
    </w:p>
    <w:p w14:paraId="57285543" w14:textId="2D8A26A7" w:rsidR="00666077" w:rsidRPr="00AA2C04" w:rsidRDefault="00666077" w:rsidP="000E5730">
      <w:pPr>
        <w:numPr>
          <w:ilvl w:val="0"/>
          <w:numId w:val="32"/>
        </w:numPr>
        <w:spacing w:line="260" w:lineRule="atLeast"/>
        <w:jc w:val="both"/>
        <w:rPr>
          <w:rFonts w:ascii="Arial" w:eastAsia="Times New Roman" w:hAnsi="Arial" w:cs="Arial"/>
          <w:sz w:val="20"/>
          <w:szCs w:val="24"/>
        </w:rPr>
      </w:pPr>
      <w:r>
        <w:rPr>
          <w:rFonts w:ascii="Arial" w:eastAsia="Times New Roman" w:hAnsi="Arial" w:cs="Arial"/>
          <w:sz w:val="20"/>
          <w:szCs w:val="24"/>
          <w:lang w:val="en-GB"/>
        </w:rPr>
        <w:t xml:space="preserve">the same individuals or their family members directly or indirectly hold at least 25% of the value or number of shares or equity holdings, shares in management or control of the </w:t>
      </w:r>
      <w:r w:rsidR="00E65834">
        <w:rPr>
          <w:rFonts w:ascii="Arial" w:eastAsia="Times New Roman" w:hAnsi="Arial" w:cs="Arial"/>
          <w:sz w:val="20"/>
          <w:szCs w:val="24"/>
          <w:lang w:val="en-GB"/>
        </w:rPr>
        <w:t xml:space="preserve">taxable person </w:t>
      </w:r>
      <w:r>
        <w:rPr>
          <w:rFonts w:ascii="Arial" w:eastAsia="Times New Roman" w:hAnsi="Arial" w:cs="Arial"/>
          <w:sz w:val="20"/>
          <w:szCs w:val="24"/>
          <w:lang w:val="en-GB"/>
        </w:rPr>
        <w:t xml:space="preserve">and </w:t>
      </w:r>
      <w:r w:rsidR="00854956">
        <w:rPr>
          <w:rFonts w:ascii="Arial" w:eastAsia="Times New Roman" w:hAnsi="Arial" w:cs="Arial"/>
          <w:sz w:val="20"/>
          <w:szCs w:val="24"/>
          <w:lang w:val="en-GB"/>
        </w:rPr>
        <w:t>foreign person or</w:t>
      </w:r>
      <w:r>
        <w:rPr>
          <w:rFonts w:ascii="Arial" w:eastAsia="Times New Roman" w:hAnsi="Arial" w:cs="Arial"/>
          <w:sz w:val="20"/>
          <w:szCs w:val="24"/>
          <w:lang w:val="en-GB"/>
        </w:rPr>
        <w:t xml:space="preserve"> of two residents, or control them on the basis of a contract, or the transaction conditions differ from the conditions that have been or would be reached between non-</w:t>
      </w:r>
      <w:r w:rsidR="003E0B4B">
        <w:rPr>
          <w:rFonts w:ascii="Arial" w:eastAsia="Times New Roman" w:hAnsi="Arial" w:cs="Arial"/>
          <w:sz w:val="20"/>
          <w:szCs w:val="24"/>
          <w:lang w:val="en-GB"/>
        </w:rPr>
        <w:t>associated</w:t>
      </w:r>
      <w:r>
        <w:rPr>
          <w:rFonts w:ascii="Arial" w:eastAsia="Times New Roman" w:hAnsi="Arial" w:cs="Arial"/>
          <w:sz w:val="20"/>
          <w:szCs w:val="24"/>
          <w:lang w:val="en-GB"/>
        </w:rPr>
        <w:t xml:space="preserve"> parties in equal or comparable circumstances.</w:t>
      </w:r>
    </w:p>
    <w:p w14:paraId="415BC448" w14:textId="77777777" w:rsidR="00666077" w:rsidRPr="00904D3B" w:rsidRDefault="00666077" w:rsidP="000E5730">
      <w:pPr>
        <w:spacing w:line="260" w:lineRule="atLeast"/>
        <w:jc w:val="both"/>
        <w:rPr>
          <w:rFonts w:ascii="Arial" w:eastAsia="Times New Roman" w:hAnsi="Arial" w:cs="Arial"/>
          <w:i/>
          <w:sz w:val="20"/>
          <w:szCs w:val="24"/>
        </w:rPr>
      </w:pPr>
    </w:p>
    <w:p w14:paraId="7885C8EE" w14:textId="4B4C781F" w:rsidR="00666077" w:rsidRPr="00FA60FD" w:rsidRDefault="00666077" w:rsidP="000E5730">
      <w:pPr>
        <w:spacing w:line="260" w:lineRule="atLeast"/>
        <w:jc w:val="both"/>
        <w:rPr>
          <w:rFonts w:ascii="Arial" w:eastAsia="Times New Roman" w:hAnsi="Arial" w:cs="Arial"/>
          <w:sz w:val="20"/>
          <w:szCs w:val="24"/>
        </w:rPr>
      </w:pPr>
      <w:r>
        <w:rPr>
          <w:rFonts w:ascii="Arial" w:eastAsia="Times New Roman" w:hAnsi="Arial" w:cs="Arial"/>
          <w:sz w:val="20"/>
          <w:szCs w:val="24"/>
          <w:lang w:val="en-GB"/>
        </w:rPr>
        <w:t xml:space="preserve">In establishing a taxable person’s revenue in transactions between </w:t>
      </w:r>
      <w:r w:rsidR="003E0B4B">
        <w:rPr>
          <w:rFonts w:ascii="Arial" w:eastAsia="Times New Roman" w:hAnsi="Arial" w:cs="Arial"/>
          <w:sz w:val="20"/>
          <w:szCs w:val="24"/>
          <w:lang w:val="en-GB"/>
        </w:rPr>
        <w:t>associated</w:t>
      </w:r>
      <w:r>
        <w:rPr>
          <w:rFonts w:ascii="Arial" w:eastAsia="Times New Roman" w:hAnsi="Arial" w:cs="Arial"/>
          <w:sz w:val="20"/>
          <w:szCs w:val="24"/>
          <w:lang w:val="en-GB"/>
        </w:rPr>
        <w:t xml:space="preserve"> parties (both residents and non-residents), transfer prices with </w:t>
      </w:r>
      <w:r w:rsidR="003E0B4B">
        <w:rPr>
          <w:rFonts w:ascii="Arial" w:eastAsia="Times New Roman" w:hAnsi="Arial" w:cs="Arial"/>
          <w:sz w:val="20"/>
          <w:szCs w:val="24"/>
          <w:lang w:val="en-GB"/>
        </w:rPr>
        <w:t>associated</w:t>
      </w:r>
      <w:r>
        <w:rPr>
          <w:rFonts w:ascii="Arial" w:eastAsia="Times New Roman" w:hAnsi="Arial" w:cs="Arial"/>
          <w:sz w:val="20"/>
          <w:szCs w:val="24"/>
          <w:lang w:val="en-GB"/>
        </w:rPr>
        <w:t xml:space="preserve"> persons are taken into account for assets, including intangible assets, and services, however, revenues at least up to the amount which is established by taking into account the prices of such or comparable assets or services which, in equal or comparable circumstances, are reached or would be reached on the market among non-</w:t>
      </w:r>
      <w:r w:rsidR="003E0B4B">
        <w:rPr>
          <w:rFonts w:ascii="Arial" w:eastAsia="Times New Roman" w:hAnsi="Arial" w:cs="Arial"/>
          <w:sz w:val="20"/>
          <w:szCs w:val="24"/>
          <w:lang w:val="en-GB"/>
        </w:rPr>
        <w:t>associated</w:t>
      </w:r>
      <w:r>
        <w:rPr>
          <w:rFonts w:ascii="Arial" w:eastAsia="Times New Roman" w:hAnsi="Arial" w:cs="Arial"/>
          <w:sz w:val="20"/>
          <w:szCs w:val="24"/>
          <w:lang w:val="en-GB"/>
        </w:rPr>
        <w:t xml:space="preserve"> parties. In establishing a taxable person’s expenditure, transfer prices with </w:t>
      </w:r>
      <w:r w:rsidR="003E0B4B">
        <w:rPr>
          <w:rFonts w:ascii="Arial" w:eastAsia="Times New Roman" w:hAnsi="Arial" w:cs="Arial"/>
          <w:sz w:val="20"/>
          <w:szCs w:val="24"/>
          <w:lang w:val="en-GB"/>
        </w:rPr>
        <w:t>associated</w:t>
      </w:r>
      <w:r>
        <w:rPr>
          <w:rFonts w:ascii="Arial" w:eastAsia="Times New Roman" w:hAnsi="Arial" w:cs="Arial"/>
          <w:sz w:val="20"/>
          <w:szCs w:val="24"/>
          <w:lang w:val="en-GB"/>
        </w:rPr>
        <w:t xml:space="preserve"> parties are taken into account for assets, including intangible assets, and services, however, expenditure at least up to the amount established by taking into account comparable market prices (paragraphs one and four of Article 16 of the ZDDPO-2).</w:t>
      </w:r>
    </w:p>
    <w:p w14:paraId="3F7A5D4E" w14:textId="77777777" w:rsidR="00666077" w:rsidRPr="00904D3B" w:rsidRDefault="00666077" w:rsidP="000E5730">
      <w:pPr>
        <w:spacing w:line="260" w:lineRule="atLeast"/>
        <w:rPr>
          <w:rFonts w:ascii="Arial" w:eastAsia="Times New Roman" w:hAnsi="Arial" w:cs="Arial"/>
          <w:i/>
          <w:sz w:val="20"/>
          <w:szCs w:val="24"/>
        </w:rPr>
      </w:pPr>
    </w:p>
    <w:p w14:paraId="545A4324" w14:textId="23C89F0D" w:rsidR="00666077" w:rsidRPr="00904D3B" w:rsidRDefault="00666077" w:rsidP="000E5730">
      <w:pPr>
        <w:tabs>
          <w:tab w:val="left" w:pos="1024"/>
        </w:tabs>
        <w:spacing w:line="260" w:lineRule="atLeast"/>
        <w:jc w:val="both"/>
        <w:rPr>
          <w:rFonts w:ascii="Arial" w:eastAsia="Times New Roman" w:hAnsi="Arial" w:cs="Arial"/>
          <w:i/>
          <w:sz w:val="20"/>
          <w:szCs w:val="24"/>
        </w:rPr>
      </w:pPr>
      <w:r>
        <w:rPr>
          <w:rFonts w:ascii="Arial" w:eastAsia="Times New Roman" w:hAnsi="Arial" w:cs="Arial"/>
          <w:sz w:val="20"/>
          <w:szCs w:val="24"/>
          <w:lang w:val="en-GB"/>
        </w:rPr>
        <w:t xml:space="preserve">Article 17 of the ZDDPO-2 further determines the prices between resident </w:t>
      </w:r>
      <w:r w:rsidR="003E0B4B">
        <w:rPr>
          <w:rFonts w:ascii="Arial" w:eastAsia="Times New Roman" w:hAnsi="Arial" w:cs="Arial"/>
          <w:sz w:val="20"/>
          <w:szCs w:val="24"/>
          <w:lang w:val="en-GB"/>
        </w:rPr>
        <w:t>associated</w:t>
      </w:r>
      <w:r>
        <w:rPr>
          <w:rFonts w:ascii="Arial" w:eastAsia="Times New Roman" w:hAnsi="Arial" w:cs="Arial"/>
          <w:sz w:val="20"/>
          <w:szCs w:val="24"/>
          <w:lang w:val="en-GB"/>
        </w:rPr>
        <w:t xml:space="preserve"> parties that are also required to follow the arm’s length principle; however, paragraph six of Article 17 determines that in establishing the revenue and expenditure of a resident relating to transactions conducted between two resident </w:t>
      </w:r>
      <w:r w:rsidR="003E0B4B">
        <w:rPr>
          <w:rFonts w:ascii="Arial" w:eastAsia="Times New Roman" w:hAnsi="Arial" w:cs="Arial"/>
          <w:sz w:val="20"/>
          <w:szCs w:val="24"/>
          <w:lang w:val="en-GB"/>
        </w:rPr>
        <w:t>associated</w:t>
      </w:r>
      <w:r>
        <w:rPr>
          <w:rFonts w:ascii="Arial" w:eastAsia="Times New Roman" w:hAnsi="Arial" w:cs="Arial"/>
          <w:sz w:val="20"/>
          <w:szCs w:val="24"/>
          <w:lang w:val="en-GB"/>
        </w:rPr>
        <w:t xml:space="preserve"> parties under this Article, the tax base is not increased or reduced, unless one of the residents,</w:t>
      </w:r>
    </w:p>
    <w:p w14:paraId="25CE92B2" w14:textId="77777777" w:rsidR="00666077" w:rsidRPr="00AA2C04" w:rsidRDefault="00666077" w:rsidP="000E5730">
      <w:pPr>
        <w:numPr>
          <w:ilvl w:val="0"/>
          <w:numId w:val="36"/>
        </w:numPr>
        <w:spacing w:line="260" w:lineRule="atLeast"/>
        <w:jc w:val="both"/>
        <w:rPr>
          <w:rFonts w:ascii="Arial" w:eastAsia="Times New Roman" w:hAnsi="Arial" w:cs="Arial"/>
          <w:sz w:val="20"/>
          <w:szCs w:val="24"/>
        </w:rPr>
      </w:pPr>
      <w:r>
        <w:rPr>
          <w:rFonts w:ascii="Arial" w:eastAsia="Times New Roman" w:hAnsi="Arial" w:cs="Arial"/>
          <w:sz w:val="20"/>
          <w:szCs w:val="24"/>
          <w:lang w:val="en-GB"/>
        </w:rPr>
        <w:t>for the tax period for which revenue and expenditure are established, discloses an uncovered tax loss brought forward from previous tax periods, or</w:t>
      </w:r>
    </w:p>
    <w:p w14:paraId="00DE8F9C" w14:textId="77777777" w:rsidR="00666077" w:rsidRPr="00AA2C04" w:rsidRDefault="00666077" w:rsidP="000E5730">
      <w:pPr>
        <w:numPr>
          <w:ilvl w:val="0"/>
          <w:numId w:val="36"/>
        </w:numPr>
        <w:spacing w:line="260" w:lineRule="atLeast"/>
        <w:jc w:val="both"/>
        <w:rPr>
          <w:rFonts w:ascii="Arial" w:eastAsia="Times New Roman" w:hAnsi="Arial" w:cs="Arial"/>
          <w:sz w:val="20"/>
          <w:szCs w:val="24"/>
        </w:rPr>
      </w:pPr>
      <w:r>
        <w:rPr>
          <w:rFonts w:ascii="Arial" w:eastAsia="Times New Roman" w:hAnsi="Arial" w:cs="Arial"/>
          <w:sz w:val="20"/>
          <w:szCs w:val="24"/>
          <w:lang w:val="en-GB"/>
        </w:rPr>
        <w:t>pays tax pursuant to this Act at a 0% rate or at a special tax rate lower than the general tax rate pursuant to Article 60 of this Act, or</w:t>
      </w:r>
    </w:p>
    <w:p w14:paraId="7537F816" w14:textId="77777777" w:rsidR="00666077" w:rsidRPr="00AA2C04" w:rsidRDefault="00666077" w:rsidP="000E5730">
      <w:pPr>
        <w:numPr>
          <w:ilvl w:val="0"/>
          <w:numId w:val="36"/>
        </w:numPr>
        <w:spacing w:line="260" w:lineRule="atLeast"/>
        <w:jc w:val="both"/>
        <w:rPr>
          <w:rFonts w:ascii="Arial" w:eastAsia="Times New Roman" w:hAnsi="Arial" w:cs="Arial"/>
          <w:sz w:val="20"/>
          <w:szCs w:val="24"/>
        </w:rPr>
      </w:pPr>
      <w:r>
        <w:rPr>
          <w:rFonts w:ascii="Arial" w:eastAsia="Times New Roman" w:hAnsi="Arial" w:cs="Arial"/>
          <w:sz w:val="20"/>
          <w:szCs w:val="24"/>
          <w:lang w:val="en-GB"/>
        </w:rPr>
        <w:t>is exempt from paying tax under this Act.</w:t>
      </w:r>
    </w:p>
    <w:p w14:paraId="7F354878" w14:textId="77777777" w:rsidR="00666077" w:rsidRPr="00904D3B" w:rsidRDefault="00666077" w:rsidP="000E5730">
      <w:pPr>
        <w:spacing w:line="260" w:lineRule="atLeast"/>
        <w:jc w:val="both"/>
        <w:rPr>
          <w:rFonts w:ascii="Arial" w:eastAsia="Times New Roman" w:hAnsi="Arial" w:cs="Arial"/>
          <w:sz w:val="20"/>
          <w:szCs w:val="24"/>
        </w:rPr>
      </w:pPr>
    </w:p>
    <w:p w14:paraId="7CFFA29D" w14:textId="14A0D970" w:rsidR="004A7D62" w:rsidRDefault="00666077" w:rsidP="000E5730">
      <w:pPr>
        <w:spacing w:line="260" w:lineRule="atLeast"/>
        <w:jc w:val="both"/>
        <w:rPr>
          <w:rFonts w:ascii="Arial" w:hAnsi="Arial" w:cs="Arial"/>
          <w:lang w:val="en-GB"/>
        </w:rPr>
      </w:pPr>
      <w:r>
        <w:rPr>
          <w:rFonts w:ascii="Arial" w:hAnsi="Arial" w:cs="Arial"/>
          <w:sz w:val="20"/>
          <w:szCs w:val="24"/>
          <w:lang w:val="en-GB"/>
        </w:rPr>
        <w:t xml:space="preserve">The provisions of the OECD guidelines are partly summarised in the </w:t>
      </w:r>
      <w:r>
        <w:rPr>
          <w:rFonts w:ascii="Arial" w:hAnsi="Arial" w:cs="Arial"/>
          <w:b/>
          <w:bCs/>
          <w:sz w:val="20"/>
          <w:szCs w:val="24"/>
          <w:lang w:val="en-GB"/>
        </w:rPr>
        <w:t>Transfer Pricing Rules</w:t>
      </w:r>
      <w:r>
        <w:rPr>
          <w:rFonts w:ascii="Arial" w:hAnsi="Arial" w:cs="Arial"/>
          <w:sz w:val="20"/>
          <w:szCs w:val="24"/>
          <w:lang w:val="en-GB"/>
        </w:rPr>
        <w:t xml:space="preserve"> (hereinafter: TPR</w:t>
      </w:r>
      <w:r>
        <w:rPr>
          <w:rFonts w:ascii="Arial" w:hAnsi="Arial" w:cs="Arial"/>
          <w:szCs w:val="24"/>
          <w:vertAlign w:val="superscript"/>
          <w:lang w:val="en-GB"/>
        </w:rPr>
        <w:footnoteReference w:id="3"/>
      </w:r>
      <w:r>
        <w:rPr>
          <w:rFonts w:ascii="Arial" w:hAnsi="Arial" w:cs="Arial"/>
          <w:sz w:val="20"/>
          <w:szCs w:val="24"/>
          <w:lang w:val="en-GB"/>
        </w:rPr>
        <w:t>) which set out the methods for determining transfer prices, a comparability analysis, the use of a range of comparable market prices, the specificities in setting transfer prices for services, etc</w:t>
      </w:r>
      <w:r>
        <w:rPr>
          <w:rFonts w:ascii="Arial" w:hAnsi="Arial" w:cs="Arial"/>
          <w:lang w:val="en-GB"/>
        </w:rPr>
        <w:t xml:space="preserve">. </w:t>
      </w:r>
    </w:p>
    <w:p w14:paraId="79C2634B" w14:textId="77777777" w:rsidR="00E65834" w:rsidRPr="00AA2C04" w:rsidRDefault="00E65834" w:rsidP="000E5730">
      <w:pPr>
        <w:spacing w:line="260" w:lineRule="atLeast"/>
        <w:jc w:val="both"/>
        <w:rPr>
          <w:rFonts w:ascii="Arial" w:eastAsia="Calibri" w:hAnsi="Arial" w:cs="Arial"/>
        </w:rPr>
      </w:pPr>
    </w:p>
    <w:p w14:paraId="760E5279" w14:textId="7B178006" w:rsidR="00666077" w:rsidRPr="00904D3B" w:rsidRDefault="00666077" w:rsidP="000E5730">
      <w:pPr>
        <w:spacing w:line="260" w:lineRule="atLeast"/>
        <w:jc w:val="both"/>
        <w:rPr>
          <w:rFonts w:ascii="Arial" w:eastAsia="Times New Roman" w:hAnsi="Arial" w:cs="Arial"/>
          <w:sz w:val="20"/>
          <w:szCs w:val="24"/>
        </w:rPr>
      </w:pPr>
      <w:r>
        <w:rPr>
          <w:rFonts w:ascii="Arial" w:eastAsia="Times New Roman" w:hAnsi="Arial" w:cs="Arial"/>
          <w:sz w:val="20"/>
          <w:szCs w:val="24"/>
          <w:lang w:val="en-GB"/>
        </w:rPr>
        <w:t>In the field of transfer pricing, Slovenian legislation defines two safe ha</w:t>
      </w:r>
      <w:r w:rsidR="00E65834">
        <w:rPr>
          <w:rFonts w:ascii="Arial" w:eastAsia="Times New Roman" w:hAnsi="Arial" w:cs="Arial"/>
          <w:sz w:val="20"/>
          <w:szCs w:val="24"/>
          <w:lang w:val="en-GB"/>
        </w:rPr>
        <w:t>rbours</w:t>
      </w:r>
      <w:r>
        <w:rPr>
          <w:rFonts w:ascii="Arial" w:eastAsia="Times New Roman" w:hAnsi="Arial" w:cs="Arial"/>
          <w:sz w:val="20"/>
          <w:szCs w:val="24"/>
          <w:lang w:val="en-GB"/>
        </w:rPr>
        <w:t xml:space="preserve">: in the field of interest rates for loans between </w:t>
      </w:r>
      <w:r w:rsidR="003E0B4B">
        <w:rPr>
          <w:rFonts w:ascii="Arial" w:eastAsia="Times New Roman" w:hAnsi="Arial" w:cs="Arial"/>
          <w:sz w:val="20"/>
          <w:szCs w:val="24"/>
          <w:lang w:val="en-GB"/>
        </w:rPr>
        <w:t>associated</w:t>
      </w:r>
      <w:r>
        <w:rPr>
          <w:rFonts w:ascii="Arial" w:eastAsia="Times New Roman" w:hAnsi="Arial" w:cs="Arial"/>
          <w:sz w:val="20"/>
          <w:szCs w:val="24"/>
          <w:lang w:val="en-GB"/>
        </w:rPr>
        <w:t xml:space="preserve"> parties (Article 19 of the ZDDPO-2 in conjunction with the </w:t>
      </w:r>
      <w:r>
        <w:rPr>
          <w:rFonts w:ascii="Arial" w:eastAsia="Times New Roman" w:hAnsi="Arial" w:cs="Arial"/>
          <w:b/>
          <w:bCs/>
          <w:sz w:val="20"/>
          <w:szCs w:val="24"/>
          <w:lang w:val="en-GB"/>
        </w:rPr>
        <w:t>Rules on the Recognised Interest Rate</w:t>
      </w:r>
      <w:r>
        <w:rPr>
          <w:rFonts w:ascii="Arial" w:eastAsia="Times New Roman" w:hAnsi="Arial" w:cs="Arial"/>
          <w:sz w:val="20"/>
          <w:szCs w:val="24"/>
          <w:vertAlign w:val="superscript"/>
          <w:lang w:val="en-GB"/>
        </w:rPr>
        <w:footnoteReference w:id="4"/>
      </w:r>
      <w:r>
        <w:rPr>
          <w:rFonts w:ascii="Arial" w:eastAsia="Times New Roman" w:hAnsi="Arial" w:cs="Arial"/>
          <w:sz w:val="20"/>
          <w:szCs w:val="24"/>
          <w:lang w:val="en-GB"/>
        </w:rPr>
        <w:t xml:space="preserve">) and in the field of thin capitalisation where the ratio between loans from </w:t>
      </w:r>
      <w:r w:rsidR="003E0B4B">
        <w:rPr>
          <w:rFonts w:ascii="Arial" w:eastAsia="Times New Roman" w:hAnsi="Arial" w:cs="Arial"/>
          <w:sz w:val="20"/>
          <w:szCs w:val="24"/>
          <w:lang w:val="en-GB"/>
        </w:rPr>
        <w:t>associated</w:t>
      </w:r>
      <w:r>
        <w:rPr>
          <w:rFonts w:ascii="Arial" w:eastAsia="Times New Roman" w:hAnsi="Arial" w:cs="Arial"/>
          <w:sz w:val="20"/>
          <w:szCs w:val="24"/>
          <w:lang w:val="en-GB"/>
        </w:rPr>
        <w:t xml:space="preserve"> parties and equity capital is determined </w:t>
      </w:r>
      <w:r>
        <w:rPr>
          <w:rFonts w:ascii="Arial" w:eastAsia="Times New Roman" w:hAnsi="Arial" w:cs="Arial"/>
          <w:b/>
          <w:bCs/>
          <w:sz w:val="20"/>
          <w:szCs w:val="24"/>
          <w:lang w:val="en-GB"/>
        </w:rPr>
        <w:t>(Article 32 of the ZDDPO-2).</w:t>
      </w:r>
      <w:r>
        <w:rPr>
          <w:rFonts w:ascii="Arial" w:eastAsia="Times New Roman" w:hAnsi="Arial" w:cs="Arial"/>
          <w:sz w:val="20"/>
          <w:szCs w:val="24"/>
          <w:lang w:val="en-GB"/>
        </w:rPr>
        <w:t xml:space="preserve"> In the event that a taxable person proves the values outside a safe haven, such taxable person is obliged to submit documents (in the same way as in proving the transactions referred to in Articles 16 and 17 of the ZDDPO-2), which will prove that the interest rate or the ratio between loans from </w:t>
      </w:r>
      <w:r w:rsidR="003E0B4B">
        <w:rPr>
          <w:rFonts w:ascii="Arial" w:eastAsia="Times New Roman" w:hAnsi="Arial" w:cs="Arial"/>
          <w:sz w:val="20"/>
          <w:szCs w:val="24"/>
          <w:lang w:val="en-GB"/>
        </w:rPr>
        <w:t>associated</w:t>
      </w:r>
      <w:r>
        <w:rPr>
          <w:rFonts w:ascii="Arial" w:eastAsia="Times New Roman" w:hAnsi="Arial" w:cs="Arial"/>
          <w:sz w:val="20"/>
          <w:szCs w:val="24"/>
          <w:lang w:val="en-GB"/>
        </w:rPr>
        <w:t xml:space="preserve"> parties and equity capital is in accordance with the arm’s length principle.</w:t>
      </w:r>
    </w:p>
    <w:p w14:paraId="1E7EEC76" w14:textId="77777777" w:rsidR="00666077" w:rsidRPr="00904D3B" w:rsidRDefault="00666077" w:rsidP="000E5730">
      <w:pPr>
        <w:spacing w:line="260" w:lineRule="atLeast"/>
        <w:jc w:val="both"/>
        <w:rPr>
          <w:rFonts w:ascii="Arial" w:eastAsia="Times New Roman" w:hAnsi="Arial" w:cs="Arial"/>
          <w:sz w:val="20"/>
          <w:szCs w:val="24"/>
        </w:rPr>
      </w:pPr>
    </w:p>
    <w:p w14:paraId="06423221" w14:textId="77777777" w:rsidR="00666077" w:rsidRPr="00904D3B" w:rsidRDefault="00666077" w:rsidP="000E5730">
      <w:pPr>
        <w:spacing w:line="260" w:lineRule="atLeast"/>
        <w:jc w:val="both"/>
        <w:rPr>
          <w:rFonts w:ascii="Arial" w:eastAsia="Times New Roman" w:hAnsi="Arial" w:cs="Arial"/>
          <w:sz w:val="20"/>
          <w:szCs w:val="24"/>
        </w:rPr>
      </w:pPr>
      <w:r>
        <w:rPr>
          <w:rFonts w:ascii="Arial" w:eastAsia="Times New Roman" w:hAnsi="Arial" w:cs="Arial"/>
          <w:sz w:val="20"/>
          <w:szCs w:val="24"/>
          <w:lang w:val="en-GB"/>
        </w:rPr>
        <w:t xml:space="preserve">A non-resident’s business unit is the place of business in or through which the non-resident’s activities or business in Slovenia are conducted in whole or in part </w:t>
      </w:r>
      <w:r>
        <w:rPr>
          <w:rFonts w:ascii="Arial" w:eastAsia="Times New Roman" w:hAnsi="Arial" w:cs="Arial"/>
          <w:b/>
          <w:bCs/>
          <w:sz w:val="20"/>
          <w:szCs w:val="24"/>
          <w:lang w:val="en-GB"/>
        </w:rPr>
        <w:t>(Article 6 of the ZDDPO-2).</w:t>
      </w:r>
      <w:r>
        <w:rPr>
          <w:rFonts w:ascii="Arial" w:eastAsia="Times New Roman" w:hAnsi="Arial" w:cs="Arial"/>
          <w:sz w:val="20"/>
          <w:szCs w:val="24"/>
          <w:lang w:val="en-GB"/>
        </w:rPr>
        <w:t xml:space="preserve"> The Republic of Slovenia has the right to tax the profits of non-residents if they have a permanent establishment (hereinafter: PE) in Slovenia or carry out their transactions through one. The following</w:t>
      </w:r>
      <w:proofErr w:type="gramStart"/>
      <w:r>
        <w:rPr>
          <w:rFonts w:ascii="Arial" w:eastAsia="Times New Roman" w:hAnsi="Arial" w:cs="Arial"/>
          <w:sz w:val="20"/>
          <w:szCs w:val="24"/>
          <w:lang w:val="en-GB"/>
        </w:rPr>
        <w:t>, in particular, are</w:t>
      </w:r>
      <w:proofErr w:type="gramEnd"/>
      <w:r>
        <w:rPr>
          <w:rFonts w:ascii="Arial" w:eastAsia="Times New Roman" w:hAnsi="Arial" w:cs="Arial"/>
          <w:sz w:val="20"/>
          <w:szCs w:val="24"/>
          <w:lang w:val="en-GB"/>
        </w:rPr>
        <w:t xml:space="preserve"> deemed to be a permanent establishment:</w:t>
      </w:r>
    </w:p>
    <w:p w14:paraId="3489C580" w14:textId="77777777" w:rsidR="00666077" w:rsidRPr="00904D3B" w:rsidRDefault="00666077" w:rsidP="000E5730">
      <w:pPr>
        <w:numPr>
          <w:ilvl w:val="0"/>
          <w:numId w:val="4"/>
        </w:numPr>
        <w:spacing w:line="260" w:lineRule="atLeast"/>
        <w:ind w:left="360"/>
        <w:jc w:val="both"/>
        <w:rPr>
          <w:rFonts w:ascii="Arial" w:eastAsia="Times New Roman" w:hAnsi="Arial" w:cs="Arial"/>
          <w:sz w:val="20"/>
          <w:szCs w:val="24"/>
        </w:rPr>
      </w:pPr>
      <w:r>
        <w:rPr>
          <w:rFonts w:ascii="Arial" w:eastAsia="Times New Roman" w:hAnsi="Arial" w:cs="Arial"/>
          <w:sz w:val="20"/>
          <w:szCs w:val="24"/>
          <w:lang w:val="en-GB"/>
        </w:rPr>
        <w:t xml:space="preserve">an office, branch, factory, workshop, mine, quarry or other place where natural resources are obtained or </w:t>
      </w:r>
      <w:proofErr w:type="gramStart"/>
      <w:r>
        <w:rPr>
          <w:rFonts w:ascii="Arial" w:eastAsia="Times New Roman" w:hAnsi="Arial" w:cs="Arial"/>
          <w:sz w:val="20"/>
          <w:szCs w:val="24"/>
          <w:lang w:val="en-GB"/>
        </w:rPr>
        <w:t>exploited;</w:t>
      </w:r>
      <w:proofErr w:type="gramEnd"/>
    </w:p>
    <w:p w14:paraId="246A8B1B" w14:textId="77777777" w:rsidR="00666077" w:rsidRPr="00904D3B" w:rsidRDefault="00666077" w:rsidP="000E5730">
      <w:pPr>
        <w:numPr>
          <w:ilvl w:val="0"/>
          <w:numId w:val="4"/>
        </w:numPr>
        <w:spacing w:line="260" w:lineRule="atLeast"/>
        <w:ind w:left="360"/>
        <w:jc w:val="both"/>
        <w:rPr>
          <w:rFonts w:ascii="Arial" w:eastAsia="Times New Roman" w:hAnsi="Arial" w:cs="Arial"/>
          <w:sz w:val="20"/>
          <w:szCs w:val="24"/>
        </w:rPr>
      </w:pPr>
      <w:r>
        <w:rPr>
          <w:rFonts w:ascii="Arial" w:eastAsia="Times New Roman" w:hAnsi="Arial" w:cs="Arial"/>
          <w:sz w:val="20"/>
          <w:szCs w:val="24"/>
          <w:lang w:val="en-GB"/>
        </w:rPr>
        <w:t xml:space="preserve">a construction site, a project involving construction, assembly or mounting, or the related supervision, if the duration of the activities or business concerned exceeds 12 </w:t>
      </w:r>
      <w:proofErr w:type="gramStart"/>
      <w:r>
        <w:rPr>
          <w:rFonts w:ascii="Arial" w:eastAsia="Times New Roman" w:hAnsi="Arial" w:cs="Arial"/>
          <w:sz w:val="20"/>
          <w:szCs w:val="24"/>
          <w:lang w:val="en-GB"/>
        </w:rPr>
        <w:t>months;</w:t>
      </w:r>
      <w:proofErr w:type="gramEnd"/>
    </w:p>
    <w:p w14:paraId="266748DA" w14:textId="77777777" w:rsidR="00666077" w:rsidRPr="00904D3B" w:rsidRDefault="00666077" w:rsidP="000E5730">
      <w:pPr>
        <w:numPr>
          <w:ilvl w:val="0"/>
          <w:numId w:val="4"/>
        </w:numPr>
        <w:spacing w:line="260" w:lineRule="atLeast"/>
        <w:ind w:left="360"/>
        <w:jc w:val="both"/>
        <w:rPr>
          <w:rFonts w:ascii="Arial" w:eastAsia="Times New Roman" w:hAnsi="Arial" w:cs="Arial"/>
          <w:sz w:val="20"/>
          <w:szCs w:val="24"/>
        </w:rPr>
      </w:pPr>
      <w:r>
        <w:rPr>
          <w:rFonts w:ascii="Arial" w:eastAsia="Times New Roman" w:hAnsi="Arial" w:cs="Arial"/>
          <w:sz w:val="20"/>
          <w:szCs w:val="24"/>
          <w:lang w:val="en-GB"/>
        </w:rPr>
        <w:t>an agent that acts on behalf of a non-resident in all the activities or business for the non-resident if the agent holds and normally exercises authorisation to conclude contracts on behalf of the non-resident, unless the agent’s activities or business are limited to those referred to in Article 7 of the ZDDPO-2 such as activities of a preparatory or ancillary nature), due to which the place of business in question would not be deemed to be the non-resident's business unit;</w:t>
      </w:r>
    </w:p>
    <w:p w14:paraId="636295F4" w14:textId="4F974D81" w:rsidR="00666077" w:rsidRPr="00904D3B" w:rsidRDefault="00666077" w:rsidP="000E5730">
      <w:pPr>
        <w:numPr>
          <w:ilvl w:val="0"/>
          <w:numId w:val="4"/>
        </w:numPr>
        <w:spacing w:line="260" w:lineRule="atLeast"/>
        <w:ind w:left="360"/>
        <w:jc w:val="both"/>
        <w:rPr>
          <w:rFonts w:ascii="Arial" w:eastAsia="Times New Roman" w:hAnsi="Arial" w:cs="Arial"/>
          <w:sz w:val="20"/>
          <w:szCs w:val="24"/>
        </w:rPr>
      </w:pPr>
      <w:r>
        <w:rPr>
          <w:rFonts w:ascii="Arial" w:eastAsia="Times New Roman" w:hAnsi="Arial" w:cs="Arial"/>
          <w:sz w:val="20"/>
          <w:szCs w:val="24"/>
          <w:lang w:val="en-GB"/>
        </w:rPr>
        <w:t>an agent that, on its own behalf, acts for the non-resident as a stockbroker within the framework of its regular activities, an agent holding a general authorisation or any other independent agent where the agent in whole or in part acts on behalf of the non-resident and where the conditions and circumstances pertaining to business and financial relations between the non-resident and agent in question differ from those that would</w:t>
      </w:r>
      <w:r w:rsidR="00C533C4">
        <w:rPr>
          <w:rFonts w:ascii="Arial" w:eastAsia="Times New Roman" w:hAnsi="Arial" w:cs="Arial"/>
          <w:sz w:val="20"/>
          <w:szCs w:val="24"/>
          <w:lang w:val="en-GB"/>
        </w:rPr>
        <w:t xml:space="preserve"> exist in relations between </w:t>
      </w:r>
      <w:proofErr w:type="spellStart"/>
      <w:r w:rsidR="00C533C4">
        <w:rPr>
          <w:rFonts w:ascii="Arial" w:eastAsia="Times New Roman" w:hAnsi="Arial" w:cs="Arial"/>
          <w:sz w:val="20"/>
          <w:szCs w:val="24"/>
          <w:lang w:val="en-GB"/>
        </w:rPr>
        <w:t>un</w:t>
      </w:r>
      <w:r w:rsidR="003E0B4B">
        <w:rPr>
          <w:rFonts w:ascii="Arial" w:eastAsia="Times New Roman" w:hAnsi="Arial" w:cs="Arial"/>
          <w:sz w:val="20"/>
          <w:szCs w:val="24"/>
          <w:lang w:val="en-GB"/>
        </w:rPr>
        <w:t>associated</w:t>
      </w:r>
      <w:proofErr w:type="spellEnd"/>
      <w:r>
        <w:rPr>
          <w:rFonts w:ascii="Arial" w:eastAsia="Times New Roman" w:hAnsi="Arial" w:cs="Arial"/>
          <w:sz w:val="20"/>
          <w:szCs w:val="24"/>
          <w:lang w:val="en-GB"/>
        </w:rPr>
        <w:t xml:space="preserve"> parties.</w:t>
      </w:r>
    </w:p>
    <w:p w14:paraId="581FABC6" w14:textId="77777777" w:rsidR="00666077" w:rsidRPr="00904D3B" w:rsidRDefault="00666077" w:rsidP="000E5730">
      <w:pPr>
        <w:spacing w:line="260" w:lineRule="atLeast"/>
        <w:jc w:val="both"/>
        <w:rPr>
          <w:rFonts w:ascii="Arial" w:eastAsia="Times New Roman" w:hAnsi="Arial" w:cs="Arial"/>
          <w:sz w:val="20"/>
          <w:szCs w:val="24"/>
        </w:rPr>
      </w:pPr>
    </w:p>
    <w:p w14:paraId="520DA79D" w14:textId="77777777" w:rsidR="00666077" w:rsidRPr="00904D3B" w:rsidRDefault="00666077" w:rsidP="000E5730">
      <w:pPr>
        <w:spacing w:line="260" w:lineRule="atLeast"/>
        <w:jc w:val="both"/>
        <w:rPr>
          <w:rFonts w:ascii="Arial" w:eastAsia="Times New Roman" w:hAnsi="Arial" w:cs="Arial"/>
          <w:sz w:val="20"/>
          <w:szCs w:val="24"/>
        </w:rPr>
      </w:pPr>
      <w:r>
        <w:rPr>
          <w:rFonts w:ascii="Arial" w:eastAsia="Times New Roman" w:hAnsi="Arial" w:cs="Arial"/>
          <w:sz w:val="20"/>
          <w:szCs w:val="24"/>
          <w:lang w:val="en-GB"/>
        </w:rPr>
        <w:t xml:space="preserve">The conditions for the existence of a non-resident business unit are regulated in Slovenian national legislation similarly to international agreements concluded by the Republic of Slovenia and modelled on the OECD Model Convention, but there are differences in that the Model Convention additionally requires that the place of business is a permanent one. </w:t>
      </w:r>
      <w:proofErr w:type="gramStart"/>
      <w:r>
        <w:rPr>
          <w:rFonts w:ascii="Arial" w:eastAsia="Times New Roman" w:hAnsi="Arial" w:cs="Arial"/>
          <w:sz w:val="20"/>
          <w:szCs w:val="24"/>
          <w:lang w:val="en-GB"/>
        </w:rPr>
        <w:t>In the event that</w:t>
      </w:r>
      <w:proofErr w:type="gramEnd"/>
      <w:r>
        <w:rPr>
          <w:rFonts w:ascii="Arial" w:eastAsia="Times New Roman" w:hAnsi="Arial" w:cs="Arial"/>
          <w:sz w:val="20"/>
          <w:szCs w:val="24"/>
          <w:lang w:val="en-GB"/>
        </w:rPr>
        <w:t xml:space="preserve"> the Republic of Slovenia has signed a convention with another country, the conditions for the existence of a business unit are also assessed according to the criteria of the Convention, especially compliance with the condition of permanence. The activity of a non-resident must be carried out on a permanent basis in a certain location – it must not be of a temporary nature.</w:t>
      </w:r>
    </w:p>
    <w:p w14:paraId="70E42652" w14:textId="77777777" w:rsidR="00666077" w:rsidRPr="00904D3B" w:rsidRDefault="00666077" w:rsidP="000E5730">
      <w:pPr>
        <w:spacing w:line="260" w:lineRule="atLeast"/>
        <w:jc w:val="both"/>
        <w:rPr>
          <w:rFonts w:ascii="Arial" w:eastAsia="Times New Roman" w:hAnsi="Arial" w:cs="Arial"/>
          <w:sz w:val="20"/>
          <w:szCs w:val="24"/>
        </w:rPr>
      </w:pPr>
    </w:p>
    <w:p w14:paraId="7B9F1464" w14:textId="77777777" w:rsidR="00666077" w:rsidRPr="00904D3B" w:rsidRDefault="00666077" w:rsidP="000E5730">
      <w:pPr>
        <w:spacing w:line="260" w:lineRule="atLeast"/>
        <w:jc w:val="both"/>
        <w:rPr>
          <w:rFonts w:ascii="Arial" w:eastAsia="Times New Roman" w:hAnsi="Arial" w:cs="Arial"/>
          <w:sz w:val="20"/>
          <w:szCs w:val="24"/>
        </w:rPr>
      </w:pPr>
      <w:r>
        <w:rPr>
          <w:rFonts w:ascii="Arial" w:eastAsia="Times New Roman" w:hAnsi="Arial" w:cs="Arial"/>
          <w:sz w:val="20"/>
          <w:szCs w:val="24"/>
          <w:lang w:val="en-GB"/>
        </w:rPr>
        <w:t xml:space="preserve">As regards the attribution of profits to permanent establishments, the transfer pricing rules of the OECD Guidelines and the OECD Report on the Attribution of Profits to Permanent Establishments, 2008 and 2010, apply. In the national legislation, </w:t>
      </w:r>
      <w:r>
        <w:rPr>
          <w:rFonts w:ascii="Arial" w:eastAsia="Times New Roman" w:hAnsi="Arial" w:cs="Arial"/>
          <w:b/>
          <w:bCs/>
          <w:sz w:val="20"/>
          <w:szCs w:val="24"/>
          <w:lang w:val="en-GB"/>
        </w:rPr>
        <w:t xml:space="preserve">Article 11 of ZDDPO-2 </w:t>
      </w:r>
      <w:r>
        <w:rPr>
          <w:rFonts w:ascii="Arial" w:eastAsia="Times New Roman" w:hAnsi="Arial" w:cs="Arial"/>
          <w:sz w:val="20"/>
          <w:szCs w:val="24"/>
          <w:lang w:val="en-GB"/>
        </w:rPr>
        <w:t xml:space="preserve">defines the subject of taxation, which is a non-resident’s profit, achieved by performing activities or transactions in a business unit or through a business unit located in Slovenia. </w:t>
      </w:r>
      <w:r>
        <w:rPr>
          <w:rFonts w:ascii="Arial" w:eastAsia="Times New Roman" w:hAnsi="Arial" w:cs="Arial"/>
          <w:b/>
          <w:bCs/>
          <w:sz w:val="20"/>
          <w:szCs w:val="24"/>
          <w:lang w:val="en-GB"/>
        </w:rPr>
        <w:t>Article 12 of the ZDDPO-2</w:t>
      </w:r>
      <w:r>
        <w:rPr>
          <w:rFonts w:ascii="Arial" w:eastAsia="Times New Roman" w:hAnsi="Arial" w:cs="Arial"/>
          <w:sz w:val="20"/>
          <w:szCs w:val="24"/>
          <w:lang w:val="en-GB"/>
        </w:rPr>
        <w:t xml:space="preserve"> defines the tax base of a resident and non-resident in respect of activities or business performed either in or through a business unit in Slovenia. This is the profit established in accordance with the provisions of this Act. Paragraph four of the same Article of the </w:t>
      </w:r>
      <w:proofErr w:type="gramStart"/>
      <w:r>
        <w:rPr>
          <w:rFonts w:ascii="Arial" w:eastAsia="Times New Roman" w:hAnsi="Arial" w:cs="Arial"/>
          <w:sz w:val="20"/>
          <w:szCs w:val="24"/>
          <w:lang w:val="en-GB"/>
        </w:rPr>
        <w:t>aforementioned Act</w:t>
      </w:r>
      <w:proofErr w:type="gramEnd"/>
      <w:r>
        <w:rPr>
          <w:rFonts w:ascii="Arial" w:eastAsia="Times New Roman" w:hAnsi="Arial" w:cs="Arial"/>
          <w:sz w:val="20"/>
          <w:szCs w:val="24"/>
          <w:lang w:val="en-GB"/>
        </w:rPr>
        <w:t xml:space="preserve"> determines that the profit of a non-resident's business unit in Slovenia is the profit that can be attributed to that business unit. The profit that can be attributed to the business unit is the profit that can be expected to be earned by that business unit if it were an independent taxable person performing the same or similar activity or business. Revenues earned by performing an activity or business in a non-resident’s business unit or through a non-resident’s business unit in Slovenia, and the actual costs which are incurred for the purposes of that business unit, including executive and general administrative costs, are attributed to that business unit whether incurred in Slovenia or elsewhere.</w:t>
      </w:r>
    </w:p>
    <w:p w14:paraId="20DE433B" w14:textId="77777777" w:rsidR="00666077" w:rsidRPr="00904D3B" w:rsidRDefault="00666077" w:rsidP="000E5730">
      <w:pPr>
        <w:spacing w:line="260" w:lineRule="atLeast"/>
        <w:jc w:val="both"/>
        <w:rPr>
          <w:rFonts w:ascii="Arial" w:eastAsia="Times New Roman" w:hAnsi="Arial" w:cs="Arial"/>
          <w:sz w:val="20"/>
          <w:szCs w:val="24"/>
        </w:rPr>
      </w:pPr>
    </w:p>
    <w:p w14:paraId="09C5EE80" w14:textId="6419D5FD" w:rsidR="00666077" w:rsidRPr="00904D3B" w:rsidRDefault="00666077" w:rsidP="000E5730">
      <w:pPr>
        <w:spacing w:line="260" w:lineRule="atLeast"/>
        <w:jc w:val="both"/>
        <w:rPr>
          <w:rFonts w:ascii="Arial" w:eastAsia="Times New Roman" w:hAnsi="Arial" w:cs="Arial"/>
          <w:sz w:val="20"/>
          <w:szCs w:val="24"/>
        </w:rPr>
      </w:pPr>
      <w:r>
        <w:rPr>
          <w:rFonts w:ascii="Arial" w:eastAsia="Times New Roman" w:hAnsi="Arial" w:cs="Arial"/>
          <w:b/>
          <w:bCs/>
          <w:sz w:val="20"/>
          <w:szCs w:val="24"/>
          <w:lang w:val="en-GB"/>
        </w:rPr>
        <w:t>Article 18 of the ZDDPO-2, in conjunction with Article 382 of the Tax Procedure Act (Z</w:t>
      </w:r>
      <w:r w:rsidR="00446AD2">
        <w:rPr>
          <w:rFonts w:ascii="Arial" w:eastAsia="Times New Roman" w:hAnsi="Arial" w:cs="Arial"/>
          <w:b/>
          <w:bCs/>
          <w:sz w:val="20"/>
          <w:szCs w:val="24"/>
          <w:lang w:val="en-GB"/>
        </w:rPr>
        <w:t>D</w:t>
      </w:r>
      <w:r>
        <w:rPr>
          <w:rFonts w:ascii="Arial" w:eastAsia="Times New Roman" w:hAnsi="Arial" w:cs="Arial"/>
          <w:b/>
          <w:bCs/>
          <w:sz w:val="20"/>
          <w:szCs w:val="24"/>
          <w:lang w:val="en-GB"/>
        </w:rPr>
        <w:t>avP-2), determines</w:t>
      </w:r>
      <w:r>
        <w:rPr>
          <w:rFonts w:ascii="Arial" w:eastAsia="Times New Roman" w:hAnsi="Arial" w:cs="Arial"/>
          <w:sz w:val="20"/>
          <w:szCs w:val="24"/>
          <w:lang w:val="en-GB"/>
        </w:rPr>
        <w:t xml:space="preserve"> what data taxable persons dealing with </w:t>
      </w:r>
      <w:r w:rsidR="003E0B4B">
        <w:rPr>
          <w:rFonts w:ascii="Arial" w:eastAsia="Times New Roman" w:hAnsi="Arial" w:cs="Arial"/>
          <w:sz w:val="20"/>
          <w:szCs w:val="24"/>
          <w:lang w:val="en-GB"/>
        </w:rPr>
        <w:t>associated</w:t>
      </w:r>
      <w:r>
        <w:rPr>
          <w:rFonts w:ascii="Arial" w:eastAsia="Times New Roman" w:hAnsi="Arial" w:cs="Arial"/>
          <w:sz w:val="20"/>
          <w:szCs w:val="24"/>
          <w:lang w:val="en-GB"/>
        </w:rPr>
        <w:t xml:space="preserve"> parties are required to provide to the tax authority in the event of a transfer pricing tax audit (see more about transfer pricing documents below). Country-by-country reporting provisions (hereinafter: </w:t>
      </w:r>
      <w:proofErr w:type="spellStart"/>
      <w:r>
        <w:rPr>
          <w:rFonts w:ascii="Arial" w:eastAsia="Times New Roman" w:hAnsi="Arial" w:cs="Arial"/>
          <w:sz w:val="20"/>
          <w:szCs w:val="24"/>
          <w:lang w:val="en-GB"/>
        </w:rPr>
        <w:t>CbCR</w:t>
      </w:r>
      <w:proofErr w:type="spellEnd"/>
      <w:r>
        <w:rPr>
          <w:rFonts w:ascii="Arial" w:eastAsia="Times New Roman" w:hAnsi="Arial" w:cs="Arial"/>
          <w:sz w:val="20"/>
          <w:szCs w:val="24"/>
          <w:lang w:val="en-GB"/>
        </w:rPr>
        <w:t xml:space="preserve">) are laid down by </w:t>
      </w:r>
      <w:r>
        <w:rPr>
          <w:rFonts w:ascii="Arial" w:eastAsia="Times New Roman" w:hAnsi="Arial" w:cs="Arial"/>
          <w:b/>
          <w:bCs/>
          <w:sz w:val="20"/>
          <w:szCs w:val="24"/>
          <w:lang w:val="en-GB"/>
        </w:rPr>
        <w:t>Article 284b of the Z</w:t>
      </w:r>
      <w:r w:rsidR="00446AD2">
        <w:rPr>
          <w:rFonts w:ascii="Arial" w:eastAsia="Times New Roman" w:hAnsi="Arial" w:cs="Arial"/>
          <w:b/>
          <w:bCs/>
          <w:sz w:val="20"/>
          <w:szCs w:val="24"/>
          <w:lang w:val="en-GB"/>
        </w:rPr>
        <w:t>D</w:t>
      </w:r>
      <w:r>
        <w:rPr>
          <w:rFonts w:ascii="Arial" w:eastAsia="Times New Roman" w:hAnsi="Arial" w:cs="Arial"/>
          <w:b/>
          <w:bCs/>
          <w:sz w:val="20"/>
          <w:szCs w:val="24"/>
          <w:lang w:val="en-GB"/>
        </w:rPr>
        <w:t xml:space="preserve">avP-2 and Chapter IIIB (Articles 255i-255.l) and by Articles 86c-86g of the Rules on the Implementation of the Tax Procedure Act </w:t>
      </w:r>
      <w:r>
        <w:rPr>
          <w:rFonts w:ascii="Arial" w:eastAsia="Times New Roman" w:hAnsi="Arial" w:cs="Arial"/>
          <w:sz w:val="20"/>
          <w:szCs w:val="24"/>
          <w:lang w:val="en-GB"/>
        </w:rPr>
        <w:t>(see also Annex 21).</w:t>
      </w:r>
    </w:p>
    <w:p w14:paraId="095B6398" w14:textId="77777777" w:rsidR="00666077" w:rsidRPr="00904D3B" w:rsidRDefault="00666077" w:rsidP="000E5730">
      <w:pPr>
        <w:spacing w:line="260" w:lineRule="atLeast"/>
        <w:jc w:val="both"/>
        <w:rPr>
          <w:rFonts w:ascii="Arial" w:eastAsia="Times New Roman" w:hAnsi="Arial" w:cs="Arial"/>
          <w:sz w:val="20"/>
          <w:szCs w:val="24"/>
        </w:rPr>
      </w:pPr>
    </w:p>
    <w:p w14:paraId="12086F73" w14:textId="4E33323C" w:rsidR="00666077" w:rsidRPr="00904D3B" w:rsidRDefault="00666077" w:rsidP="000E5730">
      <w:pPr>
        <w:spacing w:line="260" w:lineRule="atLeast"/>
        <w:jc w:val="both"/>
        <w:rPr>
          <w:rFonts w:ascii="Arial" w:eastAsia="Times New Roman" w:hAnsi="Arial" w:cs="Arial"/>
          <w:sz w:val="20"/>
          <w:szCs w:val="24"/>
        </w:rPr>
      </w:pPr>
      <w:r>
        <w:rPr>
          <w:rFonts w:ascii="Arial" w:eastAsia="Times New Roman" w:hAnsi="Arial" w:cs="Arial"/>
          <w:sz w:val="20"/>
          <w:szCs w:val="24"/>
          <w:lang w:val="en-GB"/>
        </w:rPr>
        <w:t xml:space="preserve">The transfer pricing documents must be in the Slovenian language. If the documents are not in Slovene, a person referred to in </w:t>
      </w:r>
      <w:r>
        <w:rPr>
          <w:rFonts w:ascii="Arial" w:eastAsia="Times New Roman" w:hAnsi="Arial" w:cs="Arial"/>
          <w:b/>
          <w:bCs/>
          <w:sz w:val="20"/>
          <w:szCs w:val="24"/>
          <w:lang w:val="en-GB"/>
        </w:rPr>
        <w:t>Article 32 of the Z</w:t>
      </w:r>
      <w:r w:rsidR="00446AD2">
        <w:rPr>
          <w:rFonts w:ascii="Arial" w:eastAsia="Times New Roman" w:hAnsi="Arial" w:cs="Arial"/>
          <w:b/>
          <w:bCs/>
          <w:sz w:val="20"/>
          <w:szCs w:val="24"/>
          <w:lang w:val="en-GB"/>
        </w:rPr>
        <w:t>D</w:t>
      </w:r>
      <w:r>
        <w:rPr>
          <w:rFonts w:ascii="Arial" w:eastAsia="Times New Roman" w:hAnsi="Arial" w:cs="Arial"/>
          <w:b/>
          <w:bCs/>
          <w:sz w:val="20"/>
          <w:szCs w:val="24"/>
          <w:lang w:val="en-GB"/>
        </w:rPr>
        <w:t xml:space="preserve">avP-2 </w:t>
      </w:r>
      <w:r>
        <w:rPr>
          <w:rFonts w:ascii="Arial" w:eastAsia="Times New Roman" w:hAnsi="Arial" w:cs="Arial"/>
          <w:sz w:val="20"/>
          <w:szCs w:val="24"/>
          <w:lang w:val="en-GB"/>
        </w:rPr>
        <w:t xml:space="preserve">must, at the request of the competent tax authority and within the period set by the latter, submit certified translations of the documents requested at its own expense. If the person liable for tax fails to submit the translated document, the tax authority will commission a translation at the expense of the person liable for tax.  </w:t>
      </w:r>
    </w:p>
    <w:p w14:paraId="68A84F37" w14:textId="77777777" w:rsidR="00666077" w:rsidRPr="00904D3B" w:rsidRDefault="00666077" w:rsidP="000E5730">
      <w:pPr>
        <w:spacing w:line="260" w:lineRule="atLeast"/>
        <w:jc w:val="both"/>
        <w:rPr>
          <w:rFonts w:ascii="Arial" w:eastAsia="Times New Roman" w:hAnsi="Arial" w:cs="Arial"/>
          <w:sz w:val="20"/>
          <w:szCs w:val="24"/>
        </w:rPr>
      </w:pPr>
    </w:p>
    <w:p w14:paraId="1BF3D2EA" w14:textId="1D1B1425" w:rsidR="00666077" w:rsidRPr="00904D3B" w:rsidRDefault="00666077" w:rsidP="000E5730">
      <w:pPr>
        <w:spacing w:line="260" w:lineRule="atLeast"/>
        <w:jc w:val="both"/>
        <w:rPr>
          <w:rFonts w:ascii="Arial" w:eastAsia="Times New Roman" w:hAnsi="Arial" w:cs="Arial"/>
          <w:sz w:val="20"/>
          <w:szCs w:val="24"/>
        </w:rPr>
      </w:pPr>
      <w:r>
        <w:rPr>
          <w:rFonts w:ascii="Arial" w:eastAsia="Times New Roman" w:hAnsi="Arial" w:cs="Arial"/>
          <w:b/>
          <w:bCs/>
          <w:sz w:val="20"/>
          <w:szCs w:val="24"/>
          <w:lang w:val="en-GB"/>
        </w:rPr>
        <w:t>Article 39 of ZDavP-2</w:t>
      </w:r>
      <w:r>
        <w:rPr>
          <w:rFonts w:ascii="Arial" w:eastAsia="Times New Roman" w:hAnsi="Arial" w:cs="Arial"/>
          <w:sz w:val="20"/>
          <w:szCs w:val="24"/>
          <w:lang w:val="en-GB"/>
        </w:rPr>
        <w:t xml:space="preserve">, which lays down the obligation to provide data, and </w:t>
      </w:r>
      <w:r>
        <w:rPr>
          <w:rFonts w:ascii="Arial" w:eastAsia="Times New Roman" w:hAnsi="Arial" w:cs="Arial"/>
          <w:b/>
          <w:bCs/>
          <w:sz w:val="20"/>
          <w:szCs w:val="24"/>
          <w:lang w:val="en-GB"/>
        </w:rPr>
        <w:t>Article 40 of ZDavP-2,</w:t>
      </w:r>
      <w:r>
        <w:rPr>
          <w:rFonts w:ascii="Arial" w:eastAsia="Times New Roman" w:hAnsi="Arial" w:cs="Arial"/>
          <w:sz w:val="20"/>
          <w:szCs w:val="24"/>
          <w:lang w:val="en-GB"/>
        </w:rPr>
        <w:t xml:space="preserve"> which lays down the obligation to provide documents of </w:t>
      </w:r>
      <w:r w:rsidR="003E0B4B">
        <w:rPr>
          <w:rFonts w:ascii="Arial" w:eastAsia="Times New Roman" w:hAnsi="Arial" w:cs="Arial"/>
          <w:sz w:val="20"/>
          <w:szCs w:val="24"/>
          <w:lang w:val="en-GB"/>
        </w:rPr>
        <w:t>associated</w:t>
      </w:r>
      <w:r>
        <w:rPr>
          <w:rFonts w:ascii="Arial" w:eastAsia="Times New Roman" w:hAnsi="Arial" w:cs="Arial"/>
          <w:sz w:val="20"/>
          <w:szCs w:val="24"/>
          <w:lang w:val="en-GB"/>
        </w:rPr>
        <w:t xml:space="preserve"> parties that are non-residents of Slovenia, also form a very important legal basis for obtaining additional information. </w:t>
      </w:r>
    </w:p>
    <w:p w14:paraId="73EF1DFE" w14:textId="77777777" w:rsidR="00666077" w:rsidRPr="00904D3B" w:rsidRDefault="00666077" w:rsidP="000E5730">
      <w:pPr>
        <w:spacing w:line="260" w:lineRule="atLeast"/>
        <w:jc w:val="both"/>
        <w:rPr>
          <w:rFonts w:ascii="Arial" w:eastAsia="Times New Roman" w:hAnsi="Arial" w:cs="Arial"/>
          <w:sz w:val="20"/>
          <w:szCs w:val="24"/>
        </w:rPr>
      </w:pPr>
    </w:p>
    <w:p w14:paraId="375E81F3" w14:textId="77777777" w:rsidR="00666077" w:rsidRDefault="00666077" w:rsidP="000E5730">
      <w:pPr>
        <w:spacing w:line="260" w:lineRule="atLeast"/>
        <w:jc w:val="both"/>
        <w:rPr>
          <w:rFonts w:ascii="Arial" w:eastAsia="Times New Roman" w:hAnsi="Arial" w:cs="Arial"/>
          <w:b/>
          <w:sz w:val="20"/>
          <w:szCs w:val="24"/>
        </w:rPr>
      </w:pPr>
      <w:r>
        <w:rPr>
          <w:rFonts w:ascii="Arial" w:eastAsia="Times New Roman" w:hAnsi="Arial" w:cs="Arial"/>
          <w:sz w:val="20"/>
          <w:szCs w:val="24"/>
          <w:lang w:val="en-GB"/>
        </w:rPr>
        <w:t xml:space="preserve">With regard to the calculation of corporate income tax and transfer pricing, it is necessary to point out the provisions relating to the taxation of income earned in Slovenia, </w:t>
      </w:r>
      <w:r>
        <w:rPr>
          <w:rFonts w:ascii="Arial" w:eastAsia="Times New Roman" w:hAnsi="Arial" w:cs="Arial"/>
          <w:b/>
          <w:bCs/>
          <w:sz w:val="20"/>
          <w:szCs w:val="24"/>
          <w:lang w:val="en-GB"/>
        </w:rPr>
        <w:t>namely the provisions of Articles 70, 71, 72 and 74 of the ZDDPO-2 and the provisions of Articles 49, 57 to 60, Articles 74, 125, 260, 262, 375 to 378 and 383a to 383g of the ZDavP-2.</w:t>
      </w:r>
    </w:p>
    <w:p w14:paraId="3FAC17AD" w14:textId="77777777" w:rsidR="000E5730" w:rsidRPr="00904D3B" w:rsidRDefault="000E5730" w:rsidP="000E5730">
      <w:pPr>
        <w:spacing w:line="260" w:lineRule="atLeast"/>
        <w:jc w:val="both"/>
        <w:rPr>
          <w:rFonts w:ascii="Arial" w:eastAsia="Times New Roman" w:hAnsi="Arial" w:cs="Arial"/>
          <w:sz w:val="20"/>
          <w:szCs w:val="24"/>
        </w:rPr>
      </w:pPr>
    </w:p>
    <w:p w14:paraId="48151DDD" w14:textId="77777777" w:rsidR="00546123" w:rsidRPr="004F2499" w:rsidRDefault="00546123" w:rsidP="00756903">
      <w:pPr>
        <w:rPr>
          <w:rFonts w:ascii="Arial" w:hAnsi="Arial" w:cs="Arial"/>
          <w:sz w:val="20"/>
        </w:rPr>
      </w:pPr>
    </w:p>
    <w:p w14:paraId="6D279534" w14:textId="32E09BF2" w:rsidR="00666077" w:rsidRPr="00C761FB" w:rsidRDefault="00666077" w:rsidP="00756903">
      <w:pPr>
        <w:pStyle w:val="Naslov2"/>
        <w:spacing w:before="0" w:after="0" w:line="240" w:lineRule="atLeast"/>
        <w:rPr>
          <w:rFonts w:cs="Arial"/>
        </w:rPr>
      </w:pPr>
      <w:bookmarkStart w:id="6" w:name="_Toc103257425"/>
      <w:r>
        <w:rPr>
          <w:rFonts w:cs="Arial"/>
          <w:iCs w:val="0"/>
          <w:lang w:val="en-GB"/>
        </w:rPr>
        <w:t xml:space="preserve">1.3 REPORTING BY TAXABLE PERSONS DOING BUSINESS WITH </w:t>
      </w:r>
      <w:r w:rsidR="003E0B4B">
        <w:rPr>
          <w:rFonts w:cs="Arial"/>
          <w:iCs w:val="0"/>
          <w:lang w:val="en-GB"/>
        </w:rPr>
        <w:t>ASSOCIATED</w:t>
      </w:r>
      <w:r>
        <w:rPr>
          <w:rFonts w:cs="Arial"/>
          <w:iCs w:val="0"/>
          <w:lang w:val="en-GB"/>
        </w:rPr>
        <w:t xml:space="preserve"> PARTIES</w:t>
      </w:r>
      <w:bookmarkEnd w:id="6"/>
    </w:p>
    <w:p w14:paraId="2293D7A4" w14:textId="77777777" w:rsidR="00062CEF" w:rsidRPr="00F27413" w:rsidRDefault="00062CEF" w:rsidP="00756903">
      <w:pPr>
        <w:tabs>
          <w:tab w:val="left" w:pos="3402"/>
        </w:tabs>
        <w:jc w:val="both"/>
        <w:rPr>
          <w:rFonts w:ascii="Arial" w:eastAsia="Times New Roman" w:hAnsi="Arial" w:cs="Arial"/>
          <w:b/>
          <w:sz w:val="20"/>
          <w:szCs w:val="20"/>
        </w:rPr>
      </w:pPr>
    </w:p>
    <w:p w14:paraId="1CC469D9" w14:textId="7F079AAA" w:rsidR="00666077" w:rsidRPr="00904D3B" w:rsidRDefault="00666077" w:rsidP="000E5730">
      <w:pPr>
        <w:spacing w:line="260" w:lineRule="atLeast"/>
        <w:jc w:val="both"/>
        <w:rPr>
          <w:rFonts w:ascii="Arial" w:eastAsia="Times New Roman" w:hAnsi="Arial" w:cs="Arial"/>
          <w:sz w:val="20"/>
          <w:szCs w:val="24"/>
        </w:rPr>
      </w:pPr>
      <w:r>
        <w:rPr>
          <w:rFonts w:ascii="Arial" w:eastAsia="Times New Roman" w:hAnsi="Arial" w:cs="Arial"/>
          <w:sz w:val="20"/>
          <w:szCs w:val="24"/>
          <w:lang w:val="en-GB"/>
        </w:rPr>
        <w:t xml:space="preserve">At the end of the tax period, taxable persons are required to fill in the </w:t>
      </w:r>
      <w:r>
        <w:rPr>
          <w:rFonts w:ascii="Arial" w:eastAsia="Times New Roman" w:hAnsi="Arial" w:cs="Arial"/>
          <w:b/>
          <w:bCs/>
          <w:sz w:val="20"/>
          <w:szCs w:val="24"/>
          <w:lang w:val="en-GB"/>
        </w:rPr>
        <w:t>Corporate Income Tax Return Form with annexes</w:t>
      </w:r>
      <w:r>
        <w:rPr>
          <w:rFonts w:ascii="Arial" w:eastAsia="Times New Roman" w:hAnsi="Arial" w:cs="Arial"/>
          <w:sz w:val="20"/>
          <w:szCs w:val="24"/>
          <w:lang w:val="en-GB"/>
        </w:rPr>
        <w:t xml:space="preserve"> (hereinafter: the CIT form), as provided by the </w:t>
      </w:r>
      <w:r>
        <w:rPr>
          <w:rFonts w:ascii="Arial" w:eastAsia="Times New Roman" w:hAnsi="Arial" w:cs="Arial"/>
          <w:b/>
          <w:bCs/>
          <w:sz w:val="20"/>
          <w:szCs w:val="24"/>
          <w:lang w:val="en-GB"/>
        </w:rPr>
        <w:t>CIT Calculation Rules</w:t>
      </w:r>
      <w:r>
        <w:rPr>
          <w:rFonts w:ascii="Arial" w:eastAsia="Times New Roman" w:hAnsi="Arial" w:cs="Arial"/>
          <w:szCs w:val="24"/>
          <w:vertAlign w:val="superscript"/>
          <w:lang w:val="en-GB"/>
        </w:rPr>
        <w:footnoteReference w:id="5"/>
      </w:r>
      <w:r>
        <w:rPr>
          <w:rFonts w:ascii="Arial" w:eastAsia="Times New Roman" w:hAnsi="Arial" w:cs="Arial"/>
          <w:sz w:val="20"/>
          <w:szCs w:val="24"/>
          <w:lang w:val="en-GB"/>
        </w:rPr>
        <w:t xml:space="preserve">. Where taxable persons are doing business with </w:t>
      </w:r>
      <w:r w:rsidR="003E0B4B">
        <w:rPr>
          <w:rFonts w:ascii="Arial" w:eastAsia="Times New Roman" w:hAnsi="Arial" w:cs="Arial"/>
          <w:sz w:val="20"/>
          <w:szCs w:val="24"/>
          <w:lang w:val="en-GB"/>
        </w:rPr>
        <w:t>associated</w:t>
      </w:r>
      <w:r>
        <w:rPr>
          <w:rFonts w:ascii="Arial" w:eastAsia="Times New Roman" w:hAnsi="Arial" w:cs="Arial"/>
          <w:sz w:val="20"/>
          <w:szCs w:val="24"/>
          <w:lang w:val="en-GB"/>
        </w:rPr>
        <w:t xml:space="preserve"> parties, they must appropriately circle from among the general information on the first page of the CIT form that they are doing business with </w:t>
      </w:r>
      <w:r w:rsidR="003E0B4B">
        <w:rPr>
          <w:rFonts w:ascii="Arial" w:eastAsia="Times New Roman" w:hAnsi="Arial" w:cs="Arial"/>
          <w:sz w:val="20"/>
          <w:szCs w:val="24"/>
          <w:lang w:val="en-GB"/>
        </w:rPr>
        <w:t>associated</w:t>
      </w:r>
      <w:r>
        <w:rPr>
          <w:rFonts w:ascii="Arial" w:eastAsia="Times New Roman" w:hAnsi="Arial" w:cs="Arial"/>
          <w:sz w:val="20"/>
          <w:szCs w:val="24"/>
          <w:lang w:val="en-GB"/>
        </w:rPr>
        <w:t xml:space="preserve"> parties under Article 16 of the ZDDPO-2 or with resident </w:t>
      </w:r>
      <w:r w:rsidR="003E0B4B">
        <w:rPr>
          <w:rFonts w:ascii="Arial" w:eastAsia="Times New Roman" w:hAnsi="Arial" w:cs="Arial"/>
          <w:sz w:val="20"/>
          <w:szCs w:val="24"/>
          <w:lang w:val="en-GB"/>
        </w:rPr>
        <w:t>associated</w:t>
      </w:r>
      <w:r>
        <w:rPr>
          <w:rFonts w:ascii="Arial" w:eastAsia="Times New Roman" w:hAnsi="Arial" w:cs="Arial"/>
          <w:sz w:val="20"/>
          <w:szCs w:val="24"/>
          <w:lang w:val="en-GB"/>
        </w:rPr>
        <w:t xml:space="preserve"> parties under Article 17 of the ZDDPO-2. </w:t>
      </w:r>
      <w:proofErr w:type="gramStart"/>
      <w:r>
        <w:rPr>
          <w:rFonts w:ascii="Arial" w:eastAsia="Times New Roman" w:hAnsi="Arial" w:cs="Arial"/>
          <w:sz w:val="20"/>
          <w:szCs w:val="24"/>
          <w:lang w:val="en-GB"/>
        </w:rPr>
        <w:t>In the event that</w:t>
      </w:r>
      <w:proofErr w:type="gramEnd"/>
      <w:r>
        <w:rPr>
          <w:rFonts w:ascii="Arial" w:eastAsia="Times New Roman" w:hAnsi="Arial" w:cs="Arial"/>
          <w:sz w:val="20"/>
          <w:szCs w:val="24"/>
          <w:lang w:val="en-GB"/>
        </w:rPr>
        <w:t xml:space="preserve"> they have adjusted their tax base, they are required to provide information under the relevant items in Annex 1 to the corporate income tax return. Taxable persons are required to disclose whether they receive loans from or grant loans to the </w:t>
      </w:r>
      <w:r w:rsidR="003E0B4B">
        <w:rPr>
          <w:rFonts w:ascii="Arial" w:eastAsia="Times New Roman" w:hAnsi="Arial" w:cs="Arial"/>
          <w:sz w:val="20"/>
          <w:szCs w:val="24"/>
          <w:lang w:val="en-GB"/>
        </w:rPr>
        <w:t>associated</w:t>
      </w:r>
      <w:r>
        <w:rPr>
          <w:rFonts w:ascii="Arial" w:eastAsia="Times New Roman" w:hAnsi="Arial" w:cs="Arial"/>
          <w:sz w:val="20"/>
          <w:szCs w:val="24"/>
          <w:lang w:val="en-GB"/>
        </w:rPr>
        <w:t xml:space="preserve"> parties referred to in Articles 16 and 17 of the ZDDPO-2 and whether they had to adjust their tax base for the difference between the transfer and the comparable market price.</w:t>
      </w:r>
    </w:p>
    <w:p w14:paraId="361D774F" w14:textId="77777777" w:rsidR="00666077" w:rsidRPr="00904D3B" w:rsidRDefault="00666077" w:rsidP="000E5730">
      <w:pPr>
        <w:spacing w:line="260" w:lineRule="atLeast"/>
        <w:jc w:val="both"/>
        <w:rPr>
          <w:rFonts w:ascii="Arial" w:eastAsia="Times New Roman" w:hAnsi="Arial" w:cs="Arial"/>
          <w:sz w:val="20"/>
          <w:szCs w:val="24"/>
        </w:rPr>
      </w:pPr>
    </w:p>
    <w:p w14:paraId="2376E47F" w14:textId="677F6A08" w:rsidR="00D44187" w:rsidRDefault="00666077" w:rsidP="000E5730">
      <w:pPr>
        <w:spacing w:line="260" w:lineRule="atLeast"/>
        <w:jc w:val="both"/>
        <w:rPr>
          <w:rFonts w:ascii="Arial" w:eastAsia="Calibri" w:hAnsi="Arial" w:cs="Arial"/>
          <w:noProof/>
          <w:sz w:val="20"/>
          <w:szCs w:val="20"/>
          <w:lang w:val="en-GB"/>
        </w:rPr>
      </w:pPr>
      <w:r>
        <w:rPr>
          <w:rFonts w:ascii="Arial" w:eastAsia="Calibri" w:hAnsi="Arial" w:cs="Arial"/>
          <w:noProof/>
          <w:sz w:val="20"/>
          <w:szCs w:val="20"/>
          <w:lang w:val="en-GB"/>
        </w:rPr>
        <w:t xml:space="preserve">The table below shows CIT form items relating to transactions with </w:t>
      </w:r>
      <w:r w:rsidR="003E0B4B">
        <w:rPr>
          <w:rFonts w:ascii="Arial" w:eastAsia="Calibri" w:hAnsi="Arial" w:cs="Arial"/>
          <w:noProof/>
          <w:sz w:val="20"/>
          <w:szCs w:val="20"/>
          <w:lang w:val="en-GB"/>
        </w:rPr>
        <w:t>associated</w:t>
      </w:r>
      <w:r>
        <w:rPr>
          <w:rFonts w:ascii="Arial" w:eastAsia="Calibri" w:hAnsi="Arial" w:cs="Arial"/>
          <w:noProof/>
          <w:sz w:val="20"/>
          <w:szCs w:val="20"/>
          <w:lang w:val="en-GB"/>
        </w:rPr>
        <w:t xml:space="preserve"> parties:</w:t>
      </w:r>
    </w:p>
    <w:p w14:paraId="1E13B410" w14:textId="74EF86A7" w:rsidR="00120383" w:rsidRDefault="00120383" w:rsidP="000E5730">
      <w:pPr>
        <w:spacing w:line="260" w:lineRule="atLeast"/>
        <w:jc w:val="both"/>
        <w:rPr>
          <w:rFonts w:ascii="Arial" w:eastAsia="Calibri" w:hAnsi="Arial" w:cs="Arial"/>
          <w:noProof/>
          <w:sz w:val="20"/>
          <w:szCs w:val="20"/>
        </w:rPr>
      </w:pPr>
    </w:p>
    <w:p w14:paraId="240DA164" w14:textId="39F54262" w:rsidR="00120383" w:rsidRDefault="00120383" w:rsidP="000E5730">
      <w:pPr>
        <w:spacing w:line="260" w:lineRule="atLeast"/>
        <w:jc w:val="both"/>
        <w:rPr>
          <w:rFonts w:ascii="Arial" w:eastAsia="Calibri" w:hAnsi="Arial" w:cs="Arial"/>
          <w:noProof/>
          <w:sz w:val="20"/>
          <w:szCs w:val="20"/>
        </w:rPr>
      </w:pPr>
    </w:p>
    <w:p w14:paraId="11008744" w14:textId="5C51F120" w:rsidR="00120383" w:rsidRDefault="00120383" w:rsidP="000E5730">
      <w:pPr>
        <w:spacing w:line="260" w:lineRule="atLeast"/>
        <w:jc w:val="both"/>
        <w:rPr>
          <w:rFonts w:ascii="Arial" w:eastAsia="Calibri" w:hAnsi="Arial" w:cs="Arial"/>
          <w:noProof/>
          <w:sz w:val="20"/>
          <w:szCs w:val="20"/>
        </w:rPr>
      </w:pPr>
    </w:p>
    <w:p w14:paraId="4E9C4605" w14:textId="77777777" w:rsidR="00120383" w:rsidRPr="00AA2C04" w:rsidRDefault="00120383" w:rsidP="000E5730">
      <w:pPr>
        <w:spacing w:line="260" w:lineRule="atLeast"/>
        <w:jc w:val="both"/>
        <w:rPr>
          <w:rFonts w:ascii="Arial" w:eastAsia="Calibri" w:hAnsi="Arial" w:cs="Arial"/>
          <w:noProof/>
          <w:sz w:val="20"/>
          <w:szCs w:val="20"/>
        </w:rPr>
      </w:pPr>
    </w:p>
    <w:tbl>
      <w:tblPr>
        <w:tblW w:w="86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6263"/>
      </w:tblGrid>
      <w:tr w:rsidR="00666077" w:rsidRPr="00904D3B" w14:paraId="13ACCA8F" w14:textId="77777777" w:rsidTr="00120383">
        <w:tc>
          <w:tcPr>
            <w:tcW w:w="2381" w:type="dxa"/>
            <w:shd w:val="clear" w:color="auto" w:fill="D9D9D9" w:themeFill="background1" w:themeFillShade="D9"/>
            <w:vAlign w:val="center"/>
          </w:tcPr>
          <w:p w14:paraId="2328AAF7" w14:textId="77777777" w:rsidR="00666077" w:rsidRPr="00831279" w:rsidRDefault="00666077" w:rsidP="00756903">
            <w:pPr>
              <w:jc w:val="center"/>
              <w:rPr>
                <w:rFonts w:ascii="Arial" w:eastAsia="Times New Roman" w:hAnsi="Arial" w:cs="Arial"/>
                <w:b/>
                <w:noProof/>
                <w:color w:val="000000"/>
                <w:kern w:val="24"/>
                <w:sz w:val="18"/>
                <w:szCs w:val="18"/>
              </w:rPr>
            </w:pPr>
            <w:r>
              <w:rPr>
                <w:rFonts w:ascii="Arial" w:eastAsia="Times New Roman" w:hAnsi="Arial" w:cs="Arial"/>
                <w:b/>
                <w:bCs/>
                <w:noProof/>
                <w:color w:val="000000"/>
                <w:kern w:val="24"/>
                <w:sz w:val="18"/>
                <w:szCs w:val="18"/>
                <w:lang w:val="en-GB"/>
              </w:rPr>
              <w:t>Ref. No. in the CIT form</w:t>
            </w:r>
          </w:p>
        </w:tc>
        <w:tc>
          <w:tcPr>
            <w:tcW w:w="6263" w:type="dxa"/>
            <w:shd w:val="clear" w:color="auto" w:fill="D9D9D9" w:themeFill="background1" w:themeFillShade="D9"/>
            <w:vAlign w:val="center"/>
          </w:tcPr>
          <w:p w14:paraId="6A337C80" w14:textId="77777777" w:rsidR="00546123" w:rsidRDefault="00546123" w:rsidP="00756903">
            <w:pPr>
              <w:jc w:val="center"/>
              <w:rPr>
                <w:rFonts w:ascii="Arial" w:eastAsia="Times New Roman" w:hAnsi="Arial" w:cs="Arial"/>
                <w:b/>
                <w:noProof/>
                <w:color w:val="000000"/>
                <w:kern w:val="24"/>
                <w:sz w:val="18"/>
                <w:szCs w:val="18"/>
              </w:rPr>
            </w:pPr>
          </w:p>
          <w:p w14:paraId="543C323C" w14:textId="77777777" w:rsidR="00666077" w:rsidRDefault="00666077" w:rsidP="00756903">
            <w:pPr>
              <w:jc w:val="center"/>
              <w:rPr>
                <w:rFonts w:ascii="Arial" w:eastAsia="Times New Roman" w:hAnsi="Arial" w:cs="Arial"/>
                <w:b/>
                <w:noProof/>
                <w:color w:val="000000"/>
                <w:kern w:val="24"/>
                <w:sz w:val="18"/>
                <w:szCs w:val="18"/>
              </w:rPr>
            </w:pPr>
            <w:r>
              <w:rPr>
                <w:rFonts w:ascii="Arial" w:eastAsia="Times New Roman" w:hAnsi="Arial" w:cs="Arial"/>
                <w:b/>
                <w:bCs/>
                <w:noProof/>
                <w:color w:val="000000"/>
                <w:kern w:val="24"/>
                <w:sz w:val="18"/>
                <w:szCs w:val="18"/>
                <w:lang w:val="en-GB"/>
              </w:rPr>
              <w:t>Methodology</w:t>
            </w:r>
          </w:p>
          <w:p w14:paraId="24600BAE" w14:textId="77777777" w:rsidR="00546123" w:rsidRPr="00AD51AA" w:rsidRDefault="00546123" w:rsidP="00756903">
            <w:pPr>
              <w:jc w:val="center"/>
              <w:rPr>
                <w:rFonts w:ascii="Arial" w:eastAsia="Times New Roman" w:hAnsi="Arial" w:cs="Arial"/>
                <w:b/>
                <w:noProof/>
                <w:color w:val="000000"/>
                <w:kern w:val="24"/>
                <w:sz w:val="18"/>
                <w:szCs w:val="18"/>
              </w:rPr>
            </w:pPr>
          </w:p>
        </w:tc>
      </w:tr>
      <w:tr w:rsidR="00666077" w:rsidRPr="00904D3B" w14:paraId="70C2325E" w14:textId="77777777" w:rsidTr="00FB241E">
        <w:tc>
          <w:tcPr>
            <w:tcW w:w="2381" w:type="dxa"/>
            <w:shd w:val="clear" w:color="auto" w:fill="auto"/>
          </w:tcPr>
          <w:p w14:paraId="66E39A33" w14:textId="6E9A84CD" w:rsidR="00D44187" w:rsidRDefault="00666077" w:rsidP="00756903">
            <w:pPr>
              <w:jc w:val="both"/>
              <w:rPr>
                <w:rFonts w:ascii="Arial" w:eastAsia="Times New Roman" w:hAnsi="Arial" w:cs="Arial"/>
                <w:i/>
                <w:noProof/>
                <w:color w:val="000000"/>
                <w:kern w:val="24"/>
                <w:sz w:val="16"/>
                <w:szCs w:val="16"/>
              </w:rPr>
            </w:pPr>
            <w:r>
              <w:rPr>
                <w:rFonts w:ascii="Arial" w:eastAsia="Times New Roman" w:hAnsi="Arial" w:cs="Arial"/>
                <w:i/>
                <w:iCs/>
                <w:noProof/>
                <w:color w:val="000000"/>
                <w:kern w:val="24"/>
                <w:sz w:val="16"/>
                <w:szCs w:val="16"/>
                <w:lang w:val="en-GB"/>
              </w:rPr>
              <w:t>3.1</w:t>
            </w:r>
            <w:r w:rsidR="003F656B">
              <w:rPr>
                <w:rFonts w:ascii="Arial" w:eastAsia="Times New Roman" w:hAnsi="Arial" w:cs="Arial"/>
                <w:i/>
                <w:iCs/>
                <w:noProof/>
                <w:color w:val="000000"/>
                <w:kern w:val="24"/>
                <w:sz w:val="16"/>
                <w:szCs w:val="16"/>
                <w:lang w:val="en-GB"/>
              </w:rPr>
              <w:t xml:space="preserve"> </w:t>
            </w:r>
            <w:r>
              <w:rPr>
                <w:rFonts w:ascii="Arial" w:eastAsia="Times New Roman" w:hAnsi="Arial" w:cs="Arial"/>
                <w:i/>
                <w:iCs/>
                <w:snapToGrid w:val="0"/>
                <w:color w:val="000000"/>
                <w:kern w:val="24"/>
                <w:sz w:val="16"/>
                <w:szCs w:val="16"/>
                <w:lang w:val="en-GB"/>
              </w:rPr>
              <w:t>An increase in revenue due to transfer prices between the</w:t>
            </w:r>
            <w:r>
              <w:rPr>
                <w:rFonts w:ascii="Arial" w:eastAsia="Times New Roman" w:hAnsi="Arial" w:cs="Arial"/>
                <w:snapToGrid w:val="0"/>
                <w:color w:val="000000"/>
                <w:kern w:val="24"/>
                <w:sz w:val="16"/>
                <w:szCs w:val="16"/>
                <w:lang w:val="en-GB"/>
              </w:rPr>
              <w:t xml:space="preserve"> </w:t>
            </w:r>
            <w:r w:rsidR="003E0B4B">
              <w:rPr>
                <w:rFonts w:ascii="Arial" w:eastAsia="Times New Roman" w:hAnsi="Arial" w:cs="Arial"/>
                <w:i/>
                <w:iCs/>
                <w:snapToGrid w:val="0"/>
                <w:color w:val="000000"/>
                <w:kern w:val="24"/>
                <w:sz w:val="16"/>
                <w:szCs w:val="16"/>
                <w:lang w:val="en-GB"/>
              </w:rPr>
              <w:t>associated</w:t>
            </w:r>
            <w:r w:rsidR="00E65834">
              <w:rPr>
                <w:rFonts w:ascii="Arial" w:eastAsia="Times New Roman" w:hAnsi="Arial" w:cs="Arial"/>
                <w:i/>
                <w:iCs/>
                <w:snapToGrid w:val="0"/>
                <w:color w:val="000000"/>
                <w:kern w:val="24"/>
                <w:sz w:val="16"/>
                <w:szCs w:val="16"/>
                <w:lang w:val="en-GB"/>
              </w:rPr>
              <w:t xml:space="preserve"> parties</w:t>
            </w:r>
            <w:r>
              <w:rPr>
                <w:rFonts w:ascii="Arial" w:eastAsia="Times New Roman" w:hAnsi="Arial" w:cs="Arial"/>
                <w:i/>
                <w:iCs/>
                <w:snapToGrid w:val="0"/>
                <w:color w:val="000000"/>
                <w:kern w:val="24"/>
                <w:sz w:val="16"/>
                <w:szCs w:val="16"/>
                <w:lang w:val="en-GB"/>
              </w:rPr>
              <w:t xml:space="preserve"> referred to in Article 16 of the ZDDPO-2</w:t>
            </w:r>
          </w:p>
          <w:p w14:paraId="449F96F4" w14:textId="77777777" w:rsidR="00FA60FD" w:rsidRPr="00AD51AA" w:rsidRDefault="00FA60FD" w:rsidP="00756903">
            <w:pPr>
              <w:jc w:val="both"/>
              <w:rPr>
                <w:rFonts w:ascii="Arial" w:eastAsia="Times New Roman" w:hAnsi="Arial" w:cs="Arial"/>
                <w:i/>
                <w:noProof/>
                <w:color w:val="000000"/>
                <w:kern w:val="24"/>
                <w:sz w:val="16"/>
                <w:szCs w:val="16"/>
              </w:rPr>
            </w:pPr>
          </w:p>
        </w:tc>
        <w:tc>
          <w:tcPr>
            <w:tcW w:w="6263" w:type="dxa"/>
            <w:shd w:val="clear" w:color="auto" w:fill="auto"/>
          </w:tcPr>
          <w:p w14:paraId="396EF538" w14:textId="38E59705" w:rsidR="00666077" w:rsidRPr="00227C1D" w:rsidRDefault="00666077" w:rsidP="00756903">
            <w:pPr>
              <w:jc w:val="both"/>
              <w:rPr>
                <w:rFonts w:ascii="Arial" w:eastAsia="Times New Roman" w:hAnsi="Arial" w:cs="Arial"/>
                <w:i/>
                <w:noProof/>
                <w:color w:val="000000"/>
                <w:kern w:val="24"/>
                <w:sz w:val="16"/>
                <w:szCs w:val="16"/>
              </w:rPr>
            </w:pPr>
            <w:r>
              <w:rPr>
                <w:rFonts w:ascii="Arial" w:eastAsia="Times New Roman" w:hAnsi="Arial" w:cs="Arial"/>
                <w:i/>
                <w:iCs/>
                <w:noProof/>
                <w:color w:val="000000"/>
                <w:kern w:val="24"/>
                <w:sz w:val="16"/>
                <w:szCs w:val="16"/>
                <w:lang w:val="en-GB"/>
              </w:rPr>
              <w:t xml:space="preserve">The amount of the adjustment (increase) of revenue due to transfer pricing earned from the </w:t>
            </w:r>
            <w:r w:rsidR="003E0B4B">
              <w:rPr>
                <w:rFonts w:ascii="Arial" w:eastAsia="Times New Roman" w:hAnsi="Arial" w:cs="Arial"/>
                <w:i/>
                <w:iCs/>
                <w:noProof/>
                <w:color w:val="000000"/>
                <w:kern w:val="24"/>
                <w:sz w:val="16"/>
                <w:szCs w:val="16"/>
                <w:lang w:val="en-GB"/>
              </w:rPr>
              <w:t>associated</w:t>
            </w:r>
            <w:r>
              <w:rPr>
                <w:rFonts w:ascii="Arial" w:eastAsia="Times New Roman" w:hAnsi="Arial" w:cs="Arial"/>
                <w:i/>
                <w:iCs/>
                <w:noProof/>
                <w:color w:val="000000"/>
                <w:kern w:val="24"/>
                <w:sz w:val="16"/>
                <w:szCs w:val="16"/>
                <w:lang w:val="en-GB"/>
              </w:rPr>
              <w:t xml:space="preserve"> parties referred to in Article 16 of the ZDDPO-2, which is made at least up to the amount determined by taking into account comparable market prices (16/3 ZDDPO-2)</w:t>
            </w:r>
          </w:p>
        </w:tc>
      </w:tr>
      <w:tr w:rsidR="00666077" w:rsidRPr="00904D3B" w14:paraId="1950E0CC" w14:textId="77777777" w:rsidTr="00FB241E">
        <w:tc>
          <w:tcPr>
            <w:tcW w:w="2381" w:type="dxa"/>
            <w:shd w:val="clear" w:color="auto" w:fill="auto"/>
          </w:tcPr>
          <w:p w14:paraId="2D06208D" w14:textId="5ADF800B" w:rsidR="00666077" w:rsidRPr="00227C1D" w:rsidRDefault="00666077" w:rsidP="00756903">
            <w:pPr>
              <w:jc w:val="both"/>
              <w:rPr>
                <w:rFonts w:ascii="Arial" w:eastAsia="Times New Roman" w:hAnsi="Arial" w:cs="Arial"/>
                <w:i/>
                <w:noProof/>
                <w:color w:val="000000"/>
                <w:kern w:val="24"/>
                <w:sz w:val="16"/>
                <w:szCs w:val="16"/>
              </w:rPr>
            </w:pPr>
            <w:r>
              <w:rPr>
                <w:rFonts w:ascii="Arial" w:eastAsia="Times New Roman" w:hAnsi="Arial" w:cs="Arial"/>
                <w:i/>
                <w:iCs/>
                <w:noProof/>
                <w:color w:val="000000"/>
                <w:kern w:val="24"/>
                <w:sz w:val="16"/>
                <w:szCs w:val="16"/>
                <w:lang w:val="en-GB"/>
              </w:rPr>
              <w:t xml:space="preserve">3.2 An increase in revenue due to transfer pricing between the resident </w:t>
            </w:r>
            <w:r w:rsidR="003E0B4B">
              <w:rPr>
                <w:rFonts w:ascii="Arial" w:eastAsia="Times New Roman" w:hAnsi="Arial" w:cs="Arial"/>
                <w:i/>
                <w:iCs/>
                <w:noProof/>
                <w:color w:val="000000"/>
                <w:kern w:val="24"/>
                <w:sz w:val="16"/>
                <w:szCs w:val="16"/>
                <w:lang w:val="en-GB"/>
              </w:rPr>
              <w:t>associated</w:t>
            </w:r>
            <w:r>
              <w:rPr>
                <w:rFonts w:ascii="Arial" w:eastAsia="Times New Roman" w:hAnsi="Arial" w:cs="Arial"/>
                <w:i/>
                <w:iCs/>
                <w:noProof/>
                <w:color w:val="000000"/>
                <w:kern w:val="24"/>
                <w:sz w:val="16"/>
                <w:szCs w:val="16"/>
                <w:lang w:val="en-GB"/>
              </w:rPr>
              <w:t xml:space="preserve"> parties referred to in Article 17 of the ZDDPO-2</w:t>
            </w:r>
          </w:p>
          <w:p w14:paraId="5F1B7CB7" w14:textId="77777777" w:rsidR="00D44187" w:rsidRPr="00831279" w:rsidRDefault="00D44187" w:rsidP="00756903">
            <w:pPr>
              <w:jc w:val="both"/>
              <w:rPr>
                <w:rFonts w:ascii="Arial" w:eastAsia="Times New Roman" w:hAnsi="Arial" w:cs="Arial"/>
                <w:i/>
                <w:noProof/>
                <w:color w:val="000000"/>
                <w:kern w:val="24"/>
                <w:sz w:val="16"/>
                <w:szCs w:val="16"/>
              </w:rPr>
            </w:pPr>
          </w:p>
        </w:tc>
        <w:tc>
          <w:tcPr>
            <w:tcW w:w="6263" w:type="dxa"/>
            <w:shd w:val="clear" w:color="auto" w:fill="auto"/>
          </w:tcPr>
          <w:p w14:paraId="6F8696B7" w14:textId="738E0C28" w:rsidR="00666077" w:rsidRPr="00227C1D" w:rsidRDefault="00666077" w:rsidP="00756903">
            <w:pPr>
              <w:jc w:val="both"/>
              <w:rPr>
                <w:rFonts w:ascii="Arial" w:eastAsia="Times New Roman" w:hAnsi="Arial" w:cs="Arial"/>
                <w:i/>
                <w:noProof/>
                <w:color w:val="000000"/>
                <w:kern w:val="24"/>
                <w:sz w:val="16"/>
                <w:szCs w:val="16"/>
              </w:rPr>
            </w:pPr>
            <w:r>
              <w:rPr>
                <w:rFonts w:ascii="Arial" w:eastAsia="Times New Roman" w:hAnsi="Arial" w:cs="Arial"/>
                <w:i/>
                <w:iCs/>
                <w:noProof/>
                <w:color w:val="000000"/>
                <w:kern w:val="24"/>
                <w:sz w:val="16"/>
                <w:szCs w:val="16"/>
                <w:lang w:val="en-GB"/>
              </w:rPr>
              <w:t xml:space="preserve">The amount of the adjustment (increase) in revenue for prices with resident </w:t>
            </w:r>
            <w:r w:rsidR="003E0B4B">
              <w:rPr>
                <w:rFonts w:ascii="Arial" w:eastAsia="Times New Roman" w:hAnsi="Arial" w:cs="Arial"/>
                <w:i/>
                <w:iCs/>
                <w:noProof/>
                <w:color w:val="000000"/>
                <w:kern w:val="24"/>
                <w:sz w:val="16"/>
                <w:szCs w:val="16"/>
                <w:lang w:val="en-GB"/>
              </w:rPr>
              <w:t>associated</w:t>
            </w:r>
            <w:r>
              <w:rPr>
                <w:rFonts w:ascii="Arial" w:eastAsia="Times New Roman" w:hAnsi="Arial" w:cs="Arial"/>
                <w:i/>
                <w:iCs/>
                <w:noProof/>
                <w:color w:val="000000"/>
                <w:kern w:val="24"/>
                <w:sz w:val="16"/>
                <w:szCs w:val="16"/>
                <w:lang w:val="en-GB"/>
              </w:rPr>
              <w:t xml:space="preserve"> parties when one of the </w:t>
            </w:r>
            <w:r w:rsidR="003E0B4B">
              <w:rPr>
                <w:rFonts w:ascii="Arial" w:eastAsia="Times New Roman" w:hAnsi="Arial" w:cs="Arial"/>
                <w:i/>
                <w:iCs/>
                <w:noProof/>
                <w:color w:val="000000"/>
                <w:kern w:val="24"/>
                <w:sz w:val="16"/>
                <w:szCs w:val="16"/>
                <w:lang w:val="en-GB"/>
              </w:rPr>
              <w:t>associated</w:t>
            </w:r>
            <w:r>
              <w:rPr>
                <w:rFonts w:ascii="Arial" w:eastAsia="Times New Roman" w:hAnsi="Arial" w:cs="Arial"/>
                <w:i/>
                <w:iCs/>
                <w:noProof/>
                <w:color w:val="000000"/>
                <w:kern w:val="24"/>
                <w:sz w:val="16"/>
                <w:szCs w:val="16"/>
                <w:lang w:val="en-GB"/>
              </w:rPr>
              <w:t xml:space="preserve"> parties meets any of the circumstances defined in 17/8 DDPO-2 (17/4 ZDDPO-2)</w:t>
            </w:r>
          </w:p>
        </w:tc>
      </w:tr>
      <w:tr w:rsidR="00666077" w:rsidRPr="00904D3B" w14:paraId="078D9411" w14:textId="77777777" w:rsidTr="00FB241E">
        <w:tc>
          <w:tcPr>
            <w:tcW w:w="2381" w:type="dxa"/>
            <w:shd w:val="clear" w:color="auto" w:fill="auto"/>
          </w:tcPr>
          <w:p w14:paraId="4ECC9E64" w14:textId="2B7561B4" w:rsidR="00666077" w:rsidRPr="00227C1D" w:rsidRDefault="00666077" w:rsidP="00756903">
            <w:pPr>
              <w:jc w:val="both"/>
              <w:rPr>
                <w:rFonts w:ascii="Arial" w:eastAsia="Times New Roman" w:hAnsi="Arial" w:cs="Arial"/>
                <w:i/>
                <w:noProof/>
                <w:color w:val="000000"/>
                <w:kern w:val="24"/>
                <w:sz w:val="16"/>
                <w:szCs w:val="16"/>
              </w:rPr>
            </w:pPr>
            <w:r>
              <w:rPr>
                <w:rFonts w:ascii="Arial" w:eastAsia="Times New Roman" w:hAnsi="Arial" w:cs="Arial"/>
                <w:i/>
                <w:iCs/>
                <w:noProof/>
                <w:color w:val="000000"/>
                <w:kern w:val="24"/>
                <w:sz w:val="16"/>
                <w:szCs w:val="16"/>
                <w:lang w:val="en-GB"/>
              </w:rPr>
              <w:t>3.3 An increase in interest income from loa</w:t>
            </w:r>
            <w:r w:rsidR="007D50D4">
              <w:rPr>
                <w:rFonts w:ascii="Arial" w:eastAsia="Times New Roman" w:hAnsi="Arial" w:cs="Arial"/>
                <w:i/>
                <w:iCs/>
                <w:noProof/>
                <w:color w:val="000000"/>
                <w:kern w:val="24"/>
                <w:sz w:val="16"/>
                <w:szCs w:val="16"/>
                <w:lang w:val="en-GB"/>
              </w:rPr>
              <w:t xml:space="preserve">ns to the </w:t>
            </w:r>
            <w:r w:rsidR="003E0B4B">
              <w:rPr>
                <w:rFonts w:ascii="Arial" w:eastAsia="Times New Roman" w:hAnsi="Arial" w:cs="Arial"/>
                <w:i/>
                <w:iCs/>
                <w:noProof/>
                <w:color w:val="000000"/>
                <w:kern w:val="24"/>
                <w:sz w:val="16"/>
                <w:szCs w:val="16"/>
                <w:lang w:val="en-GB"/>
              </w:rPr>
              <w:t>associated</w:t>
            </w:r>
            <w:r w:rsidR="007D50D4">
              <w:rPr>
                <w:rFonts w:ascii="Arial" w:eastAsia="Times New Roman" w:hAnsi="Arial" w:cs="Arial"/>
                <w:i/>
                <w:iCs/>
                <w:noProof/>
                <w:color w:val="000000"/>
                <w:kern w:val="24"/>
                <w:sz w:val="16"/>
                <w:szCs w:val="16"/>
                <w:lang w:val="en-GB"/>
              </w:rPr>
              <w:t xml:space="preserve"> parties</w:t>
            </w:r>
            <w:r>
              <w:rPr>
                <w:rFonts w:ascii="Arial" w:eastAsia="Times New Roman" w:hAnsi="Arial" w:cs="Arial"/>
                <w:i/>
                <w:iCs/>
                <w:noProof/>
                <w:color w:val="000000"/>
                <w:kern w:val="24"/>
                <w:sz w:val="16"/>
                <w:szCs w:val="16"/>
                <w:lang w:val="en-GB"/>
              </w:rPr>
              <w:t>referred to in Article 16 of the ZDDPO-2</w:t>
            </w:r>
          </w:p>
        </w:tc>
        <w:tc>
          <w:tcPr>
            <w:tcW w:w="6263" w:type="dxa"/>
            <w:shd w:val="clear" w:color="auto" w:fill="auto"/>
          </w:tcPr>
          <w:p w14:paraId="1AE54995" w14:textId="2A080422" w:rsidR="00666077" w:rsidRPr="00AA2C04" w:rsidRDefault="00666077" w:rsidP="00756903">
            <w:pPr>
              <w:jc w:val="both"/>
              <w:rPr>
                <w:rFonts w:ascii="Arial" w:eastAsia="Times New Roman" w:hAnsi="Arial" w:cs="Arial"/>
                <w:i/>
                <w:noProof/>
                <w:color w:val="000000"/>
                <w:kern w:val="24"/>
                <w:sz w:val="16"/>
                <w:szCs w:val="16"/>
              </w:rPr>
            </w:pPr>
            <w:r>
              <w:rPr>
                <w:rFonts w:ascii="Arial" w:eastAsia="Times New Roman" w:hAnsi="Arial" w:cs="Arial"/>
                <w:i/>
                <w:iCs/>
                <w:noProof/>
                <w:color w:val="000000"/>
                <w:kern w:val="24"/>
                <w:sz w:val="16"/>
                <w:szCs w:val="16"/>
                <w:lang w:val="en-GB"/>
              </w:rPr>
              <w:t xml:space="preserve">The amount of the adjustment (increase) in interest income from loans granted to the </w:t>
            </w:r>
            <w:r w:rsidR="003E0B4B">
              <w:rPr>
                <w:rFonts w:ascii="Arial" w:eastAsia="Times New Roman" w:hAnsi="Arial" w:cs="Arial"/>
                <w:i/>
                <w:iCs/>
                <w:noProof/>
                <w:color w:val="000000"/>
                <w:kern w:val="24"/>
                <w:sz w:val="16"/>
                <w:szCs w:val="16"/>
                <w:lang w:val="en-GB"/>
              </w:rPr>
              <w:t>associated</w:t>
            </w:r>
            <w:r>
              <w:rPr>
                <w:rFonts w:ascii="Arial" w:eastAsia="Times New Roman" w:hAnsi="Arial" w:cs="Arial"/>
                <w:i/>
                <w:iCs/>
                <w:noProof/>
                <w:color w:val="000000"/>
                <w:kern w:val="24"/>
                <w:sz w:val="16"/>
                <w:szCs w:val="16"/>
                <w:lang w:val="en-GB"/>
              </w:rPr>
              <w:t xml:space="preserve"> parties referred to in Article 16 of the ZDDPO-2, which, if interest was charged at a lower rate or was not charged at all, should be equal at least up to the amount determined by taking into account the last published interest rate at the time of the loan approval or at the time of the calculation of the known recognised rate of interest, unless the taxable person can prove that in equal or comparable circumstances a loan would also be given to a</w:t>
            </w:r>
            <w:r w:rsidR="00C533C4">
              <w:rPr>
                <w:rFonts w:ascii="Arial" w:eastAsia="Times New Roman" w:hAnsi="Arial" w:cs="Arial"/>
                <w:i/>
                <w:iCs/>
                <w:noProof/>
                <w:color w:val="000000"/>
                <w:kern w:val="24"/>
                <w:sz w:val="16"/>
                <w:szCs w:val="16"/>
                <w:lang w:val="en-GB"/>
              </w:rPr>
              <w:t xml:space="preserve"> loan recipient which is an un</w:t>
            </w:r>
            <w:r w:rsidR="003E0B4B">
              <w:rPr>
                <w:rFonts w:ascii="Arial" w:eastAsia="Times New Roman" w:hAnsi="Arial" w:cs="Arial"/>
                <w:i/>
                <w:iCs/>
                <w:noProof/>
                <w:color w:val="000000"/>
                <w:kern w:val="24"/>
                <w:sz w:val="16"/>
                <w:szCs w:val="16"/>
                <w:lang w:val="en-GB"/>
              </w:rPr>
              <w:t>associated</w:t>
            </w:r>
            <w:r>
              <w:rPr>
                <w:rFonts w:ascii="Arial" w:eastAsia="Times New Roman" w:hAnsi="Arial" w:cs="Arial"/>
                <w:i/>
                <w:iCs/>
                <w:noProof/>
                <w:color w:val="000000"/>
                <w:kern w:val="24"/>
                <w:sz w:val="16"/>
                <w:szCs w:val="16"/>
                <w:lang w:val="en-GB"/>
              </w:rPr>
              <w:t xml:space="preserve"> party at an interest rate which is lower than the recognised rate of interest (19/1 and 3 in conjunction with Article 95 of the ZDDPO-2)</w:t>
            </w:r>
          </w:p>
          <w:p w14:paraId="69449824" w14:textId="77777777" w:rsidR="00D44187" w:rsidRPr="00AA2C04" w:rsidRDefault="00D44187" w:rsidP="00756903">
            <w:pPr>
              <w:jc w:val="both"/>
              <w:rPr>
                <w:rFonts w:ascii="Arial" w:eastAsia="Times New Roman" w:hAnsi="Arial" w:cs="Arial"/>
                <w:i/>
                <w:noProof/>
                <w:color w:val="000000"/>
                <w:kern w:val="24"/>
                <w:sz w:val="16"/>
                <w:szCs w:val="16"/>
              </w:rPr>
            </w:pPr>
          </w:p>
        </w:tc>
      </w:tr>
      <w:tr w:rsidR="00666077" w:rsidRPr="00904D3B" w14:paraId="22F23418" w14:textId="77777777" w:rsidTr="00FB241E">
        <w:tc>
          <w:tcPr>
            <w:tcW w:w="2381" w:type="dxa"/>
            <w:shd w:val="clear" w:color="auto" w:fill="auto"/>
          </w:tcPr>
          <w:p w14:paraId="5D7614BC" w14:textId="10934381" w:rsidR="00666077" w:rsidRPr="00AD51AA" w:rsidRDefault="00666077" w:rsidP="00756903">
            <w:pPr>
              <w:jc w:val="both"/>
              <w:rPr>
                <w:rFonts w:ascii="Arial" w:eastAsia="Times New Roman" w:hAnsi="Arial" w:cs="Arial"/>
                <w:i/>
                <w:noProof/>
                <w:color w:val="000000"/>
                <w:kern w:val="24"/>
                <w:sz w:val="16"/>
                <w:szCs w:val="16"/>
              </w:rPr>
            </w:pPr>
            <w:r>
              <w:rPr>
                <w:rFonts w:ascii="Arial" w:eastAsia="Times New Roman" w:hAnsi="Arial" w:cs="Arial"/>
                <w:i/>
                <w:iCs/>
                <w:noProof/>
                <w:color w:val="000000"/>
                <w:kern w:val="24"/>
                <w:sz w:val="16"/>
                <w:szCs w:val="16"/>
                <w:lang w:val="en-GB"/>
              </w:rPr>
              <w:t xml:space="preserve">3.4 An increase in interest income from loans to the resident </w:t>
            </w:r>
            <w:r w:rsidR="003E0B4B">
              <w:rPr>
                <w:rFonts w:ascii="Arial" w:eastAsia="Times New Roman" w:hAnsi="Arial" w:cs="Arial"/>
                <w:i/>
                <w:iCs/>
                <w:noProof/>
                <w:color w:val="000000"/>
                <w:kern w:val="24"/>
                <w:sz w:val="16"/>
                <w:szCs w:val="16"/>
                <w:lang w:val="en-GB"/>
              </w:rPr>
              <w:t>associated</w:t>
            </w:r>
            <w:r>
              <w:rPr>
                <w:rFonts w:ascii="Arial" w:eastAsia="Times New Roman" w:hAnsi="Arial" w:cs="Arial"/>
                <w:i/>
                <w:iCs/>
                <w:noProof/>
                <w:color w:val="000000"/>
                <w:kern w:val="24"/>
                <w:sz w:val="16"/>
                <w:szCs w:val="16"/>
                <w:lang w:val="en-GB"/>
              </w:rPr>
              <w:t xml:space="preserve"> parties referred to in Article 17 of the ZDDPO-2</w:t>
            </w:r>
          </w:p>
        </w:tc>
        <w:tc>
          <w:tcPr>
            <w:tcW w:w="6263" w:type="dxa"/>
            <w:shd w:val="clear" w:color="auto" w:fill="auto"/>
          </w:tcPr>
          <w:p w14:paraId="160651DB" w14:textId="604274D3" w:rsidR="00666077" w:rsidRPr="00AA2C04" w:rsidRDefault="00666077" w:rsidP="00756903">
            <w:pPr>
              <w:jc w:val="both"/>
              <w:rPr>
                <w:rFonts w:ascii="Arial" w:eastAsia="Times New Roman" w:hAnsi="Arial" w:cs="Arial"/>
                <w:i/>
                <w:noProof/>
                <w:color w:val="000000"/>
                <w:kern w:val="24"/>
                <w:sz w:val="16"/>
                <w:szCs w:val="16"/>
              </w:rPr>
            </w:pPr>
            <w:r>
              <w:rPr>
                <w:rFonts w:ascii="Arial" w:eastAsia="Times New Roman" w:hAnsi="Arial" w:cs="Arial"/>
                <w:i/>
                <w:iCs/>
                <w:noProof/>
                <w:color w:val="000000"/>
                <w:kern w:val="24"/>
                <w:sz w:val="16"/>
                <w:szCs w:val="16"/>
                <w:lang w:val="en-GB"/>
              </w:rPr>
              <w:t xml:space="preserve">The amount of the adjustment (increase) in interest income from loans granted to the resident </w:t>
            </w:r>
            <w:r w:rsidR="003E0B4B">
              <w:rPr>
                <w:rFonts w:ascii="Arial" w:eastAsia="Times New Roman" w:hAnsi="Arial" w:cs="Arial"/>
                <w:i/>
                <w:iCs/>
                <w:noProof/>
                <w:color w:val="000000"/>
                <w:kern w:val="24"/>
                <w:sz w:val="16"/>
                <w:szCs w:val="16"/>
                <w:lang w:val="en-GB"/>
              </w:rPr>
              <w:t>associated</w:t>
            </w:r>
            <w:r>
              <w:rPr>
                <w:rFonts w:ascii="Arial" w:eastAsia="Times New Roman" w:hAnsi="Arial" w:cs="Arial"/>
                <w:i/>
                <w:iCs/>
                <w:noProof/>
                <w:color w:val="000000"/>
                <w:kern w:val="24"/>
                <w:sz w:val="16"/>
                <w:szCs w:val="16"/>
                <w:lang w:val="en-GB"/>
              </w:rPr>
              <w:t xml:space="preserve"> parties referred to in Article 17 of the ZDDPO-2, which, if one of the </w:t>
            </w:r>
            <w:r w:rsidR="003E0B4B">
              <w:rPr>
                <w:rFonts w:ascii="Arial" w:eastAsia="Times New Roman" w:hAnsi="Arial" w:cs="Arial"/>
                <w:i/>
                <w:iCs/>
                <w:noProof/>
                <w:color w:val="000000"/>
                <w:kern w:val="24"/>
                <w:sz w:val="16"/>
                <w:szCs w:val="16"/>
                <w:lang w:val="en-GB"/>
              </w:rPr>
              <w:t>associated</w:t>
            </w:r>
            <w:r>
              <w:rPr>
                <w:rFonts w:ascii="Arial" w:eastAsia="Times New Roman" w:hAnsi="Arial" w:cs="Arial"/>
                <w:i/>
                <w:iCs/>
                <w:noProof/>
                <w:color w:val="000000"/>
                <w:kern w:val="24"/>
                <w:sz w:val="16"/>
                <w:szCs w:val="16"/>
                <w:lang w:val="en-GB"/>
              </w:rPr>
              <w:t xml:space="preserve"> parties meets any of the circumstances set out in 19/6 of this Act and if interest was charged at a lower rate or was not charged at all, should be equal at least up to the amount determined by taking into account the last published interest rate at the time of the loan approval or at the time of the calculation of the known recognised rate of interest, unless the taxable person can prove that in equal or comparable circumstances a loan would also be given to </w:t>
            </w:r>
            <w:r w:rsidR="00C533C4">
              <w:rPr>
                <w:rFonts w:ascii="Arial" w:eastAsia="Times New Roman" w:hAnsi="Arial" w:cs="Arial"/>
                <w:i/>
                <w:iCs/>
                <w:noProof/>
                <w:color w:val="000000"/>
                <w:kern w:val="24"/>
                <w:sz w:val="16"/>
                <w:szCs w:val="16"/>
                <w:lang w:val="en-GB"/>
              </w:rPr>
              <w:t>a loan recipient which is an un</w:t>
            </w:r>
            <w:r w:rsidR="003E0B4B">
              <w:rPr>
                <w:rFonts w:ascii="Arial" w:eastAsia="Times New Roman" w:hAnsi="Arial" w:cs="Arial"/>
                <w:i/>
                <w:iCs/>
                <w:noProof/>
                <w:color w:val="000000"/>
                <w:kern w:val="24"/>
                <w:sz w:val="16"/>
                <w:szCs w:val="16"/>
                <w:lang w:val="en-GB"/>
              </w:rPr>
              <w:t>associated</w:t>
            </w:r>
            <w:r>
              <w:rPr>
                <w:rFonts w:ascii="Arial" w:eastAsia="Times New Roman" w:hAnsi="Arial" w:cs="Arial"/>
                <w:i/>
                <w:iCs/>
                <w:noProof/>
                <w:color w:val="000000"/>
                <w:kern w:val="24"/>
                <w:sz w:val="16"/>
                <w:szCs w:val="16"/>
                <w:lang w:val="en-GB"/>
              </w:rPr>
              <w:t xml:space="preserve"> party at an interest rate which is lower than the recognised rate of interest (19/1 and 3 in conjunction with Article 95 of the ZDDPO-2)</w:t>
            </w:r>
          </w:p>
          <w:p w14:paraId="0B7F0512" w14:textId="77777777" w:rsidR="00D44187" w:rsidRPr="00AA2C04" w:rsidRDefault="00D44187" w:rsidP="00756903">
            <w:pPr>
              <w:jc w:val="both"/>
              <w:rPr>
                <w:rFonts w:ascii="Arial" w:eastAsia="Times New Roman" w:hAnsi="Arial" w:cs="Arial"/>
                <w:i/>
                <w:noProof/>
                <w:color w:val="000000"/>
                <w:kern w:val="24"/>
                <w:sz w:val="16"/>
                <w:szCs w:val="16"/>
              </w:rPr>
            </w:pPr>
          </w:p>
        </w:tc>
      </w:tr>
      <w:tr w:rsidR="00666077" w:rsidRPr="00904D3B" w14:paraId="5C3505A5" w14:textId="77777777" w:rsidTr="00FB241E">
        <w:tc>
          <w:tcPr>
            <w:tcW w:w="2381" w:type="dxa"/>
            <w:shd w:val="clear" w:color="auto" w:fill="auto"/>
          </w:tcPr>
          <w:p w14:paraId="40C54B2B" w14:textId="77777777" w:rsidR="00666077" w:rsidRPr="00831279" w:rsidRDefault="00666077" w:rsidP="00756903">
            <w:pPr>
              <w:jc w:val="both"/>
              <w:rPr>
                <w:rFonts w:ascii="Arial" w:eastAsia="Times New Roman" w:hAnsi="Arial" w:cs="Arial"/>
                <w:i/>
                <w:noProof/>
                <w:color w:val="000000"/>
                <w:kern w:val="24"/>
                <w:sz w:val="16"/>
                <w:szCs w:val="16"/>
              </w:rPr>
            </w:pPr>
            <w:r>
              <w:rPr>
                <w:rFonts w:ascii="Arial" w:eastAsia="Times New Roman" w:hAnsi="Arial" w:cs="Arial"/>
                <w:i/>
                <w:iCs/>
                <w:noProof/>
                <w:color w:val="000000"/>
                <w:kern w:val="24"/>
                <w:sz w:val="16"/>
                <w:szCs w:val="16"/>
                <w:lang w:val="en-GB"/>
              </w:rPr>
              <w:t>3.5 An increase in a non-resident’s revenue by revenue attributed to a business unit</w:t>
            </w:r>
          </w:p>
          <w:p w14:paraId="6BE19147" w14:textId="77777777" w:rsidR="00D44187" w:rsidRPr="00AD51AA" w:rsidRDefault="00D44187" w:rsidP="00756903">
            <w:pPr>
              <w:jc w:val="both"/>
              <w:rPr>
                <w:rFonts w:ascii="Arial" w:eastAsia="Times New Roman" w:hAnsi="Arial" w:cs="Arial"/>
                <w:i/>
                <w:noProof/>
                <w:color w:val="000000"/>
                <w:kern w:val="24"/>
                <w:sz w:val="16"/>
                <w:szCs w:val="16"/>
              </w:rPr>
            </w:pPr>
          </w:p>
        </w:tc>
        <w:tc>
          <w:tcPr>
            <w:tcW w:w="6263" w:type="dxa"/>
            <w:shd w:val="clear" w:color="auto" w:fill="auto"/>
          </w:tcPr>
          <w:p w14:paraId="478F36C5" w14:textId="77777777" w:rsidR="00666077" w:rsidRPr="00F27413" w:rsidRDefault="00666077" w:rsidP="00756903">
            <w:pPr>
              <w:jc w:val="both"/>
              <w:rPr>
                <w:rFonts w:ascii="Arial" w:eastAsia="Times New Roman" w:hAnsi="Arial" w:cs="Arial"/>
                <w:i/>
                <w:noProof/>
                <w:color w:val="000000"/>
                <w:kern w:val="24"/>
                <w:sz w:val="16"/>
                <w:szCs w:val="16"/>
              </w:rPr>
            </w:pPr>
            <w:r>
              <w:rPr>
                <w:rFonts w:ascii="Arial" w:eastAsia="Times New Roman" w:hAnsi="Arial" w:cs="Arial"/>
                <w:i/>
                <w:iCs/>
                <w:noProof/>
                <w:color w:val="000000"/>
                <w:kern w:val="24"/>
                <w:sz w:val="16"/>
                <w:szCs w:val="16"/>
                <w:lang w:val="en-GB"/>
              </w:rPr>
              <w:t>The amount of the increase in revenue for the amount of revenue attributable to the business unit of the non-resident, if it is not included in the revenue of this business unit under Ref. No. 1.</w:t>
            </w:r>
          </w:p>
        </w:tc>
      </w:tr>
      <w:tr w:rsidR="00666077" w:rsidRPr="00904D3B" w14:paraId="33AB7311" w14:textId="77777777" w:rsidTr="00FB241E">
        <w:tc>
          <w:tcPr>
            <w:tcW w:w="2381" w:type="dxa"/>
            <w:shd w:val="clear" w:color="auto" w:fill="auto"/>
          </w:tcPr>
          <w:p w14:paraId="79268239" w14:textId="7088AFAC" w:rsidR="00666077" w:rsidRPr="00831279" w:rsidRDefault="00666077" w:rsidP="00756903">
            <w:pPr>
              <w:jc w:val="both"/>
              <w:rPr>
                <w:rFonts w:ascii="Arial" w:eastAsia="Times New Roman" w:hAnsi="Arial" w:cs="Arial"/>
                <w:i/>
                <w:noProof/>
                <w:color w:val="000000"/>
                <w:kern w:val="24"/>
                <w:sz w:val="16"/>
                <w:szCs w:val="16"/>
              </w:rPr>
            </w:pPr>
            <w:r>
              <w:rPr>
                <w:rFonts w:ascii="Arial" w:eastAsia="Times New Roman" w:hAnsi="Arial" w:cs="Arial"/>
                <w:i/>
                <w:iCs/>
                <w:noProof/>
                <w:color w:val="000000"/>
                <w:kern w:val="24"/>
                <w:sz w:val="16"/>
                <w:szCs w:val="16"/>
                <w:lang w:val="en-GB"/>
              </w:rPr>
              <w:t xml:space="preserve">6.2 A decrease in expenditure due to transfer pricing between the </w:t>
            </w:r>
            <w:r w:rsidR="003E0B4B">
              <w:rPr>
                <w:rFonts w:ascii="Arial" w:eastAsia="Times New Roman" w:hAnsi="Arial" w:cs="Arial"/>
                <w:i/>
                <w:iCs/>
                <w:noProof/>
                <w:color w:val="000000"/>
                <w:kern w:val="24"/>
                <w:sz w:val="16"/>
                <w:szCs w:val="16"/>
                <w:lang w:val="en-GB"/>
              </w:rPr>
              <w:t>associated</w:t>
            </w:r>
            <w:r>
              <w:rPr>
                <w:rFonts w:ascii="Arial" w:eastAsia="Times New Roman" w:hAnsi="Arial" w:cs="Arial"/>
                <w:i/>
                <w:iCs/>
                <w:noProof/>
                <w:color w:val="000000"/>
                <w:kern w:val="24"/>
                <w:sz w:val="16"/>
                <w:szCs w:val="16"/>
                <w:lang w:val="en-GB"/>
              </w:rPr>
              <w:t xml:space="preserve"> parties referred to in Article 16 of the ZDDPO-2</w:t>
            </w:r>
          </w:p>
          <w:p w14:paraId="555ECB81" w14:textId="77777777" w:rsidR="00D44187" w:rsidRPr="00AD51AA" w:rsidRDefault="00D44187" w:rsidP="00756903">
            <w:pPr>
              <w:jc w:val="both"/>
              <w:rPr>
                <w:rFonts w:ascii="Arial" w:eastAsia="Times New Roman" w:hAnsi="Arial" w:cs="Arial"/>
                <w:i/>
                <w:noProof/>
                <w:color w:val="000000"/>
                <w:kern w:val="24"/>
                <w:sz w:val="16"/>
                <w:szCs w:val="16"/>
              </w:rPr>
            </w:pPr>
          </w:p>
        </w:tc>
        <w:tc>
          <w:tcPr>
            <w:tcW w:w="6263" w:type="dxa"/>
            <w:shd w:val="clear" w:color="auto" w:fill="auto"/>
          </w:tcPr>
          <w:p w14:paraId="30B1E503" w14:textId="46C83E56" w:rsidR="00666077" w:rsidRPr="00F27413" w:rsidRDefault="00666077" w:rsidP="00756903">
            <w:pPr>
              <w:jc w:val="both"/>
              <w:rPr>
                <w:rFonts w:ascii="Arial" w:eastAsia="Times New Roman" w:hAnsi="Arial" w:cs="Arial"/>
                <w:i/>
                <w:noProof/>
                <w:color w:val="000000"/>
                <w:kern w:val="24"/>
                <w:sz w:val="16"/>
                <w:szCs w:val="16"/>
              </w:rPr>
            </w:pPr>
            <w:r>
              <w:rPr>
                <w:rFonts w:ascii="Arial" w:eastAsia="Times New Roman" w:hAnsi="Arial" w:cs="Arial"/>
                <w:i/>
                <w:iCs/>
                <w:noProof/>
                <w:color w:val="000000"/>
                <w:kern w:val="24"/>
                <w:sz w:val="16"/>
                <w:szCs w:val="16"/>
                <w:lang w:val="en-GB"/>
              </w:rPr>
              <w:t xml:space="preserve">The amount of the adjustment (decrease) in expenditure due to transfer pricing with the </w:t>
            </w:r>
            <w:r w:rsidR="003E0B4B">
              <w:rPr>
                <w:rFonts w:ascii="Arial" w:eastAsia="Times New Roman" w:hAnsi="Arial" w:cs="Arial"/>
                <w:i/>
                <w:iCs/>
                <w:noProof/>
                <w:color w:val="000000"/>
                <w:kern w:val="24"/>
                <w:sz w:val="16"/>
                <w:szCs w:val="16"/>
                <w:lang w:val="en-GB"/>
              </w:rPr>
              <w:t>associated</w:t>
            </w:r>
            <w:r>
              <w:rPr>
                <w:rFonts w:ascii="Arial" w:eastAsia="Times New Roman" w:hAnsi="Arial" w:cs="Arial"/>
                <w:i/>
                <w:iCs/>
                <w:noProof/>
                <w:color w:val="000000"/>
                <w:kern w:val="24"/>
                <w:sz w:val="16"/>
                <w:szCs w:val="16"/>
                <w:lang w:val="en-GB"/>
              </w:rPr>
              <w:t xml:space="preserve"> parties referred to in Article 16 of the ZDDPO-2, which is made at least up to the amount determined by taking into account comparable market prices (16/4 ZDDPO-2)</w:t>
            </w:r>
          </w:p>
        </w:tc>
      </w:tr>
      <w:tr w:rsidR="00666077" w:rsidRPr="00904D3B" w14:paraId="12A6E380" w14:textId="77777777" w:rsidTr="00FB241E">
        <w:tc>
          <w:tcPr>
            <w:tcW w:w="2381" w:type="dxa"/>
            <w:shd w:val="clear" w:color="auto" w:fill="auto"/>
          </w:tcPr>
          <w:p w14:paraId="536A17E2" w14:textId="0B0C55F7" w:rsidR="00666077" w:rsidRPr="00227C1D" w:rsidRDefault="00666077" w:rsidP="00756903">
            <w:pPr>
              <w:jc w:val="both"/>
              <w:rPr>
                <w:rFonts w:ascii="Arial" w:eastAsia="Times New Roman" w:hAnsi="Arial" w:cs="Arial"/>
                <w:i/>
                <w:noProof/>
                <w:color w:val="000000"/>
                <w:kern w:val="24"/>
                <w:sz w:val="16"/>
                <w:szCs w:val="16"/>
              </w:rPr>
            </w:pPr>
            <w:r>
              <w:rPr>
                <w:rFonts w:ascii="Arial" w:eastAsia="Times New Roman" w:hAnsi="Arial" w:cs="Arial"/>
                <w:i/>
                <w:iCs/>
                <w:noProof/>
                <w:color w:val="000000"/>
                <w:kern w:val="24"/>
                <w:sz w:val="16"/>
                <w:szCs w:val="16"/>
                <w:lang w:val="en-GB"/>
              </w:rPr>
              <w:t xml:space="preserve">6.3 A decrease in expenditure due to transfer pricing between the resident </w:t>
            </w:r>
            <w:r w:rsidR="003E0B4B">
              <w:rPr>
                <w:rFonts w:ascii="Arial" w:eastAsia="Times New Roman" w:hAnsi="Arial" w:cs="Arial"/>
                <w:i/>
                <w:iCs/>
                <w:noProof/>
                <w:color w:val="000000"/>
                <w:kern w:val="24"/>
                <w:sz w:val="16"/>
                <w:szCs w:val="16"/>
                <w:lang w:val="en-GB"/>
              </w:rPr>
              <w:t>associated</w:t>
            </w:r>
            <w:r>
              <w:rPr>
                <w:rFonts w:ascii="Arial" w:eastAsia="Times New Roman" w:hAnsi="Arial" w:cs="Arial"/>
                <w:i/>
                <w:iCs/>
                <w:noProof/>
                <w:color w:val="000000"/>
                <w:kern w:val="24"/>
                <w:sz w:val="16"/>
                <w:szCs w:val="16"/>
                <w:lang w:val="en-GB"/>
              </w:rPr>
              <w:t xml:space="preserve"> parties referred to in Article 17 of the ZDDPO-2</w:t>
            </w:r>
          </w:p>
          <w:p w14:paraId="28232899" w14:textId="77777777" w:rsidR="00D44187" w:rsidRPr="00831279" w:rsidRDefault="00D44187" w:rsidP="00756903">
            <w:pPr>
              <w:jc w:val="both"/>
              <w:rPr>
                <w:rFonts w:ascii="Arial" w:eastAsia="Times New Roman" w:hAnsi="Arial" w:cs="Arial"/>
                <w:i/>
                <w:noProof/>
                <w:color w:val="000000"/>
                <w:kern w:val="24"/>
                <w:sz w:val="16"/>
                <w:szCs w:val="16"/>
              </w:rPr>
            </w:pPr>
          </w:p>
        </w:tc>
        <w:tc>
          <w:tcPr>
            <w:tcW w:w="6263" w:type="dxa"/>
            <w:shd w:val="clear" w:color="auto" w:fill="auto"/>
          </w:tcPr>
          <w:p w14:paraId="67D933D8" w14:textId="12F6F5D0" w:rsidR="00666077" w:rsidRPr="00F27413" w:rsidRDefault="00666077" w:rsidP="00756903">
            <w:pPr>
              <w:jc w:val="both"/>
              <w:rPr>
                <w:rFonts w:ascii="Arial" w:eastAsia="Times New Roman" w:hAnsi="Arial" w:cs="Arial"/>
                <w:i/>
                <w:noProof/>
                <w:color w:val="000000"/>
                <w:kern w:val="24"/>
                <w:sz w:val="16"/>
                <w:szCs w:val="16"/>
              </w:rPr>
            </w:pPr>
            <w:r>
              <w:rPr>
                <w:rFonts w:ascii="Arial" w:eastAsia="Times New Roman" w:hAnsi="Arial" w:cs="Arial"/>
                <w:i/>
                <w:iCs/>
                <w:noProof/>
                <w:color w:val="000000"/>
                <w:kern w:val="24"/>
                <w:sz w:val="16"/>
                <w:szCs w:val="16"/>
                <w:lang w:val="en-GB"/>
              </w:rPr>
              <w:t xml:space="preserve">The amount of the adjustment (decrease) in expenditure for prices with resident </w:t>
            </w:r>
            <w:r w:rsidR="003E0B4B">
              <w:rPr>
                <w:rFonts w:ascii="Arial" w:eastAsia="Times New Roman" w:hAnsi="Arial" w:cs="Arial"/>
                <w:i/>
                <w:iCs/>
                <w:noProof/>
                <w:color w:val="000000"/>
                <w:kern w:val="24"/>
                <w:sz w:val="16"/>
                <w:szCs w:val="16"/>
                <w:lang w:val="en-GB"/>
              </w:rPr>
              <w:t>associated</w:t>
            </w:r>
            <w:r>
              <w:rPr>
                <w:rFonts w:ascii="Arial" w:eastAsia="Times New Roman" w:hAnsi="Arial" w:cs="Arial"/>
                <w:i/>
                <w:iCs/>
                <w:noProof/>
                <w:color w:val="000000"/>
                <w:kern w:val="24"/>
                <w:sz w:val="16"/>
                <w:szCs w:val="16"/>
                <w:lang w:val="en-GB"/>
              </w:rPr>
              <w:t xml:space="preserve"> parties pursuant to 17/5 ZDDPO-2, when one of the </w:t>
            </w:r>
            <w:r w:rsidR="003E0B4B">
              <w:rPr>
                <w:rFonts w:ascii="Arial" w:eastAsia="Times New Roman" w:hAnsi="Arial" w:cs="Arial"/>
                <w:i/>
                <w:iCs/>
                <w:noProof/>
                <w:color w:val="000000"/>
                <w:kern w:val="24"/>
                <w:sz w:val="16"/>
                <w:szCs w:val="16"/>
                <w:lang w:val="en-GB"/>
              </w:rPr>
              <w:t>associated</w:t>
            </w:r>
            <w:r>
              <w:rPr>
                <w:rFonts w:ascii="Arial" w:eastAsia="Times New Roman" w:hAnsi="Arial" w:cs="Arial"/>
                <w:i/>
                <w:iCs/>
                <w:noProof/>
                <w:color w:val="000000"/>
                <w:kern w:val="24"/>
                <w:sz w:val="16"/>
                <w:szCs w:val="16"/>
                <w:lang w:val="en-GB"/>
              </w:rPr>
              <w:t xml:space="preserve"> parties meets any of the circumstances defined in 17/6 DDPO-2 (17/4 ZDDPO-2</w:t>
            </w:r>
            <w:r w:rsidR="00F11D62">
              <w:rPr>
                <w:rFonts w:ascii="Arial" w:eastAsia="Times New Roman" w:hAnsi="Arial" w:cs="Arial"/>
                <w:i/>
                <w:iCs/>
                <w:noProof/>
                <w:color w:val="000000"/>
                <w:kern w:val="24"/>
                <w:sz w:val="16"/>
                <w:szCs w:val="16"/>
                <w:lang w:val="en-GB"/>
              </w:rPr>
              <w:t>)</w:t>
            </w:r>
          </w:p>
        </w:tc>
      </w:tr>
      <w:tr w:rsidR="00666077" w:rsidRPr="00904D3B" w14:paraId="6C459E7E" w14:textId="77777777" w:rsidTr="00FB241E">
        <w:tc>
          <w:tcPr>
            <w:tcW w:w="2381" w:type="dxa"/>
            <w:shd w:val="clear" w:color="auto" w:fill="auto"/>
          </w:tcPr>
          <w:p w14:paraId="27726CE9" w14:textId="2740E62F" w:rsidR="00666077" w:rsidRPr="00227C1D" w:rsidRDefault="000170D0" w:rsidP="00756903">
            <w:pPr>
              <w:jc w:val="both"/>
              <w:rPr>
                <w:rFonts w:ascii="Arial" w:eastAsia="Times New Roman" w:hAnsi="Arial" w:cs="Arial"/>
                <w:i/>
                <w:noProof/>
                <w:color w:val="000000"/>
                <w:kern w:val="24"/>
                <w:sz w:val="16"/>
                <w:szCs w:val="16"/>
              </w:rPr>
            </w:pPr>
            <w:r>
              <w:rPr>
                <w:rFonts w:ascii="Arial" w:eastAsia="Times New Roman" w:hAnsi="Arial" w:cs="Arial"/>
                <w:i/>
                <w:iCs/>
                <w:noProof/>
                <w:color w:val="000000"/>
                <w:kern w:val="24"/>
                <w:sz w:val="16"/>
                <w:szCs w:val="16"/>
                <w:lang w:val="en-GB"/>
              </w:rPr>
              <w:t xml:space="preserve">6.4 </w:t>
            </w:r>
            <w:r w:rsidR="00666077">
              <w:rPr>
                <w:rFonts w:ascii="Arial" w:eastAsia="Times New Roman" w:hAnsi="Arial" w:cs="Arial"/>
                <w:i/>
                <w:iCs/>
                <w:noProof/>
                <w:color w:val="000000"/>
                <w:kern w:val="24"/>
                <w:sz w:val="16"/>
                <w:szCs w:val="16"/>
                <w:lang w:val="en-GB"/>
              </w:rPr>
              <w:t xml:space="preserve">A decrease in expenditure by interest on loans received from the </w:t>
            </w:r>
            <w:r w:rsidR="003E0B4B">
              <w:rPr>
                <w:rFonts w:ascii="Arial" w:eastAsia="Times New Roman" w:hAnsi="Arial" w:cs="Arial"/>
                <w:i/>
                <w:iCs/>
                <w:noProof/>
                <w:color w:val="000000"/>
                <w:kern w:val="24"/>
                <w:sz w:val="16"/>
                <w:szCs w:val="16"/>
                <w:lang w:val="en-GB"/>
              </w:rPr>
              <w:t>associated</w:t>
            </w:r>
            <w:r w:rsidR="00666077">
              <w:rPr>
                <w:rFonts w:ascii="Arial" w:eastAsia="Times New Roman" w:hAnsi="Arial" w:cs="Arial"/>
                <w:i/>
                <w:iCs/>
                <w:noProof/>
                <w:color w:val="000000"/>
                <w:kern w:val="24"/>
                <w:sz w:val="16"/>
                <w:szCs w:val="16"/>
                <w:lang w:val="en-GB"/>
              </w:rPr>
              <w:t xml:space="preserve"> parties referred to in Article 16 of the ZDDPO-2</w:t>
            </w:r>
          </w:p>
        </w:tc>
        <w:tc>
          <w:tcPr>
            <w:tcW w:w="6263" w:type="dxa"/>
            <w:shd w:val="clear" w:color="auto" w:fill="auto"/>
          </w:tcPr>
          <w:p w14:paraId="6BC8DE17" w14:textId="392FC1C3" w:rsidR="00666077" w:rsidRPr="00C91A50" w:rsidRDefault="00666077" w:rsidP="00756903">
            <w:pPr>
              <w:jc w:val="both"/>
              <w:rPr>
                <w:rFonts w:ascii="Arial" w:eastAsia="Times New Roman" w:hAnsi="Arial" w:cs="Arial"/>
                <w:i/>
                <w:noProof/>
                <w:color w:val="000000"/>
                <w:kern w:val="24"/>
                <w:sz w:val="16"/>
                <w:szCs w:val="16"/>
              </w:rPr>
            </w:pPr>
            <w:r>
              <w:rPr>
                <w:rFonts w:ascii="Arial" w:eastAsia="Times New Roman" w:hAnsi="Arial" w:cs="Arial"/>
                <w:i/>
                <w:iCs/>
                <w:noProof/>
                <w:color w:val="000000"/>
                <w:kern w:val="24"/>
                <w:sz w:val="16"/>
                <w:szCs w:val="16"/>
                <w:lang w:val="en-GB"/>
              </w:rPr>
              <w:t xml:space="preserve">The amount of the adjustment (decrease) in interest income from loans received from the </w:t>
            </w:r>
            <w:r w:rsidR="003E0B4B">
              <w:rPr>
                <w:rFonts w:ascii="Arial" w:eastAsia="Times New Roman" w:hAnsi="Arial" w:cs="Arial"/>
                <w:i/>
                <w:iCs/>
                <w:noProof/>
                <w:color w:val="000000"/>
                <w:kern w:val="24"/>
                <w:sz w:val="16"/>
                <w:szCs w:val="16"/>
                <w:lang w:val="en-GB"/>
              </w:rPr>
              <w:t>associated</w:t>
            </w:r>
            <w:r>
              <w:rPr>
                <w:rFonts w:ascii="Arial" w:eastAsia="Times New Roman" w:hAnsi="Arial" w:cs="Arial"/>
                <w:i/>
                <w:iCs/>
                <w:noProof/>
                <w:color w:val="000000"/>
                <w:kern w:val="24"/>
                <w:sz w:val="16"/>
                <w:szCs w:val="16"/>
                <w:lang w:val="en-GB"/>
              </w:rPr>
              <w:t xml:space="preserve"> parties referred to in Article 16 of the ZDDPO-2, which, if interest was charged at a higher rate, should be equal at least up to the amount determined by taking into account the last published interest rate at the time of the loan approval or at the time of the calculation of the known recognised rate of interest, unless the taxable person can prove that in equal or comparable circumstances a loan would be obtained </w:t>
            </w:r>
            <w:r w:rsidR="00C533C4">
              <w:rPr>
                <w:rFonts w:ascii="Arial" w:eastAsia="Times New Roman" w:hAnsi="Arial" w:cs="Arial"/>
                <w:i/>
                <w:iCs/>
                <w:noProof/>
                <w:color w:val="000000"/>
                <w:kern w:val="24"/>
                <w:sz w:val="16"/>
                <w:szCs w:val="16"/>
                <w:lang w:val="en-GB"/>
              </w:rPr>
              <w:t>even from a lender who is an un</w:t>
            </w:r>
            <w:r w:rsidR="003E0B4B">
              <w:rPr>
                <w:rFonts w:ascii="Arial" w:eastAsia="Times New Roman" w:hAnsi="Arial" w:cs="Arial"/>
                <w:i/>
                <w:iCs/>
                <w:noProof/>
                <w:color w:val="000000"/>
                <w:kern w:val="24"/>
                <w:sz w:val="16"/>
                <w:szCs w:val="16"/>
                <w:lang w:val="en-GB"/>
              </w:rPr>
              <w:t>associated</w:t>
            </w:r>
            <w:r>
              <w:rPr>
                <w:rFonts w:ascii="Arial" w:eastAsia="Times New Roman" w:hAnsi="Arial" w:cs="Arial"/>
                <w:i/>
                <w:iCs/>
                <w:noProof/>
                <w:color w:val="000000"/>
                <w:kern w:val="24"/>
                <w:sz w:val="16"/>
                <w:szCs w:val="16"/>
                <w:lang w:val="en-GB"/>
              </w:rPr>
              <w:t xml:space="preserve"> party at an interest rate which is higher than the recognised rate of interest (19/2 and 3 in conjunction with Article 95 of the ZDDPO-2)</w:t>
            </w:r>
          </w:p>
          <w:p w14:paraId="13FD0215" w14:textId="77777777" w:rsidR="00D44187" w:rsidRPr="00AA2C04" w:rsidRDefault="00D44187" w:rsidP="00756903">
            <w:pPr>
              <w:jc w:val="both"/>
              <w:rPr>
                <w:rFonts w:ascii="Arial" w:eastAsia="Times New Roman" w:hAnsi="Arial" w:cs="Arial"/>
                <w:i/>
                <w:noProof/>
                <w:color w:val="000000"/>
                <w:kern w:val="24"/>
                <w:sz w:val="16"/>
                <w:szCs w:val="16"/>
              </w:rPr>
            </w:pPr>
          </w:p>
        </w:tc>
      </w:tr>
      <w:tr w:rsidR="00666077" w:rsidRPr="00904D3B" w14:paraId="483DF8C2" w14:textId="77777777" w:rsidTr="00FB241E">
        <w:tc>
          <w:tcPr>
            <w:tcW w:w="2381" w:type="dxa"/>
            <w:shd w:val="clear" w:color="auto" w:fill="auto"/>
          </w:tcPr>
          <w:p w14:paraId="45DE30D3" w14:textId="78291C7E" w:rsidR="00666077" w:rsidRPr="00227C1D" w:rsidRDefault="00666077" w:rsidP="00756903">
            <w:pPr>
              <w:jc w:val="both"/>
              <w:rPr>
                <w:rFonts w:ascii="Arial" w:eastAsia="Times New Roman" w:hAnsi="Arial" w:cs="Arial"/>
                <w:i/>
                <w:noProof/>
                <w:color w:val="000000"/>
                <w:kern w:val="24"/>
                <w:sz w:val="16"/>
                <w:szCs w:val="16"/>
              </w:rPr>
            </w:pPr>
            <w:r>
              <w:rPr>
                <w:rFonts w:ascii="Arial" w:eastAsia="Times New Roman" w:hAnsi="Arial" w:cs="Arial"/>
                <w:i/>
                <w:iCs/>
                <w:noProof/>
                <w:color w:val="000000"/>
                <w:kern w:val="24"/>
                <w:sz w:val="16"/>
                <w:szCs w:val="16"/>
                <w:lang w:val="en-GB"/>
              </w:rPr>
              <w:t>6.5 A decrease in interest expenses by interest for loans received from the</w:t>
            </w:r>
            <w:r w:rsidR="007D50D4">
              <w:rPr>
                <w:rFonts w:ascii="Arial" w:eastAsia="Times New Roman" w:hAnsi="Arial" w:cs="Arial"/>
                <w:i/>
                <w:iCs/>
                <w:noProof/>
                <w:color w:val="000000"/>
                <w:kern w:val="24"/>
                <w:sz w:val="16"/>
                <w:szCs w:val="16"/>
                <w:lang w:val="en-GB"/>
              </w:rPr>
              <w:t xml:space="preserve"> resident </w:t>
            </w:r>
            <w:r w:rsidR="003E0B4B">
              <w:rPr>
                <w:rFonts w:ascii="Arial" w:eastAsia="Times New Roman" w:hAnsi="Arial" w:cs="Arial"/>
                <w:i/>
                <w:iCs/>
                <w:noProof/>
                <w:color w:val="000000"/>
                <w:kern w:val="24"/>
                <w:sz w:val="16"/>
                <w:szCs w:val="16"/>
                <w:lang w:val="en-GB"/>
              </w:rPr>
              <w:t>associated</w:t>
            </w:r>
            <w:r w:rsidR="007D50D4">
              <w:rPr>
                <w:rFonts w:ascii="Arial" w:eastAsia="Times New Roman" w:hAnsi="Arial" w:cs="Arial"/>
                <w:i/>
                <w:iCs/>
                <w:noProof/>
                <w:color w:val="000000"/>
                <w:kern w:val="24"/>
                <w:sz w:val="16"/>
                <w:szCs w:val="16"/>
                <w:lang w:val="en-GB"/>
              </w:rPr>
              <w:t xml:space="preserve"> parties</w:t>
            </w:r>
            <w:r>
              <w:rPr>
                <w:rFonts w:ascii="Arial" w:eastAsia="Times New Roman" w:hAnsi="Arial" w:cs="Arial"/>
                <w:i/>
                <w:iCs/>
                <w:noProof/>
                <w:color w:val="000000"/>
                <w:kern w:val="24"/>
                <w:sz w:val="16"/>
                <w:szCs w:val="16"/>
                <w:lang w:val="en-GB"/>
              </w:rPr>
              <w:t xml:space="preserve"> referred to in Article 17 of the ZDDPO-2</w:t>
            </w:r>
          </w:p>
        </w:tc>
        <w:tc>
          <w:tcPr>
            <w:tcW w:w="6263" w:type="dxa"/>
            <w:shd w:val="clear" w:color="auto" w:fill="auto"/>
          </w:tcPr>
          <w:p w14:paraId="7803DB9A" w14:textId="045AA5D6" w:rsidR="00666077" w:rsidRPr="00AA2C04" w:rsidRDefault="00666077" w:rsidP="00756903">
            <w:pPr>
              <w:jc w:val="both"/>
              <w:rPr>
                <w:rFonts w:ascii="Arial" w:eastAsia="Times New Roman" w:hAnsi="Arial" w:cs="Arial"/>
                <w:i/>
                <w:noProof/>
                <w:color w:val="000000"/>
                <w:kern w:val="24"/>
                <w:sz w:val="16"/>
                <w:szCs w:val="16"/>
              </w:rPr>
            </w:pPr>
            <w:r>
              <w:rPr>
                <w:rFonts w:ascii="Arial" w:eastAsia="Times New Roman" w:hAnsi="Arial" w:cs="Arial"/>
                <w:i/>
                <w:iCs/>
                <w:noProof/>
                <w:color w:val="000000"/>
                <w:kern w:val="24"/>
                <w:sz w:val="16"/>
                <w:szCs w:val="16"/>
                <w:lang w:val="en-GB"/>
              </w:rPr>
              <w:t xml:space="preserve">The amount of the adjustment (decrease) in interest expenses for loans received from the </w:t>
            </w:r>
            <w:r w:rsidR="003E0B4B">
              <w:rPr>
                <w:rFonts w:ascii="Arial" w:eastAsia="Times New Roman" w:hAnsi="Arial" w:cs="Arial"/>
                <w:i/>
                <w:iCs/>
                <w:noProof/>
                <w:color w:val="000000"/>
                <w:kern w:val="24"/>
                <w:sz w:val="16"/>
                <w:szCs w:val="16"/>
                <w:lang w:val="en-GB"/>
              </w:rPr>
              <w:t>associated</w:t>
            </w:r>
            <w:r>
              <w:rPr>
                <w:rFonts w:ascii="Arial" w:eastAsia="Times New Roman" w:hAnsi="Arial" w:cs="Arial"/>
                <w:i/>
                <w:iCs/>
                <w:noProof/>
                <w:color w:val="000000"/>
                <w:kern w:val="24"/>
                <w:sz w:val="16"/>
                <w:szCs w:val="16"/>
                <w:lang w:val="en-GB"/>
              </w:rPr>
              <w:t xml:space="preserve"> parties referred to in Article 17 of the ZDDPO-2, which, if, in accordance with 19/2 and 3 in conjunction with Article 95 of the ZDDPO-2, one of the </w:t>
            </w:r>
            <w:r w:rsidR="003E0B4B">
              <w:rPr>
                <w:rFonts w:ascii="Arial" w:eastAsia="Times New Roman" w:hAnsi="Arial" w:cs="Arial"/>
                <w:i/>
                <w:iCs/>
                <w:noProof/>
                <w:color w:val="000000"/>
                <w:kern w:val="24"/>
                <w:sz w:val="16"/>
                <w:szCs w:val="16"/>
                <w:lang w:val="en-GB"/>
              </w:rPr>
              <w:t>associated</w:t>
            </w:r>
            <w:r>
              <w:rPr>
                <w:rFonts w:ascii="Arial" w:eastAsia="Times New Roman" w:hAnsi="Arial" w:cs="Arial"/>
                <w:i/>
                <w:iCs/>
                <w:noProof/>
                <w:color w:val="000000"/>
                <w:kern w:val="24"/>
                <w:sz w:val="16"/>
                <w:szCs w:val="16"/>
                <w:lang w:val="en-GB"/>
              </w:rPr>
              <w:t xml:space="preserve"> parties meets any of the circumstances set out in 19/6 of this Act and if interest was charged at a higher rate, should be equal at least up to the amount determined by taking into account the last published interest rate at the time of the loan approval or at the time of the calculation of the known recognised rate of interest, unless the taxable person can prove that in equal or comparable circumstances a loan would be obtained </w:t>
            </w:r>
            <w:r w:rsidR="00C533C4">
              <w:rPr>
                <w:rFonts w:ascii="Arial" w:eastAsia="Times New Roman" w:hAnsi="Arial" w:cs="Arial"/>
                <w:i/>
                <w:iCs/>
                <w:noProof/>
                <w:color w:val="000000"/>
                <w:kern w:val="24"/>
                <w:sz w:val="16"/>
                <w:szCs w:val="16"/>
                <w:lang w:val="en-GB"/>
              </w:rPr>
              <w:t>even from a lender who is an un</w:t>
            </w:r>
            <w:r w:rsidR="003E0B4B">
              <w:rPr>
                <w:rFonts w:ascii="Arial" w:eastAsia="Times New Roman" w:hAnsi="Arial" w:cs="Arial"/>
                <w:i/>
                <w:iCs/>
                <w:noProof/>
                <w:color w:val="000000"/>
                <w:kern w:val="24"/>
                <w:sz w:val="16"/>
                <w:szCs w:val="16"/>
                <w:lang w:val="en-GB"/>
              </w:rPr>
              <w:t>associated</w:t>
            </w:r>
            <w:r>
              <w:rPr>
                <w:rFonts w:ascii="Arial" w:eastAsia="Times New Roman" w:hAnsi="Arial" w:cs="Arial"/>
                <w:i/>
                <w:iCs/>
                <w:noProof/>
                <w:color w:val="000000"/>
                <w:kern w:val="24"/>
                <w:sz w:val="16"/>
                <w:szCs w:val="16"/>
                <w:lang w:val="en-GB"/>
              </w:rPr>
              <w:t xml:space="preserve"> party at an interest rate which is higher than the recognised rate of interest</w:t>
            </w:r>
          </w:p>
          <w:p w14:paraId="470C91B0" w14:textId="77777777" w:rsidR="00D44187" w:rsidRPr="00AA2C04" w:rsidRDefault="00D44187" w:rsidP="00756903">
            <w:pPr>
              <w:jc w:val="both"/>
              <w:rPr>
                <w:rFonts w:ascii="Arial" w:eastAsia="Times New Roman" w:hAnsi="Arial" w:cs="Arial"/>
                <w:i/>
                <w:noProof/>
                <w:color w:val="000000"/>
                <w:kern w:val="24"/>
                <w:sz w:val="16"/>
                <w:szCs w:val="16"/>
              </w:rPr>
            </w:pPr>
          </w:p>
        </w:tc>
      </w:tr>
      <w:tr w:rsidR="00666077" w:rsidRPr="00904D3B" w14:paraId="623766BF" w14:textId="77777777" w:rsidTr="00FB241E">
        <w:tc>
          <w:tcPr>
            <w:tcW w:w="2381" w:type="dxa"/>
            <w:shd w:val="clear" w:color="auto" w:fill="auto"/>
          </w:tcPr>
          <w:p w14:paraId="354BEFE1" w14:textId="2498B313" w:rsidR="00666077" w:rsidRPr="00831279" w:rsidRDefault="00666077" w:rsidP="00756903">
            <w:pPr>
              <w:jc w:val="both"/>
              <w:rPr>
                <w:rFonts w:ascii="Arial" w:eastAsia="Times New Roman" w:hAnsi="Arial" w:cs="Arial"/>
                <w:i/>
                <w:noProof/>
                <w:color w:val="000000"/>
                <w:kern w:val="24"/>
                <w:sz w:val="16"/>
                <w:szCs w:val="16"/>
              </w:rPr>
            </w:pPr>
            <w:r>
              <w:rPr>
                <w:rFonts w:ascii="Arial" w:eastAsia="Times New Roman" w:hAnsi="Arial" w:cs="Arial"/>
                <w:i/>
                <w:iCs/>
                <w:noProof/>
                <w:color w:val="000000"/>
                <w:kern w:val="24"/>
                <w:sz w:val="16"/>
                <w:szCs w:val="16"/>
                <w:lang w:val="en-GB"/>
              </w:rPr>
              <w:t xml:space="preserve">6.14 Costs related to the private lives of owners and </w:t>
            </w:r>
            <w:r w:rsidR="003E0B4B">
              <w:rPr>
                <w:rFonts w:ascii="Arial" w:eastAsia="Times New Roman" w:hAnsi="Arial" w:cs="Arial"/>
                <w:i/>
                <w:iCs/>
                <w:noProof/>
                <w:color w:val="000000"/>
                <w:kern w:val="24"/>
                <w:sz w:val="16"/>
                <w:szCs w:val="16"/>
                <w:lang w:val="en-GB"/>
              </w:rPr>
              <w:t>associated</w:t>
            </w:r>
            <w:r>
              <w:rPr>
                <w:rFonts w:ascii="Arial" w:eastAsia="Times New Roman" w:hAnsi="Arial" w:cs="Arial"/>
                <w:i/>
                <w:iCs/>
                <w:noProof/>
                <w:color w:val="000000"/>
                <w:kern w:val="24"/>
                <w:sz w:val="16"/>
                <w:szCs w:val="16"/>
                <w:lang w:val="en-GB"/>
              </w:rPr>
              <w:t xml:space="preserve"> parties</w:t>
            </w:r>
          </w:p>
          <w:p w14:paraId="3D3E6627" w14:textId="77777777" w:rsidR="00D44187" w:rsidRPr="00AD51AA" w:rsidRDefault="00D44187" w:rsidP="00756903">
            <w:pPr>
              <w:jc w:val="both"/>
              <w:rPr>
                <w:rFonts w:ascii="Arial" w:eastAsia="Times New Roman" w:hAnsi="Arial" w:cs="Arial"/>
                <w:i/>
                <w:noProof/>
                <w:color w:val="000000"/>
                <w:kern w:val="24"/>
                <w:sz w:val="16"/>
                <w:szCs w:val="16"/>
              </w:rPr>
            </w:pPr>
          </w:p>
        </w:tc>
        <w:tc>
          <w:tcPr>
            <w:tcW w:w="6263" w:type="dxa"/>
            <w:shd w:val="clear" w:color="auto" w:fill="auto"/>
          </w:tcPr>
          <w:p w14:paraId="764578C7" w14:textId="111A9973" w:rsidR="00666077" w:rsidRPr="00F27413" w:rsidRDefault="00666077" w:rsidP="00756903">
            <w:pPr>
              <w:jc w:val="both"/>
              <w:rPr>
                <w:rFonts w:ascii="Arial" w:eastAsia="Times New Roman" w:hAnsi="Arial" w:cs="Arial"/>
                <w:i/>
                <w:noProof/>
                <w:color w:val="000000"/>
                <w:kern w:val="24"/>
                <w:sz w:val="16"/>
                <w:szCs w:val="16"/>
              </w:rPr>
            </w:pPr>
            <w:r>
              <w:rPr>
                <w:rFonts w:ascii="Arial" w:eastAsia="Times New Roman" w:hAnsi="Arial" w:cs="Arial"/>
                <w:i/>
                <w:iCs/>
                <w:noProof/>
                <w:color w:val="000000"/>
                <w:kern w:val="24"/>
                <w:sz w:val="16"/>
                <w:szCs w:val="16"/>
                <w:lang w:val="en-GB"/>
              </w:rPr>
              <w:t xml:space="preserve">The amount of costs related to the private lives of the owners of the taxable person or of the </w:t>
            </w:r>
            <w:r w:rsidR="003E0B4B">
              <w:rPr>
                <w:rFonts w:ascii="Arial" w:eastAsia="Times New Roman" w:hAnsi="Arial" w:cs="Arial"/>
                <w:i/>
                <w:iCs/>
                <w:noProof/>
                <w:color w:val="000000"/>
                <w:kern w:val="24"/>
                <w:sz w:val="16"/>
                <w:szCs w:val="16"/>
                <w:lang w:val="en-GB"/>
              </w:rPr>
              <w:t>associated</w:t>
            </w:r>
            <w:r>
              <w:rPr>
                <w:rFonts w:ascii="Arial" w:eastAsia="Times New Roman" w:hAnsi="Arial" w:cs="Arial"/>
                <w:i/>
                <w:iCs/>
                <w:noProof/>
                <w:color w:val="000000"/>
                <w:kern w:val="24"/>
                <w:sz w:val="16"/>
                <w:szCs w:val="16"/>
                <w:lang w:val="en-GB"/>
              </w:rPr>
              <w:t xml:space="preserve"> parties referred to in Articles 16 and 17 of the ZDDPO-2</w:t>
            </w:r>
          </w:p>
        </w:tc>
      </w:tr>
    </w:tbl>
    <w:p w14:paraId="026DA25B" w14:textId="77777777" w:rsidR="00666077" w:rsidRDefault="00666077" w:rsidP="00756903">
      <w:pPr>
        <w:jc w:val="both"/>
        <w:rPr>
          <w:rFonts w:ascii="Arial" w:eastAsia="Times New Roman" w:hAnsi="Arial" w:cs="Arial"/>
          <w:sz w:val="20"/>
          <w:szCs w:val="20"/>
        </w:rPr>
      </w:pPr>
    </w:p>
    <w:p w14:paraId="42FA1EED" w14:textId="447D976F" w:rsidR="00666077" w:rsidRDefault="00666077" w:rsidP="000E5730">
      <w:pPr>
        <w:spacing w:line="260" w:lineRule="atLeast"/>
        <w:jc w:val="both"/>
        <w:rPr>
          <w:rFonts w:ascii="Arial" w:eastAsia="Times New Roman" w:hAnsi="Arial" w:cs="Arial"/>
          <w:sz w:val="20"/>
          <w:szCs w:val="24"/>
        </w:rPr>
      </w:pPr>
      <w:r>
        <w:rPr>
          <w:rFonts w:ascii="Arial" w:eastAsia="Times New Roman" w:hAnsi="Arial" w:cs="Arial"/>
          <w:sz w:val="20"/>
          <w:szCs w:val="24"/>
          <w:lang w:val="en-GB"/>
        </w:rPr>
        <w:t xml:space="preserve">The corporate income tax return also contains Annexes 15, 16 and 17, which must be filled in by taxable persons doing business with </w:t>
      </w:r>
      <w:r w:rsidR="003E0B4B">
        <w:rPr>
          <w:rFonts w:ascii="Arial" w:eastAsia="Times New Roman" w:hAnsi="Arial" w:cs="Arial"/>
          <w:sz w:val="20"/>
          <w:szCs w:val="24"/>
          <w:lang w:val="en-GB"/>
        </w:rPr>
        <w:t>associated</w:t>
      </w:r>
      <w:r>
        <w:rPr>
          <w:rFonts w:ascii="Arial" w:eastAsia="Times New Roman" w:hAnsi="Arial" w:cs="Arial"/>
          <w:sz w:val="20"/>
          <w:szCs w:val="24"/>
          <w:lang w:val="en-GB"/>
        </w:rPr>
        <w:t xml:space="preserve"> parties, namely:</w:t>
      </w:r>
    </w:p>
    <w:p w14:paraId="108147D7" w14:textId="77777777" w:rsidR="00B75FB7" w:rsidRPr="004F2499" w:rsidRDefault="00B75FB7" w:rsidP="000E5730">
      <w:pPr>
        <w:spacing w:line="260" w:lineRule="atLeast"/>
        <w:jc w:val="both"/>
        <w:rPr>
          <w:rFonts w:ascii="Arial" w:eastAsia="Times New Roman" w:hAnsi="Arial" w:cs="Arial"/>
          <w:sz w:val="10"/>
          <w:szCs w:val="24"/>
        </w:rPr>
      </w:pPr>
    </w:p>
    <w:p w14:paraId="4AADB023" w14:textId="2127622E" w:rsidR="00666077" w:rsidRPr="00904D3B" w:rsidRDefault="00666077" w:rsidP="000E5730">
      <w:pPr>
        <w:numPr>
          <w:ilvl w:val="0"/>
          <w:numId w:val="3"/>
        </w:numPr>
        <w:spacing w:line="260" w:lineRule="atLeast"/>
        <w:ind w:left="284" w:hanging="284"/>
        <w:rPr>
          <w:rFonts w:ascii="Arial" w:eastAsia="Times New Roman" w:hAnsi="Arial" w:cs="Arial"/>
          <w:b/>
          <w:sz w:val="20"/>
          <w:szCs w:val="24"/>
        </w:rPr>
      </w:pPr>
      <w:r>
        <w:rPr>
          <w:rFonts w:ascii="Arial" w:eastAsia="Times New Roman" w:hAnsi="Arial" w:cs="Arial"/>
          <w:b/>
          <w:bCs/>
          <w:sz w:val="20"/>
          <w:szCs w:val="24"/>
          <w:lang w:val="en-GB"/>
        </w:rPr>
        <w:t xml:space="preserve">Annex 15 – Data on loans between </w:t>
      </w:r>
      <w:r w:rsidR="003E0B4B">
        <w:rPr>
          <w:rFonts w:ascii="Arial" w:eastAsia="Times New Roman" w:hAnsi="Arial" w:cs="Arial"/>
          <w:b/>
          <w:bCs/>
          <w:sz w:val="20"/>
          <w:szCs w:val="24"/>
          <w:lang w:val="en-GB"/>
        </w:rPr>
        <w:t>associated</w:t>
      </w:r>
      <w:r>
        <w:rPr>
          <w:rFonts w:ascii="Arial" w:eastAsia="Times New Roman" w:hAnsi="Arial" w:cs="Arial"/>
          <w:b/>
          <w:bCs/>
          <w:sz w:val="20"/>
          <w:szCs w:val="24"/>
          <w:lang w:val="en-GB"/>
        </w:rPr>
        <w:t xml:space="preserve"> parties,</w:t>
      </w:r>
    </w:p>
    <w:p w14:paraId="044B0EED" w14:textId="7EEE44EA" w:rsidR="00666077" w:rsidRPr="00904D3B" w:rsidRDefault="00666077" w:rsidP="000E5730">
      <w:pPr>
        <w:numPr>
          <w:ilvl w:val="0"/>
          <w:numId w:val="3"/>
        </w:numPr>
        <w:spacing w:line="260" w:lineRule="atLeast"/>
        <w:ind w:left="284" w:hanging="284"/>
        <w:rPr>
          <w:rFonts w:ascii="Arial" w:eastAsia="Times New Roman" w:hAnsi="Arial" w:cs="Arial"/>
          <w:b/>
          <w:sz w:val="20"/>
          <w:szCs w:val="24"/>
        </w:rPr>
      </w:pPr>
      <w:r>
        <w:rPr>
          <w:rFonts w:ascii="Arial" w:eastAsia="Times New Roman" w:hAnsi="Arial" w:cs="Arial"/>
          <w:b/>
          <w:bCs/>
          <w:sz w:val="20"/>
          <w:szCs w:val="24"/>
          <w:lang w:val="en-GB"/>
        </w:rPr>
        <w:t xml:space="preserve">Annex 16 – Data on transfer pricing in transactions between </w:t>
      </w:r>
      <w:r w:rsidR="003E0B4B">
        <w:rPr>
          <w:rFonts w:ascii="Arial" w:eastAsia="Times New Roman" w:hAnsi="Arial" w:cs="Arial"/>
          <w:b/>
          <w:bCs/>
          <w:sz w:val="20"/>
          <w:szCs w:val="24"/>
          <w:lang w:val="en-GB"/>
        </w:rPr>
        <w:t>associated</w:t>
      </w:r>
      <w:r>
        <w:rPr>
          <w:rFonts w:ascii="Arial" w:eastAsia="Times New Roman" w:hAnsi="Arial" w:cs="Arial"/>
          <w:b/>
          <w:bCs/>
          <w:sz w:val="20"/>
          <w:szCs w:val="24"/>
          <w:lang w:val="en-GB"/>
        </w:rPr>
        <w:t xml:space="preserve"> parties under Article 16 of the ZDDPO-2,</w:t>
      </w:r>
    </w:p>
    <w:p w14:paraId="4E885644" w14:textId="15D6CCC8" w:rsidR="00666077" w:rsidRDefault="00666077" w:rsidP="000E5730">
      <w:pPr>
        <w:numPr>
          <w:ilvl w:val="0"/>
          <w:numId w:val="3"/>
        </w:numPr>
        <w:spacing w:line="260" w:lineRule="atLeast"/>
        <w:ind w:left="284" w:hanging="284"/>
        <w:rPr>
          <w:rFonts w:ascii="Arial" w:eastAsia="Times New Roman" w:hAnsi="Arial" w:cs="Arial"/>
          <w:b/>
          <w:sz w:val="20"/>
          <w:szCs w:val="24"/>
        </w:rPr>
      </w:pPr>
      <w:r>
        <w:rPr>
          <w:rFonts w:ascii="Arial" w:eastAsia="Times New Roman" w:hAnsi="Arial" w:cs="Arial"/>
          <w:b/>
          <w:bCs/>
          <w:sz w:val="20"/>
          <w:szCs w:val="24"/>
          <w:lang w:val="en-GB"/>
        </w:rPr>
        <w:t>Annex 17</w:t>
      </w:r>
      <w:r>
        <w:rPr>
          <w:rFonts w:ascii="Arial" w:eastAsia="Times New Roman" w:hAnsi="Arial" w:cs="Arial"/>
          <w:sz w:val="20"/>
          <w:szCs w:val="24"/>
          <w:lang w:val="en-GB"/>
        </w:rPr>
        <w:t xml:space="preserve"> </w:t>
      </w:r>
      <w:r>
        <w:rPr>
          <w:rFonts w:ascii="Arial" w:eastAsia="Times New Roman" w:hAnsi="Arial" w:cs="Arial"/>
          <w:b/>
          <w:bCs/>
          <w:sz w:val="20"/>
          <w:szCs w:val="24"/>
          <w:lang w:val="en-GB"/>
        </w:rPr>
        <w:t xml:space="preserve">– Data on transfer pricing in transactions between resident </w:t>
      </w:r>
      <w:r w:rsidR="003E0B4B">
        <w:rPr>
          <w:rFonts w:ascii="Arial" w:eastAsia="Times New Roman" w:hAnsi="Arial" w:cs="Arial"/>
          <w:b/>
          <w:bCs/>
          <w:sz w:val="20"/>
          <w:szCs w:val="24"/>
          <w:lang w:val="en-GB"/>
        </w:rPr>
        <w:t>associated</w:t>
      </w:r>
      <w:r>
        <w:rPr>
          <w:rFonts w:ascii="Arial" w:eastAsia="Times New Roman" w:hAnsi="Arial" w:cs="Arial"/>
          <w:b/>
          <w:bCs/>
          <w:sz w:val="20"/>
          <w:szCs w:val="24"/>
          <w:lang w:val="en-GB"/>
        </w:rPr>
        <w:t xml:space="preserve"> parties under Article 17 of the ZDDPO-2</w:t>
      </w:r>
    </w:p>
    <w:p w14:paraId="5F624312" w14:textId="77777777" w:rsidR="00703129" w:rsidRPr="00904D3B" w:rsidRDefault="00703129" w:rsidP="000E5730">
      <w:pPr>
        <w:spacing w:line="260" w:lineRule="atLeast"/>
        <w:ind w:left="284"/>
        <w:rPr>
          <w:rFonts w:ascii="Arial" w:eastAsia="Times New Roman" w:hAnsi="Arial" w:cs="Arial"/>
          <w:b/>
          <w:sz w:val="20"/>
          <w:szCs w:val="24"/>
        </w:rPr>
      </w:pPr>
    </w:p>
    <w:p w14:paraId="57B3F79C" w14:textId="77777777" w:rsidR="00666077" w:rsidRPr="00904D3B" w:rsidRDefault="00666077" w:rsidP="000E5730">
      <w:pPr>
        <w:spacing w:line="260" w:lineRule="atLeast"/>
        <w:jc w:val="both"/>
        <w:rPr>
          <w:rFonts w:ascii="Arial" w:eastAsia="Times New Roman" w:hAnsi="Arial" w:cs="Arial"/>
          <w:sz w:val="20"/>
          <w:szCs w:val="24"/>
        </w:rPr>
      </w:pPr>
      <w:r>
        <w:rPr>
          <w:rFonts w:ascii="Arial" w:eastAsia="Times New Roman" w:hAnsi="Arial" w:cs="Arial"/>
          <w:sz w:val="20"/>
          <w:szCs w:val="24"/>
          <w:lang w:val="en-GB"/>
        </w:rPr>
        <w:t>More detailed instructions for completing the annexes are provided in the CIT Rules.</w:t>
      </w:r>
    </w:p>
    <w:p w14:paraId="2E2EEEFE" w14:textId="77777777" w:rsidR="00666077" w:rsidRPr="00904D3B" w:rsidRDefault="00666077" w:rsidP="000E5730">
      <w:pPr>
        <w:tabs>
          <w:tab w:val="left" w:pos="3402"/>
        </w:tabs>
        <w:spacing w:line="260" w:lineRule="atLeast"/>
        <w:jc w:val="both"/>
        <w:rPr>
          <w:rFonts w:ascii="Arial" w:eastAsia="Times New Roman" w:hAnsi="Arial" w:cs="Arial"/>
          <w:b/>
          <w:sz w:val="20"/>
          <w:szCs w:val="20"/>
        </w:rPr>
      </w:pPr>
      <w:bookmarkStart w:id="7" w:name="_Toc444177365"/>
    </w:p>
    <w:p w14:paraId="59935F83" w14:textId="77777777" w:rsidR="006634C2" w:rsidRDefault="002166A7" w:rsidP="000E5730">
      <w:pPr>
        <w:spacing w:line="260" w:lineRule="atLeast"/>
        <w:jc w:val="both"/>
        <w:rPr>
          <w:rFonts w:ascii="Arial" w:eastAsia="Times New Roman" w:hAnsi="Arial" w:cs="Arial"/>
          <w:sz w:val="20"/>
          <w:szCs w:val="24"/>
        </w:rPr>
      </w:pPr>
      <w:r>
        <w:rPr>
          <w:rFonts w:ascii="Arial" w:hAnsi="Arial" w:cs="Arial"/>
          <w:sz w:val="20"/>
          <w:szCs w:val="24"/>
          <w:lang w:val="en-GB"/>
        </w:rPr>
        <w:t>Certain taxable persons – rapporteurs (generally the parent companies of multinational enterprise groups</w:t>
      </w:r>
      <w:r>
        <w:rPr>
          <w:rFonts w:ascii="Arial" w:hAnsi="Arial" w:cs="Arial"/>
          <w:sz w:val="20"/>
          <w:szCs w:val="20"/>
          <w:lang w:val="en-GB"/>
        </w:rPr>
        <w:t xml:space="preserve"> with an annual consolidated revenue of EUR 750,000,000) are required to submit to the tax authority a </w:t>
      </w:r>
      <w:r>
        <w:rPr>
          <w:rFonts w:ascii="Arial" w:hAnsi="Arial" w:cs="Arial"/>
          <w:b/>
          <w:bCs/>
          <w:sz w:val="20"/>
          <w:szCs w:val="20"/>
          <w:lang w:val="en-GB"/>
        </w:rPr>
        <w:t>country-by-country report</w:t>
      </w:r>
      <w:r>
        <w:rPr>
          <w:rFonts w:ascii="Arial" w:hAnsi="Arial" w:cs="Arial"/>
          <w:sz w:val="20"/>
          <w:szCs w:val="20"/>
          <w:lang w:val="en-GB"/>
        </w:rPr>
        <w:t xml:space="preserve"> (</w:t>
      </w:r>
      <w:proofErr w:type="spellStart"/>
      <w:r>
        <w:rPr>
          <w:rFonts w:ascii="Arial" w:hAnsi="Arial" w:cs="Arial"/>
          <w:sz w:val="20"/>
          <w:szCs w:val="20"/>
          <w:lang w:val="en-GB"/>
        </w:rPr>
        <w:t>CbCR</w:t>
      </w:r>
      <w:proofErr w:type="spellEnd"/>
      <w:r>
        <w:rPr>
          <w:rFonts w:ascii="Arial" w:hAnsi="Arial" w:cs="Arial"/>
          <w:sz w:val="20"/>
          <w:szCs w:val="20"/>
          <w:lang w:val="en-GB"/>
        </w:rPr>
        <w:t xml:space="preserve">) showing key business and financial data for all companies in the group worldwide. In addition, </w:t>
      </w:r>
      <w:r>
        <w:rPr>
          <w:rFonts w:ascii="Arial" w:hAnsi="Arial" w:cs="Arial"/>
          <w:b/>
          <w:bCs/>
          <w:sz w:val="20"/>
          <w:szCs w:val="20"/>
          <w:lang w:val="en-GB"/>
        </w:rPr>
        <w:t>notification of the country-by-country reporting obligation of an MNE group (</w:t>
      </w:r>
      <w:proofErr w:type="spellStart"/>
      <w:r>
        <w:rPr>
          <w:rFonts w:ascii="Arial" w:hAnsi="Arial" w:cs="Arial"/>
          <w:b/>
          <w:bCs/>
          <w:sz w:val="20"/>
          <w:szCs w:val="20"/>
          <w:lang w:val="en-GB"/>
        </w:rPr>
        <w:t>CbCR</w:t>
      </w:r>
      <w:proofErr w:type="spellEnd"/>
      <w:r>
        <w:rPr>
          <w:rFonts w:ascii="Arial" w:hAnsi="Arial" w:cs="Arial"/>
          <w:b/>
          <w:bCs/>
          <w:sz w:val="20"/>
          <w:szCs w:val="20"/>
          <w:lang w:val="en-GB"/>
        </w:rPr>
        <w:t xml:space="preserve"> Notification) </w:t>
      </w:r>
      <w:r>
        <w:rPr>
          <w:rFonts w:ascii="Arial" w:hAnsi="Arial" w:cs="Arial"/>
          <w:sz w:val="20"/>
          <w:szCs w:val="20"/>
          <w:lang w:val="en-GB"/>
        </w:rPr>
        <w:t xml:space="preserve">must be completed and submitted to the tax authority by all taxable persons that are part (constituent entities) of an MNE group that includes two or more enterprises whose tax residence is in different tax jurisdictions or which includes an enterprise that is resident for tax purposes in one jurisdiction and simultaneously subject to tax with respect to the activity carried out through a permanent establishment in another jurisdiction, if the total consolidated revenue of this MNE group equals or exceeds EUR 750,000,000 in the fiscal year immediately preceding the reporting fiscal year. </w:t>
      </w:r>
    </w:p>
    <w:p w14:paraId="05C40B3F" w14:textId="77777777" w:rsidR="006634C2" w:rsidRDefault="006634C2" w:rsidP="000E5730">
      <w:pPr>
        <w:spacing w:line="260" w:lineRule="atLeast"/>
        <w:jc w:val="both"/>
        <w:rPr>
          <w:rFonts w:ascii="Arial" w:eastAsia="Times New Roman" w:hAnsi="Arial" w:cs="Arial"/>
          <w:sz w:val="20"/>
          <w:szCs w:val="24"/>
        </w:rPr>
      </w:pPr>
    </w:p>
    <w:p w14:paraId="4CF01D85" w14:textId="77777777" w:rsidR="006634C2" w:rsidRDefault="00F601AC" w:rsidP="000E5730">
      <w:pPr>
        <w:spacing w:line="260" w:lineRule="atLeast"/>
        <w:jc w:val="both"/>
        <w:rPr>
          <w:rFonts w:ascii="Arial" w:eastAsia="Times New Roman" w:hAnsi="Arial" w:cs="Arial"/>
          <w:sz w:val="20"/>
          <w:szCs w:val="20"/>
        </w:rPr>
      </w:pPr>
      <w:r>
        <w:rPr>
          <w:rFonts w:ascii="Arial" w:eastAsia="Times New Roman" w:hAnsi="Arial" w:cs="Arial"/>
          <w:sz w:val="20"/>
          <w:szCs w:val="24"/>
          <w:lang w:val="en-GB"/>
        </w:rPr>
        <w:t xml:space="preserve">The content and manner of filing a </w:t>
      </w:r>
      <w:proofErr w:type="spellStart"/>
      <w:r>
        <w:rPr>
          <w:rFonts w:ascii="Arial" w:eastAsia="Times New Roman" w:hAnsi="Arial" w:cs="Arial"/>
          <w:sz w:val="20"/>
          <w:szCs w:val="24"/>
          <w:lang w:val="en-GB"/>
        </w:rPr>
        <w:t>CbCR</w:t>
      </w:r>
      <w:proofErr w:type="spellEnd"/>
      <w:r>
        <w:rPr>
          <w:rFonts w:ascii="Arial" w:eastAsia="Times New Roman" w:hAnsi="Arial" w:cs="Arial"/>
          <w:sz w:val="20"/>
          <w:szCs w:val="24"/>
          <w:lang w:val="en-GB"/>
        </w:rPr>
        <w:t xml:space="preserve"> Notification are defined in Article 86e of the Rules on the implementation of the ZDavP-2. Taxable persons must file the </w:t>
      </w:r>
      <w:proofErr w:type="spellStart"/>
      <w:r>
        <w:rPr>
          <w:rFonts w:ascii="Arial" w:eastAsia="Times New Roman" w:hAnsi="Arial" w:cs="Arial"/>
          <w:sz w:val="20"/>
          <w:szCs w:val="24"/>
          <w:lang w:val="en-GB"/>
        </w:rPr>
        <w:t>CbCR</w:t>
      </w:r>
      <w:proofErr w:type="spellEnd"/>
      <w:r>
        <w:rPr>
          <w:rFonts w:ascii="Arial" w:eastAsia="Times New Roman" w:hAnsi="Arial" w:cs="Arial"/>
          <w:sz w:val="20"/>
          <w:szCs w:val="24"/>
          <w:lang w:val="en-GB"/>
        </w:rPr>
        <w:t xml:space="preserve"> Notification in electronic form simultaneously with the corporate income tax return. The form and methodology on how to complete the form is published on the website of the Financial Administration of the Republic of Slovenia under </w:t>
      </w:r>
      <w:hyperlink r:id="rId13" w:history="1">
        <w:proofErr w:type="spellStart"/>
        <w:r>
          <w:rPr>
            <w:rStyle w:val="Hiperpovezava"/>
            <w:rFonts w:ascii="Arial" w:hAnsi="Arial" w:cs="Arial"/>
            <w:sz w:val="20"/>
            <w:szCs w:val="20"/>
            <w:u w:val="none"/>
            <w:lang w:val="en-GB"/>
          </w:rPr>
          <w:t>Obračun</w:t>
        </w:r>
        <w:proofErr w:type="spellEnd"/>
        <w:r>
          <w:rPr>
            <w:rStyle w:val="Hiperpovezava"/>
            <w:rFonts w:ascii="Arial" w:hAnsi="Arial" w:cs="Arial"/>
            <w:sz w:val="20"/>
            <w:szCs w:val="20"/>
            <w:u w:val="none"/>
            <w:lang w:val="en-GB"/>
          </w:rPr>
          <w:t xml:space="preserve"> </w:t>
        </w:r>
        <w:proofErr w:type="spellStart"/>
        <w:r>
          <w:rPr>
            <w:rStyle w:val="Hiperpovezava"/>
            <w:rFonts w:ascii="Arial" w:hAnsi="Arial" w:cs="Arial"/>
            <w:sz w:val="20"/>
            <w:szCs w:val="20"/>
            <w:u w:val="none"/>
            <w:lang w:val="en-GB"/>
          </w:rPr>
          <w:t>davka</w:t>
        </w:r>
        <w:proofErr w:type="spellEnd"/>
        <w:r>
          <w:rPr>
            <w:rStyle w:val="Hiperpovezava"/>
            <w:rFonts w:ascii="Arial" w:hAnsi="Arial" w:cs="Arial"/>
            <w:sz w:val="20"/>
            <w:szCs w:val="20"/>
            <w:u w:val="none"/>
            <w:lang w:val="en-GB"/>
          </w:rPr>
          <w:t xml:space="preserve"> </w:t>
        </w:r>
        <w:proofErr w:type="spellStart"/>
        <w:r>
          <w:rPr>
            <w:rStyle w:val="Hiperpovezava"/>
            <w:rFonts w:ascii="Arial" w:hAnsi="Arial" w:cs="Arial"/>
            <w:sz w:val="20"/>
            <w:szCs w:val="20"/>
            <w:u w:val="none"/>
            <w:lang w:val="en-GB"/>
          </w:rPr>
          <w:t>od</w:t>
        </w:r>
        <w:proofErr w:type="spellEnd"/>
        <w:r>
          <w:rPr>
            <w:rStyle w:val="Hiperpovezava"/>
            <w:rFonts w:ascii="Arial" w:hAnsi="Arial" w:cs="Arial"/>
            <w:sz w:val="20"/>
            <w:szCs w:val="20"/>
            <w:u w:val="none"/>
            <w:lang w:val="en-GB"/>
          </w:rPr>
          <w:t xml:space="preserve"> </w:t>
        </w:r>
        <w:proofErr w:type="spellStart"/>
        <w:r>
          <w:rPr>
            <w:rStyle w:val="Hiperpovezava"/>
            <w:rFonts w:ascii="Arial" w:hAnsi="Arial" w:cs="Arial"/>
            <w:sz w:val="20"/>
            <w:szCs w:val="20"/>
            <w:u w:val="none"/>
            <w:lang w:val="en-GB"/>
          </w:rPr>
          <w:t>dohodkov</w:t>
        </w:r>
        <w:proofErr w:type="spellEnd"/>
        <w:r>
          <w:rPr>
            <w:rStyle w:val="Hiperpovezava"/>
            <w:rFonts w:ascii="Arial" w:hAnsi="Arial" w:cs="Arial"/>
            <w:sz w:val="20"/>
            <w:szCs w:val="20"/>
            <w:u w:val="none"/>
            <w:lang w:val="en-GB"/>
          </w:rPr>
          <w:t xml:space="preserve"> </w:t>
        </w:r>
        <w:proofErr w:type="spellStart"/>
        <w:r>
          <w:rPr>
            <w:rStyle w:val="Hiperpovezava"/>
            <w:rFonts w:ascii="Arial" w:hAnsi="Arial" w:cs="Arial"/>
            <w:sz w:val="20"/>
            <w:szCs w:val="20"/>
            <w:u w:val="none"/>
            <w:lang w:val="en-GB"/>
          </w:rPr>
          <w:t>pravnih</w:t>
        </w:r>
        <w:proofErr w:type="spellEnd"/>
        <w:r>
          <w:rPr>
            <w:rStyle w:val="Hiperpovezava"/>
            <w:rFonts w:ascii="Arial" w:hAnsi="Arial" w:cs="Arial"/>
            <w:sz w:val="20"/>
            <w:szCs w:val="20"/>
            <w:u w:val="none"/>
            <w:lang w:val="en-GB"/>
          </w:rPr>
          <w:t xml:space="preserve"> </w:t>
        </w:r>
        <w:proofErr w:type="spellStart"/>
        <w:r>
          <w:rPr>
            <w:rStyle w:val="Hiperpovezava"/>
            <w:rFonts w:ascii="Arial" w:hAnsi="Arial" w:cs="Arial"/>
            <w:sz w:val="20"/>
            <w:szCs w:val="20"/>
            <w:u w:val="none"/>
            <w:lang w:val="en-GB"/>
          </w:rPr>
          <w:t>oseb</w:t>
        </w:r>
        <w:proofErr w:type="spellEnd"/>
        <w:r>
          <w:rPr>
            <w:rStyle w:val="Hiperpovezava"/>
            <w:rFonts w:ascii="Arial" w:hAnsi="Arial" w:cs="Arial"/>
            <w:sz w:val="20"/>
            <w:szCs w:val="20"/>
            <w:u w:val="none"/>
            <w:lang w:val="en-GB"/>
          </w:rPr>
          <w:t xml:space="preserve"> (Corporate income tax return forms)</w:t>
        </w:r>
      </w:hyperlink>
      <w:r>
        <w:rPr>
          <w:rFonts w:ascii="Arial" w:eastAsia="Times New Roman" w:hAnsi="Arial" w:cs="Arial"/>
          <w:sz w:val="20"/>
          <w:szCs w:val="20"/>
          <w:lang w:val="en-GB"/>
        </w:rPr>
        <w:t>.</w:t>
      </w:r>
    </w:p>
    <w:p w14:paraId="32A9428C" w14:textId="77777777" w:rsidR="00DD2DDA" w:rsidRDefault="00DD2DDA" w:rsidP="000E5730">
      <w:pPr>
        <w:spacing w:line="260" w:lineRule="atLeast"/>
        <w:jc w:val="both"/>
        <w:rPr>
          <w:rFonts w:ascii="Arial" w:eastAsia="Times New Roman" w:hAnsi="Arial" w:cs="Arial"/>
          <w:sz w:val="20"/>
          <w:szCs w:val="20"/>
        </w:rPr>
      </w:pPr>
    </w:p>
    <w:p w14:paraId="226AB66C" w14:textId="77777777" w:rsidR="00FA60FD" w:rsidRDefault="002166A7" w:rsidP="00756903">
      <w:pPr>
        <w:jc w:val="both"/>
        <w:rPr>
          <w:rFonts w:ascii="Arial" w:eastAsia="Times New Roman" w:hAnsi="Arial" w:cs="Arial"/>
          <w:sz w:val="20"/>
          <w:szCs w:val="24"/>
        </w:rPr>
      </w:pPr>
      <w:r>
        <w:rPr>
          <w:rFonts w:ascii="Arial" w:eastAsia="Times New Roman" w:hAnsi="Arial" w:cs="Arial"/>
          <w:sz w:val="20"/>
          <w:szCs w:val="24"/>
          <w:lang w:val="en-GB"/>
        </w:rPr>
        <w:t xml:space="preserve">More information about </w:t>
      </w:r>
      <w:proofErr w:type="spellStart"/>
      <w:r>
        <w:rPr>
          <w:rFonts w:ascii="Arial" w:eastAsia="Times New Roman" w:hAnsi="Arial" w:cs="Arial"/>
          <w:sz w:val="20"/>
          <w:szCs w:val="24"/>
          <w:lang w:val="en-GB"/>
        </w:rPr>
        <w:t>CbCR</w:t>
      </w:r>
      <w:proofErr w:type="spellEnd"/>
      <w:r>
        <w:rPr>
          <w:rFonts w:ascii="Arial" w:eastAsia="Times New Roman" w:hAnsi="Arial" w:cs="Arial"/>
          <w:sz w:val="20"/>
          <w:szCs w:val="24"/>
          <w:lang w:val="en-GB"/>
        </w:rPr>
        <w:t xml:space="preserve"> Notifications is available at: </w:t>
      </w:r>
    </w:p>
    <w:bookmarkStart w:id="8" w:name="_Toc406410895"/>
    <w:bookmarkStart w:id="9" w:name="_Toc406410939"/>
    <w:bookmarkStart w:id="10" w:name="_Toc406411366"/>
    <w:bookmarkStart w:id="11" w:name="_Toc406418485"/>
    <w:bookmarkStart w:id="12" w:name="_Toc435774136"/>
    <w:bookmarkStart w:id="13" w:name="_Toc435775179"/>
    <w:bookmarkEnd w:id="1"/>
    <w:bookmarkEnd w:id="2"/>
    <w:bookmarkEnd w:id="3"/>
    <w:bookmarkEnd w:id="7"/>
    <w:p w14:paraId="72E52499" w14:textId="77777777" w:rsidR="00546123" w:rsidRPr="005E781A" w:rsidRDefault="005E781A" w:rsidP="00756903">
      <w:pPr>
        <w:rPr>
          <w:rFonts w:ascii="Arial" w:hAnsi="Arial" w:cs="Arial"/>
          <w:sz w:val="20"/>
          <w:szCs w:val="20"/>
        </w:rPr>
      </w:pPr>
      <w:r>
        <w:rPr>
          <w:rFonts w:ascii="Arial" w:hAnsi="Arial" w:cs="Arial"/>
          <w:sz w:val="20"/>
          <w:szCs w:val="20"/>
          <w:lang w:val="en-GB"/>
        </w:rPr>
        <w:fldChar w:fldCharType="begin"/>
      </w:r>
      <w:r>
        <w:rPr>
          <w:rFonts w:ascii="Arial" w:hAnsi="Arial" w:cs="Arial"/>
          <w:sz w:val="20"/>
          <w:szCs w:val="20"/>
          <w:lang w:val="en-GB"/>
        </w:rPr>
        <w:instrText xml:space="preserve"> HYPERLINK "https://www.fu.gov.si/nadzor/podrocja/mednarodna_izmenjava/cbcr/" \l "c4669" </w:instrText>
      </w:r>
      <w:r>
        <w:rPr>
          <w:rFonts w:ascii="Arial" w:hAnsi="Arial" w:cs="Arial"/>
          <w:sz w:val="20"/>
          <w:szCs w:val="20"/>
          <w:lang w:val="en-GB"/>
        </w:rPr>
        <w:fldChar w:fldCharType="separate"/>
      </w:r>
      <w:proofErr w:type="spellStart"/>
      <w:r>
        <w:rPr>
          <w:rStyle w:val="Hiperpovezava"/>
          <w:rFonts w:ascii="Arial" w:hAnsi="Arial" w:cs="Arial"/>
          <w:sz w:val="20"/>
          <w:szCs w:val="20"/>
          <w:lang w:val="en-GB"/>
        </w:rPr>
        <w:t>CbCR</w:t>
      </w:r>
      <w:proofErr w:type="spellEnd"/>
      <w:r>
        <w:rPr>
          <w:rStyle w:val="Hiperpovezava"/>
          <w:rFonts w:ascii="Arial" w:hAnsi="Arial" w:cs="Arial"/>
          <w:sz w:val="20"/>
          <w:szCs w:val="20"/>
          <w:lang w:val="en-GB"/>
        </w:rPr>
        <w:t> | FINANCIAL ADMINISTRATION OF THE REPUBLIC OF SLOVENIA (gov.si)</w:t>
      </w:r>
      <w:r>
        <w:rPr>
          <w:rFonts w:ascii="Arial" w:hAnsi="Arial" w:cs="Arial"/>
          <w:sz w:val="20"/>
          <w:szCs w:val="20"/>
          <w:lang w:val="en-GB"/>
        </w:rPr>
        <w:fldChar w:fldCharType="end"/>
      </w:r>
    </w:p>
    <w:p w14:paraId="5BB9F9D7" w14:textId="77777777" w:rsidR="0000726E" w:rsidRDefault="0000726E" w:rsidP="00756903">
      <w:pPr>
        <w:rPr>
          <w:rFonts w:ascii="Arial" w:hAnsi="Arial" w:cs="Arial"/>
        </w:rPr>
      </w:pPr>
    </w:p>
    <w:p w14:paraId="08B29B7B" w14:textId="77777777" w:rsidR="005E781A" w:rsidRDefault="005E781A" w:rsidP="00756903">
      <w:pPr>
        <w:rPr>
          <w:rFonts w:ascii="Arial" w:hAnsi="Arial" w:cs="Arial"/>
        </w:rPr>
      </w:pPr>
    </w:p>
    <w:p w14:paraId="47036027" w14:textId="7D38CB61" w:rsidR="005E781A" w:rsidRDefault="005E781A" w:rsidP="00756903">
      <w:pPr>
        <w:rPr>
          <w:rFonts w:ascii="Arial" w:hAnsi="Arial" w:cs="Arial"/>
        </w:rPr>
      </w:pPr>
    </w:p>
    <w:p w14:paraId="678C80EC" w14:textId="6C7ACD3A" w:rsidR="006354DC" w:rsidRPr="00831279" w:rsidRDefault="00B86D81" w:rsidP="00756903">
      <w:pPr>
        <w:pStyle w:val="Naslov1"/>
      </w:pPr>
      <w:bookmarkStart w:id="14" w:name="_Toc103257426"/>
      <w:r>
        <w:rPr>
          <w:bCs/>
          <w:lang w:val="en-GB"/>
        </w:rPr>
        <w:t xml:space="preserve">2. INFORMATION CONCERNING TRANSFER PRICES AND PRICES AMONG RESIDENT </w:t>
      </w:r>
      <w:r w:rsidR="003E0B4B">
        <w:rPr>
          <w:bCs/>
          <w:lang w:val="en-GB"/>
        </w:rPr>
        <w:t>ASSOCIATED</w:t>
      </w:r>
      <w:r>
        <w:rPr>
          <w:bCs/>
          <w:lang w:val="en-GB"/>
        </w:rPr>
        <w:t xml:space="preserve"> PARTIES</w:t>
      </w:r>
      <w:bookmarkEnd w:id="14"/>
    </w:p>
    <w:p w14:paraId="143AC5E3" w14:textId="77777777" w:rsidR="00546123" w:rsidRDefault="00546123" w:rsidP="00756903">
      <w:pPr>
        <w:pStyle w:val="Brezrazmikov"/>
        <w:spacing w:line="240" w:lineRule="atLeast"/>
      </w:pPr>
    </w:p>
    <w:p w14:paraId="2DC65B60" w14:textId="77777777" w:rsidR="004D3F08" w:rsidRPr="00AA2C04" w:rsidRDefault="004D3F08" w:rsidP="00756903">
      <w:pPr>
        <w:pStyle w:val="Brezrazmikov"/>
        <w:spacing w:line="240" w:lineRule="atLeast"/>
      </w:pPr>
    </w:p>
    <w:p w14:paraId="2DAC3769" w14:textId="0B02E6F4" w:rsidR="00D44187" w:rsidRPr="004D3F08" w:rsidRDefault="003971AE" w:rsidP="00053712">
      <w:pPr>
        <w:pStyle w:val="Naslov2"/>
        <w:spacing w:before="0" w:after="0"/>
        <w:rPr>
          <w:rFonts w:cs="Arial"/>
          <w:b w:val="0"/>
          <w:bCs w:val="0"/>
          <w:iCs w:val="0"/>
        </w:rPr>
      </w:pPr>
      <w:bookmarkStart w:id="15" w:name="_Toc103257427"/>
      <w:r>
        <w:rPr>
          <w:rFonts w:cs="Arial"/>
          <w:iCs w:val="0"/>
          <w:lang w:val="en-GB"/>
        </w:rPr>
        <w:t>2.1 TRANSFER PRICING DOCUMEN</w:t>
      </w:r>
      <w:bookmarkEnd w:id="15"/>
      <w:r w:rsidR="00297836">
        <w:rPr>
          <w:rFonts w:cs="Arial"/>
          <w:iCs w:val="0"/>
          <w:lang w:val="en-GB"/>
        </w:rPr>
        <w:t>TATION</w:t>
      </w:r>
    </w:p>
    <w:p w14:paraId="42D68033" w14:textId="77777777" w:rsidR="003971AE" w:rsidRPr="00D95DE3" w:rsidRDefault="003971AE" w:rsidP="00053712">
      <w:pPr>
        <w:spacing w:line="260" w:lineRule="atLeast"/>
        <w:jc w:val="both"/>
        <w:rPr>
          <w:rFonts w:ascii="Arial" w:eastAsia="Times New Roman" w:hAnsi="Arial" w:cs="Arial"/>
          <w:sz w:val="20"/>
          <w:szCs w:val="24"/>
          <w:highlight w:val="yellow"/>
        </w:rPr>
      </w:pPr>
    </w:p>
    <w:p w14:paraId="3A010230" w14:textId="3E20093B" w:rsidR="004D3F08" w:rsidRPr="004D3F08" w:rsidRDefault="004D3F08" w:rsidP="00053712">
      <w:pPr>
        <w:spacing w:line="260" w:lineRule="atLeast"/>
        <w:jc w:val="both"/>
        <w:rPr>
          <w:rFonts w:ascii="Arial" w:eastAsia="Times New Roman" w:hAnsi="Arial" w:cs="Arial"/>
          <w:sz w:val="20"/>
          <w:szCs w:val="24"/>
        </w:rPr>
      </w:pPr>
      <w:r>
        <w:rPr>
          <w:rFonts w:ascii="Arial" w:eastAsia="Times New Roman" w:hAnsi="Arial" w:cs="Arial"/>
          <w:sz w:val="20"/>
          <w:szCs w:val="24"/>
          <w:lang w:val="en-GB"/>
        </w:rPr>
        <w:t xml:space="preserve">Taxable persons submit transfer pricing documents as proof that the prices they use in connected transactions are in line with the arm's length principle. Article 18 of the ZDDPO-2 determines what data and documents taxable persons dealing with </w:t>
      </w:r>
      <w:r w:rsidR="003E0B4B">
        <w:rPr>
          <w:rFonts w:ascii="Arial" w:eastAsia="Times New Roman" w:hAnsi="Arial" w:cs="Arial"/>
          <w:sz w:val="20"/>
          <w:szCs w:val="24"/>
          <w:lang w:val="en-GB"/>
        </w:rPr>
        <w:t>associated</w:t>
      </w:r>
      <w:r>
        <w:rPr>
          <w:rFonts w:ascii="Arial" w:eastAsia="Times New Roman" w:hAnsi="Arial" w:cs="Arial"/>
          <w:sz w:val="20"/>
          <w:szCs w:val="24"/>
          <w:lang w:val="en-GB"/>
        </w:rPr>
        <w:t xml:space="preserve"> parties are required to provide to the tax authority in the event of a transfer pricing tax audit:</w:t>
      </w:r>
    </w:p>
    <w:p w14:paraId="53BDC739" w14:textId="77777777" w:rsidR="004D3F08" w:rsidRPr="004D3F08" w:rsidRDefault="004D3F08" w:rsidP="00053712">
      <w:pPr>
        <w:spacing w:line="260" w:lineRule="atLeast"/>
        <w:jc w:val="both"/>
        <w:rPr>
          <w:rFonts w:ascii="Arial" w:eastAsia="Times New Roman" w:hAnsi="Arial" w:cs="Arial"/>
          <w:sz w:val="8"/>
          <w:szCs w:val="24"/>
        </w:rPr>
      </w:pPr>
    </w:p>
    <w:p w14:paraId="3290C31A" w14:textId="6E0EEA48" w:rsidR="004D3F08" w:rsidRPr="004D3F08" w:rsidRDefault="004D3F08" w:rsidP="00053712">
      <w:pPr>
        <w:numPr>
          <w:ilvl w:val="0"/>
          <w:numId w:val="1"/>
        </w:numPr>
        <w:spacing w:line="260" w:lineRule="atLeast"/>
        <w:ind w:left="284" w:hanging="284"/>
        <w:jc w:val="both"/>
        <w:rPr>
          <w:rFonts w:ascii="Arial" w:eastAsia="Times New Roman" w:hAnsi="Arial" w:cs="Arial"/>
          <w:sz w:val="20"/>
          <w:szCs w:val="24"/>
        </w:rPr>
      </w:pPr>
      <w:r>
        <w:rPr>
          <w:rFonts w:ascii="Arial" w:eastAsia="Times New Roman" w:hAnsi="Arial" w:cs="Arial"/>
          <w:b/>
          <w:bCs/>
          <w:sz w:val="20"/>
          <w:szCs w:val="24"/>
          <w:lang w:val="en-GB"/>
        </w:rPr>
        <w:t xml:space="preserve">The Master File, </w:t>
      </w:r>
      <w:r>
        <w:rPr>
          <w:rFonts w:ascii="Arial" w:eastAsia="Times New Roman" w:hAnsi="Arial" w:cs="Arial"/>
          <w:sz w:val="20"/>
          <w:szCs w:val="24"/>
          <w:lang w:val="en-GB"/>
        </w:rPr>
        <w:t xml:space="preserve">which may be uniform for a group of </w:t>
      </w:r>
      <w:r w:rsidR="003E0B4B">
        <w:rPr>
          <w:rFonts w:ascii="Arial" w:eastAsia="Times New Roman" w:hAnsi="Arial" w:cs="Arial"/>
          <w:sz w:val="20"/>
          <w:szCs w:val="24"/>
          <w:lang w:val="en-GB"/>
        </w:rPr>
        <w:t>associated</w:t>
      </w:r>
      <w:r>
        <w:rPr>
          <w:rFonts w:ascii="Arial" w:eastAsia="Times New Roman" w:hAnsi="Arial" w:cs="Arial"/>
          <w:sz w:val="20"/>
          <w:szCs w:val="24"/>
          <w:lang w:val="en-GB"/>
        </w:rPr>
        <w:t xml:space="preserve"> parties as a whole and must contain at least a description of the taxable person, its organisational structure at the global level, and the types of association (equity-based, contractual, personal) of the taxable person's transfer pricing system, a general description of its business activities and strategies, the general economic and other factors, and the competitive environment;</w:t>
      </w:r>
    </w:p>
    <w:p w14:paraId="76999DC6" w14:textId="77777777" w:rsidR="004D3F08" w:rsidRPr="004D3F08" w:rsidRDefault="004D3F08" w:rsidP="00053712">
      <w:pPr>
        <w:spacing w:line="260" w:lineRule="atLeast"/>
        <w:jc w:val="both"/>
        <w:rPr>
          <w:rFonts w:ascii="Arial" w:eastAsia="Times New Roman" w:hAnsi="Arial" w:cs="Arial"/>
          <w:sz w:val="20"/>
        </w:rPr>
      </w:pPr>
    </w:p>
    <w:p w14:paraId="7E46B341" w14:textId="77777777" w:rsidR="004D3F08" w:rsidRPr="004D3F08" w:rsidRDefault="004D3F08" w:rsidP="00053712">
      <w:pPr>
        <w:numPr>
          <w:ilvl w:val="0"/>
          <w:numId w:val="1"/>
        </w:numPr>
        <w:spacing w:line="260" w:lineRule="atLeast"/>
        <w:ind w:left="284" w:hanging="284"/>
        <w:jc w:val="both"/>
        <w:rPr>
          <w:rFonts w:ascii="Arial" w:eastAsia="Times New Roman" w:hAnsi="Arial" w:cs="Arial"/>
          <w:sz w:val="20"/>
          <w:szCs w:val="24"/>
        </w:rPr>
      </w:pPr>
      <w:r>
        <w:rPr>
          <w:rFonts w:ascii="Arial" w:eastAsia="Times New Roman" w:hAnsi="Arial" w:cs="Arial"/>
          <w:b/>
          <w:bCs/>
          <w:sz w:val="20"/>
          <w:szCs w:val="24"/>
          <w:lang w:val="en-GB"/>
        </w:rPr>
        <w:t>The Local File – country specific documentation,</w:t>
      </w:r>
      <w:r>
        <w:rPr>
          <w:rFonts w:ascii="Arial" w:eastAsia="Times New Roman" w:hAnsi="Arial" w:cs="Arial"/>
          <w:sz w:val="20"/>
          <w:szCs w:val="24"/>
          <w:lang w:val="en-GB"/>
        </w:rPr>
        <w:t xml:space="preserve"> which must comprise at least the following:</w:t>
      </w:r>
    </w:p>
    <w:p w14:paraId="7957CE67" w14:textId="4D3EC1CB" w:rsidR="004D3F08" w:rsidRPr="004D3F08" w:rsidRDefault="004D3F08" w:rsidP="00053712">
      <w:pPr>
        <w:numPr>
          <w:ilvl w:val="0"/>
          <w:numId w:val="2"/>
        </w:numPr>
        <w:spacing w:line="260" w:lineRule="atLeast"/>
        <w:ind w:left="284" w:hanging="284"/>
        <w:jc w:val="both"/>
        <w:rPr>
          <w:rFonts w:ascii="Arial" w:eastAsia="Times New Roman" w:hAnsi="Arial" w:cs="Arial"/>
          <w:sz w:val="20"/>
          <w:szCs w:val="24"/>
        </w:rPr>
      </w:pPr>
      <w:r>
        <w:rPr>
          <w:rFonts w:ascii="Arial" w:eastAsia="Times New Roman" w:hAnsi="Arial" w:cs="Arial"/>
          <w:sz w:val="20"/>
          <w:szCs w:val="24"/>
          <w:lang w:val="en-GB"/>
        </w:rPr>
        <w:t xml:space="preserve">information about transactions with </w:t>
      </w:r>
      <w:r w:rsidR="003E0B4B">
        <w:rPr>
          <w:rFonts w:ascii="Arial" w:eastAsia="Times New Roman" w:hAnsi="Arial" w:cs="Arial"/>
          <w:sz w:val="20"/>
          <w:szCs w:val="24"/>
          <w:lang w:val="en-GB"/>
        </w:rPr>
        <w:t>associated</w:t>
      </w:r>
      <w:r>
        <w:rPr>
          <w:rFonts w:ascii="Arial" w:eastAsia="Times New Roman" w:hAnsi="Arial" w:cs="Arial"/>
          <w:sz w:val="20"/>
          <w:szCs w:val="24"/>
          <w:lang w:val="en-GB"/>
        </w:rPr>
        <w:t xml:space="preserve"> parties (description, nature, type, value, time limits and terms and conditions</w:t>
      </w:r>
      <w:proofErr w:type="gramStart"/>
      <w:r>
        <w:rPr>
          <w:rFonts w:ascii="Arial" w:eastAsia="Times New Roman" w:hAnsi="Arial" w:cs="Arial"/>
          <w:sz w:val="20"/>
          <w:szCs w:val="24"/>
          <w:lang w:val="en-GB"/>
        </w:rPr>
        <w:t>);</w:t>
      </w:r>
      <w:proofErr w:type="gramEnd"/>
      <w:r>
        <w:rPr>
          <w:rFonts w:ascii="Arial" w:eastAsia="Times New Roman" w:hAnsi="Arial" w:cs="Arial"/>
          <w:sz w:val="20"/>
          <w:szCs w:val="24"/>
          <w:lang w:val="en-GB"/>
        </w:rPr>
        <w:t xml:space="preserve"> </w:t>
      </w:r>
    </w:p>
    <w:p w14:paraId="3896471F" w14:textId="77777777" w:rsidR="004D3F08" w:rsidRPr="004D3F08" w:rsidRDefault="004D3F08" w:rsidP="00053712">
      <w:pPr>
        <w:numPr>
          <w:ilvl w:val="0"/>
          <w:numId w:val="2"/>
        </w:numPr>
        <w:spacing w:line="260" w:lineRule="atLeast"/>
        <w:ind w:left="284" w:hanging="284"/>
        <w:jc w:val="both"/>
        <w:rPr>
          <w:rFonts w:ascii="Arial" w:eastAsia="Times New Roman" w:hAnsi="Arial" w:cs="Arial"/>
          <w:sz w:val="20"/>
          <w:szCs w:val="24"/>
        </w:rPr>
      </w:pPr>
      <w:r>
        <w:rPr>
          <w:rFonts w:ascii="Arial" w:eastAsia="Times New Roman" w:hAnsi="Arial" w:cs="Arial"/>
          <w:sz w:val="20"/>
          <w:szCs w:val="24"/>
          <w:lang w:val="en-GB"/>
        </w:rPr>
        <w:t>data about the implementation of the comparability analysis of transactions concerning the characteristics of assets and services, the performed functional analysis (the tasks performed in relation to invested assets or services and assumed risks), contractual conditions, economic and other conditions affecting transactions, business strategies, other impacts important for the execution of transactions, the use of the method or methods for determining transfer prices and their determination in accordance with comparable market prices;</w:t>
      </w:r>
    </w:p>
    <w:p w14:paraId="783333EB" w14:textId="77777777" w:rsidR="004D3F08" w:rsidRPr="004D3F08" w:rsidRDefault="004D3F08" w:rsidP="00053712">
      <w:pPr>
        <w:numPr>
          <w:ilvl w:val="0"/>
          <w:numId w:val="2"/>
        </w:numPr>
        <w:spacing w:line="260" w:lineRule="atLeast"/>
        <w:ind w:left="284" w:hanging="284"/>
        <w:jc w:val="both"/>
        <w:rPr>
          <w:rFonts w:ascii="Arial" w:eastAsia="Times New Roman" w:hAnsi="Arial" w:cs="Arial"/>
          <w:sz w:val="20"/>
          <w:szCs w:val="24"/>
        </w:rPr>
      </w:pPr>
      <w:r>
        <w:rPr>
          <w:rFonts w:ascii="Arial" w:eastAsia="Times New Roman" w:hAnsi="Arial" w:cs="Arial"/>
          <w:sz w:val="20"/>
          <w:szCs w:val="24"/>
          <w:lang w:val="en-GB"/>
        </w:rPr>
        <w:t>other documents proving the conformity of transfer prices with comparable market prices.</w:t>
      </w:r>
    </w:p>
    <w:p w14:paraId="5F5BBF65" w14:textId="77777777" w:rsidR="004D3F08" w:rsidRPr="004D3F08" w:rsidRDefault="004D3F08" w:rsidP="00053712">
      <w:pPr>
        <w:spacing w:line="260" w:lineRule="atLeast"/>
        <w:jc w:val="both"/>
        <w:rPr>
          <w:rFonts w:ascii="Arial" w:eastAsia="Times New Roman" w:hAnsi="Arial" w:cs="Arial"/>
          <w:sz w:val="20"/>
          <w:szCs w:val="24"/>
        </w:rPr>
      </w:pPr>
    </w:p>
    <w:p w14:paraId="5DCA7DCD" w14:textId="77777777" w:rsidR="004D3F08" w:rsidRPr="004D3F08" w:rsidRDefault="004D3F08" w:rsidP="00053712">
      <w:pPr>
        <w:spacing w:line="260" w:lineRule="atLeast"/>
        <w:jc w:val="both"/>
        <w:rPr>
          <w:rFonts w:ascii="Arial" w:eastAsia="Calibri" w:hAnsi="Arial" w:cs="Times New Roman"/>
          <w:w w:val="102"/>
          <w:sz w:val="20"/>
        </w:rPr>
      </w:pPr>
      <w:r w:rsidRPr="00297836">
        <w:rPr>
          <w:rFonts w:ascii="Arial" w:hAnsi="Arial" w:cs="Arial"/>
          <w:sz w:val="20"/>
          <w:szCs w:val="20"/>
          <w:lang w:val="en-GB"/>
        </w:rPr>
        <w:t xml:space="preserve">Taxable persons are required to provide transfer pricing documents on a regular basis, but not later than before the date of the submission of the tax return for an individual transaction. </w:t>
      </w:r>
      <w:r w:rsidRPr="003F656B">
        <w:rPr>
          <w:rFonts w:ascii="Arial" w:hAnsi="Arial" w:cs="Arial"/>
          <w:sz w:val="20"/>
          <w:szCs w:val="20"/>
          <w:lang w:val="en-GB"/>
        </w:rPr>
        <w:t>Taxable</w:t>
      </w:r>
      <w:r>
        <w:rPr>
          <w:rFonts w:ascii="Arial" w:hAnsi="Arial"/>
          <w:sz w:val="20"/>
          <w:szCs w:val="24"/>
          <w:lang w:val="en-GB"/>
        </w:rPr>
        <w:t xml:space="preserve"> persons may keep the documents in electronic form and must make them available to the tax authority at its request without delay during a tax audit procedure. If it is unable to comply with the tax authority’s request, the tax authority will set a time limit which may not be less than 30 nor more than 90 days, with due consideration of the volume and complexity of the data. Taxable persons must keep the documents for 10 years following the end of the year to which they relate. Taxable persons must have the documents translated within the </w:t>
      </w:r>
      <w:proofErr w:type="gramStart"/>
      <w:r>
        <w:rPr>
          <w:rFonts w:ascii="Arial" w:hAnsi="Arial"/>
          <w:sz w:val="20"/>
          <w:szCs w:val="24"/>
          <w:lang w:val="en-GB"/>
        </w:rPr>
        <w:t>period of time</w:t>
      </w:r>
      <w:proofErr w:type="gramEnd"/>
      <w:r>
        <w:rPr>
          <w:rFonts w:ascii="Arial" w:hAnsi="Arial"/>
          <w:sz w:val="20"/>
          <w:szCs w:val="24"/>
          <w:lang w:val="en-GB"/>
        </w:rPr>
        <w:t xml:space="preserve"> laid down by the tax authority, but not sooner than within 60 days. </w:t>
      </w:r>
    </w:p>
    <w:p w14:paraId="3C4901D5" w14:textId="77777777" w:rsidR="004D3F08" w:rsidRPr="004D3F08" w:rsidRDefault="004D3F08" w:rsidP="00053712">
      <w:pPr>
        <w:spacing w:line="260" w:lineRule="atLeast"/>
        <w:jc w:val="both"/>
        <w:rPr>
          <w:rFonts w:ascii="Arial" w:eastAsia="Times New Roman" w:hAnsi="Arial" w:cs="Arial"/>
          <w:sz w:val="20"/>
          <w:szCs w:val="24"/>
        </w:rPr>
      </w:pPr>
    </w:p>
    <w:p w14:paraId="57D8127B" w14:textId="3367C0BD" w:rsidR="004D3F08" w:rsidRPr="004D3F08" w:rsidRDefault="004D3F08" w:rsidP="00053712">
      <w:pPr>
        <w:spacing w:line="260" w:lineRule="atLeast"/>
        <w:jc w:val="both"/>
        <w:rPr>
          <w:rFonts w:ascii="Arial" w:eastAsia="Times New Roman" w:hAnsi="Arial" w:cs="Arial"/>
          <w:sz w:val="20"/>
          <w:szCs w:val="24"/>
        </w:rPr>
      </w:pPr>
      <w:bookmarkStart w:id="16" w:name="_Hlk104451652"/>
      <w:r>
        <w:rPr>
          <w:rFonts w:ascii="Arial" w:eastAsia="Times New Roman" w:hAnsi="Arial" w:cs="Arial"/>
          <w:sz w:val="20"/>
          <w:szCs w:val="24"/>
          <w:lang w:val="en-GB"/>
        </w:rPr>
        <w:t>The latest amendments to the OECD Guidelines of July 2017 brought quite a few innovations regarding transfer pricing documents, as a new three-</w:t>
      </w:r>
      <w:r w:rsidR="00DA212F">
        <w:rPr>
          <w:rFonts w:ascii="Arial" w:eastAsia="Times New Roman" w:hAnsi="Arial" w:cs="Arial"/>
          <w:sz w:val="20"/>
          <w:szCs w:val="24"/>
          <w:lang w:val="en-GB"/>
        </w:rPr>
        <w:t>tiered</w:t>
      </w:r>
      <w:r>
        <w:rPr>
          <w:rFonts w:ascii="Arial" w:eastAsia="Times New Roman" w:hAnsi="Arial" w:cs="Arial"/>
          <w:sz w:val="20"/>
          <w:szCs w:val="24"/>
          <w:lang w:val="en-GB"/>
        </w:rPr>
        <w:t xml:space="preserve"> approach was introduced. Multinational enterprises </w:t>
      </w:r>
      <w:proofErr w:type="gramStart"/>
      <w:r>
        <w:rPr>
          <w:rFonts w:ascii="Arial" w:eastAsia="Times New Roman" w:hAnsi="Arial" w:cs="Arial"/>
          <w:sz w:val="20"/>
          <w:szCs w:val="24"/>
          <w:lang w:val="en-GB"/>
        </w:rPr>
        <w:t>have to</w:t>
      </w:r>
      <w:proofErr w:type="gramEnd"/>
      <w:r>
        <w:rPr>
          <w:rFonts w:ascii="Arial" w:eastAsia="Times New Roman" w:hAnsi="Arial" w:cs="Arial"/>
          <w:sz w:val="20"/>
          <w:szCs w:val="24"/>
          <w:lang w:val="en-GB"/>
        </w:rPr>
        <w:t xml:space="preserve"> prepare the Master File, the Local File and, if the group's annual consolidated revenue exceeds EUR 750,000,000, also a </w:t>
      </w:r>
      <w:proofErr w:type="spellStart"/>
      <w:r>
        <w:rPr>
          <w:rFonts w:ascii="Arial" w:eastAsia="Times New Roman" w:hAnsi="Arial" w:cs="Arial"/>
          <w:sz w:val="20"/>
          <w:szCs w:val="24"/>
          <w:lang w:val="en-GB"/>
        </w:rPr>
        <w:t>CbCR</w:t>
      </w:r>
      <w:proofErr w:type="spellEnd"/>
      <w:r>
        <w:rPr>
          <w:rFonts w:ascii="Arial" w:eastAsia="Times New Roman" w:hAnsi="Arial" w:cs="Arial"/>
          <w:sz w:val="20"/>
          <w:szCs w:val="24"/>
          <w:lang w:val="en-GB"/>
        </w:rPr>
        <w:t xml:space="preserve">. The ZDavP-2 includes provisions on country-by-country reporting, </w:t>
      </w:r>
      <w:r w:rsidRPr="0048619E">
        <w:rPr>
          <w:rFonts w:ascii="Arial" w:eastAsia="Times New Roman" w:hAnsi="Arial" w:cs="Arial"/>
          <w:sz w:val="20"/>
          <w:szCs w:val="24"/>
          <w:lang w:val="en-GB"/>
        </w:rPr>
        <w:t xml:space="preserve">while other amendments to the OECD Guidelines on transfer pricing documents have not yet been </w:t>
      </w:r>
      <w:r w:rsidR="0048619E" w:rsidRPr="0048619E">
        <w:rPr>
          <w:rFonts w:ascii="Arial" w:eastAsia="Times New Roman" w:hAnsi="Arial" w:cs="Arial"/>
          <w:sz w:val="20"/>
          <w:szCs w:val="24"/>
          <w:lang w:val="en-GB"/>
        </w:rPr>
        <w:t xml:space="preserve">implemented </w:t>
      </w:r>
      <w:r w:rsidRPr="0048619E">
        <w:rPr>
          <w:rFonts w:ascii="Arial" w:eastAsia="Times New Roman" w:hAnsi="Arial" w:cs="Arial"/>
          <w:sz w:val="20"/>
          <w:szCs w:val="24"/>
          <w:lang w:val="en-GB"/>
        </w:rPr>
        <w:t>into Slovenian</w:t>
      </w:r>
      <w:r>
        <w:rPr>
          <w:rFonts w:ascii="Arial" w:eastAsia="Times New Roman" w:hAnsi="Arial" w:cs="Arial"/>
          <w:sz w:val="20"/>
          <w:szCs w:val="24"/>
          <w:lang w:val="en-GB"/>
        </w:rPr>
        <w:t xml:space="preserve"> law.</w:t>
      </w:r>
    </w:p>
    <w:bookmarkEnd w:id="16"/>
    <w:p w14:paraId="1749EB2D" w14:textId="77777777" w:rsidR="004D3F08" w:rsidRPr="004D3F08" w:rsidRDefault="004D3F08" w:rsidP="00053712">
      <w:pPr>
        <w:spacing w:line="260" w:lineRule="atLeast"/>
        <w:jc w:val="both"/>
        <w:rPr>
          <w:rFonts w:ascii="Arial" w:eastAsia="Times New Roman" w:hAnsi="Arial" w:cs="Arial"/>
          <w:sz w:val="20"/>
          <w:szCs w:val="24"/>
        </w:rPr>
      </w:pPr>
    </w:p>
    <w:p w14:paraId="09CFE5CF" w14:textId="77777777" w:rsidR="004D3F08" w:rsidRPr="004D3F08" w:rsidRDefault="004D3F08" w:rsidP="00053712">
      <w:pPr>
        <w:tabs>
          <w:tab w:val="left" w:pos="3402"/>
        </w:tabs>
        <w:spacing w:line="260" w:lineRule="atLeast"/>
        <w:jc w:val="both"/>
        <w:rPr>
          <w:rFonts w:ascii="Arial" w:eastAsia="Times New Roman" w:hAnsi="Arial" w:cs="Arial"/>
          <w:sz w:val="16"/>
          <w:szCs w:val="24"/>
        </w:rPr>
      </w:pPr>
      <w:r>
        <w:rPr>
          <w:rFonts w:ascii="Arial" w:eastAsia="Times New Roman" w:hAnsi="Arial" w:cs="Arial"/>
          <w:sz w:val="20"/>
          <w:szCs w:val="24"/>
          <w:lang w:val="en-GB"/>
        </w:rPr>
        <w:t>Although the ZDavP-2 also requires the submission of both the Master and Local Files as transfer pricing documents, the revised OECD Guidelines require more detailed information on a group's business activities, intangible assets, major profit drivers, etc., such as:</w:t>
      </w:r>
    </w:p>
    <w:p w14:paraId="07AFDC1E" w14:textId="77777777" w:rsidR="004D3F08" w:rsidRPr="004D3F08" w:rsidRDefault="004D3F08" w:rsidP="00053712">
      <w:pPr>
        <w:tabs>
          <w:tab w:val="left" w:pos="3402"/>
        </w:tabs>
        <w:spacing w:line="260" w:lineRule="atLeast"/>
        <w:jc w:val="both"/>
        <w:rPr>
          <w:rFonts w:ascii="Arial" w:eastAsia="Times New Roman" w:hAnsi="Arial" w:cs="Arial"/>
          <w:sz w:val="8"/>
          <w:szCs w:val="24"/>
        </w:rPr>
      </w:pPr>
    </w:p>
    <w:p w14:paraId="009C1AEF" w14:textId="61784C72" w:rsidR="004D3F08" w:rsidRPr="00520D91" w:rsidRDefault="004D3F08" w:rsidP="00053712">
      <w:pPr>
        <w:numPr>
          <w:ilvl w:val="0"/>
          <w:numId w:val="41"/>
        </w:numPr>
        <w:spacing w:line="260" w:lineRule="atLeast"/>
        <w:ind w:left="284" w:hanging="284"/>
        <w:jc w:val="both"/>
        <w:rPr>
          <w:rFonts w:ascii="Arial" w:eastAsia="Times New Roman" w:hAnsi="Arial" w:cs="Times New Roman"/>
          <w:sz w:val="8"/>
        </w:rPr>
      </w:pPr>
      <w:r>
        <w:rPr>
          <w:rFonts w:ascii="Arial" w:eastAsia="Times New Roman" w:hAnsi="Arial" w:cs="Times New Roman"/>
          <w:sz w:val="20"/>
          <w:lang w:val="en-GB"/>
        </w:rPr>
        <w:t>in accordance with OECD Guidelines, the Master File must include standardised information about the group, including:</w:t>
      </w:r>
    </w:p>
    <w:p w14:paraId="5F19A780" w14:textId="77777777" w:rsidR="00446AD2" w:rsidRPr="004D3F08" w:rsidRDefault="00446AD2" w:rsidP="00520D91">
      <w:pPr>
        <w:spacing w:line="260" w:lineRule="atLeast"/>
        <w:ind w:left="284"/>
        <w:jc w:val="both"/>
        <w:rPr>
          <w:rFonts w:ascii="Arial" w:eastAsia="Times New Roman" w:hAnsi="Arial" w:cs="Times New Roman"/>
          <w:sz w:val="8"/>
        </w:rPr>
      </w:pPr>
    </w:p>
    <w:p w14:paraId="7FC1E07E" w14:textId="763BBD87" w:rsidR="004D3F08" w:rsidRPr="00520D91" w:rsidRDefault="004D3F08" w:rsidP="00053712">
      <w:pPr>
        <w:numPr>
          <w:ilvl w:val="0"/>
          <w:numId w:val="38"/>
        </w:numPr>
        <w:snapToGrid w:val="0"/>
        <w:spacing w:line="260" w:lineRule="atLeast"/>
        <w:ind w:left="284" w:hanging="284"/>
        <w:jc w:val="both"/>
        <w:rPr>
          <w:rFonts w:ascii="Calibri" w:eastAsia="Times New Roman" w:hAnsi="Calibri" w:cs="Calibri"/>
          <w:snapToGrid w:val="0"/>
          <w:color w:val="000000"/>
          <w:kern w:val="24"/>
          <w:sz w:val="20"/>
          <w:szCs w:val="20"/>
        </w:rPr>
      </w:pPr>
      <w:r>
        <w:rPr>
          <w:rFonts w:ascii="Arial" w:eastAsia="Times New Roman" w:hAnsi="Arial" w:cs="Calibri"/>
          <w:snapToGrid w:val="0"/>
          <w:color w:val="000000"/>
          <w:kern w:val="24"/>
          <w:sz w:val="20"/>
          <w:szCs w:val="20"/>
          <w:u w:val="single"/>
          <w:lang w:val="en-GB"/>
        </w:rPr>
        <w:t>the group’s organisational structure</w:t>
      </w:r>
      <w:r>
        <w:rPr>
          <w:rFonts w:ascii="Arial" w:eastAsia="Times New Roman" w:hAnsi="Arial" w:cs="Calibri"/>
          <w:snapToGrid w:val="0"/>
          <w:color w:val="000000"/>
          <w:kern w:val="24"/>
          <w:sz w:val="20"/>
          <w:szCs w:val="20"/>
          <w:lang w:val="en-GB"/>
        </w:rPr>
        <w:t xml:space="preserve"> (the legal and ownership structure and geographical location of individual entities</w:t>
      </w:r>
      <w:proofErr w:type="gramStart"/>
      <w:r>
        <w:rPr>
          <w:rFonts w:ascii="Arial" w:eastAsia="Times New Roman" w:hAnsi="Arial" w:cs="Calibri"/>
          <w:snapToGrid w:val="0"/>
          <w:color w:val="000000"/>
          <w:kern w:val="24"/>
          <w:sz w:val="20"/>
          <w:szCs w:val="20"/>
          <w:lang w:val="en-GB"/>
        </w:rPr>
        <w:t>);</w:t>
      </w:r>
      <w:proofErr w:type="gramEnd"/>
    </w:p>
    <w:p w14:paraId="6CE2D0B0" w14:textId="77777777" w:rsidR="00446AD2" w:rsidRPr="004D3F08" w:rsidRDefault="00446AD2" w:rsidP="00520D91">
      <w:pPr>
        <w:snapToGrid w:val="0"/>
        <w:spacing w:line="260" w:lineRule="atLeast"/>
        <w:ind w:left="284"/>
        <w:jc w:val="both"/>
        <w:rPr>
          <w:rFonts w:ascii="Calibri" w:eastAsia="Times New Roman" w:hAnsi="Calibri" w:cs="Calibri"/>
          <w:snapToGrid w:val="0"/>
          <w:color w:val="000000"/>
          <w:kern w:val="24"/>
          <w:sz w:val="20"/>
          <w:szCs w:val="20"/>
        </w:rPr>
      </w:pPr>
    </w:p>
    <w:p w14:paraId="4BCE3F47" w14:textId="77777777" w:rsidR="004D3F08" w:rsidRPr="004D3F08" w:rsidRDefault="004D3F08" w:rsidP="00053712">
      <w:pPr>
        <w:numPr>
          <w:ilvl w:val="0"/>
          <w:numId w:val="38"/>
        </w:numPr>
        <w:snapToGrid w:val="0"/>
        <w:spacing w:line="260" w:lineRule="atLeast"/>
        <w:ind w:left="284" w:hanging="284"/>
        <w:jc w:val="both"/>
        <w:rPr>
          <w:rFonts w:ascii="Calibri" w:eastAsia="Times New Roman" w:hAnsi="Calibri" w:cs="Calibri"/>
          <w:snapToGrid w:val="0"/>
          <w:color w:val="000000"/>
          <w:kern w:val="24"/>
          <w:sz w:val="20"/>
          <w:szCs w:val="20"/>
        </w:rPr>
      </w:pPr>
      <w:r>
        <w:rPr>
          <w:rFonts w:ascii="Arial" w:eastAsia="Times New Roman" w:hAnsi="Arial" w:cs="Calibri"/>
          <w:snapToGrid w:val="0"/>
          <w:color w:val="000000"/>
          <w:kern w:val="24"/>
          <w:sz w:val="20"/>
          <w:szCs w:val="20"/>
          <w:u w:val="single"/>
          <w:lang w:val="en-GB"/>
        </w:rPr>
        <w:t>a description of business activities:</w:t>
      </w:r>
    </w:p>
    <w:p w14:paraId="425E75C3" w14:textId="77777777" w:rsidR="004D3F08" w:rsidRPr="004D3F08" w:rsidRDefault="004D3F08" w:rsidP="00053712">
      <w:pPr>
        <w:numPr>
          <w:ilvl w:val="0"/>
          <w:numId w:val="38"/>
        </w:numPr>
        <w:snapToGrid w:val="0"/>
        <w:spacing w:line="260" w:lineRule="atLeast"/>
        <w:ind w:left="284" w:hanging="284"/>
        <w:jc w:val="both"/>
        <w:rPr>
          <w:rFonts w:ascii="Calibri" w:eastAsia="Times New Roman" w:hAnsi="Calibri" w:cs="Calibri"/>
          <w:snapToGrid w:val="0"/>
          <w:color w:val="000000"/>
          <w:kern w:val="24"/>
          <w:sz w:val="20"/>
          <w:szCs w:val="20"/>
        </w:rPr>
      </w:pPr>
      <w:r>
        <w:rPr>
          <w:rFonts w:ascii="Arial" w:eastAsia="Times New Roman" w:hAnsi="Arial" w:cs="Calibri"/>
          <w:snapToGrid w:val="0"/>
          <w:color w:val="000000"/>
          <w:kern w:val="24"/>
          <w:sz w:val="20"/>
          <w:szCs w:val="20"/>
          <w:lang w:val="en-GB"/>
        </w:rPr>
        <w:t xml:space="preserve">major profit drivers, the value-added chain for five main products or for 5% of </w:t>
      </w:r>
      <w:proofErr w:type="gramStart"/>
      <w:r>
        <w:rPr>
          <w:rFonts w:ascii="Arial" w:eastAsia="Times New Roman" w:hAnsi="Arial" w:cs="Calibri"/>
          <w:snapToGrid w:val="0"/>
          <w:color w:val="000000"/>
          <w:kern w:val="24"/>
          <w:sz w:val="20"/>
          <w:szCs w:val="20"/>
          <w:lang w:val="en-GB"/>
        </w:rPr>
        <w:t>revenues;</w:t>
      </w:r>
      <w:proofErr w:type="gramEnd"/>
    </w:p>
    <w:p w14:paraId="3CD8940E" w14:textId="77777777" w:rsidR="004D3F08" w:rsidRPr="004D3F08" w:rsidRDefault="004D3F08" w:rsidP="00053712">
      <w:pPr>
        <w:numPr>
          <w:ilvl w:val="0"/>
          <w:numId w:val="38"/>
        </w:numPr>
        <w:snapToGrid w:val="0"/>
        <w:spacing w:line="260" w:lineRule="atLeast"/>
        <w:ind w:left="284" w:hanging="284"/>
        <w:jc w:val="both"/>
        <w:rPr>
          <w:rFonts w:ascii="Calibri" w:eastAsia="Times New Roman" w:hAnsi="Calibri" w:cs="Calibri"/>
          <w:snapToGrid w:val="0"/>
          <w:color w:val="000000"/>
          <w:kern w:val="24"/>
          <w:sz w:val="20"/>
          <w:szCs w:val="20"/>
        </w:rPr>
      </w:pPr>
      <w:r>
        <w:rPr>
          <w:rFonts w:ascii="Arial" w:eastAsia="Times New Roman" w:hAnsi="Arial" w:cs="Calibri"/>
          <w:snapToGrid w:val="0"/>
          <w:color w:val="000000"/>
          <w:kern w:val="24"/>
          <w:sz w:val="20"/>
          <w:szCs w:val="20"/>
          <w:lang w:val="en-GB"/>
        </w:rPr>
        <w:t xml:space="preserve">a list and a rough description of major contracts for the provision of services within the group, excluding research and development, including an indication of the resources required for such services and transfer pricing </w:t>
      </w:r>
      <w:proofErr w:type="gramStart"/>
      <w:r>
        <w:rPr>
          <w:rFonts w:ascii="Arial" w:eastAsia="Times New Roman" w:hAnsi="Arial" w:cs="Calibri"/>
          <w:snapToGrid w:val="0"/>
          <w:color w:val="000000"/>
          <w:kern w:val="24"/>
          <w:sz w:val="20"/>
          <w:szCs w:val="20"/>
          <w:lang w:val="en-GB"/>
        </w:rPr>
        <w:t>policies;</w:t>
      </w:r>
      <w:proofErr w:type="gramEnd"/>
    </w:p>
    <w:p w14:paraId="5BB4AB3C" w14:textId="77777777" w:rsidR="004D3F08" w:rsidRPr="004D3F08" w:rsidRDefault="004D3F08" w:rsidP="00053712">
      <w:pPr>
        <w:numPr>
          <w:ilvl w:val="0"/>
          <w:numId w:val="38"/>
        </w:numPr>
        <w:snapToGrid w:val="0"/>
        <w:spacing w:line="260" w:lineRule="atLeast"/>
        <w:ind w:left="284" w:hanging="284"/>
        <w:jc w:val="both"/>
        <w:rPr>
          <w:rFonts w:ascii="Calibri" w:eastAsia="Times New Roman" w:hAnsi="Calibri" w:cs="Calibri"/>
          <w:snapToGrid w:val="0"/>
          <w:color w:val="000000"/>
          <w:kern w:val="24"/>
          <w:sz w:val="20"/>
          <w:szCs w:val="20"/>
        </w:rPr>
      </w:pPr>
      <w:r>
        <w:rPr>
          <w:rFonts w:ascii="Arial" w:eastAsia="Times New Roman" w:hAnsi="Arial" w:cs="Calibri"/>
          <w:snapToGrid w:val="0"/>
          <w:color w:val="000000"/>
          <w:kern w:val="24"/>
          <w:sz w:val="20"/>
          <w:szCs w:val="20"/>
          <w:lang w:val="en-GB"/>
        </w:rPr>
        <w:t>a list of principal markets (in geographical terms</w:t>
      </w:r>
      <w:proofErr w:type="gramStart"/>
      <w:r>
        <w:rPr>
          <w:rFonts w:ascii="Arial" w:eastAsia="Times New Roman" w:hAnsi="Arial" w:cs="Calibri"/>
          <w:snapToGrid w:val="0"/>
          <w:color w:val="000000"/>
          <w:kern w:val="24"/>
          <w:sz w:val="20"/>
          <w:szCs w:val="20"/>
          <w:lang w:val="en-GB"/>
        </w:rPr>
        <w:t>);</w:t>
      </w:r>
      <w:proofErr w:type="gramEnd"/>
    </w:p>
    <w:p w14:paraId="3D1A07F2" w14:textId="77777777" w:rsidR="004D3F08" w:rsidRPr="004D3F08" w:rsidRDefault="004D3F08" w:rsidP="00053712">
      <w:pPr>
        <w:numPr>
          <w:ilvl w:val="0"/>
          <w:numId w:val="38"/>
        </w:numPr>
        <w:snapToGrid w:val="0"/>
        <w:spacing w:line="260" w:lineRule="atLeast"/>
        <w:ind w:left="284" w:hanging="284"/>
        <w:jc w:val="both"/>
        <w:rPr>
          <w:rFonts w:ascii="Calibri" w:eastAsia="Times New Roman" w:hAnsi="Calibri" w:cs="Calibri"/>
          <w:snapToGrid w:val="0"/>
          <w:color w:val="000000"/>
          <w:kern w:val="24"/>
          <w:sz w:val="20"/>
          <w:szCs w:val="20"/>
        </w:rPr>
      </w:pPr>
      <w:r>
        <w:rPr>
          <w:rFonts w:ascii="Arial" w:eastAsia="Times New Roman" w:hAnsi="Arial" w:cs="Calibri"/>
          <w:snapToGrid w:val="0"/>
          <w:color w:val="000000"/>
          <w:kern w:val="24"/>
          <w:sz w:val="20"/>
          <w:szCs w:val="20"/>
          <w:lang w:val="en-GB"/>
        </w:rPr>
        <w:t xml:space="preserve">a framework functional analysis showing the added value contributed by each entity of the </w:t>
      </w:r>
      <w:proofErr w:type="gramStart"/>
      <w:r>
        <w:rPr>
          <w:rFonts w:ascii="Arial" w:eastAsia="Times New Roman" w:hAnsi="Arial" w:cs="Calibri"/>
          <w:snapToGrid w:val="0"/>
          <w:color w:val="000000"/>
          <w:kern w:val="24"/>
          <w:sz w:val="20"/>
          <w:szCs w:val="20"/>
          <w:lang w:val="en-GB"/>
        </w:rPr>
        <w:t>group;</w:t>
      </w:r>
      <w:proofErr w:type="gramEnd"/>
    </w:p>
    <w:p w14:paraId="2AAF9F04" w14:textId="77777777" w:rsidR="004D3F08" w:rsidRPr="004D3F08" w:rsidRDefault="004D3F08" w:rsidP="00053712">
      <w:pPr>
        <w:numPr>
          <w:ilvl w:val="0"/>
          <w:numId w:val="38"/>
        </w:numPr>
        <w:snapToGrid w:val="0"/>
        <w:spacing w:line="260" w:lineRule="atLeast"/>
        <w:ind w:left="284" w:hanging="284"/>
        <w:jc w:val="both"/>
        <w:rPr>
          <w:rFonts w:ascii="Calibri" w:eastAsia="Times New Roman" w:hAnsi="Calibri" w:cs="Calibri"/>
          <w:snapToGrid w:val="0"/>
          <w:color w:val="000000"/>
          <w:kern w:val="24"/>
          <w:sz w:val="20"/>
          <w:szCs w:val="20"/>
        </w:rPr>
      </w:pPr>
      <w:r>
        <w:rPr>
          <w:rFonts w:ascii="Arial" w:eastAsia="Times New Roman" w:hAnsi="Arial" w:cs="Calibri"/>
          <w:snapToGrid w:val="0"/>
          <w:color w:val="000000"/>
          <w:kern w:val="24"/>
          <w:sz w:val="20"/>
          <w:szCs w:val="20"/>
          <w:lang w:val="en-GB"/>
        </w:rPr>
        <w:t xml:space="preserve">a description of major economic and legal </w:t>
      </w:r>
      <w:proofErr w:type="gramStart"/>
      <w:r>
        <w:rPr>
          <w:rFonts w:ascii="Arial" w:eastAsia="Times New Roman" w:hAnsi="Arial" w:cs="Calibri"/>
          <w:snapToGrid w:val="0"/>
          <w:color w:val="000000"/>
          <w:kern w:val="24"/>
          <w:sz w:val="20"/>
          <w:szCs w:val="20"/>
          <w:lang w:val="en-GB"/>
        </w:rPr>
        <w:t>restructuring;</w:t>
      </w:r>
      <w:proofErr w:type="gramEnd"/>
    </w:p>
    <w:p w14:paraId="2E741699" w14:textId="77777777" w:rsidR="004D3F08" w:rsidRPr="004D3F08" w:rsidRDefault="004D3F08" w:rsidP="00053712">
      <w:pPr>
        <w:snapToGrid w:val="0"/>
        <w:spacing w:line="260" w:lineRule="atLeast"/>
        <w:ind w:left="284"/>
        <w:jc w:val="both"/>
        <w:rPr>
          <w:rFonts w:ascii="Calibri" w:eastAsia="Times New Roman" w:hAnsi="Calibri" w:cs="Calibri"/>
          <w:snapToGrid w:val="0"/>
          <w:color w:val="000000"/>
          <w:kern w:val="24"/>
          <w:sz w:val="20"/>
          <w:szCs w:val="20"/>
        </w:rPr>
      </w:pPr>
    </w:p>
    <w:p w14:paraId="3693C3A0" w14:textId="77777777" w:rsidR="004D3F08" w:rsidRPr="004D3F08" w:rsidRDefault="004D3F08" w:rsidP="00053712">
      <w:pPr>
        <w:numPr>
          <w:ilvl w:val="0"/>
          <w:numId w:val="38"/>
        </w:numPr>
        <w:snapToGrid w:val="0"/>
        <w:spacing w:line="260" w:lineRule="atLeast"/>
        <w:ind w:left="284" w:hanging="284"/>
        <w:jc w:val="both"/>
        <w:rPr>
          <w:rFonts w:ascii="Calibri" w:eastAsia="Times New Roman" w:hAnsi="Calibri" w:cs="Calibri"/>
          <w:snapToGrid w:val="0"/>
          <w:color w:val="000000"/>
          <w:kern w:val="24"/>
          <w:sz w:val="20"/>
          <w:szCs w:val="20"/>
        </w:rPr>
      </w:pPr>
      <w:r>
        <w:rPr>
          <w:rFonts w:ascii="Arial" w:eastAsia="Times New Roman" w:hAnsi="Arial" w:cs="Calibri"/>
          <w:snapToGrid w:val="0"/>
          <w:color w:val="000000"/>
          <w:kern w:val="24"/>
          <w:sz w:val="20"/>
          <w:szCs w:val="20"/>
          <w:u w:val="single"/>
          <w:lang w:val="en-GB"/>
        </w:rPr>
        <w:t>the intangible assets of the group:</w:t>
      </w:r>
    </w:p>
    <w:p w14:paraId="5DC49502" w14:textId="77777777" w:rsidR="004D3F08" w:rsidRPr="004D3F08" w:rsidRDefault="004D3F08" w:rsidP="00053712">
      <w:pPr>
        <w:numPr>
          <w:ilvl w:val="0"/>
          <w:numId w:val="38"/>
        </w:numPr>
        <w:snapToGrid w:val="0"/>
        <w:spacing w:line="260" w:lineRule="atLeast"/>
        <w:ind w:left="284" w:hanging="284"/>
        <w:jc w:val="both"/>
        <w:rPr>
          <w:rFonts w:ascii="Calibri" w:eastAsia="Times New Roman" w:hAnsi="Calibri" w:cs="Calibri"/>
          <w:snapToGrid w:val="0"/>
          <w:color w:val="000000"/>
          <w:kern w:val="24"/>
          <w:sz w:val="20"/>
          <w:szCs w:val="20"/>
        </w:rPr>
      </w:pPr>
      <w:r>
        <w:rPr>
          <w:rFonts w:ascii="Arial" w:eastAsia="Times New Roman" w:hAnsi="Arial" w:cs="Calibri"/>
          <w:snapToGrid w:val="0"/>
          <w:color w:val="000000"/>
          <w:kern w:val="24"/>
          <w:sz w:val="20"/>
          <w:szCs w:val="20"/>
          <w:lang w:val="en-GB"/>
        </w:rPr>
        <w:t xml:space="preserve">a general description of the strategy for the development, ownership and efficient use of intangible </w:t>
      </w:r>
      <w:proofErr w:type="gramStart"/>
      <w:r>
        <w:rPr>
          <w:rFonts w:ascii="Arial" w:eastAsia="Times New Roman" w:hAnsi="Arial" w:cs="Calibri"/>
          <w:snapToGrid w:val="0"/>
          <w:color w:val="000000"/>
          <w:kern w:val="24"/>
          <w:sz w:val="20"/>
          <w:szCs w:val="20"/>
          <w:lang w:val="en-GB"/>
        </w:rPr>
        <w:t>assets;</w:t>
      </w:r>
      <w:proofErr w:type="gramEnd"/>
    </w:p>
    <w:p w14:paraId="59955D4B" w14:textId="77777777" w:rsidR="004D3F08" w:rsidRPr="004D3F08" w:rsidRDefault="004D3F08" w:rsidP="00053712">
      <w:pPr>
        <w:numPr>
          <w:ilvl w:val="0"/>
          <w:numId w:val="38"/>
        </w:numPr>
        <w:snapToGrid w:val="0"/>
        <w:spacing w:line="260" w:lineRule="atLeast"/>
        <w:ind w:left="284" w:hanging="284"/>
        <w:jc w:val="both"/>
        <w:rPr>
          <w:rFonts w:ascii="Calibri" w:eastAsia="Times New Roman" w:hAnsi="Calibri" w:cs="Calibri"/>
          <w:snapToGrid w:val="0"/>
          <w:color w:val="000000"/>
          <w:kern w:val="24"/>
          <w:sz w:val="20"/>
          <w:szCs w:val="20"/>
        </w:rPr>
      </w:pPr>
      <w:r>
        <w:rPr>
          <w:rFonts w:ascii="Arial" w:eastAsia="Times New Roman" w:hAnsi="Arial" w:cs="Calibri"/>
          <w:snapToGrid w:val="0"/>
          <w:color w:val="000000"/>
          <w:kern w:val="24"/>
          <w:sz w:val="20"/>
          <w:szCs w:val="20"/>
          <w:lang w:val="en-GB"/>
        </w:rPr>
        <w:t xml:space="preserve">a list of significant intangible assets, including a definition of the entities that are their legal </w:t>
      </w:r>
      <w:proofErr w:type="gramStart"/>
      <w:r>
        <w:rPr>
          <w:rFonts w:ascii="Arial" w:eastAsia="Times New Roman" w:hAnsi="Arial" w:cs="Calibri"/>
          <w:snapToGrid w:val="0"/>
          <w:color w:val="000000"/>
          <w:kern w:val="24"/>
          <w:sz w:val="20"/>
          <w:szCs w:val="20"/>
          <w:lang w:val="en-GB"/>
        </w:rPr>
        <w:t>owners;</w:t>
      </w:r>
      <w:proofErr w:type="gramEnd"/>
    </w:p>
    <w:p w14:paraId="5228F1D8" w14:textId="2E59EAED" w:rsidR="004D3F08" w:rsidRPr="004D3F08" w:rsidRDefault="004D3F08" w:rsidP="00053712">
      <w:pPr>
        <w:numPr>
          <w:ilvl w:val="0"/>
          <w:numId w:val="38"/>
        </w:numPr>
        <w:snapToGrid w:val="0"/>
        <w:spacing w:line="260" w:lineRule="atLeast"/>
        <w:ind w:left="284" w:hanging="284"/>
        <w:jc w:val="both"/>
        <w:rPr>
          <w:rFonts w:ascii="Calibri" w:eastAsia="Times New Roman" w:hAnsi="Calibri" w:cs="Calibri"/>
          <w:snapToGrid w:val="0"/>
          <w:color w:val="000000"/>
          <w:kern w:val="24"/>
          <w:sz w:val="20"/>
          <w:szCs w:val="20"/>
        </w:rPr>
      </w:pPr>
      <w:r>
        <w:rPr>
          <w:rFonts w:ascii="Arial" w:eastAsia="Times New Roman" w:hAnsi="Arial" w:cs="Calibri"/>
          <w:snapToGrid w:val="0"/>
          <w:color w:val="000000"/>
          <w:kern w:val="24"/>
          <w:sz w:val="20"/>
          <w:szCs w:val="20"/>
          <w:lang w:val="en-GB"/>
        </w:rPr>
        <w:t xml:space="preserve">a list of significant </w:t>
      </w:r>
      <w:r w:rsidR="003E0B4B">
        <w:rPr>
          <w:rFonts w:ascii="Arial" w:eastAsia="Times New Roman" w:hAnsi="Arial" w:cs="Calibri"/>
          <w:snapToGrid w:val="0"/>
          <w:color w:val="000000"/>
          <w:kern w:val="24"/>
          <w:sz w:val="20"/>
          <w:szCs w:val="20"/>
          <w:lang w:val="en-GB"/>
        </w:rPr>
        <w:t>associated</w:t>
      </w:r>
      <w:r>
        <w:rPr>
          <w:rFonts w:ascii="Arial" w:eastAsia="Times New Roman" w:hAnsi="Arial" w:cs="Calibri"/>
          <w:snapToGrid w:val="0"/>
          <w:color w:val="000000"/>
          <w:kern w:val="24"/>
          <w:sz w:val="20"/>
          <w:szCs w:val="20"/>
          <w:lang w:val="en-GB"/>
        </w:rPr>
        <w:t xml:space="preserve"> party contracts relating to intangible </w:t>
      </w:r>
      <w:proofErr w:type="gramStart"/>
      <w:r>
        <w:rPr>
          <w:rFonts w:ascii="Arial" w:eastAsia="Times New Roman" w:hAnsi="Arial" w:cs="Calibri"/>
          <w:snapToGrid w:val="0"/>
          <w:color w:val="000000"/>
          <w:kern w:val="24"/>
          <w:sz w:val="20"/>
          <w:szCs w:val="20"/>
          <w:lang w:val="en-GB"/>
        </w:rPr>
        <w:t>assets;</w:t>
      </w:r>
      <w:proofErr w:type="gramEnd"/>
    </w:p>
    <w:p w14:paraId="07D2BF04" w14:textId="77777777" w:rsidR="004D3F08" w:rsidRPr="004D3F08" w:rsidRDefault="004D3F08" w:rsidP="00053712">
      <w:pPr>
        <w:numPr>
          <w:ilvl w:val="0"/>
          <w:numId w:val="38"/>
        </w:numPr>
        <w:snapToGrid w:val="0"/>
        <w:spacing w:line="260" w:lineRule="atLeast"/>
        <w:ind w:left="284" w:hanging="284"/>
        <w:jc w:val="both"/>
        <w:rPr>
          <w:rFonts w:ascii="Calibri" w:eastAsia="Times New Roman" w:hAnsi="Calibri" w:cs="Calibri"/>
          <w:snapToGrid w:val="0"/>
          <w:color w:val="000000"/>
          <w:kern w:val="24"/>
          <w:sz w:val="20"/>
          <w:szCs w:val="20"/>
        </w:rPr>
      </w:pPr>
      <w:r>
        <w:rPr>
          <w:rFonts w:ascii="Arial" w:eastAsia="Times New Roman" w:hAnsi="Arial" w:cs="Calibri"/>
          <w:snapToGrid w:val="0"/>
          <w:color w:val="000000"/>
          <w:kern w:val="24"/>
          <w:sz w:val="20"/>
          <w:szCs w:val="20"/>
          <w:lang w:val="en-GB"/>
        </w:rPr>
        <w:t>a rough description of transactions in intangible assets (licence fees, transfer and use of intangible assets</w:t>
      </w:r>
      <w:proofErr w:type="gramStart"/>
      <w:r>
        <w:rPr>
          <w:rFonts w:ascii="Arial" w:eastAsia="Times New Roman" w:hAnsi="Arial" w:cs="Calibri"/>
          <w:snapToGrid w:val="0"/>
          <w:color w:val="000000"/>
          <w:kern w:val="24"/>
          <w:sz w:val="20"/>
          <w:szCs w:val="20"/>
          <w:lang w:val="en-GB"/>
        </w:rPr>
        <w:t>);</w:t>
      </w:r>
      <w:proofErr w:type="gramEnd"/>
    </w:p>
    <w:p w14:paraId="3AF6C43C" w14:textId="77777777" w:rsidR="004D3F08" w:rsidRPr="004D3F08" w:rsidRDefault="004D3F08" w:rsidP="00053712">
      <w:pPr>
        <w:snapToGrid w:val="0"/>
        <w:spacing w:line="260" w:lineRule="atLeast"/>
        <w:ind w:left="284"/>
        <w:jc w:val="both"/>
        <w:rPr>
          <w:rFonts w:ascii="Calibri" w:eastAsia="Times New Roman" w:hAnsi="Calibri" w:cs="Calibri"/>
          <w:snapToGrid w:val="0"/>
          <w:color w:val="000000"/>
          <w:kern w:val="24"/>
          <w:sz w:val="20"/>
          <w:szCs w:val="20"/>
        </w:rPr>
      </w:pPr>
    </w:p>
    <w:p w14:paraId="27D30C16" w14:textId="77777777" w:rsidR="004D3F08" w:rsidRPr="004D3F08" w:rsidRDefault="004D3F08" w:rsidP="00053712">
      <w:pPr>
        <w:numPr>
          <w:ilvl w:val="0"/>
          <w:numId w:val="38"/>
        </w:numPr>
        <w:snapToGrid w:val="0"/>
        <w:spacing w:line="260" w:lineRule="atLeast"/>
        <w:ind w:left="284" w:hanging="284"/>
        <w:jc w:val="both"/>
        <w:rPr>
          <w:rFonts w:ascii="Calibri" w:eastAsia="Times New Roman" w:hAnsi="Calibri" w:cs="Calibri"/>
          <w:snapToGrid w:val="0"/>
          <w:color w:val="000000"/>
          <w:kern w:val="24"/>
          <w:sz w:val="20"/>
          <w:szCs w:val="20"/>
        </w:rPr>
      </w:pPr>
      <w:r>
        <w:rPr>
          <w:rFonts w:ascii="Arial" w:eastAsia="Times New Roman" w:hAnsi="Arial" w:cs="Calibri"/>
          <w:snapToGrid w:val="0"/>
          <w:color w:val="000000"/>
          <w:kern w:val="24"/>
          <w:sz w:val="20"/>
          <w:szCs w:val="20"/>
          <w:u w:val="single"/>
          <w:lang w:val="en-GB"/>
        </w:rPr>
        <w:t>financial transactions within the group:</w:t>
      </w:r>
    </w:p>
    <w:p w14:paraId="66837D1C" w14:textId="77777777" w:rsidR="004D3F08" w:rsidRPr="004D3F08" w:rsidRDefault="004D3F08" w:rsidP="00053712">
      <w:pPr>
        <w:numPr>
          <w:ilvl w:val="0"/>
          <w:numId w:val="38"/>
        </w:numPr>
        <w:snapToGrid w:val="0"/>
        <w:spacing w:line="260" w:lineRule="atLeast"/>
        <w:ind w:left="284" w:hanging="284"/>
        <w:jc w:val="both"/>
        <w:rPr>
          <w:rFonts w:ascii="Calibri" w:eastAsia="Times New Roman" w:hAnsi="Calibri" w:cs="Calibri"/>
          <w:snapToGrid w:val="0"/>
          <w:color w:val="000000"/>
          <w:kern w:val="24"/>
          <w:sz w:val="20"/>
          <w:szCs w:val="20"/>
        </w:rPr>
      </w:pPr>
      <w:r>
        <w:rPr>
          <w:rFonts w:ascii="Arial" w:eastAsia="Times New Roman" w:hAnsi="Arial" w:cs="Calibri"/>
          <w:snapToGrid w:val="0"/>
          <w:color w:val="000000"/>
          <w:kern w:val="24"/>
          <w:sz w:val="20"/>
          <w:szCs w:val="20"/>
          <w:lang w:val="en-GB"/>
        </w:rPr>
        <w:t xml:space="preserve">a general description of the method of financing the group, including significant independent </w:t>
      </w:r>
      <w:proofErr w:type="gramStart"/>
      <w:r>
        <w:rPr>
          <w:rFonts w:ascii="Arial" w:eastAsia="Times New Roman" w:hAnsi="Arial" w:cs="Calibri"/>
          <w:snapToGrid w:val="0"/>
          <w:color w:val="000000"/>
          <w:kern w:val="24"/>
          <w:sz w:val="20"/>
          <w:szCs w:val="20"/>
          <w:lang w:val="en-GB"/>
        </w:rPr>
        <w:t>loans;</w:t>
      </w:r>
      <w:proofErr w:type="gramEnd"/>
    </w:p>
    <w:p w14:paraId="5D638232" w14:textId="77777777" w:rsidR="004D3F08" w:rsidRPr="004D3F08" w:rsidRDefault="004D3F08" w:rsidP="00053712">
      <w:pPr>
        <w:numPr>
          <w:ilvl w:val="0"/>
          <w:numId w:val="38"/>
        </w:numPr>
        <w:snapToGrid w:val="0"/>
        <w:spacing w:line="260" w:lineRule="atLeast"/>
        <w:ind w:left="284" w:hanging="284"/>
        <w:jc w:val="both"/>
        <w:rPr>
          <w:rFonts w:ascii="Calibri" w:eastAsia="Times New Roman" w:hAnsi="Calibri" w:cs="Calibri"/>
          <w:snapToGrid w:val="0"/>
          <w:color w:val="000000"/>
          <w:kern w:val="24"/>
          <w:sz w:val="20"/>
          <w:szCs w:val="20"/>
        </w:rPr>
      </w:pPr>
      <w:r>
        <w:rPr>
          <w:rFonts w:ascii="Arial" w:eastAsia="Times New Roman" w:hAnsi="Arial" w:cs="Calibri"/>
          <w:snapToGrid w:val="0"/>
          <w:color w:val="000000"/>
          <w:kern w:val="24"/>
          <w:sz w:val="20"/>
          <w:szCs w:val="20"/>
          <w:lang w:val="en-GB"/>
        </w:rPr>
        <w:t xml:space="preserve">a general description of the intra-group financing policy and the identification of any central financial companies in the </w:t>
      </w:r>
      <w:proofErr w:type="gramStart"/>
      <w:r>
        <w:rPr>
          <w:rFonts w:ascii="Arial" w:eastAsia="Times New Roman" w:hAnsi="Arial" w:cs="Calibri"/>
          <w:snapToGrid w:val="0"/>
          <w:color w:val="000000"/>
          <w:kern w:val="24"/>
          <w:sz w:val="20"/>
          <w:szCs w:val="20"/>
          <w:lang w:val="en-GB"/>
        </w:rPr>
        <w:t>group;</w:t>
      </w:r>
      <w:proofErr w:type="gramEnd"/>
    </w:p>
    <w:p w14:paraId="4D86AF00" w14:textId="77777777" w:rsidR="004D3F08" w:rsidRPr="004D3F08" w:rsidRDefault="004D3F08" w:rsidP="00053712">
      <w:pPr>
        <w:snapToGrid w:val="0"/>
        <w:spacing w:line="260" w:lineRule="atLeast"/>
        <w:ind w:left="284"/>
        <w:jc w:val="both"/>
        <w:rPr>
          <w:rFonts w:ascii="Calibri" w:eastAsia="Times New Roman" w:hAnsi="Calibri" w:cs="Calibri"/>
          <w:snapToGrid w:val="0"/>
          <w:color w:val="000000"/>
          <w:kern w:val="24"/>
          <w:sz w:val="20"/>
          <w:szCs w:val="20"/>
        </w:rPr>
      </w:pPr>
    </w:p>
    <w:p w14:paraId="42F46FFC" w14:textId="77777777" w:rsidR="004D3F08" w:rsidRPr="004D3F08" w:rsidRDefault="004D3F08" w:rsidP="00053712">
      <w:pPr>
        <w:numPr>
          <w:ilvl w:val="0"/>
          <w:numId w:val="38"/>
        </w:numPr>
        <w:snapToGrid w:val="0"/>
        <w:spacing w:line="260" w:lineRule="atLeast"/>
        <w:ind w:left="284" w:hanging="284"/>
        <w:jc w:val="both"/>
        <w:rPr>
          <w:rFonts w:ascii="Calibri" w:eastAsia="Times New Roman" w:hAnsi="Calibri" w:cs="Calibri"/>
          <w:snapToGrid w:val="0"/>
          <w:color w:val="000000"/>
          <w:kern w:val="24"/>
          <w:sz w:val="20"/>
          <w:szCs w:val="20"/>
        </w:rPr>
      </w:pPr>
      <w:r w:rsidRPr="00297836">
        <w:rPr>
          <w:rFonts w:ascii="Arial" w:eastAsia="Times New Roman" w:hAnsi="Arial" w:cs="Calibri"/>
          <w:snapToGrid w:val="0"/>
          <w:color w:val="000000"/>
          <w:kern w:val="24"/>
          <w:sz w:val="20"/>
          <w:szCs w:val="20"/>
          <w:u w:val="single"/>
          <w:lang w:val="en-GB"/>
        </w:rPr>
        <w:t>the financial and tax position of the group</w:t>
      </w:r>
      <w:r>
        <w:rPr>
          <w:rFonts w:ascii="Arial" w:eastAsia="Times New Roman" w:hAnsi="Arial" w:cs="Calibri"/>
          <w:snapToGrid w:val="0"/>
          <w:color w:val="000000"/>
          <w:kern w:val="24"/>
          <w:sz w:val="20"/>
          <w:szCs w:val="20"/>
          <w:lang w:val="en-GB"/>
        </w:rPr>
        <w:t>:</w:t>
      </w:r>
    </w:p>
    <w:p w14:paraId="36790059" w14:textId="77777777" w:rsidR="004D3F08" w:rsidRPr="004D3F08" w:rsidRDefault="004D3F08" w:rsidP="00053712">
      <w:pPr>
        <w:numPr>
          <w:ilvl w:val="0"/>
          <w:numId w:val="38"/>
        </w:numPr>
        <w:snapToGrid w:val="0"/>
        <w:spacing w:line="260" w:lineRule="atLeast"/>
        <w:ind w:left="284" w:hanging="284"/>
        <w:jc w:val="both"/>
        <w:rPr>
          <w:rFonts w:ascii="Calibri" w:eastAsia="Times New Roman" w:hAnsi="Calibri" w:cs="Calibri"/>
          <w:snapToGrid w:val="0"/>
          <w:color w:val="000000"/>
          <w:kern w:val="24"/>
          <w:sz w:val="20"/>
          <w:szCs w:val="20"/>
        </w:rPr>
      </w:pPr>
      <w:r>
        <w:rPr>
          <w:rFonts w:ascii="Arial" w:eastAsia="Times New Roman" w:hAnsi="Arial" w:cs="Calibri"/>
          <w:snapToGrid w:val="0"/>
          <w:color w:val="000000"/>
          <w:kern w:val="24"/>
          <w:sz w:val="20"/>
          <w:szCs w:val="20"/>
          <w:lang w:val="en-GB"/>
        </w:rPr>
        <w:t xml:space="preserve">the annual consolidated financial </w:t>
      </w:r>
      <w:proofErr w:type="gramStart"/>
      <w:r>
        <w:rPr>
          <w:rFonts w:ascii="Arial" w:eastAsia="Times New Roman" w:hAnsi="Arial" w:cs="Calibri"/>
          <w:snapToGrid w:val="0"/>
          <w:color w:val="000000"/>
          <w:kern w:val="24"/>
          <w:sz w:val="20"/>
          <w:szCs w:val="20"/>
          <w:lang w:val="en-GB"/>
        </w:rPr>
        <w:t>statements;</w:t>
      </w:r>
      <w:proofErr w:type="gramEnd"/>
    </w:p>
    <w:p w14:paraId="5B0F1C17" w14:textId="77777777" w:rsidR="004D3F08" w:rsidRPr="004D3F08" w:rsidRDefault="004D3F08" w:rsidP="00053712">
      <w:pPr>
        <w:numPr>
          <w:ilvl w:val="0"/>
          <w:numId w:val="38"/>
        </w:numPr>
        <w:snapToGrid w:val="0"/>
        <w:spacing w:line="260" w:lineRule="atLeast"/>
        <w:ind w:left="284" w:hanging="284"/>
        <w:jc w:val="both"/>
        <w:rPr>
          <w:rFonts w:ascii="Calibri" w:eastAsia="Times New Roman" w:hAnsi="Calibri" w:cs="Calibri"/>
          <w:snapToGrid w:val="0"/>
          <w:color w:val="000000"/>
          <w:kern w:val="24"/>
          <w:sz w:val="20"/>
          <w:szCs w:val="20"/>
        </w:rPr>
      </w:pPr>
      <w:r>
        <w:rPr>
          <w:rFonts w:ascii="Arial" w:eastAsia="Times New Roman" w:hAnsi="Arial" w:cs="Calibri"/>
          <w:snapToGrid w:val="0"/>
          <w:color w:val="000000"/>
          <w:kern w:val="24"/>
          <w:sz w:val="20"/>
          <w:szCs w:val="20"/>
          <w:lang w:val="en-GB"/>
        </w:rPr>
        <w:t xml:space="preserve">a list and rough description of existing unilateral APAs and other </w:t>
      </w:r>
      <w:proofErr w:type="spellStart"/>
      <w:r>
        <w:rPr>
          <w:rFonts w:ascii="Arial" w:eastAsia="Times New Roman" w:hAnsi="Arial" w:cs="Calibri"/>
          <w:snapToGrid w:val="0"/>
          <w:color w:val="000000"/>
          <w:kern w:val="24"/>
          <w:sz w:val="20"/>
          <w:szCs w:val="20"/>
          <w:lang w:val="en-GB"/>
        </w:rPr>
        <w:t>ex ante</w:t>
      </w:r>
      <w:proofErr w:type="spellEnd"/>
      <w:r>
        <w:rPr>
          <w:rFonts w:ascii="Arial" w:eastAsia="Times New Roman" w:hAnsi="Arial" w:cs="Calibri"/>
          <w:snapToGrid w:val="0"/>
          <w:color w:val="000000"/>
          <w:kern w:val="24"/>
          <w:sz w:val="20"/>
          <w:szCs w:val="20"/>
          <w:lang w:val="en-GB"/>
        </w:rPr>
        <w:t xml:space="preserve"> tax regulations related to income allocation between countries. </w:t>
      </w:r>
    </w:p>
    <w:p w14:paraId="6DB57C50" w14:textId="77777777" w:rsidR="004D3F08" w:rsidRPr="004D3F08" w:rsidRDefault="004D3F08" w:rsidP="00053712">
      <w:pPr>
        <w:spacing w:line="260" w:lineRule="atLeast"/>
        <w:jc w:val="both"/>
        <w:rPr>
          <w:rFonts w:ascii="Arial" w:eastAsia="Times New Roman" w:hAnsi="Arial" w:cs="Times New Roman"/>
          <w:snapToGrid w:val="0"/>
          <w:sz w:val="32"/>
        </w:rPr>
      </w:pPr>
    </w:p>
    <w:p w14:paraId="666F00B9" w14:textId="77777777" w:rsidR="004D3F08" w:rsidRPr="004D3F08" w:rsidRDefault="004D3F08" w:rsidP="00053712">
      <w:pPr>
        <w:numPr>
          <w:ilvl w:val="0"/>
          <w:numId w:val="41"/>
        </w:numPr>
        <w:spacing w:line="260" w:lineRule="atLeast"/>
        <w:ind w:left="284" w:hanging="284"/>
        <w:jc w:val="both"/>
        <w:rPr>
          <w:rFonts w:ascii="Calibri" w:eastAsia="Times New Roman" w:hAnsi="Calibri" w:cs="Arial"/>
          <w:sz w:val="20"/>
          <w:szCs w:val="20"/>
        </w:rPr>
      </w:pPr>
      <w:r>
        <w:rPr>
          <w:rFonts w:ascii="Arial" w:eastAsia="Times New Roman" w:hAnsi="Arial" w:cs="Arial"/>
          <w:b/>
          <w:bCs/>
          <w:sz w:val="20"/>
          <w:szCs w:val="20"/>
          <w:lang w:val="en-GB"/>
        </w:rPr>
        <w:t>The Local File</w:t>
      </w:r>
      <w:r>
        <w:rPr>
          <w:rFonts w:ascii="Arial" w:eastAsia="Times New Roman" w:hAnsi="Arial" w:cs="Arial"/>
          <w:sz w:val="20"/>
          <w:szCs w:val="20"/>
          <w:lang w:val="en-GB"/>
        </w:rPr>
        <w:t xml:space="preserve"> must include the following:</w:t>
      </w:r>
    </w:p>
    <w:p w14:paraId="4B7B9631" w14:textId="77777777" w:rsidR="004D3F08" w:rsidRPr="004D3F08" w:rsidRDefault="004D3F08" w:rsidP="00053712">
      <w:pPr>
        <w:spacing w:line="260" w:lineRule="atLeast"/>
        <w:ind w:left="284"/>
        <w:jc w:val="both"/>
        <w:rPr>
          <w:rFonts w:ascii="Calibri" w:eastAsia="Times New Roman" w:hAnsi="Calibri" w:cs="Arial"/>
          <w:sz w:val="10"/>
          <w:szCs w:val="20"/>
        </w:rPr>
      </w:pPr>
    </w:p>
    <w:p w14:paraId="5F3DBF99" w14:textId="77777777" w:rsidR="004D3F08" w:rsidRPr="004D3F08" w:rsidRDefault="004D3F08" w:rsidP="00053712">
      <w:pPr>
        <w:numPr>
          <w:ilvl w:val="0"/>
          <w:numId w:val="39"/>
        </w:numPr>
        <w:snapToGrid w:val="0"/>
        <w:spacing w:line="260" w:lineRule="atLeast"/>
        <w:ind w:left="284" w:hanging="284"/>
        <w:jc w:val="both"/>
        <w:rPr>
          <w:rFonts w:ascii="Calibri" w:eastAsia="Times New Roman" w:hAnsi="Calibri" w:cs="Calibri"/>
          <w:snapToGrid w:val="0"/>
          <w:color w:val="000000"/>
          <w:kern w:val="24"/>
          <w:sz w:val="20"/>
          <w:szCs w:val="20"/>
        </w:rPr>
      </w:pPr>
      <w:r>
        <w:rPr>
          <w:rFonts w:ascii="Arial" w:eastAsia="Times New Roman" w:hAnsi="Arial" w:cs="Calibri"/>
          <w:snapToGrid w:val="0"/>
          <w:color w:val="000000"/>
          <w:kern w:val="24"/>
          <w:sz w:val="20"/>
          <w:szCs w:val="20"/>
          <w:u w:val="single"/>
          <w:lang w:val="en-GB"/>
        </w:rPr>
        <w:t>a description of the taxable person:</w:t>
      </w:r>
    </w:p>
    <w:p w14:paraId="5EEC3CB4" w14:textId="77777777" w:rsidR="004D3F08" w:rsidRPr="004D3F08" w:rsidRDefault="004D3F08" w:rsidP="00053712">
      <w:pPr>
        <w:snapToGrid w:val="0"/>
        <w:spacing w:line="260" w:lineRule="atLeast"/>
        <w:ind w:left="284"/>
        <w:jc w:val="both"/>
        <w:rPr>
          <w:rFonts w:ascii="Calibri" w:eastAsia="Times New Roman" w:hAnsi="Calibri" w:cs="Calibri"/>
          <w:snapToGrid w:val="0"/>
          <w:color w:val="000000"/>
          <w:kern w:val="24"/>
          <w:sz w:val="20"/>
          <w:szCs w:val="20"/>
        </w:rPr>
      </w:pPr>
      <w:r>
        <w:rPr>
          <w:rFonts w:ascii="Arial" w:eastAsia="Times New Roman" w:hAnsi="Arial" w:cs="Calibri"/>
          <w:snapToGrid w:val="0"/>
          <w:color w:val="000000"/>
          <w:kern w:val="24"/>
          <w:sz w:val="20"/>
          <w:szCs w:val="20"/>
          <w:lang w:val="en-GB"/>
        </w:rPr>
        <w:t xml:space="preserve">Management structure and organisation, a detailed description of activities, a description of who and where the taxable person’s </w:t>
      </w:r>
      <w:proofErr w:type="spellStart"/>
      <w:r>
        <w:rPr>
          <w:rFonts w:ascii="Arial" w:eastAsia="Times New Roman" w:hAnsi="Arial" w:cs="Calibri"/>
          <w:snapToGrid w:val="0"/>
          <w:color w:val="000000"/>
          <w:kern w:val="24"/>
          <w:sz w:val="20"/>
          <w:szCs w:val="20"/>
          <w:lang w:val="en-GB"/>
        </w:rPr>
        <w:t>managers</w:t>
      </w:r>
      <w:proofErr w:type="spellEnd"/>
      <w:r>
        <w:rPr>
          <w:rFonts w:ascii="Arial" w:eastAsia="Times New Roman" w:hAnsi="Arial" w:cs="Calibri"/>
          <w:snapToGrid w:val="0"/>
          <w:color w:val="000000"/>
          <w:kern w:val="24"/>
          <w:sz w:val="20"/>
          <w:szCs w:val="20"/>
          <w:lang w:val="en-GB"/>
        </w:rPr>
        <w:t xml:space="preserve"> report to. The documents must also indicate whether the taxable person may have undergone a business transformation and whether any intangible assets have been transferred in the past as part of the business transformation, and an explanation of how this has affected the taxable person’s business.</w:t>
      </w:r>
    </w:p>
    <w:p w14:paraId="27E1A35A" w14:textId="77777777" w:rsidR="004D3F08" w:rsidRPr="004D3F08" w:rsidRDefault="004D3F08" w:rsidP="00053712">
      <w:pPr>
        <w:snapToGrid w:val="0"/>
        <w:spacing w:line="260" w:lineRule="atLeast"/>
        <w:ind w:left="284"/>
        <w:jc w:val="both"/>
        <w:rPr>
          <w:rFonts w:ascii="Calibri" w:eastAsia="Times New Roman" w:hAnsi="Calibri" w:cs="Calibri"/>
          <w:snapToGrid w:val="0"/>
          <w:color w:val="000000"/>
          <w:kern w:val="24"/>
          <w:sz w:val="20"/>
          <w:szCs w:val="20"/>
        </w:rPr>
      </w:pPr>
    </w:p>
    <w:p w14:paraId="164484FF" w14:textId="4A965EE3" w:rsidR="004D3F08" w:rsidRPr="004D3F08" w:rsidRDefault="004D3F08" w:rsidP="00053712">
      <w:pPr>
        <w:numPr>
          <w:ilvl w:val="0"/>
          <w:numId w:val="39"/>
        </w:numPr>
        <w:snapToGrid w:val="0"/>
        <w:spacing w:line="260" w:lineRule="atLeast"/>
        <w:ind w:left="284" w:hanging="284"/>
        <w:jc w:val="both"/>
        <w:rPr>
          <w:rFonts w:ascii="Calibri" w:eastAsia="Times New Roman" w:hAnsi="Calibri" w:cs="Calibri"/>
          <w:snapToGrid w:val="0"/>
          <w:color w:val="000000"/>
          <w:kern w:val="24"/>
          <w:sz w:val="20"/>
          <w:szCs w:val="20"/>
        </w:rPr>
      </w:pPr>
      <w:r>
        <w:rPr>
          <w:rFonts w:ascii="Arial" w:eastAsia="Times New Roman" w:hAnsi="Arial" w:cs="Calibri"/>
          <w:snapToGrid w:val="0"/>
          <w:color w:val="000000"/>
          <w:kern w:val="24"/>
          <w:sz w:val="20"/>
          <w:szCs w:val="20"/>
          <w:u w:val="single"/>
          <w:lang w:val="en-GB"/>
        </w:rPr>
        <w:t xml:space="preserve">For each transaction between </w:t>
      </w:r>
      <w:r w:rsidR="003E0B4B">
        <w:rPr>
          <w:rFonts w:ascii="Arial" w:eastAsia="Times New Roman" w:hAnsi="Arial" w:cs="Calibri"/>
          <w:snapToGrid w:val="0"/>
          <w:color w:val="000000"/>
          <w:kern w:val="24"/>
          <w:sz w:val="20"/>
          <w:szCs w:val="20"/>
          <w:u w:val="single"/>
          <w:lang w:val="en-GB"/>
        </w:rPr>
        <w:t>associated</w:t>
      </w:r>
      <w:r>
        <w:rPr>
          <w:rFonts w:ascii="Arial" w:eastAsia="Times New Roman" w:hAnsi="Arial" w:cs="Calibri"/>
          <w:snapToGrid w:val="0"/>
          <w:color w:val="000000"/>
          <w:kern w:val="24"/>
          <w:sz w:val="20"/>
          <w:szCs w:val="20"/>
          <w:u w:val="single"/>
          <w:lang w:val="en-GB"/>
        </w:rPr>
        <w:t xml:space="preserve"> parties, the following must be provided:</w:t>
      </w:r>
    </w:p>
    <w:p w14:paraId="5DAEE12F" w14:textId="05C30DAC" w:rsidR="004D3F08" w:rsidRPr="004D3F08" w:rsidRDefault="004D3F08" w:rsidP="00053712">
      <w:pPr>
        <w:numPr>
          <w:ilvl w:val="0"/>
          <w:numId w:val="40"/>
        </w:numPr>
        <w:snapToGrid w:val="0"/>
        <w:spacing w:line="260" w:lineRule="atLeast"/>
        <w:ind w:left="567" w:hanging="283"/>
        <w:jc w:val="both"/>
        <w:rPr>
          <w:rFonts w:ascii="Calibri" w:eastAsia="Times New Roman" w:hAnsi="Calibri" w:cs="Calibri"/>
          <w:snapToGrid w:val="0"/>
          <w:color w:val="000000"/>
          <w:kern w:val="24"/>
          <w:sz w:val="20"/>
          <w:szCs w:val="20"/>
        </w:rPr>
      </w:pPr>
      <w:r>
        <w:rPr>
          <w:rFonts w:ascii="Arial" w:eastAsia="Times New Roman" w:hAnsi="Arial" w:cs="Calibri"/>
          <w:snapToGrid w:val="0"/>
          <w:color w:val="000000"/>
          <w:kern w:val="24"/>
          <w:sz w:val="20"/>
          <w:szCs w:val="20"/>
          <w:lang w:val="en-GB"/>
        </w:rPr>
        <w:t xml:space="preserve">a detailed description of the </w:t>
      </w:r>
      <w:r w:rsidR="003E0B4B">
        <w:rPr>
          <w:rFonts w:ascii="Arial" w:eastAsia="Times New Roman" w:hAnsi="Arial" w:cs="Calibri"/>
          <w:snapToGrid w:val="0"/>
          <w:color w:val="000000"/>
          <w:kern w:val="24"/>
          <w:sz w:val="20"/>
          <w:szCs w:val="20"/>
          <w:lang w:val="en-GB"/>
        </w:rPr>
        <w:t>associated</w:t>
      </w:r>
      <w:r>
        <w:rPr>
          <w:rFonts w:ascii="Arial" w:eastAsia="Times New Roman" w:hAnsi="Arial" w:cs="Calibri"/>
          <w:snapToGrid w:val="0"/>
          <w:color w:val="000000"/>
          <w:kern w:val="24"/>
          <w:sz w:val="20"/>
          <w:szCs w:val="20"/>
          <w:lang w:val="en-GB"/>
        </w:rPr>
        <w:t xml:space="preserve"> parties and transactions with them, as well as the values of such transactions and </w:t>
      </w:r>
      <w:proofErr w:type="gramStart"/>
      <w:r>
        <w:rPr>
          <w:rFonts w:ascii="Arial" w:eastAsia="Times New Roman" w:hAnsi="Arial" w:cs="Calibri"/>
          <w:snapToGrid w:val="0"/>
          <w:color w:val="000000"/>
          <w:kern w:val="24"/>
          <w:sz w:val="20"/>
          <w:szCs w:val="20"/>
          <w:lang w:val="en-GB"/>
        </w:rPr>
        <w:t>payments;</w:t>
      </w:r>
      <w:proofErr w:type="gramEnd"/>
    </w:p>
    <w:p w14:paraId="1901AAE8" w14:textId="77777777" w:rsidR="004D3F08" w:rsidRPr="004D3F08" w:rsidRDefault="004D3F08" w:rsidP="00053712">
      <w:pPr>
        <w:numPr>
          <w:ilvl w:val="0"/>
          <w:numId w:val="40"/>
        </w:numPr>
        <w:snapToGrid w:val="0"/>
        <w:spacing w:line="260" w:lineRule="atLeast"/>
        <w:ind w:left="567" w:hanging="283"/>
        <w:jc w:val="both"/>
        <w:rPr>
          <w:rFonts w:ascii="Calibri" w:eastAsia="Times New Roman" w:hAnsi="Calibri" w:cs="Calibri"/>
          <w:snapToGrid w:val="0"/>
          <w:color w:val="000000"/>
          <w:kern w:val="24"/>
          <w:sz w:val="20"/>
          <w:szCs w:val="20"/>
        </w:rPr>
      </w:pPr>
      <w:r>
        <w:rPr>
          <w:rFonts w:ascii="Arial" w:eastAsia="Times New Roman" w:hAnsi="Arial" w:cs="Calibri"/>
          <w:snapToGrid w:val="0"/>
          <w:color w:val="000000"/>
          <w:kern w:val="24"/>
          <w:sz w:val="20"/>
          <w:szCs w:val="20"/>
          <w:lang w:val="en-GB"/>
        </w:rPr>
        <w:t xml:space="preserve">copies of all relevant intercompany agreements and </w:t>
      </w:r>
      <w:proofErr w:type="gramStart"/>
      <w:r>
        <w:rPr>
          <w:rFonts w:ascii="Arial" w:eastAsia="Times New Roman" w:hAnsi="Arial" w:cs="Calibri"/>
          <w:snapToGrid w:val="0"/>
          <w:color w:val="000000"/>
          <w:kern w:val="24"/>
          <w:sz w:val="20"/>
          <w:szCs w:val="20"/>
          <w:lang w:val="en-GB"/>
        </w:rPr>
        <w:t>contracts;</w:t>
      </w:r>
      <w:proofErr w:type="gramEnd"/>
    </w:p>
    <w:p w14:paraId="70065028" w14:textId="77777777" w:rsidR="004D3F08" w:rsidRPr="004D3F08" w:rsidRDefault="004D3F08" w:rsidP="00053712">
      <w:pPr>
        <w:numPr>
          <w:ilvl w:val="0"/>
          <w:numId w:val="40"/>
        </w:numPr>
        <w:snapToGrid w:val="0"/>
        <w:spacing w:line="260" w:lineRule="atLeast"/>
        <w:ind w:left="567" w:hanging="283"/>
        <w:jc w:val="both"/>
        <w:rPr>
          <w:rFonts w:ascii="Calibri" w:eastAsia="Times New Roman" w:hAnsi="Calibri" w:cs="Calibri"/>
          <w:snapToGrid w:val="0"/>
          <w:color w:val="000000"/>
          <w:kern w:val="24"/>
          <w:sz w:val="20"/>
          <w:szCs w:val="20"/>
        </w:rPr>
      </w:pPr>
      <w:r>
        <w:rPr>
          <w:rFonts w:ascii="Arial" w:eastAsia="Times New Roman" w:hAnsi="Arial" w:cs="Calibri"/>
          <w:snapToGrid w:val="0"/>
          <w:color w:val="000000"/>
          <w:kern w:val="24"/>
          <w:sz w:val="20"/>
          <w:szCs w:val="20"/>
          <w:lang w:val="en-GB"/>
        </w:rPr>
        <w:t xml:space="preserve">a detailed functional and comparative analysis, including the identification of any changes compared to the previous </w:t>
      </w:r>
      <w:proofErr w:type="gramStart"/>
      <w:r>
        <w:rPr>
          <w:rFonts w:ascii="Arial" w:eastAsia="Times New Roman" w:hAnsi="Arial" w:cs="Calibri"/>
          <w:snapToGrid w:val="0"/>
          <w:color w:val="000000"/>
          <w:kern w:val="24"/>
          <w:sz w:val="20"/>
          <w:szCs w:val="20"/>
          <w:lang w:val="en-GB"/>
        </w:rPr>
        <w:t>period;</w:t>
      </w:r>
      <w:proofErr w:type="gramEnd"/>
    </w:p>
    <w:p w14:paraId="3D3E127B" w14:textId="77777777" w:rsidR="004D3F08" w:rsidRPr="004D3F08" w:rsidRDefault="004D3F08" w:rsidP="00053712">
      <w:pPr>
        <w:numPr>
          <w:ilvl w:val="0"/>
          <w:numId w:val="40"/>
        </w:numPr>
        <w:snapToGrid w:val="0"/>
        <w:spacing w:line="260" w:lineRule="atLeast"/>
        <w:ind w:left="567" w:hanging="283"/>
        <w:jc w:val="both"/>
        <w:rPr>
          <w:rFonts w:ascii="Calibri" w:eastAsia="Times New Roman" w:hAnsi="Calibri" w:cs="Calibri"/>
          <w:snapToGrid w:val="0"/>
          <w:color w:val="000000"/>
          <w:kern w:val="24"/>
          <w:sz w:val="20"/>
          <w:szCs w:val="20"/>
        </w:rPr>
      </w:pPr>
      <w:r>
        <w:rPr>
          <w:rFonts w:ascii="Arial" w:eastAsia="Times New Roman" w:hAnsi="Arial" w:cs="Calibri"/>
          <w:snapToGrid w:val="0"/>
          <w:color w:val="000000"/>
          <w:kern w:val="24"/>
          <w:sz w:val="20"/>
          <w:szCs w:val="20"/>
          <w:lang w:val="en-GB"/>
        </w:rPr>
        <w:t xml:space="preserve">a definition (indication) of the most appropriate method and test </w:t>
      </w:r>
      <w:proofErr w:type="gramStart"/>
      <w:r>
        <w:rPr>
          <w:rFonts w:ascii="Arial" w:eastAsia="Times New Roman" w:hAnsi="Arial" w:cs="Calibri"/>
          <w:snapToGrid w:val="0"/>
          <w:color w:val="000000"/>
          <w:kern w:val="24"/>
          <w:sz w:val="20"/>
          <w:szCs w:val="20"/>
          <w:lang w:val="en-GB"/>
        </w:rPr>
        <w:t>customers;</w:t>
      </w:r>
      <w:proofErr w:type="gramEnd"/>
    </w:p>
    <w:p w14:paraId="1157CD95" w14:textId="77777777" w:rsidR="004D3F08" w:rsidRPr="004D3F08" w:rsidRDefault="004D3F08" w:rsidP="00053712">
      <w:pPr>
        <w:numPr>
          <w:ilvl w:val="0"/>
          <w:numId w:val="40"/>
        </w:numPr>
        <w:snapToGrid w:val="0"/>
        <w:spacing w:line="260" w:lineRule="atLeast"/>
        <w:ind w:left="567" w:hanging="283"/>
        <w:jc w:val="both"/>
        <w:rPr>
          <w:rFonts w:ascii="Calibri" w:eastAsia="Times New Roman" w:hAnsi="Calibri" w:cs="Calibri"/>
          <w:snapToGrid w:val="0"/>
          <w:color w:val="000000"/>
          <w:kern w:val="24"/>
          <w:sz w:val="20"/>
          <w:szCs w:val="20"/>
        </w:rPr>
      </w:pPr>
      <w:r>
        <w:rPr>
          <w:rFonts w:ascii="Arial" w:eastAsia="Times New Roman" w:hAnsi="Arial" w:cs="Calibri"/>
          <w:snapToGrid w:val="0"/>
          <w:color w:val="000000"/>
          <w:kern w:val="24"/>
          <w:sz w:val="20"/>
          <w:szCs w:val="20"/>
          <w:lang w:val="en-GB"/>
        </w:rPr>
        <w:t xml:space="preserve">a summary of the main assumptions in the implementation of the transfer pricing methodology and the reasons for the multi-annual analysis, if </w:t>
      </w:r>
      <w:proofErr w:type="gramStart"/>
      <w:r>
        <w:rPr>
          <w:rFonts w:ascii="Arial" w:eastAsia="Times New Roman" w:hAnsi="Arial" w:cs="Calibri"/>
          <w:snapToGrid w:val="0"/>
          <w:color w:val="000000"/>
          <w:kern w:val="24"/>
          <w:sz w:val="20"/>
          <w:szCs w:val="20"/>
          <w:lang w:val="en-GB"/>
        </w:rPr>
        <w:t>applicable;</w:t>
      </w:r>
      <w:proofErr w:type="gramEnd"/>
    </w:p>
    <w:p w14:paraId="707678E2" w14:textId="77777777" w:rsidR="004D3F08" w:rsidRPr="004D3F08" w:rsidRDefault="004D3F08" w:rsidP="00053712">
      <w:pPr>
        <w:numPr>
          <w:ilvl w:val="0"/>
          <w:numId w:val="40"/>
        </w:numPr>
        <w:snapToGrid w:val="0"/>
        <w:spacing w:line="260" w:lineRule="atLeast"/>
        <w:ind w:left="567" w:hanging="283"/>
        <w:jc w:val="both"/>
        <w:rPr>
          <w:rFonts w:ascii="Calibri" w:eastAsia="Times New Roman" w:hAnsi="Calibri" w:cs="Calibri"/>
          <w:snapToGrid w:val="0"/>
          <w:color w:val="000000"/>
          <w:kern w:val="24"/>
          <w:sz w:val="20"/>
          <w:szCs w:val="20"/>
        </w:rPr>
      </w:pPr>
      <w:r>
        <w:rPr>
          <w:rFonts w:ascii="Arial" w:eastAsia="Times New Roman" w:hAnsi="Arial" w:cs="Calibri"/>
          <w:snapToGrid w:val="0"/>
          <w:color w:val="000000"/>
          <w:kern w:val="24"/>
          <w:sz w:val="20"/>
          <w:szCs w:val="20"/>
          <w:lang w:val="en-GB"/>
        </w:rPr>
        <w:t xml:space="preserve">a list of </w:t>
      </w:r>
      <w:proofErr w:type="spellStart"/>
      <w:r>
        <w:rPr>
          <w:rFonts w:ascii="Arial" w:eastAsia="Times New Roman" w:hAnsi="Arial" w:cs="Calibri"/>
          <w:snapToGrid w:val="0"/>
          <w:color w:val="000000"/>
          <w:kern w:val="24"/>
          <w:sz w:val="20"/>
          <w:szCs w:val="20"/>
          <w:lang w:val="en-GB"/>
        </w:rPr>
        <w:t>comparables</w:t>
      </w:r>
      <w:proofErr w:type="spellEnd"/>
      <w:r>
        <w:rPr>
          <w:rFonts w:ascii="Arial" w:eastAsia="Times New Roman" w:hAnsi="Arial" w:cs="Calibri"/>
          <w:snapToGrid w:val="0"/>
          <w:color w:val="000000"/>
          <w:kern w:val="24"/>
          <w:sz w:val="20"/>
          <w:szCs w:val="20"/>
          <w:lang w:val="en-GB"/>
        </w:rPr>
        <w:t>, descriptions, reasons, adjustments, a list of APAs (locally</w:t>
      </w:r>
      <w:proofErr w:type="gramStart"/>
      <w:r>
        <w:rPr>
          <w:rFonts w:ascii="Arial" w:eastAsia="Times New Roman" w:hAnsi="Arial" w:cs="Calibri"/>
          <w:snapToGrid w:val="0"/>
          <w:color w:val="000000"/>
          <w:kern w:val="24"/>
          <w:sz w:val="20"/>
          <w:szCs w:val="20"/>
          <w:lang w:val="en-GB"/>
        </w:rPr>
        <w:t>);</w:t>
      </w:r>
      <w:proofErr w:type="gramEnd"/>
    </w:p>
    <w:p w14:paraId="0C08794E" w14:textId="77777777" w:rsidR="004D3F08" w:rsidRPr="004D3F08" w:rsidRDefault="004D3F08" w:rsidP="00053712">
      <w:pPr>
        <w:snapToGrid w:val="0"/>
        <w:spacing w:line="260" w:lineRule="atLeast"/>
        <w:ind w:left="567"/>
        <w:jc w:val="both"/>
        <w:rPr>
          <w:rFonts w:ascii="Calibri" w:eastAsia="Times New Roman" w:hAnsi="Calibri" w:cs="Calibri"/>
          <w:snapToGrid w:val="0"/>
          <w:color w:val="000000"/>
          <w:kern w:val="24"/>
          <w:sz w:val="20"/>
          <w:szCs w:val="20"/>
        </w:rPr>
      </w:pPr>
    </w:p>
    <w:p w14:paraId="3C225AE9" w14:textId="77777777" w:rsidR="004D3F08" w:rsidRPr="004D3F08" w:rsidRDefault="004D3F08" w:rsidP="00053712">
      <w:pPr>
        <w:numPr>
          <w:ilvl w:val="0"/>
          <w:numId w:val="40"/>
        </w:numPr>
        <w:snapToGrid w:val="0"/>
        <w:spacing w:line="260" w:lineRule="atLeast"/>
        <w:ind w:left="284" w:hanging="284"/>
        <w:jc w:val="both"/>
        <w:rPr>
          <w:rFonts w:ascii="Calibri" w:eastAsia="Times New Roman" w:hAnsi="Calibri" w:cs="Calibri"/>
          <w:snapToGrid w:val="0"/>
          <w:color w:val="000000"/>
          <w:kern w:val="24"/>
          <w:sz w:val="20"/>
          <w:szCs w:val="20"/>
        </w:rPr>
      </w:pPr>
      <w:r>
        <w:rPr>
          <w:rFonts w:ascii="Arial" w:eastAsia="Times New Roman" w:hAnsi="Arial" w:cs="Calibri"/>
          <w:snapToGrid w:val="0"/>
          <w:color w:val="000000"/>
          <w:kern w:val="24"/>
          <w:sz w:val="20"/>
          <w:szCs w:val="20"/>
          <w:u w:val="single"/>
          <w:lang w:val="en-GB"/>
        </w:rPr>
        <w:t>financial information</w:t>
      </w:r>
      <w:r>
        <w:rPr>
          <w:rFonts w:ascii="Arial" w:eastAsia="Times New Roman" w:hAnsi="Arial" w:cs="Calibri"/>
          <w:snapToGrid w:val="0"/>
          <w:color w:val="000000"/>
          <w:kern w:val="24"/>
          <w:sz w:val="20"/>
          <w:szCs w:val="20"/>
          <w:lang w:val="en-GB"/>
        </w:rPr>
        <w:t xml:space="preserve">: </w:t>
      </w:r>
    </w:p>
    <w:p w14:paraId="0D06719E" w14:textId="77777777" w:rsidR="004D3F08" w:rsidRPr="004D3F08" w:rsidRDefault="004D3F08" w:rsidP="00053712">
      <w:pPr>
        <w:numPr>
          <w:ilvl w:val="0"/>
          <w:numId w:val="40"/>
        </w:numPr>
        <w:snapToGrid w:val="0"/>
        <w:spacing w:line="260" w:lineRule="atLeast"/>
        <w:ind w:left="567" w:hanging="283"/>
        <w:jc w:val="both"/>
        <w:rPr>
          <w:rFonts w:ascii="Calibri" w:eastAsia="Times New Roman" w:hAnsi="Calibri" w:cs="Calibri"/>
          <w:snapToGrid w:val="0"/>
          <w:color w:val="000000"/>
          <w:kern w:val="24"/>
          <w:sz w:val="20"/>
          <w:szCs w:val="20"/>
        </w:rPr>
      </w:pPr>
      <w:r>
        <w:rPr>
          <w:rFonts w:ascii="Arial" w:eastAsia="Times New Roman" w:hAnsi="Arial" w:cs="Calibri"/>
          <w:snapToGrid w:val="0"/>
          <w:color w:val="000000"/>
          <w:kern w:val="24"/>
          <w:sz w:val="20"/>
          <w:szCs w:val="20"/>
          <w:lang w:val="en-GB"/>
        </w:rPr>
        <w:t xml:space="preserve">the taxable person’s financial </w:t>
      </w:r>
      <w:proofErr w:type="gramStart"/>
      <w:r>
        <w:rPr>
          <w:rFonts w:ascii="Arial" w:eastAsia="Times New Roman" w:hAnsi="Arial" w:cs="Calibri"/>
          <w:snapToGrid w:val="0"/>
          <w:color w:val="000000"/>
          <w:kern w:val="24"/>
          <w:sz w:val="20"/>
          <w:szCs w:val="20"/>
          <w:lang w:val="en-GB"/>
        </w:rPr>
        <w:t>statements;</w:t>
      </w:r>
      <w:proofErr w:type="gramEnd"/>
    </w:p>
    <w:p w14:paraId="4B416D20" w14:textId="77777777" w:rsidR="004D3F08" w:rsidRPr="004D3F08" w:rsidRDefault="004D3F08" w:rsidP="00053712">
      <w:pPr>
        <w:numPr>
          <w:ilvl w:val="0"/>
          <w:numId w:val="40"/>
        </w:numPr>
        <w:snapToGrid w:val="0"/>
        <w:spacing w:line="260" w:lineRule="atLeast"/>
        <w:ind w:left="567" w:hanging="283"/>
        <w:jc w:val="both"/>
        <w:rPr>
          <w:rFonts w:ascii="Calibri" w:eastAsia="Times New Roman" w:hAnsi="Calibri" w:cs="Calibri"/>
          <w:snapToGrid w:val="0"/>
          <w:color w:val="000000"/>
          <w:kern w:val="24"/>
          <w:sz w:val="20"/>
          <w:szCs w:val="20"/>
        </w:rPr>
      </w:pPr>
      <w:r>
        <w:rPr>
          <w:rFonts w:ascii="Arial" w:eastAsia="Times New Roman" w:hAnsi="Arial" w:cs="Calibri"/>
          <w:snapToGrid w:val="0"/>
          <w:color w:val="000000"/>
          <w:kern w:val="24"/>
          <w:sz w:val="20"/>
          <w:szCs w:val="20"/>
          <w:lang w:val="en-GB"/>
        </w:rPr>
        <w:t xml:space="preserve">a description of the relationship between the annual financial statements and the application of the transfer pricing </w:t>
      </w:r>
      <w:proofErr w:type="gramStart"/>
      <w:r>
        <w:rPr>
          <w:rFonts w:ascii="Arial" w:eastAsia="Times New Roman" w:hAnsi="Arial" w:cs="Calibri"/>
          <w:snapToGrid w:val="0"/>
          <w:color w:val="000000"/>
          <w:kern w:val="24"/>
          <w:sz w:val="20"/>
          <w:szCs w:val="20"/>
          <w:lang w:val="en-GB"/>
        </w:rPr>
        <w:t>methodology;</w:t>
      </w:r>
      <w:proofErr w:type="gramEnd"/>
      <w:r>
        <w:rPr>
          <w:rFonts w:ascii="Arial" w:eastAsia="Times New Roman" w:hAnsi="Arial" w:cs="Calibri"/>
          <w:snapToGrid w:val="0"/>
          <w:color w:val="000000"/>
          <w:kern w:val="24"/>
          <w:sz w:val="20"/>
          <w:szCs w:val="20"/>
          <w:lang w:val="en-GB"/>
        </w:rPr>
        <w:t xml:space="preserve"> </w:t>
      </w:r>
    </w:p>
    <w:p w14:paraId="28043D58" w14:textId="77777777" w:rsidR="004D3F08" w:rsidRPr="004D3F08" w:rsidRDefault="004D3F08" w:rsidP="00053712">
      <w:pPr>
        <w:numPr>
          <w:ilvl w:val="0"/>
          <w:numId w:val="40"/>
        </w:numPr>
        <w:snapToGrid w:val="0"/>
        <w:spacing w:line="260" w:lineRule="atLeast"/>
        <w:ind w:left="567" w:hanging="283"/>
        <w:jc w:val="both"/>
        <w:rPr>
          <w:rFonts w:ascii="Calibri" w:eastAsia="Times New Roman" w:hAnsi="Calibri" w:cs="Calibri"/>
          <w:snapToGrid w:val="0"/>
          <w:color w:val="000000"/>
          <w:kern w:val="24"/>
          <w:sz w:val="20"/>
          <w:szCs w:val="20"/>
        </w:rPr>
      </w:pPr>
      <w:r>
        <w:rPr>
          <w:rFonts w:ascii="Arial" w:eastAsia="Times New Roman" w:hAnsi="Arial" w:cs="Calibri"/>
          <w:snapToGrid w:val="0"/>
          <w:color w:val="000000"/>
          <w:kern w:val="24"/>
          <w:sz w:val="20"/>
          <w:szCs w:val="20"/>
          <w:lang w:val="en-GB"/>
        </w:rPr>
        <w:t xml:space="preserve">the relevant financial data for the </w:t>
      </w:r>
      <w:proofErr w:type="spellStart"/>
      <w:r>
        <w:rPr>
          <w:rFonts w:ascii="Arial" w:eastAsia="Times New Roman" w:hAnsi="Arial" w:cs="Calibri"/>
          <w:snapToGrid w:val="0"/>
          <w:color w:val="000000"/>
          <w:kern w:val="24"/>
          <w:sz w:val="20"/>
          <w:szCs w:val="20"/>
          <w:lang w:val="en-GB"/>
        </w:rPr>
        <w:t>comparables</w:t>
      </w:r>
      <w:proofErr w:type="spellEnd"/>
      <w:r>
        <w:rPr>
          <w:rFonts w:ascii="Arial" w:eastAsia="Times New Roman" w:hAnsi="Arial" w:cs="Calibri"/>
          <w:snapToGrid w:val="0"/>
          <w:color w:val="000000"/>
          <w:kern w:val="24"/>
          <w:sz w:val="20"/>
          <w:szCs w:val="20"/>
          <w:lang w:val="en-GB"/>
        </w:rPr>
        <w:t xml:space="preserve"> used in the comparability analysis and the sources (databases) from which these data were obtained.</w:t>
      </w:r>
    </w:p>
    <w:p w14:paraId="45B20ED8" w14:textId="77777777" w:rsidR="004D3F08" w:rsidRPr="004D3F08" w:rsidRDefault="004D3F08" w:rsidP="00053712">
      <w:pPr>
        <w:spacing w:line="260" w:lineRule="atLeast"/>
        <w:jc w:val="both"/>
        <w:rPr>
          <w:rFonts w:ascii="Arial" w:eastAsia="Times New Roman" w:hAnsi="Arial" w:cs="Arial"/>
          <w:sz w:val="20"/>
          <w:szCs w:val="24"/>
          <w:highlight w:val="lightGray"/>
        </w:rPr>
      </w:pPr>
    </w:p>
    <w:p w14:paraId="5AF03EF2" w14:textId="748A7E2D" w:rsidR="009553C8" w:rsidRPr="00053712" w:rsidRDefault="009553C8" w:rsidP="009553C8">
      <w:pPr>
        <w:spacing w:after="160" w:line="259" w:lineRule="auto"/>
        <w:jc w:val="both"/>
        <w:rPr>
          <w:rFonts w:ascii="Arial" w:eastAsia="Times New Roman" w:hAnsi="Arial" w:cs="Arial"/>
          <w:sz w:val="20"/>
          <w:szCs w:val="24"/>
        </w:rPr>
      </w:pPr>
      <w:r>
        <w:rPr>
          <w:rFonts w:ascii="Arial" w:eastAsia="Times New Roman" w:hAnsi="Arial" w:cs="Arial"/>
          <w:sz w:val="20"/>
          <w:szCs w:val="24"/>
          <w:lang w:val="en-GB"/>
        </w:rPr>
        <w:t>Chapter 5 of the OECD Guidelines provides for a procedure relating to the documentation of the arm’s length principle (the annex lays down a detailed list of the individual data that make up the Master File and the Local File, with the broader aim of identifying standard documents to demonstrate compliance with the arm’s length principle, thus facilitating tax control procedures.</w:t>
      </w:r>
    </w:p>
    <w:p w14:paraId="4DABB8E2" w14:textId="77777777" w:rsidR="009553C8" w:rsidRPr="00053712" w:rsidRDefault="009553C8" w:rsidP="009553C8">
      <w:pPr>
        <w:spacing w:after="160" w:line="259" w:lineRule="auto"/>
        <w:jc w:val="both"/>
        <w:rPr>
          <w:rFonts w:ascii="Arial" w:eastAsia="Times New Roman" w:hAnsi="Arial" w:cs="Arial"/>
          <w:sz w:val="20"/>
          <w:szCs w:val="24"/>
        </w:rPr>
      </w:pPr>
      <w:r>
        <w:rPr>
          <w:rFonts w:ascii="Arial" w:eastAsia="Times New Roman" w:hAnsi="Arial" w:cs="Arial"/>
          <w:sz w:val="20"/>
          <w:szCs w:val="24"/>
          <w:lang w:val="en-GB"/>
        </w:rPr>
        <w:t xml:space="preserve">As regards the scope of documents, taxable persons must provide at least the information listed in paragraph one of Article 382 of the ZDavP-2, but the determination of the data set must be based on the broader purpose of preparing the documents, which is to enable the tax authority and the taxable person to establish transfer pricing compliance with the arm’s length principle (i.e. to facilitate the determination of whether the transfer prices or the taxable person’s revenues and expenses reflect a comparable market value). </w:t>
      </w:r>
    </w:p>
    <w:p w14:paraId="4FE09051" w14:textId="77777777" w:rsidR="009553C8" w:rsidRPr="00053712" w:rsidRDefault="009553C8" w:rsidP="009553C8">
      <w:pPr>
        <w:spacing w:after="160" w:line="259" w:lineRule="auto"/>
        <w:jc w:val="both"/>
        <w:rPr>
          <w:rFonts w:ascii="Arial" w:eastAsia="Times New Roman" w:hAnsi="Arial" w:cs="Arial"/>
          <w:sz w:val="20"/>
          <w:szCs w:val="24"/>
        </w:rPr>
      </w:pPr>
      <w:r>
        <w:rPr>
          <w:rFonts w:ascii="Arial" w:eastAsia="Times New Roman" w:hAnsi="Arial" w:cs="Arial"/>
          <w:sz w:val="20"/>
          <w:szCs w:val="24"/>
          <w:lang w:val="en-GB"/>
        </w:rPr>
        <w:t xml:space="preserve">In this regard, it should be taken into consideration that various types of transactions require a different type or set of data, which is </w:t>
      </w:r>
      <w:proofErr w:type="gramStart"/>
      <w:r>
        <w:rPr>
          <w:rFonts w:ascii="Arial" w:eastAsia="Times New Roman" w:hAnsi="Arial" w:cs="Arial"/>
          <w:sz w:val="20"/>
          <w:szCs w:val="24"/>
          <w:lang w:val="en-GB"/>
        </w:rPr>
        <w:t>taken into account</w:t>
      </w:r>
      <w:proofErr w:type="gramEnd"/>
      <w:r>
        <w:rPr>
          <w:rFonts w:ascii="Arial" w:eastAsia="Times New Roman" w:hAnsi="Arial" w:cs="Arial"/>
          <w:sz w:val="20"/>
          <w:szCs w:val="24"/>
          <w:lang w:val="en-GB"/>
        </w:rPr>
        <w:t xml:space="preserve"> in the aforementioned Article. That Article determines the minimum required data set and does not exclude the preparation of other data that are relevant </w:t>
      </w:r>
      <w:proofErr w:type="gramStart"/>
      <w:r>
        <w:rPr>
          <w:rFonts w:ascii="Arial" w:eastAsia="Times New Roman" w:hAnsi="Arial" w:cs="Arial"/>
          <w:sz w:val="20"/>
          <w:szCs w:val="24"/>
          <w:lang w:val="en-GB"/>
        </w:rPr>
        <w:t>with regard to</w:t>
      </w:r>
      <w:proofErr w:type="gramEnd"/>
      <w:r>
        <w:rPr>
          <w:rFonts w:ascii="Arial" w:eastAsia="Times New Roman" w:hAnsi="Arial" w:cs="Arial"/>
          <w:sz w:val="20"/>
          <w:szCs w:val="24"/>
          <w:lang w:val="en-GB"/>
        </w:rPr>
        <w:t xml:space="preserve"> the facts and circumstances of a particular transaction. The tax authority emphasises that it depends on the facts and circumstances of the case what other information a taxable person will have to provide in order to demonstrate that the transfer price in a particular transaction reflects the arm’s </w:t>
      </w:r>
      <w:r w:rsidRPr="0048619E">
        <w:rPr>
          <w:rFonts w:ascii="Arial" w:eastAsia="Times New Roman" w:hAnsi="Arial" w:cs="Arial"/>
          <w:sz w:val="20"/>
          <w:szCs w:val="24"/>
          <w:lang w:val="en-GB"/>
        </w:rPr>
        <w:t>length principle, which may include more detailed information defined in the OECD Guidelines. In this way, the tax authority will be able to request from a tax inspector data that are not exhaustively listed in paragraph one of Article 382 of the ZDavP-2, such as a DEMPE analysis (more on</w:t>
      </w:r>
      <w:r>
        <w:rPr>
          <w:rFonts w:ascii="Arial" w:eastAsia="Times New Roman" w:hAnsi="Arial" w:cs="Arial"/>
          <w:sz w:val="20"/>
          <w:szCs w:val="24"/>
          <w:lang w:val="en-GB"/>
        </w:rPr>
        <w:t xml:space="preserve"> this can be found in Chapter 2.4</w:t>
      </w:r>
      <w:r>
        <w:rPr>
          <w:rFonts w:ascii="Arial" w:eastAsia="Times New Roman" w:hAnsi="Arial" w:cs="Arial"/>
          <w:i/>
          <w:iCs/>
          <w:sz w:val="20"/>
          <w:szCs w:val="24"/>
          <w:lang w:val="en-GB"/>
        </w:rPr>
        <w:t xml:space="preserve"> </w:t>
      </w:r>
      <w:r>
        <w:rPr>
          <w:rFonts w:ascii="Arial" w:eastAsia="Times New Roman" w:hAnsi="Arial" w:cs="Arial"/>
          <w:sz w:val="20"/>
          <w:szCs w:val="24"/>
          <w:lang w:val="en-GB"/>
        </w:rPr>
        <w:t xml:space="preserve">SPECIAL FEATURES OF INTANGIBLE ASSETS) when this is necessary in order to determine whether or not the condition of the arm’s length principle has been met (i.e. whether the transfer price in a particular transaction is in line with the arm’s length principle). </w:t>
      </w:r>
    </w:p>
    <w:p w14:paraId="750D4193" w14:textId="77777777" w:rsidR="009553C8" w:rsidRPr="00053712" w:rsidRDefault="009553C8" w:rsidP="009553C8">
      <w:pPr>
        <w:spacing w:after="160" w:line="259" w:lineRule="auto"/>
        <w:jc w:val="both"/>
        <w:rPr>
          <w:rFonts w:ascii="Arial" w:eastAsia="Times New Roman" w:hAnsi="Arial" w:cs="Arial"/>
          <w:sz w:val="20"/>
          <w:szCs w:val="24"/>
        </w:rPr>
      </w:pPr>
      <w:r>
        <w:rPr>
          <w:rFonts w:ascii="Arial" w:eastAsia="Times New Roman" w:hAnsi="Arial" w:cs="Arial"/>
          <w:sz w:val="20"/>
          <w:szCs w:val="24"/>
          <w:lang w:val="en-GB"/>
        </w:rPr>
        <w:t xml:space="preserve">It should be added that the general principles set out in the ZDavP-2 (for example, the principle of proportionality, the principle of material truth and the principle of legality) and other rules must be taken into account in order to ensure consistency in the assessment of the arm’s length principle and to avoid an administrative burden on taxable persons, for example by preparing documents that are not relevant from the viewpoint of assessing compliance with the arm’s length principle or that do not contribute to the clarification of compliance related to determining the arm’s length principle in a particular case. </w:t>
      </w:r>
    </w:p>
    <w:p w14:paraId="18998F8D" w14:textId="26F045D8" w:rsidR="009553C8" w:rsidRPr="00053712" w:rsidRDefault="009553C8" w:rsidP="009553C8">
      <w:pPr>
        <w:spacing w:line="259" w:lineRule="auto"/>
        <w:jc w:val="both"/>
        <w:rPr>
          <w:rFonts w:ascii="Arial" w:eastAsia="Times New Roman" w:hAnsi="Arial" w:cs="Arial"/>
          <w:sz w:val="20"/>
          <w:szCs w:val="24"/>
        </w:rPr>
      </w:pPr>
      <w:r>
        <w:rPr>
          <w:rFonts w:ascii="Arial" w:eastAsia="Times New Roman" w:hAnsi="Arial" w:cs="Arial"/>
          <w:sz w:val="20"/>
          <w:szCs w:val="24"/>
          <w:lang w:val="en-GB"/>
        </w:rPr>
        <w:t>Moreover, it should be stressed that the general principles set out in the Z</w:t>
      </w:r>
      <w:r w:rsidR="00446AD2">
        <w:rPr>
          <w:rFonts w:ascii="Arial" w:eastAsia="Times New Roman" w:hAnsi="Arial" w:cs="Arial"/>
          <w:sz w:val="20"/>
          <w:szCs w:val="24"/>
          <w:lang w:val="en-GB"/>
        </w:rPr>
        <w:t>D</w:t>
      </w:r>
      <w:r>
        <w:rPr>
          <w:rFonts w:ascii="Arial" w:eastAsia="Times New Roman" w:hAnsi="Arial" w:cs="Arial"/>
          <w:sz w:val="20"/>
          <w:szCs w:val="24"/>
          <w:lang w:val="en-GB"/>
        </w:rPr>
        <w:t>avP</w:t>
      </w:r>
      <w:r w:rsidR="004A7D62">
        <w:rPr>
          <w:rFonts w:ascii="Arial" w:eastAsia="Times New Roman" w:hAnsi="Arial" w:cs="Arial"/>
          <w:sz w:val="20"/>
          <w:szCs w:val="24"/>
          <w:lang w:val="en-GB"/>
        </w:rPr>
        <w:t>-</w:t>
      </w:r>
      <w:r>
        <w:rPr>
          <w:rFonts w:ascii="Arial" w:eastAsia="Times New Roman" w:hAnsi="Arial" w:cs="Arial"/>
          <w:sz w:val="20"/>
          <w:szCs w:val="24"/>
          <w:lang w:val="en-GB"/>
        </w:rPr>
        <w:t xml:space="preserve">2 impose on taxable persons the obligation to state all the facts giving rise to their cause of action and to adduce evidence proving these facts. </w:t>
      </w:r>
    </w:p>
    <w:p w14:paraId="5624E478" w14:textId="77777777" w:rsidR="009553C8" w:rsidRDefault="009553C8" w:rsidP="00053712">
      <w:pPr>
        <w:spacing w:after="160" w:line="259" w:lineRule="auto"/>
        <w:jc w:val="both"/>
        <w:rPr>
          <w:rFonts w:ascii="Arial" w:eastAsia="Times New Roman" w:hAnsi="Arial" w:cs="Arial"/>
          <w:sz w:val="20"/>
          <w:szCs w:val="24"/>
        </w:rPr>
      </w:pPr>
    </w:p>
    <w:p w14:paraId="605DBE09" w14:textId="77777777" w:rsidR="002166A7" w:rsidRDefault="00706567" w:rsidP="009553C8">
      <w:pPr>
        <w:spacing w:line="260" w:lineRule="atLeast"/>
        <w:jc w:val="both"/>
        <w:rPr>
          <w:rFonts w:ascii="Arial" w:eastAsia="Times New Roman" w:hAnsi="Arial" w:cs="Arial"/>
          <w:strike/>
          <w:sz w:val="20"/>
          <w:szCs w:val="24"/>
        </w:rPr>
      </w:pPr>
      <w:r>
        <w:rPr>
          <w:rFonts w:ascii="Arial" w:hAnsi="Arial"/>
          <w:b/>
          <w:bCs/>
          <w:sz w:val="20"/>
          <w:szCs w:val="24"/>
          <w:lang w:val="en-GB"/>
        </w:rPr>
        <w:t>The country-by-country report (</w:t>
      </w:r>
      <w:proofErr w:type="spellStart"/>
      <w:r>
        <w:rPr>
          <w:rFonts w:ascii="Arial" w:hAnsi="Arial"/>
          <w:b/>
          <w:bCs/>
          <w:sz w:val="20"/>
          <w:szCs w:val="24"/>
          <w:lang w:val="en-GB"/>
        </w:rPr>
        <w:t>CbCR</w:t>
      </w:r>
      <w:proofErr w:type="spellEnd"/>
      <w:r>
        <w:rPr>
          <w:rFonts w:ascii="Arial" w:hAnsi="Arial"/>
          <w:b/>
          <w:bCs/>
          <w:sz w:val="20"/>
          <w:szCs w:val="24"/>
          <w:lang w:val="en-GB"/>
        </w:rPr>
        <w:t xml:space="preserve">), </w:t>
      </w:r>
      <w:r>
        <w:rPr>
          <w:rFonts w:ascii="Arial" w:hAnsi="Arial"/>
          <w:sz w:val="20"/>
          <w:szCs w:val="24"/>
          <w:lang w:val="en-GB"/>
        </w:rPr>
        <w:t>which taxable persons are obliged to submit if the group's annual consolidated revenues exceed EUR 750 million, must include data relating to the global allocation of income and taxes paid by a multinational group of companies together with certain indicators of the locations of the group's economic activities.</w:t>
      </w:r>
      <w:r w:rsidR="004A7D62">
        <w:rPr>
          <w:rFonts w:ascii="Arial" w:hAnsi="Arial"/>
          <w:sz w:val="20"/>
          <w:szCs w:val="24"/>
          <w:lang w:val="en-GB"/>
        </w:rPr>
        <w:t xml:space="preserve"> </w:t>
      </w:r>
      <w:r>
        <w:rPr>
          <w:rFonts w:ascii="Arial" w:hAnsi="Arial"/>
          <w:sz w:val="20"/>
          <w:szCs w:val="24"/>
          <w:lang w:val="en-GB"/>
        </w:rPr>
        <w:t>Country-by-country reporting (</w:t>
      </w:r>
      <w:proofErr w:type="spellStart"/>
      <w:r>
        <w:rPr>
          <w:rFonts w:ascii="Arial" w:hAnsi="Arial"/>
          <w:sz w:val="20"/>
          <w:szCs w:val="20"/>
          <w:lang w:val="en-GB"/>
        </w:rPr>
        <w:t>CbCR</w:t>
      </w:r>
      <w:proofErr w:type="spellEnd"/>
      <w:r>
        <w:rPr>
          <w:rFonts w:ascii="Arial" w:hAnsi="Arial"/>
          <w:sz w:val="20"/>
          <w:szCs w:val="24"/>
          <w:lang w:val="en-GB"/>
        </w:rPr>
        <w:t>) represents one of the OECD’s measures aimed at targeting profits where they are generated.</w:t>
      </w:r>
      <w:r>
        <w:rPr>
          <w:rFonts w:ascii="Arial" w:hAnsi="Arial"/>
          <w:sz w:val="20"/>
          <w:szCs w:val="20"/>
          <w:lang w:val="en-GB"/>
        </w:rPr>
        <w:t xml:space="preserve"> </w:t>
      </w:r>
    </w:p>
    <w:p w14:paraId="0750556F" w14:textId="77777777" w:rsidR="00131CE8" w:rsidRDefault="00131CE8" w:rsidP="009553C8">
      <w:pPr>
        <w:overflowPunct w:val="0"/>
        <w:autoSpaceDE w:val="0"/>
        <w:autoSpaceDN w:val="0"/>
        <w:adjustRightInd w:val="0"/>
        <w:spacing w:line="260" w:lineRule="atLeast"/>
        <w:jc w:val="both"/>
        <w:textAlignment w:val="baseline"/>
        <w:rPr>
          <w:rFonts w:ascii="Arial" w:eastAsia="Times New Roman" w:hAnsi="Arial" w:cs="Arial"/>
          <w:sz w:val="20"/>
          <w:szCs w:val="20"/>
        </w:rPr>
      </w:pPr>
    </w:p>
    <w:p w14:paraId="2FEA47F6" w14:textId="77777777" w:rsidR="005D1C5E" w:rsidRPr="00F06AAC" w:rsidDel="000600CD" w:rsidRDefault="005D1C5E" w:rsidP="009553C8">
      <w:pPr>
        <w:overflowPunct w:val="0"/>
        <w:autoSpaceDE w:val="0"/>
        <w:autoSpaceDN w:val="0"/>
        <w:adjustRightInd w:val="0"/>
        <w:spacing w:line="260" w:lineRule="atLeast"/>
        <w:jc w:val="both"/>
        <w:textAlignment w:val="baseline"/>
        <w:rPr>
          <w:rFonts w:ascii="Arial" w:eastAsia="Times New Roman" w:hAnsi="Arial" w:cs="Arial"/>
          <w:sz w:val="20"/>
          <w:szCs w:val="20"/>
        </w:rPr>
      </w:pPr>
      <w:r>
        <w:rPr>
          <w:rFonts w:ascii="Arial" w:eastAsia="Times New Roman" w:hAnsi="Arial" w:cs="Arial"/>
          <w:sz w:val="20"/>
          <w:szCs w:val="20"/>
          <w:lang w:val="en-GB"/>
        </w:rPr>
        <w:t xml:space="preserve">The tax authority may use the information provided in the </w:t>
      </w:r>
      <w:proofErr w:type="spellStart"/>
      <w:r>
        <w:rPr>
          <w:rFonts w:ascii="Arial" w:eastAsia="Times New Roman" w:hAnsi="Arial" w:cs="Arial"/>
          <w:sz w:val="20"/>
          <w:szCs w:val="20"/>
          <w:lang w:val="en-GB"/>
        </w:rPr>
        <w:t>CbCR</w:t>
      </w:r>
      <w:proofErr w:type="spellEnd"/>
      <w:r>
        <w:rPr>
          <w:rFonts w:ascii="Arial" w:eastAsia="Times New Roman" w:hAnsi="Arial" w:cs="Arial"/>
          <w:sz w:val="20"/>
          <w:szCs w:val="20"/>
          <w:lang w:val="en-GB"/>
        </w:rPr>
        <w:t xml:space="preserve"> for the following purposes only:</w:t>
      </w:r>
    </w:p>
    <w:p w14:paraId="49D76A87" w14:textId="77777777" w:rsidR="005D1C5E" w:rsidRPr="00F06AAC" w:rsidDel="000600CD" w:rsidRDefault="005D1C5E" w:rsidP="009553C8">
      <w:pPr>
        <w:pStyle w:val="Odstavekseznama"/>
        <w:numPr>
          <w:ilvl w:val="0"/>
          <w:numId w:val="42"/>
        </w:numPr>
        <w:tabs>
          <w:tab w:val="left" w:pos="540"/>
          <w:tab w:val="left" w:pos="900"/>
        </w:tabs>
        <w:spacing w:line="260" w:lineRule="atLeast"/>
        <w:ind w:left="284" w:hanging="284"/>
        <w:rPr>
          <w:rFonts w:ascii="Arial" w:eastAsia="Times New Roman" w:hAnsi="Arial" w:cs="Arial"/>
          <w:sz w:val="20"/>
          <w:szCs w:val="20"/>
        </w:rPr>
      </w:pPr>
      <w:r>
        <w:rPr>
          <w:rFonts w:ascii="Arial" w:eastAsia="Times New Roman" w:hAnsi="Arial" w:cs="Arial"/>
          <w:sz w:val="20"/>
          <w:szCs w:val="20"/>
          <w:lang w:val="en-GB"/>
        </w:rPr>
        <w:t xml:space="preserve">to analyse transfer-pricing risks related to a taxable </w:t>
      </w:r>
      <w:proofErr w:type="gramStart"/>
      <w:r>
        <w:rPr>
          <w:rFonts w:ascii="Arial" w:eastAsia="Times New Roman" w:hAnsi="Arial" w:cs="Arial"/>
          <w:sz w:val="20"/>
          <w:szCs w:val="20"/>
          <w:lang w:val="en-GB"/>
        </w:rPr>
        <w:t>person;</w:t>
      </w:r>
      <w:proofErr w:type="gramEnd"/>
    </w:p>
    <w:p w14:paraId="681EA5CA" w14:textId="77777777" w:rsidR="005D1C5E" w:rsidRPr="00F06AAC" w:rsidDel="000600CD" w:rsidRDefault="005D1C5E" w:rsidP="009553C8">
      <w:pPr>
        <w:pStyle w:val="Odstavekseznama"/>
        <w:numPr>
          <w:ilvl w:val="0"/>
          <w:numId w:val="42"/>
        </w:numPr>
        <w:tabs>
          <w:tab w:val="left" w:pos="540"/>
          <w:tab w:val="left" w:pos="900"/>
        </w:tabs>
        <w:spacing w:line="260" w:lineRule="atLeast"/>
        <w:ind w:left="284" w:hanging="284"/>
        <w:rPr>
          <w:rFonts w:ascii="Arial" w:eastAsia="Times New Roman" w:hAnsi="Arial" w:cs="Arial"/>
          <w:sz w:val="20"/>
          <w:szCs w:val="20"/>
        </w:rPr>
      </w:pPr>
      <w:r>
        <w:rPr>
          <w:rFonts w:ascii="Arial" w:eastAsia="Times New Roman" w:hAnsi="Arial" w:cs="Arial"/>
          <w:sz w:val="20"/>
          <w:szCs w:val="20"/>
          <w:lang w:val="en-GB"/>
        </w:rPr>
        <w:t>to analyse the risks of tax base erosion and profit-shifting activities; and</w:t>
      </w:r>
    </w:p>
    <w:p w14:paraId="7ACB3409" w14:textId="77777777" w:rsidR="005D1C5E" w:rsidRPr="00F06AAC" w:rsidDel="000600CD" w:rsidRDefault="005D1C5E" w:rsidP="009553C8">
      <w:pPr>
        <w:pStyle w:val="Odstavekseznama"/>
        <w:numPr>
          <w:ilvl w:val="0"/>
          <w:numId w:val="42"/>
        </w:numPr>
        <w:tabs>
          <w:tab w:val="left" w:pos="540"/>
          <w:tab w:val="left" w:pos="900"/>
        </w:tabs>
        <w:spacing w:line="260" w:lineRule="atLeast"/>
        <w:ind w:left="284" w:hanging="284"/>
        <w:rPr>
          <w:rFonts w:ascii="Arial" w:eastAsia="Times New Roman" w:hAnsi="Arial" w:cs="Arial"/>
          <w:sz w:val="20"/>
          <w:szCs w:val="20"/>
        </w:rPr>
      </w:pPr>
      <w:r>
        <w:rPr>
          <w:rFonts w:ascii="Arial" w:eastAsia="Times New Roman" w:hAnsi="Arial" w:cs="Arial"/>
          <w:sz w:val="20"/>
          <w:szCs w:val="20"/>
          <w:lang w:val="en-GB"/>
        </w:rPr>
        <w:t>to draft economic and statistical analyses.</w:t>
      </w:r>
    </w:p>
    <w:p w14:paraId="493F165D" w14:textId="172A9CE1" w:rsidR="005D1C5E" w:rsidRPr="005D1C5E" w:rsidDel="000600CD" w:rsidRDefault="005D1C5E" w:rsidP="009553C8">
      <w:pPr>
        <w:overflowPunct w:val="0"/>
        <w:autoSpaceDE w:val="0"/>
        <w:autoSpaceDN w:val="0"/>
        <w:adjustRightInd w:val="0"/>
        <w:spacing w:line="260" w:lineRule="atLeast"/>
        <w:jc w:val="both"/>
        <w:textAlignment w:val="baseline"/>
        <w:rPr>
          <w:rFonts w:ascii="Arial" w:eastAsia="Times New Roman" w:hAnsi="Arial" w:cs="Arial"/>
          <w:sz w:val="20"/>
          <w:szCs w:val="20"/>
        </w:rPr>
      </w:pPr>
      <w:r>
        <w:rPr>
          <w:rFonts w:ascii="Arial" w:eastAsia="Times New Roman" w:hAnsi="Arial" w:cs="Arial"/>
          <w:sz w:val="20"/>
          <w:szCs w:val="20"/>
          <w:lang w:val="en-GB"/>
        </w:rPr>
        <w:t>However, the tax authority may not make a transfer pricing</w:t>
      </w:r>
      <w:r w:rsidR="00297836">
        <w:rPr>
          <w:rFonts w:ascii="Arial" w:eastAsia="Times New Roman" w:hAnsi="Arial" w:cs="Arial"/>
          <w:sz w:val="20"/>
          <w:szCs w:val="20"/>
          <w:lang w:val="en-GB"/>
        </w:rPr>
        <w:t xml:space="preserve"> adjustment based on </w:t>
      </w:r>
      <w:proofErr w:type="spellStart"/>
      <w:r w:rsidR="00297836">
        <w:rPr>
          <w:rFonts w:ascii="Arial" w:eastAsia="Times New Roman" w:hAnsi="Arial" w:cs="Arial"/>
          <w:sz w:val="20"/>
          <w:szCs w:val="20"/>
          <w:lang w:val="en-GB"/>
        </w:rPr>
        <w:t>CbCR</w:t>
      </w:r>
      <w:proofErr w:type="spellEnd"/>
      <w:r>
        <w:rPr>
          <w:rFonts w:ascii="Arial" w:eastAsia="Times New Roman" w:hAnsi="Arial" w:cs="Arial"/>
          <w:sz w:val="20"/>
          <w:szCs w:val="20"/>
          <w:lang w:val="en-GB"/>
        </w:rPr>
        <w:t xml:space="preserve"> for the purposes of Article 16 of the ZDDPO-2. Notwithstanding this, the tax authority may use the </w:t>
      </w:r>
      <w:proofErr w:type="spellStart"/>
      <w:r>
        <w:rPr>
          <w:rFonts w:ascii="Arial" w:eastAsia="Times New Roman" w:hAnsi="Arial" w:cs="Arial"/>
          <w:sz w:val="20"/>
          <w:szCs w:val="20"/>
          <w:lang w:val="en-GB"/>
        </w:rPr>
        <w:t>CbC</w:t>
      </w:r>
      <w:r w:rsidR="00297836">
        <w:rPr>
          <w:rFonts w:ascii="Arial" w:eastAsia="Times New Roman" w:hAnsi="Arial" w:cs="Arial"/>
          <w:sz w:val="20"/>
          <w:szCs w:val="20"/>
          <w:lang w:val="en-GB"/>
        </w:rPr>
        <w:t>R</w:t>
      </w:r>
      <w:proofErr w:type="spellEnd"/>
      <w:r w:rsidR="00297836">
        <w:rPr>
          <w:rFonts w:ascii="Arial" w:eastAsia="Times New Roman" w:hAnsi="Arial" w:cs="Arial"/>
          <w:sz w:val="20"/>
          <w:szCs w:val="20"/>
          <w:lang w:val="en-GB"/>
        </w:rPr>
        <w:t xml:space="preserve"> </w:t>
      </w:r>
      <w:r>
        <w:rPr>
          <w:rFonts w:ascii="Arial" w:eastAsia="Times New Roman" w:hAnsi="Arial" w:cs="Arial"/>
          <w:sz w:val="20"/>
          <w:szCs w:val="20"/>
          <w:lang w:val="en-GB"/>
        </w:rPr>
        <w:t>information as a basis for making further enquiries into the MNE group’s business related to transfer pricing arrangements or into other tax matters in the course of a tax audit enabling appropriate adjustments to the taxable income of the constituent entities.</w:t>
      </w:r>
    </w:p>
    <w:p w14:paraId="1449D5A4" w14:textId="77777777" w:rsidR="005D1C5E" w:rsidRPr="005D1C5E" w:rsidDel="000600CD" w:rsidRDefault="005D1C5E" w:rsidP="009553C8">
      <w:pPr>
        <w:spacing w:line="260" w:lineRule="atLeast"/>
        <w:jc w:val="both"/>
        <w:rPr>
          <w:rFonts w:ascii="Arial" w:eastAsia="Times New Roman" w:hAnsi="Arial" w:cs="Times New Roman"/>
          <w:sz w:val="20"/>
          <w:szCs w:val="24"/>
        </w:rPr>
      </w:pPr>
    </w:p>
    <w:p w14:paraId="6F959E9C" w14:textId="77777777" w:rsidR="005D1C5E" w:rsidRPr="005D1C5E" w:rsidDel="000600CD" w:rsidRDefault="005D1C5E" w:rsidP="009553C8">
      <w:pPr>
        <w:spacing w:line="260" w:lineRule="atLeast"/>
        <w:contextualSpacing/>
        <w:jc w:val="both"/>
        <w:rPr>
          <w:rFonts w:ascii="Arial" w:hAnsi="Arial" w:cs="Arial"/>
          <w:sz w:val="20"/>
          <w:szCs w:val="20"/>
        </w:rPr>
      </w:pPr>
      <w:r>
        <w:rPr>
          <w:rFonts w:ascii="Arial" w:hAnsi="Arial" w:cs="Arial"/>
          <w:sz w:val="20"/>
          <w:szCs w:val="20"/>
          <w:lang w:val="en-GB"/>
        </w:rPr>
        <w:t xml:space="preserve">Based on Slovenia's international commitments to the OECD and to the EU, FURS’s responsibility is to verify the correctness or compliance of submitted </w:t>
      </w:r>
      <w:proofErr w:type="spellStart"/>
      <w:r>
        <w:rPr>
          <w:rFonts w:ascii="Arial" w:hAnsi="Arial" w:cs="Arial"/>
          <w:sz w:val="20"/>
          <w:szCs w:val="20"/>
          <w:lang w:val="en-GB"/>
        </w:rPr>
        <w:t>CbCRs</w:t>
      </w:r>
      <w:proofErr w:type="spellEnd"/>
      <w:r>
        <w:rPr>
          <w:rFonts w:ascii="Arial" w:hAnsi="Arial" w:cs="Arial"/>
          <w:sz w:val="20"/>
          <w:szCs w:val="20"/>
          <w:lang w:val="en-GB"/>
        </w:rPr>
        <w:t xml:space="preserve">. </w:t>
      </w:r>
    </w:p>
    <w:p w14:paraId="59F2C30D" w14:textId="77777777" w:rsidR="005D1C5E" w:rsidRPr="005D1C5E" w:rsidDel="000600CD" w:rsidRDefault="005D1C5E" w:rsidP="009553C8">
      <w:pPr>
        <w:spacing w:line="260" w:lineRule="atLeast"/>
        <w:ind w:left="284"/>
        <w:contextualSpacing/>
        <w:jc w:val="both"/>
        <w:rPr>
          <w:rFonts w:ascii="Arial" w:hAnsi="Arial" w:cs="Arial"/>
          <w:sz w:val="20"/>
          <w:szCs w:val="20"/>
        </w:rPr>
      </w:pPr>
    </w:p>
    <w:p w14:paraId="5131B7A4" w14:textId="28D38401" w:rsidR="005D1C5E" w:rsidRPr="005D1C5E" w:rsidDel="000600CD" w:rsidRDefault="005D1C5E" w:rsidP="009553C8">
      <w:pPr>
        <w:spacing w:line="260" w:lineRule="atLeast"/>
        <w:contextualSpacing/>
        <w:jc w:val="both"/>
        <w:rPr>
          <w:rFonts w:ascii="Arial" w:hAnsi="Arial" w:cs="Arial"/>
          <w:sz w:val="20"/>
          <w:szCs w:val="20"/>
        </w:rPr>
      </w:pPr>
      <w:r>
        <w:rPr>
          <w:rFonts w:ascii="Arial" w:hAnsi="Arial" w:cs="Arial"/>
          <w:sz w:val="20"/>
          <w:szCs w:val="20"/>
          <w:lang w:val="en-GB"/>
        </w:rPr>
        <w:t xml:space="preserve">In the event of established irregularities in the submission of </w:t>
      </w:r>
      <w:proofErr w:type="spellStart"/>
      <w:r>
        <w:rPr>
          <w:rFonts w:ascii="Arial" w:hAnsi="Arial" w:cs="Arial"/>
          <w:sz w:val="20"/>
          <w:szCs w:val="20"/>
          <w:lang w:val="en-GB"/>
        </w:rPr>
        <w:t>CbCRs</w:t>
      </w:r>
      <w:proofErr w:type="spellEnd"/>
      <w:r>
        <w:rPr>
          <w:rFonts w:ascii="Arial" w:hAnsi="Arial" w:cs="Arial"/>
          <w:sz w:val="20"/>
          <w:szCs w:val="20"/>
          <w:lang w:val="en-GB"/>
        </w:rPr>
        <w:t xml:space="preserve"> by rapporteurs in Slovenia, FURS informs the rapporteurs thereof and invites them to submit or correct their </w:t>
      </w:r>
      <w:proofErr w:type="spellStart"/>
      <w:r>
        <w:rPr>
          <w:rFonts w:ascii="Arial" w:hAnsi="Arial" w:cs="Arial"/>
          <w:sz w:val="20"/>
          <w:szCs w:val="20"/>
          <w:lang w:val="en-GB"/>
        </w:rPr>
        <w:t>CbCrs</w:t>
      </w:r>
      <w:proofErr w:type="spellEnd"/>
      <w:r>
        <w:rPr>
          <w:rFonts w:ascii="Arial" w:hAnsi="Arial" w:cs="Arial"/>
          <w:sz w:val="20"/>
          <w:szCs w:val="20"/>
          <w:lang w:val="en-GB"/>
        </w:rPr>
        <w:t>. When the rapporteur fails to submit a country-by-country report or fails to submit it in the prescribed manner or by the prescribed time limit, FURS may impose an appropriate sanction for this offence.</w:t>
      </w:r>
    </w:p>
    <w:p w14:paraId="7B5EFA52" w14:textId="77777777" w:rsidR="005D1C5E" w:rsidRDefault="005D1C5E" w:rsidP="009553C8">
      <w:pPr>
        <w:spacing w:line="260" w:lineRule="atLeast"/>
        <w:jc w:val="both"/>
        <w:rPr>
          <w:rFonts w:ascii="Arial" w:eastAsia="Times New Roman" w:hAnsi="Arial" w:cs="Arial"/>
          <w:strike/>
          <w:sz w:val="20"/>
          <w:szCs w:val="24"/>
        </w:rPr>
      </w:pPr>
    </w:p>
    <w:p w14:paraId="05B623A3" w14:textId="6AB43872" w:rsidR="005D1C5E" w:rsidRPr="00297836" w:rsidRDefault="005D6EEB" w:rsidP="009553C8">
      <w:pPr>
        <w:spacing w:line="260" w:lineRule="atLeast"/>
        <w:jc w:val="both"/>
        <w:rPr>
          <w:rFonts w:ascii="Arial" w:eastAsia="Times New Roman" w:hAnsi="Arial" w:cs="Times New Roman"/>
          <w:sz w:val="20"/>
          <w:szCs w:val="24"/>
          <w:lang w:val="en-GB"/>
        </w:rPr>
      </w:pPr>
      <w:r>
        <w:rPr>
          <w:rFonts w:ascii="Arial" w:eastAsia="Times New Roman" w:hAnsi="Arial" w:cs="Times New Roman"/>
          <w:sz w:val="20"/>
          <w:szCs w:val="24"/>
          <w:lang w:val="en-GB"/>
        </w:rPr>
        <w:t xml:space="preserve">More information about the </w:t>
      </w:r>
      <w:proofErr w:type="spellStart"/>
      <w:r>
        <w:rPr>
          <w:rFonts w:ascii="Arial" w:eastAsia="Times New Roman" w:hAnsi="Arial" w:cs="Times New Roman"/>
          <w:sz w:val="20"/>
          <w:szCs w:val="24"/>
          <w:lang w:val="en-GB"/>
        </w:rPr>
        <w:t>CbC</w:t>
      </w:r>
      <w:r w:rsidR="00446AD2">
        <w:rPr>
          <w:rFonts w:ascii="Arial" w:eastAsia="Times New Roman" w:hAnsi="Arial" w:cs="Times New Roman"/>
          <w:sz w:val="20"/>
          <w:szCs w:val="24"/>
          <w:lang w:val="en-GB"/>
        </w:rPr>
        <w:t>R</w:t>
      </w:r>
      <w:proofErr w:type="spellEnd"/>
      <w:r>
        <w:rPr>
          <w:rFonts w:ascii="Arial" w:eastAsia="Times New Roman" w:hAnsi="Arial" w:cs="Times New Roman"/>
          <w:sz w:val="20"/>
          <w:szCs w:val="24"/>
          <w:lang w:val="en-GB"/>
        </w:rPr>
        <w:t xml:space="preserve"> is available at: </w:t>
      </w:r>
      <w:r w:rsidRPr="00297836">
        <w:rPr>
          <w:rStyle w:val="Hiperpovezava"/>
          <w:rFonts w:ascii="Arial" w:eastAsia="Times New Roman" w:hAnsi="Arial" w:cs="Times New Roman"/>
          <w:sz w:val="20"/>
          <w:szCs w:val="24"/>
          <w:lang w:val="en-GB"/>
        </w:rPr>
        <w:t>Cou</w:t>
      </w:r>
      <w:r w:rsidR="00297836">
        <w:rPr>
          <w:rStyle w:val="Hiperpovezava"/>
          <w:rFonts w:ascii="Arial" w:eastAsia="Times New Roman" w:hAnsi="Arial" w:cs="Times New Roman"/>
          <w:sz w:val="20"/>
          <w:szCs w:val="24"/>
          <w:lang w:val="en-GB"/>
        </w:rPr>
        <w:t xml:space="preserve">ntry-by-Country Reporting - </w:t>
      </w:r>
      <w:proofErr w:type="spellStart"/>
      <w:r w:rsidR="00297836">
        <w:rPr>
          <w:rStyle w:val="Hiperpovezava"/>
          <w:rFonts w:ascii="Arial" w:eastAsia="Times New Roman" w:hAnsi="Arial" w:cs="Times New Roman"/>
          <w:sz w:val="20"/>
          <w:szCs w:val="24"/>
          <w:lang w:val="en-GB"/>
        </w:rPr>
        <w:t>CbCR</w:t>
      </w:r>
      <w:proofErr w:type="spellEnd"/>
    </w:p>
    <w:p w14:paraId="3781E3D4" w14:textId="77777777" w:rsidR="00865EDD" w:rsidRDefault="00865EDD" w:rsidP="009553C8">
      <w:pPr>
        <w:spacing w:line="260" w:lineRule="atLeast"/>
        <w:jc w:val="both"/>
        <w:rPr>
          <w:rFonts w:ascii="Arial" w:eastAsia="Times New Roman" w:hAnsi="Arial" w:cs="Times New Roman"/>
          <w:sz w:val="20"/>
          <w:szCs w:val="24"/>
        </w:rPr>
      </w:pPr>
    </w:p>
    <w:p w14:paraId="0D0E1E06" w14:textId="77777777" w:rsidR="00E542EE" w:rsidRPr="004F2499" w:rsidRDefault="00E542EE" w:rsidP="009553C8">
      <w:pPr>
        <w:spacing w:line="260" w:lineRule="atLeast"/>
        <w:rPr>
          <w:rFonts w:ascii="Arial" w:hAnsi="Arial" w:cs="Arial"/>
          <w:sz w:val="20"/>
        </w:rPr>
      </w:pPr>
    </w:p>
    <w:p w14:paraId="71A29622" w14:textId="77777777" w:rsidR="00666077" w:rsidRPr="00AA2C04" w:rsidRDefault="003971AE" w:rsidP="009553C8">
      <w:pPr>
        <w:pStyle w:val="Naslov2"/>
        <w:spacing w:before="0" w:after="0"/>
        <w:rPr>
          <w:rFonts w:cs="Arial"/>
          <w:szCs w:val="20"/>
        </w:rPr>
      </w:pPr>
      <w:bookmarkStart w:id="17" w:name="_Toc103257428"/>
      <w:r>
        <w:rPr>
          <w:rFonts w:cs="Arial"/>
          <w:iCs w:val="0"/>
          <w:szCs w:val="20"/>
          <w:lang w:val="en-GB"/>
        </w:rPr>
        <w:t>2.2 TRANSFER PRICING METHODS</w:t>
      </w:r>
      <w:bookmarkEnd w:id="17"/>
    </w:p>
    <w:p w14:paraId="05667AE9" w14:textId="77777777" w:rsidR="00666077" w:rsidRPr="00AA2C04" w:rsidRDefault="00666077" w:rsidP="009553C8">
      <w:pPr>
        <w:tabs>
          <w:tab w:val="left" w:pos="3402"/>
        </w:tabs>
        <w:spacing w:line="260" w:lineRule="atLeast"/>
        <w:jc w:val="both"/>
        <w:rPr>
          <w:rFonts w:ascii="Arial" w:eastAsia="Times New Roman" w:hAnsi="Arial" w:cs="Arial"/>
          <w:b/>
          <w:sz w:val="20"/>
          <w:szCs w:val="20"/>
        </w:rPr>
      </w:pPr>
    </w:p>
    <w:p w14:paraId="4785E721" w14:textId="77777777" w:rsidR="00666664" w:rsidRDefault="00666077" w:rsidP="009553C8">
      <w:pPr>
        <w:spacing w:line="260" w:lineRule="atLeast"/>
        <w:jc w:val="both"/>
        <w:rPr>
          <w:rFonts w:ascii="Arial" w:eastAsia="Times New Roman" w:hAnsi="Arial" w:cs="Arial"/>
          <w:color w:val="000000"/>
          <w:sz w:val="20"/>
          <w:szCs w:val="20"/>
        </w:rPr>
      </w:pPr>
      <w:r>
        <w:rPr>
          <w:rFonts w:ascii="Arial" w:eastAsia="Times New Roman" w:hAnsi="Arial" w:cs="Arial"/>
          <w:color w:val="000000"/>
          <w:sz w:val="20"/>
          <w:szCs w:val="20"/>
          <w:lang w:val="en-GB"/>
        </w:rPr>
        <w:t>One of the five recognised OECD methods or a combination of them is used to determine comparable market prices, which are also set out in Article 16 of the ZDDPO-</w:t>
      </w:r>
      <w:proofErr w:type="gramStart"/>
      <w:r>
        <w:rPr>
          <w:rFonts w:ascii="Arial" w:eastAsia="Times New Roman" w:hAnsi="Arial" w:cs="Arial"/>
          <w:color w:val="000000"/>
          <w:sz w:val="20"/>
          <w:szCs w:val="20"/>
          <w:lang w:val="en-GB"/>
        </w:rPr>
        <w:t>2, and</w:t>
      </w:r>
      <w:proofErr w:type="gramEnd"/>
      <w:r>
        <w:rPr>
          <w:rFonts w:ascii="Arial" w:eastAsia="Times New Roman" w:hAnsi="Arial" w:cs="Arial"/>
          <w:color w:val="000000"/>
          <w:sz w:val="20"/>
          <w:szCs w:val="20"/>
          <w:lang w:val="en-GB"/>
        </w:rPr>
        <w:t xml:space="preserve"> are defined in more detail in the TPR. The five different methods of transfer pricing fall into two categories:</w:t>
      </w:r>
    </w:p>
    <w:p w14:paraId="7700B673" w14:textId="77777777" w:rsidR="00D40C41" w:rsidRPr="004F2499" w:rsidRDefault="00D40C41" w:rsidP="009553C8">
      <w:pPr>
        <w:spacing w:line="260" w:lineRule="atLeast"/>
        <w:jc w:val="both"/>
        <w:rPr>
          <w:rFonts w:ascii="Arial" w:eastAsia="Times New Roman" w:hAnsi="Arial" w:cs="Arial"/>
          <w:color w:val="000000"/>
          <w:sz w:val="10"/>
          <w:szCs w:val="16"/>
        </w:rPr>
      </w:pPr>
    </w:p>
    <w:p w14:paraId="71645555" w14:textId="00176C5A" w:rsidR="00666077" w:rsidRPr="00227C1D" w:rsidRDefault="003B090E" w:rsidP="009553C8">
      <w:pPr>
        <w:numPr>
          <w:ilvl w:val="0"/>
          <w:numId w:val="20"/>
        </w:numPr>
        <w:spacing w:line="260" w:lineRule="atLeast"/>
        <w:ind w:left="284" w:hanging="284"/>
        <w:jc w:val="both"/>
        <w:rPr>
          <w:rFonts w:ascii="Arial" w:eastAsia="Times New Roman" w:hAnsi="Arial" w:cs="Arial"/>
          <w:b/>
          <w:color w:val="000000"/>
          <w:sz w:val="20"/>
          <w:szCs w:val="20"/>
        </w:rPr>
      </w:pPr>
      <w:r>
        <w:rPr>
          <w:rFonts w:ascii="Arial" w:eastAsia="Times New Roman" w:hAnsi="Arial" w:cs="Arial"/>
          <w:b/>
          <w:bCs/>
          <w:color w:val="000000"/>
          <w:sz w:val="20"/>
          <w:szCs w:val="20"/>
          <w:lang w:val="en-GB"/>
        </w:rPr>
        <w:t>traditional</w:t>
      </w:r>
      <w:r w:rsidR="00666077">
        <w:rPr>
          <w:rFonts w:ascii="Arial" w:eastAsia="Times New Roman" w:hAnsi="Arial" w:cs="Arial"/>
          <w:b/>
          <w:bCs/>
          <w:color w:val="000000"/>
          <w:sz w:val="20"/>
          <w:szCs w:val="20"/>
          <w:lang w:val="en-GB"/>
        </w:rPr>
        <w:t xml:space="preserve"> transaction methods </w:t>
      </w:r>
    </w:p>
    <w:p w14:paraId="312A8BF3" w14:textId="77777777" w:rsidR="00666077" w:rsidRPr="00904D3B" w:rsidRDefault="00666077" w:rsidP="009553C8">
      <w:pPr>
        <w:numPr>
          <w:ilvl w:val="0"/>
          <w:numId w:val="2"/>
        </w:numPr>
        <w:spacing w:line="260" w:lineRule="atLeast"/>
        <w:ind w:left="426" w:hanging="142"/>
        <w:jc w:val="both"/>
        <w:rPr>
          <w:rFonts w:ascii="Arial" w:eastAsia="Times New Roman" w:hAnsi="Arial" w:cs="Arial"/>
          <w:color w:val="000000"/>
          <w:sz w:val="20"/>
          <w:szCs w:val="20"/>
        </w:rPr>
      </w:pPr>
      <w:r>
        <w:rPr>
          <w:rFonts w:ascii="Arial" w:eastAsia="Times New Roman" w:hAnsi="Arial" w:cs="Arial"/>
          <w:color w:val="000000"/>
          <w:sz w:val="20"/>
          <w:szCs w:val="20"/>
          <w:lang w:val="en-GB"/>
        </w:rPr>
        <w:t xml:space="preserve">the comparable uncontrolled price </w:t>
      </w:r>
      <w:proofErr w:type="gramStart"/>
      <w:r>
        <w:rPr>
          <w:rFonts w:ascii="Arial" w:eastAsia="Times New Roman" w:hAnsi="Arial" w:cs="Arial"/>
          <w:color w:val="000000"/>
          <w:sz w:val="20"/>
          <w:szCs w:val="20"/>
          <w:lang w:val="en-GB"/>
        </w:rPr>
        <w:t>method;</w:t>
      </w:r>
      <w:proofErr w:type="gramEnd"/>
      <w:r>
        <w:rPr>
          <w:rFonts w:ascii="Arial" w:eastAsia="Times New Roman" w:hAnsi="Arial" w:cs="Arial"/>
          <w:color w:val="000000"/>
          <w:sz w:val="20"/>
          <w:szCs w:val="20"/>
          <w:lang w:val="en-GB"/>
        </w:rPr>
        <w:t xml:space="preserve"> </w:t>
      </w:r>
    </w:p>
    <w:p w14:paraId="4847BCAC" w14:textId="77777777" w:rsidR="00666077" w:rsidRPr="00904D3B" w:rsidRDefault="00666077" w:rsidP="009553C8">
      <w:pPr>
        <w:numPr>
          <w:ilvl w:val="0"/>
          <w:numId w:val="2"/>
        </w:numPr>
        <w:spacing w:line="260" w:lineRule="atLeast"/>
        <w:ind w:left="426" w:hanging="142"/>
        <w:jc w:val="both"/>
        <w:rPr>
          <w:rFonts w:ascii="Arial" w:eastAsia="Times New Roman" w:hAnsi="Arial" w:cs="Arial"/>
          <w:color w:val="000000"/>
          <w:sz w:val="20"/>
          <w:szCs w:val="20"/>
        </w:rPr>
      </w:pPr>
      <w:r>
        <w:rPr>
          <w:rFonts w:ascii="Arial" w:eastAsia="Times New Roman" w:hAnsi="Arial" w:cs="Arial"/>
          <w:color w:val="000000"/>
          <w:sz w:val="20"/>
          <w:szCs w:val="20"/>
          <w:lang w:val="en-GB"/>
        </w:rPr>
        <w:t>the resale price method; and</w:t>
      </w:r>
    </w:p>
    <w:p w14:paraId="031DF2B2" w14:textId="77777777" w:rsidR="00666077" w:rsidRDefault="00666077" w:rsidP="009553C8">
      <w:pPr>
        <w:numPr>
          <w:ilvl w:val="0"/>
          <w:numId w:val="2"/>
        </w:numPr>
        <w:spacing w:line="260" w:lineRule="atLeast"/>
        <w:ind w:left="426" w:hanging="142"/>
        <w:jc w:val="both"/>
        <w:rPr>
          <w:rFonts w:ascii="Arial" w:eastAsia="Times New Roman" w:hAnsi="Arial" w:cs="Arial"/>
          <w:color w:val="000000"/>
          <w:sz w:val="20"/>
          <w:szCs w:val="20"/>
        </w:rPr>
      </w:pPr>
      <w:r>
        <w:rPr>
          <w:rFonts w:ascii="Arial" w:eastAsia="Times New Roman" w:hAnsi="Arial" w:cs="Arial"/>
          <w:color w:val="000000"/>
          <w:sz w:val="20"/>
          <w:szCs w:val="20"/>
          <w:lang w:val="en-GB"/>
        </w:rPr>
        <w:t xml:space="preserve">the cost plus </w:t>
      </w:r>
      <w:proofErr w:type="gramStart"/>
      <w:r>
        <w:rPr>
          <w:rFonts w:ascii="Arial" w:eastAsia="Times New Roman" w:hAnsi="Arial" w:cs="Arial"/>
          <w:color w:val="000000"/>
          <w:sz w:val="20"/>
          <w:szCs w:val="20"/>
          <w:lang w:val="en-GB"/>
        </w:rPr>
        <w:t>method;</w:t>
      </w:r>
      <w:proofErr w:type="gramEnd"/>
    </w:p>
    <w:p w14:paraId="2EF452D5" w14:textId="77777777" w:rsidR="00666664" w:rsidRPr="004F2499" w:rsidRDefault="00666664" w:rsidP="009553C8">
      <w:pPr>
        <w:spacing w:line="260" w:lineRule="atLeast"/>
        <w:ind w:left="426"/>
        <w:jc w:val="both"/>
        <w:rPr>
          <w:rFonts w:ascii="Arial" w:eastAsia="Times New Roman" w:hAnsi="Arial" w:cs="Arial"/>
          <w:color w:val="000000"/>
          <w:sz w:val="8"/>
          <w:szCs w:val="8"/>
        </w:rPr>
      </w:pPr>
    </w:p>
    <w:p w14:paraId="6E1A89BF" w14:textId="77777777" w:rsidR="00666077" w:rsidRPr="00904D3B" w:rsidRDefault="00666077" w:rsidP="009553C8">
      <w:pPr>
        <w:numPr>
          <w:ilvl w:val="0"/>
          <w:numId w:val="20"/>
        </w:numPr>
        <w:spacing w:line="260" w:lineRule="atLeast"/>
        <w:ind w:left="284" w:hanging="284"/>
        <w:jc w:val="both"/>
        <w:rPr>
          <w:rFonts w:ascii="Arial" w:eastAsia="Times New Roman" w:hAnsi="Arial" w:cs="Arial"/>
          <w:b/>
          <w:color w:val="000000"/>
          <w:sz w:val="20"/>
          <w:szCs w:val="20"/>
        </w:rPr>
      </w:pPr>
      <w:r>
        <w:rPr>
          <w:rFonts w:ascii="Arial" w:eastAsia="Times New Roman" w:hAnsi="Arial" w:cs="Arial"/>
          <w:b/>
          <w:bCs/>
          <w:color w:val="000000"/>
          <w:sz w:val="20"/>
          <w:szCs w:val="20"/>
          <w:lang w:val="en-GB"/>
        </w:rPr>
        <w:t>transactional profit methods</w:t>
      </w:r>
    </w:p>
    <w:p w14:paraId="0B236977" w14:textId="77777777" w:rsidR="00666077" w:rsidRPr="00904D3B" w:rsidRDefault="00666077" w:rsidP="009553C8">
      <w:pPr>
        <w:numPr>
          <w:ilvl w:val="0"/>
          <w:numId w:val="2"/>
        </w:numPr>
        <w:spacing w:line="260" w:lineRule="atLeast"/>
        <w:ind w:left="426" w:hanging="142"/>
        <w:jc w:val="both"/>
        <w:rPr>
          <w:rFonts w:ascii="Arial" w:eastAsia="Times New Roman" w:hAnsi="Arial" w:cs="Arial"/>
          <w:color w:val="000000"/>
          <w:sz w:val="20"/>
          <w:szCs w:val="20"/>
        </w:rPr>
      </w:pPr>
      <w:r>
        <w:rPr>
          <w:rFonts w:ascii="Arial" w:eastAsia="Times New Roman" w:hAnsi="Arial" w:cs="Arial"/>
          <w:color w:val="000000"/>
          <w:sz w:val="20"/>
          <w:szCs w:val="20"/>
          <w:lang w:val="en-GB"/>
        </w:rPr>
        <w:t xml:space="preserve">the transactional net margin method; and </w:t>
      </w:r>
    </w:p>
    <w:p w14:paraId="68919E1E" w14:textId="77777777" w:rsidR="00666077" w:rsidRPr="00904D3B" w:rsidRDefault="00666077" w:rsidP="009553C8">
      <w:pPr>
        <w:numPr>
          <w:ilvl w:val="0"/>
          <w:numId w:val="2"/>
        </w:numPr>
        <w:spacing w:line="260" w:lineRule="atLeast"/>
        <w:ind w:left="426" w:hanging="142"/>
        <w:jc w:val="both"/>
        <w:rPr>
          <w:rFonts w:ascii="Arial" w:eastAsia="Times New Roman" w:hAnsi="Arial" w:cs="Arial"/>
          <w:color w:val="000000"/>
          <w:sz w:val="20"/>
          <w:szCs w:val="20"/>
        </w:rPr>
      </w:pPr>
      <w:r>
        <w:rPr>
          <w:rFonts w:ascii="Arial" w:eastAsia="Times New Roman" w:hAnsi="Arial" w:cs="Arial"/>
          <w:color w:val="000000"/>
          <w:sz w:val="20"/>
          <w:szCs w:val="20"/>
          <w:lang w:val="en-GB"/>
        </w:rPr>
        <w:t>the profit split method.</w:t>
      </w:r>
    </w:p>
    <w:p w14:paraId="356BE554" w14:textId="77777777" w:rsidR="00A84C7D" w:rsidRDefault="00A84C7D" w:rsidP="009553C8">
      <w:pPr>
        <w:spacing w:line="260" w:lineRule="atLeast"/>
      </w:pPr>
    </w:p>
    <w:p w14:paraId="074987BC" w14:textId="77777777" w:rsidR="00E542EE" w:rsidRDefault="00E542EE" w:rsidP="009553C8">
      <w:pPr>
        <w:spacing w:line="260" w:lineRule="atLeast"/>
      </w:pPr>
    </w:p>
    <w:p w14:paraId="2AE8DDF6" w14:textId="77777777" w:rsidR="00666077" w:rsidRPr="00AD51AA" w:rsidRDefault="003971AE" w:rsidP="009553C8">
      <w:pPr>
        <w:pStyle w:val="Naslov3"/>
        <w:spacing w:before="0" w:after="0"/>
        <w:rPr>
          <w:rFonts w:cs="Arial"/>
        </w:rPr>
      </w:pPr>
      <w:bookmarkStart w:id="18" w:name="_Toc103257429"/>
      <w:r>
        <w:rPr>
          <w:rFonts w:cs="Arial"/>
          <w:lang w:val="en-GB"/>
        </w:rPr>
        <w:t>2.2.1 THE COMPARABLE UNCONTROLLED PRICE METHOD</w:t>
      </w:r>
      <w:bookmarkEnd w:id="18"/>
    </w:p>
    <w:p w14:paraId="4297F5B7" w14:textId="77777777" w:rsidR="00666077" w:rsidRPr="004F2499" w:rsidRDefault="00666077" w:rsidP="009553C8">
      <w:pPr>
        <w:tabs>
          <w:tab w:val="left" w:pos="3402"/>
        </w:tabs>
        <w:spacing w:line="260" w:lineRule="atLeast"/>
        <w:jc w:val="both"/>
        <w:rPr>
          <w:rFonts w:ascii="Arial" w:eastAsia="Times New Roman" w:hAnsi="Arial" w:cs="Arial"/>
          <w:b/>
          <w:i/>
          <w:sz w:val="20"/>
          <w:szCs w:val="20"/>
        </w:rPr>
      </w:pPr>
    </w:p>
    <w:p w14:paraId="5ABA5508" w14:textId="7F02E484" w:rsidR="00666077" w:rsidRPr="00AA2C04" w:rsidRDefault="00666077" w:rsidP="009553C8">
      <w:pPr>
        <w:tabs>
          <w:tab w:val="left" w:pos="3402"/>
        </w:tabs>
        <w:spacing w:line="260" w:lineRule="atLeast"/>
        <w:jc w:val="both"/>
        <w:rPr>
          <w:rFonts w:ascii="Arial" w:eastAsia="Times New Roman" w:hAnsi="Arial" w:cs="Arial"/>
          <w:sz w:val="20"/>
          <w:szCs w:val="20"/>
        </w:rPr>
      </w:pPr>
      <w:r>
        <w:rPr>
          <w:rFonts w:ascii="Arial" w:eastAsia="Times New Roman" w:hAnsi="Arial" w:cs="Arial"/>
          <w:sz w:val="20"/>
          <w:szCs w:val="20"/>
          <w:lang w:val="en-GB"/>
        </w:rPr>
        <w:t xml:space="preserve">Pursuant to Article 2 of the TPR, the comparable uncontrolled price method compares the prices charged for assets, including intangible assets (hereinafter: assets) or services provided to </w:t>
      </w:r>
      <w:r w:rsidR="003E0B4B">
        <w:rPr>
          <w:rFonts w:ascii="Arial" w:eastAsia="Times New Roman" w:hAnsi="Arial" w:cs="Arial"/>
          <w:sz w:val="20"/>
          <w:szCs w:val="20"/>
          <w:lang w:val="en-GB"/>
        </w:rPr>
        <w:t>associated</w:t>
      </w:r>
      <w:r>
        <w:rPr>
          <w:rFonts w:ascii="Arial" w:eastAsia="Times New Roman" w:hAnsi="Arial" w:cs="Arial"/>
          <w:sz w:val="20"/>
          <w:szCs w:val="20"/>
          <w:lang w:val="en-GB"/>
        </w:rPr>
        <w:t xml:space="preserve"> parties (hereinafter: </w:t>
      </w:r>
      <w:r w:rsidR="003E0B4B">
        <w:rPr>
          <w:rFonts w:ascii="Arial" w:eastAsia="Times New Roman" w:hAnsi="Arial" w:cs="Arial"/>
          <w:sz w:val="20"/>
          <w:szCs w:val="20"/>
          <w:lang w:val="en-GB"/>
        </w:rPr>
        <w:t>associated</w:t>
      </w:r>
      <w:r>
        <w:rPr>
          <w:rFonts w:ascii="Arial" w:eastAsia="Times New Roman" w:hAnsi="Arial" w:cs="Arial"/>
          <w:sz w:val="20"/>
          <w:szCs w:val="20"/>
          <w:lang w:val="en-GB"/>
        </w:rPr>
        <w:t xml:space="preserve"> transaction or transactions), with the prices charged for assets or services to </w:t>
      </w:r>
      <w:proofErr w:type="spellStart"/>
      <w:r>
        <w:rPr>
          <w:rFonts w:ascii="Arial" w:eastAsia="Times New Roman" w:hAnsi="Arial" w:cs="Arial"/>
          <w:sz w:val="20"/>
          <w:szCs w:val="20"/>
          <w:lang w:val="en-GB"/>
        </w:rPr>
        <w:t>un</w:t>
      </w:r>
      <w:r w:rsidR="003E0B4B">
        <w:rPr>
          <w:rFonts w:ascii="Arial" w:eastAsia="Times New Roman" w:hAnsi="Arial" w:cs="Arial"/>
          <w:sz w:val="20"/>
          <w:szCs w:val="20"/>
          <w:lang w:val="en-GB"/>
        </w:rPr>
        <w:t>associated</w:t>
      </w:r>
      <w:proofErr w:type="spellEnd"/>
      <w:r w:rsidR="00FC5DC6">
        <w:rPr>
          <w:rFonts w:ascii="Arial" w:eastAsia="Times New Roman" w:hAnsi="Arial" w:cs="Arial"/>
          <w:sz w:val="20"/>
          <w:szCs w:val="20"/>
          <w:lang w:val="en-GB"/>
        </w:rPr>
        <w:t xml:space="preserve"> parties (hereinafter: arm’s length</w:t>
      </w:r>
      <w:r>
        <w:rPr>
          <w:rFonts w:ascii="Arial" w:eastAsia="Times New Roman" w:hAnsi="Arial" w:cs="Arial"/>
          <w:sz w:val="20"/>
          <w:szCs w:val="20"/>
          <w:lang w:val="en-GB"/>
        </w:rPr>
        <w:t xml:space="preserve"> transaction or transactions) in the same or comparable circumstances.</w:t>
      </w:r>
    </w:p>
    <w:p w14:paraId="395CEECC" w14:textId="2D05A72C" w:rsidR="00666077" w:rsidRPr="00904D3B" w:rsidRDefault="00666077" w:rsidP="009553C8">
      <w:pPr>
        <w:spacing w:line="260" w:lineRule="atLeast"/>
        <w:jc w:val="both"/>
        <w:rPr>
          <w:rFonts w:ascii="Arial" w:eastAsia="Times New Roman" w:hAnsi="Arial" w:cs="Arial"/>
          <w:sz w:val="20"/>
          <w:szCs w:val="20"/>
        </w:rPr>
      </w:pPr>
      <w:r>
        <w:rPr>
          <w:rFonts w:ascii="Arial" w:eastAsia="Times New Roman" w:hAnsi="Arial" w:cs="Arial"/>
          <w:sz w:val="20"/>
          <w:szCs w:val="20"/>
          <w:lang w:val="en-GB"/>
        </w:rPr>
        <w:t xml:space="preserve">A comparable market price is determined by comparing the price of a comparable asset or service in transactions performed in the same or comparable circumstances between </w:t>
      </w:r>
      <w:proofErr w:type="spellStart"/>
      <w:r>
        <w:rPr>
          <w:rFonts w:ascii="Arial" w:eastAsia="Times New Roman" w:hAnsi="Arial" w:cs="Arial"/>
          <w:sz w:val="20"/>
          <w:szCs w:val="20"/>
          <w:lang w:val="en-GB"/>
        </w:rPr>
        <w:t>un</w:t>
      </w:r>
      <w:r w:rsidR="003E0B4B">
        <w:rPr>
          <w:rFonts w:ascii="Arial" w:eastAsia="Times New Roman" w:hAnsi="Arial" w:cs="Arial"/>
          <w:sz w:val="20"/>
          <w:szCs w:val="20"/>
          <w:lang w:val="en-GB"/>
        </w:rPr>
        <w:t>associated</w:t>
      </w:r>
      <w:proofErr w:type="spellEnd"/>
      <w:r>
        <w:rPr>
          <w:rFonts w:ascii="Arial" w:eastAsia="Times New Roman" w:hAnsi="Arial" w:cs="Arial"/>
          <w:sz w:val="20"/>
          <w:szCs w:val="20"/>
          <w:lang w:val="en-GB"/>
        </w:rPr>
        <w:t xml:space="preserve"> parties. </w:t>
      </w:r>
    </w:p>
    <w:p w14:paraId="3D41C840" w14:textId="77777777" w:rsidR="00700A76" w:rsidRDefault="00700A76" w:rsidP="009553C8">
      <w:pPr>
        <w:spacing w:line="260" w:lineRule="atLeast"/>
        <w:jc w:val="both"/>
        <w:rPr>
          <w:rFonts w:ascii="Arial" w:eastAsia="Times New Roman" w:hAnsi="Arial" w:cs="Arial"/>
          <w:sz w:val="20"/>
          <w:szCs w:val="20"/>
        </w:rPr>
      </w:pPr>
    </w:p>
    <w:p w14:paraId="1FAC054F" w14:textId="77777777" w:rsidR="00666077" w:rsidRDefault="00666077" w:rsidP="009553C8">
      <w:pPr>
        <w:spacing w:line="260" w:lineRule="atLeast"/>
        <w:jc w:val="both"/>
        <w:rPr>
          <w:rFonts w:ascii="Arial" w:eastAsia="Times New Roman" w:hAnsi="Arial" w:cs="Arial"/>
          <w:sz w:val="20"/>
          <w:szCs w:val="20"/>
        </w:rPr>
      </w:pPr>
      <w:r>
        <w:rPr>
          <w:rFonts w:ascii="Arial" w:eastAsia="Times New Roman" w:hAnsi="Arial" w:cs="Arial"/>
          <w:sz w:val="20"/>
          <w:szCs w:val="20"/>
          <w:lang w:val="en-GB"/>
        </w:rPr>
        <w:t xml:space="preserve">The price comparison is made </w:t>
      </w:r>
      <w:proofErr w:type="gramStart"/>
      <w:r>
        <w:rPr>
          <w:rFonts w:ascii="Arial" w:eastAsia="Times New Roman" w:hAnsi="Arial" w:cs="Arial"/>
          <w:sz w:val="20"/>
          <w:szCs w:val="20"/>
          <w:lang w:val="en-GB"/>
        </w:rPr>
        <w:t>on the basis of</w:t>
      </w:r>
      <w:proofErr w:type="gramEnd"/>
      <w:r>
        <w:rPr>
          <w:rFonts w:ascii="Arial" w:eastAsia="Times New Roman" w:hAnsi="Arial" w:cs="Arial"/>
          <w:sz w:val="20"/>
          <w:szCs w:val="20"/>
          <w:lang w:val="en-GB"/>
        </w:rPr>
        <w:t>:</w:t>
      </w:r>
    </w:p>
    <w:p w14:paraId="25547B2C" w14:textId="77777777" w:rsidR="0005289E" w:rsidRPr="004F2499" w:rsidRDefault="0005289E" w:rsidP="009553C8">
      <w:pPr>
        <w:spacing w:line="260" w:lineRule="atLeast"/>
        <w:jc w:val="both"/>
        <w:rPr>
          <w:rFonts w:ascii="Arial" w:eastAsia="Times New Roman" w:hAnsi="Arial" w:cs="Arial"/>
          <w:sz w:val="10"/>
          <w:szCs w:val="10"/>
        </w:rPr>
      </w:pPr>
    </w:p>
    <w:p w14:paraId="350607CC" w14:textId="4D07EE6E" w:rsidR="00666077" w:rsidRPr="00904D3B" w:rsidRDefault="001E2046" w:rsidP="009553C8">
      <w:pPr>
        <w:numPr>
          <w:ilvl w:val="0"/>
          <w:numId w:val="12"/>
        </w:numPr>
        <w:spacing w:line="260" w:lineRule="atLeast"/>
        <w:ind w:left="284" w:hanging="284"/>
        <w:jc w:val="both"/>
        <w:rPr>
          <w:rFonts w:ascii="Arial" w:eastAsia="Times New Roman" w:hAnsi="Arial" w:cs="Arial"/>
          <w:sz w:val="20"/>
          <w:szCs w:val="20"/>
        </w:rPr>
      </w:pPr>
      <w:r>
        <w:rPr>
          <w:rFonts w:ascii="Arial" w:eastAsia="Times New Roman" w:hAnsi="Arial" w:cs="Arial"/>
          <w:b/>
          <w:bCs/>
          <w:sz w:val="20"/>
          <w:szCs w:val="20"/>
          <w:lang w:val="en-GB"/>
        </w:rPr>
        <w:t>internal comparable</w:t>
      </w:r>
      <w:r>
        <w:rPr>
          <w:rFonts w:ascii="Arial" w:eastAsia="Times New Roman" w:hAnsi="Arial" w:cs="Arial"/>
          <w:sz w:val="20"/>
          <w:szCs w:val="20"/>
          <w:lang w:val="en-GB"/>
        </w:rPr>
        <w:t xml:space="preserve"> </w:t>
      </w:r>
      <w:r w:rsidR="00666077">
        <w:rPr>
          <w:rFonts w:ascii="Arial" w:eastAsia="Times New Roman" w:hAnsi="Arial" w:cs="Arial"/>
          <w:sz w:val="20"/>
          <w:szCs w:val="20"/>
          <w:lang w:val="en-GB"/>
        </w:rPr>
        <w:t xml:space="preserve">comparing prices obtained between </w:t>
      </w:r>
      <w:r w:rsidR="003E0B4B">
        <w:rPr>
          <w:rFonts w:ascii="Arial" w:eastAsia="Times New Roman" w:hAnsi="Arial" w:cs="Arial"/>
          <w:sz w:val="20"/>
          <w:szCs w:val="20"/>
          <w:lang w:val="en-GB"/>
        </w:rPr>
        <w:t>associated</w:t>
      </w:r>
      <w:r w:rsidR="00666077">
        <w:rPr>
          <w:rFonts w:ascii="Arial" w:eastAsia="Times New Roman" w:hAnsi="Arial" w:cs="Arial"/>
          <w:sz w:val="20"/>
          <w:szCs w:val="20"/>
          <w:lang w:val="en-GB"/>
        </w:rPr>
        <w:t xml:space="preserve"> parties with those achieved by </w:t>
      </w:r>
      <w:r w:rsidR="003E0B4B">
        <w:rPr>
          <w:rFonts w:ascii="Arial" w:eastAsia="Times New Roman" w:hAnsi="Arial" w:cs="Arial"/>
          <w:sz w:val="20"/>
          <w:szCs w:val="20"/>
          <w:lang w:val="en-GB"/>
        </w:rPr>
        <w:t>associated</w:t>
      </w:r>
      <w:r w:rsidR="00666077">
        <w:rPr>
          <w:rFonts w:ascii="Arial" w:eastAsia="Times New Roman" w:hAnsi="Arial" w:cs="Arial"/>
          <w:sz w:val="20"/>
          <w:szCs w:val="20"/>
          <w:lang w:val="en-GB"/>
        </w:rPr>
        <w:t xml:space="preserve"> parties themselves or </w:t>
      </w:r>
      <w:r w:rsidR="003E0B4B">
        <w:rPr>
          <w:rFonts w:ascii="Arial" w:eastAsia="Times New Roman" w:hAnsi="Arial" w:cs="Arial"/>
          <w:sz w:val="20"/>
          <w:szCs w:val="20"/>
          <w:lang w:val="en-GB"/>
        </w:rPr>
        <w:t>associated</w:t>
      </w:r>
      <w:r w:rsidR="00666077">
        <w:rPr>
          <w:rFonts w:ascii="Arial" w:eastAsia="Times New Roman" w:hAnsi="Arial" w:cs="Arial"/>
          <w:sz w:val="20"/>
          <w:szCs w:val="20"/>
          <w:lang w:val="en-GB"/>
        </w:rPr>
        <w:t xml:space="preserve"> parties with </w:t>
      </w:r>
      <w:proofErr w:type="spellStart"/>
      <w:r w:rsidR="00666077">
        <w:rPr>
          <w:rFonts w:ascii="Arial" w:eastAsia="Times New Roman" w:hAnsi="Arial" w:cs="Arial"/>
          <w:sz w:val="20"/>
          <w:szCs w:val="20"/>
          <w:lang w:val="en-GB"/>
        </w:rPr>
        <w:t>un</w:t>
      </w:r>
      <w:r w:rsidR="003E0B4B">
        <w:rPr>
          <w:rFonts w:ascii="Arial" w:eastAsia="Times New Roman" w:hAnsi="Arial" w:cs="Arial"/>
          <w:sz w:val="20"/>
          <w:szCs w:val="20"/>
          <w:lang w:val="en-GB"/>
        </w:rPr>
        <w:t>associated</w:t>
      </w:r>
      <w:proofErr w:type="spellEnd"/>
      <w:r w:rsidR="00666077">
        <w:rPr>
          <w:rFonts w:ascii="Arial" w:eastAsia="Times New Roman" w:hAnsi="Arial" w:cs="Arial"/>
          <w:sz w:val="20"/>
          <w:szCs w:val="20"/>
          <w:lang w:val="en-GB"/>
        </w:rPr>
        <w:t xml:space="preserve"> parties (e.g. similar supplies of assets and services to both </w:t>
      </w:r>
      <w:r w:rsidR="003E0B4B">
        <w:rPr>
          <w:rFonts w:ascii="Arial" w:eastAsia="Times New Roman" w:hAnsi="Arial" w:cs="Arial"/>
          <w:sz w:val="20"/>
          <w:szCs w:val="20"/>
          <w:lang w:val="en-GB"/>
        </w:rPr>
        <w:t>associated</w:t>
      </w:r>
      <w:r w:rsidR="00666077">
        <w:rPr>
          <w:rFonts w:ascii="Arial" w:eastAsia="Times New Roman" w:hAnsi="Arial" w:cs="Arial"/>
          <w:sz w:val="20"/>
          <w:szCs w:val="20"/>
          <w:lang w:val="en-GB"/>
        </w:rPr>
        <w:t xml:space="preserve"> and </w:t>
      </w:r>
      <w:proofErr w:type="spellStart"/>
      <w:r w:rsidR="00666077">
        <w:rPr>
          <w:rFonts w:ascii="Arial" w:eastAsia="Times New Roman" w:hAnsi="Arial" w:cs="Arial"/>
          <w:sz w:val="20"/>
          <w:szCs w:val="20"/>
          <w:lang w:val="en-GB"/>
        </w:rPr>
        <w:t>un</w:t>
      </w:r>
      <w:r w:rsidR="003E0B4B">
        <w:rPr>
          <w:rFonts w:ascii="Arial" w:eastAsia="Times New Roman" w:hAnsi="Arial" w:cs="Arial"/>
          <w:sz w:val="20"/>
          <w:szCs w:val="20"/>
          <w:lang w:val="en-GB"/>
        </w:rPr>
        <w:t>associated</w:t>
      </w:r>
      <w:proofErr w:type="spellEnd"/>
      <w:r w:rsidR="00666077">
        <w:rPr>
          <w:rFonts w:ascii="Arial" w:eastAsia="Times New Roman" w:hAnsi="Arial" w:cs="Arial"/>
          <w:sz w:val="20"/>
          <w:szCs w:val="20"/>
          <w:lang w:val="en-GB"/>
        </w:rPr>
        <w:t xml:space="preserve"> parties) or,</w:t>
      </w:r>
    </w:p>
    <w:p w14:paraId="4365FB85" w14:textId="39A02F48" w:rsidR="00666077" w:rsidRPr="00904D3B" w:rsidRDefault="001E2046" w:rsidP="009553C8">
      <w:pPr>
        <w:numPr>
          <w:ilvl w:val="0"/>
          <w:numId w:val="12"/>
        </w:numPr>
        <w:spacing w:line="260" w:lineRule="atLeast"/>
        <w:ind w:left="284" w:hanging="284"/>
        <w:jc w:val="both"/>
        <w:rPr>
          <w:rFonts w:ascii="Arial" w:eastAsia="Times New Roman" w:hAnsi="Arial" w:cs="Arial"/>
          <w:sz w:val="20"/>
          <w:szCs w:val="20"/>
        </w:rPr>
      </w:pPr>
      <w:proofErr w:type="spellStart"/>
      <w:r>
        <w:rPr>
          <w:rFonts w:ascii="Arial" w:eastAsia="Times New Roman" w:hAnsi="Arial" w:cs="Arial"/>
          <w:b/>
          <w:bCs/>
          <w:sz w:val="20"/>
          <w:szCs w:val="20"/>
        </w:rPr>
        <w:t>external</w:t>
      </w:r>
      <w:proofErr w:type="spellEnd"/>
      <w:r>
        <w:rPr>
          <w:rFonts w:ascii="Arial" w:eastAsia="Times New Roman" w:hAnsi="Arial" w:cs="Arial"/>
          <w:b/>
          <w:bCs/>
          <w:sz w:val="20"/>
          <w:szCs w:val="20"/>
        </w:rPr>
        <w:t xml:space="preserve"> </w:t>
      </w:r>
      <w:proofErr w:type="spellStart"/>
      <w:r>
        <w:rPr>
          <w:rFonts w:ascii="Arial" w:eastAsia="Times New Roman" w:hAnsi="Arial" w:cs="Arial"/>
          <w:b/>
          <w:bCs/>
          <w:sz w:val="20"/>
          <w:szCs w:val="20"/>
        </w:rPr>
        <w:t>comparable</w:t>
      </w:r>
      <w:proofErr w:type="spellEnd"/>
      <w:r>
        <w:rPr>
          <w:rFonts w:ascii="Arial" w:eastAsia="Times New Roman" w:hAnsi="Arial" w:cs="Arial"/>
          <w:sz w:val="20"/>
          <w:szCs w:val="20"/>
          <w:lang w:val="en-GB"/>
        </w:rPr>
        <w:t xml:space="preserve"> </w:t>
      </w:r>
      <w:r w:rsidR="00666077">
        <w:rPr>
          <w:rFonts w:ascii="Arial" w:eastAsia="Times New Roman" w:hAnsi="Arial" w:cs="Arial"/>
          <w:sz w:val="20"/>
          <w:szCs w:val="20"/>
          <w:lang w:val="en-GB"/>
        </w:rPr>
        <w:t xml:space="preserve">comparing prices agreed between </w:t>
      </w:r>
      <w:r w:rsidR="003E0B4B">
        <w:rPr>
          <w:rFonts w:ascii="Arial" w:eastAsia="Times New Roman" w:hAnsi="Arial" w:cs="Arial"/>
          <w:sz w:val="20"/>
          <w:szCs w:val="20"/>
          <w:lang w:val="en-GB"/>
        </w:rPr>
        <w:t>associated</w:t>
      </w:r>
      <w:r w:rsidR="00666077">
        <w:rPr>
          <w:rFonts w:ascii="Arial" w:eastAsia="Times New Roman" w:hAnsi="Arial" w:cs="Arial"/>
          <w:sz w:val="20"/>
          <w:szCs w:val="20"/>
          <w:lang w:val="en-GB"/>
        </w:rPr>
        <w:t xml:space="preserve"> parties with those prevailing on the market (e.g. on a stock exchange, in an industry) between </w:t>
      </w:r>
      <w:proofErr w:type="spellStart"/>
      <w:r w:rsidR="00666077">
        <w:rPr>
          <w:rFonts w:ascii="Arial" w:eastAsia="Times New Roman" w:hAnsi="Arial" w:cs="Arial"/>
          <w:sz w:val="20"/>
          <w:szCs w:val="20"/>
          <w:lang w:val="en-GB"/>
        </w:rPr>
        <w:t>un</w:t>
      </w:r>
      <w:r w:rsidR="003E0B4B">
        <w:rPr>
          <w:rFonts w:ascii="Arial" w:eastAsia="Times New Roman" w:hAnsi="Arial" w:cs="Arial"/>
          <w:sz w:val="20"/>
          <w:szCs w:val="20"/>
          <w:lang w:val="en-GB"/>
        </w:rPr>
        <w:t>associated</w:t>
      </w:r>
      <w:proofErr w:type="spellEnd"/>
      <w:r w:rsidR="00666077">
        <w:rPr>
          <w:rFonts w:ascii="Arial" w:eastAsia="Times New Roman" w:hAnsi="Arial" w:cs="Arial"/>
          <w:sz w:val="20"/>
          <w:szCs w:val="20"/>
          <w:lang w:val="en-GB"/>
        </w:rPr>
        <w:t xml:space="preserve"> parties.</w:t>
      </w:r>
    </w:p>
    <w:p w14:paraId="3A6EF210" w14:textId="77777777" w:rsidR="0000726E" w:rsidRDefault="0000726E" w:rsidP="009553C8">
      <w:pPr>
        <w:spacing w:line="260" w:lineRule="atLeast"/>
        <w:jc w:val="both"/>
        <w:rPr>
          <w:rFonts w:ascii="Arial" w:eastAsia="Times New Roman" w:hAnsi="Arial" w:cs="Arial"/>
          <w:sz w:val="20"/>
          <w:szCs w:val="20"/>
        </w:rPr>
      </w:pPr>
    </w:p>
    <w:p w14:paraId="4D4913FF" w14:textId="77777777" w:rsidR="00666077" w:rsidRDefault="00666077" w:rsidP="009553C8">
      <w:pPr>
        <w:spacing w:line="260" w:lineRule="atLeast"/>
        <w:jc w:val="both"/>
        <w:rPr>
          <w:rFonts w:ascii="Arial" w:eastAsia="Times New Roman" w:hAnsi="Arial" w:cs="Arial"/>
          <w:sz w:val="20"/>
          <w:szCs w:val="20"/>
        </w:rPr>
      </w:pPr>
      <w:r>
        <w:rPr>
          <w:rFonts w:ascii="Arial" w:eastAsia="Times New Roman" w:hAnsi="Arial" w:cs="Arial"/>
          <w:sz w:val="20"/>
          <w:szCs w:val="20"/>
          <w:lang w:val="en-GB"/>
        </w:rPr>
        <w:t>The comparable uncontrolled price method can be used:</w:t>
      </w:r>
    </w:p>
    <w:p w14:paraId="079102B8" w14:textId="77777777" w:rsidR="0005289E" w:rsidRPr="004F2499" w:rsidRDefault="0005289E" w:rsidP="009553C8">
      <w:pPr>
        <w:spacing w:line="260" w:lineRule="atLeast"/>
        <w:jc w:val="both"/>
        <w:rPr>
          <w:rFonts w:ascii="Arial" w:eastAsia="Times New Roman" w:hAnsi="Arial" w:cs="Arial"/>
          <w:sz w:val="10"/>
          <w:szCs w:val="10"/>
        </w:rPr>
      </w:pPr>
    </w:p>
    <w:p w14:paraId="61220197" w14:textId="77777777" w:rsidR="00666077" w:rsidRPr="00904D3B" w:rsidRDefault="00666077" w:rsidP="009553C8">
      <w:pPr>
        <w:numPr>
          <w:ilvl w:val="0"/>
          <w:numId w:val="13"/>
        </w:numPr>
        <w:spacing w:line="260" w:lineRule="atLeast"/>
        <w:ind w:left="284" w:hanging="284"/>
        <w:jc w:val="both"/>
        <w:rPr>
          <w:rFonts w:ascii="Arial" w:eastAsia="Times New Roman" w:hAnsi="Arial" w:cs="Arial"/>
          <w:sz w:val="20"/>
          <w:szCs w:val="20"/>
        </w:rPr>
      </w:pPr>
      <w:r>
        <w:rPr>
          <w:rFonts w:ascii="Arial" w:eastAsia="Times New Roman" w:hAnsi="Arial" w:cs="Arial"/>
          <w:sz w:val="20"/>
          <w:szCs w:val="20"/>
          <w:lang w:val="en-GB"/>
        </w:rPr>
        <w:t>when there is a comparability of assets or services according to their key characteristics and a comparability of broader business functions that affect the price, or</w:t>
      </w:r>
    </w:p>
    <w:p w14:paraId="70A3F942" w14:textId="77777777" w:rsidR="00666077" w:rsidRPr="00904D3B" w:rsidRDefault="00666077" w:rsidP="009553C8">
      <w:pPr>
        <w:numPr>
          <w:ilvl w:val="0"/>
          <w:numId w:val="13"/>
        </w:numPr>
        <w:spacing w:line="260" w:lineRule="atLeast"/>
        <w:ind w:left="284" w:hanging="284"/>
        <w:jc w:val="both"/>
        <w:rPr>
          <w:rFonts w:ascii="Arial" w:eastAsia="Times New Roman" w:hAnsi="Arial" w:cs="Arial"/>
          <w:sz w:val="20"/>
          <w:szCs w:val="20"/>
        </w:rPr>
      </w:pPr>
      <w:r>
        <w:rPr>
          <w:rFonts w:ascii="Arial" w:eastAsia="Times New Roman" w:hAnsi="Arial" w:cs="Arial"/>
          <w:sz w:val="20"/>
          <w:szCs w:val="20"/>
          <w:lang w:val="en-GB"/>
        </w:rPr>
        <w:t>if the differences between them can be eliminated by appropriate adjustments.</w:t>
      </w:r>
    </w:p>
    <w:p w14:paraId="5D9E5F65" w14:textId="77777777" w:rsidR="00CF1668" w:rsidRDefault="00CF1668" w:rsidP="009553C8">
      <w:pPr>
        <w:tabs>
          <w:tab w:val="left" w:pos="3402"/>
        </w:tabs>
        <w:spacing w:line="260" w:lineRule="atLeast"/>
        <w:jc w:val="both"/>
        <w:rPr>
          <w:rFonts w:ascii="Arial" w:eastAsia="Times New Roman" w:hAnsi="Arial" w:cs="Arial"/>
          <w:sz w:val="20"/>
          <w:szCs w:val="20"/>
        </w:rPr>
      </w:pPr>
    </w:p>
    <w:p w14:paraId="1FBEA0CD" w14:textId="77777777" w:rsidR="00666077" w:rsidRPr="00904D3B" w:rsidRDefault="00666077" w:rsidP="009553C8">
      <w:pPr>
        <w:tabs>
          <w:tab w:val="left" w:pos="3402"/>
        </w:tabs>
        <w:spacing w:line="260" w:lineRule="atLeast"/>
        <w:jc w:val="both"/>
        <w:rPr>
          <w:rFonts w:ascii="Arial" w:eastAsia="Times New Roman" w:hAnsi="Arial" w:cs="Arial"/>
          <w:b/>
          <w:i/>
          <w:sz w:val="20"/>
          <w:szCs w:val="20"/>
        </w:rPr>
      </w:pPr>
      <w:r>
        <w:rPr>
          <w:rFonts w:ascii="Arial" w:eastAsia="Times New Roman" w:hAnsi="Arial" w:cs="Arial"/>
          <w:sz w:val="20"/>
          <w:szCs w:val="20"/>
          <w:lang w:val="en-GB"/>
        </w:rPr>
        <w:t>The OECD Guidelines provide for the use of the comparable uncontrolled price method in paragraphs 2.13-2.26 (or in paragraphs 2.13–2.20 of the 2010 OECD Guidelines).</w:t>
      </w:r>
    </w:p>
    <w:p w14:paraId="6F2B9CA8" w14:textId="77777777" w:rsidR="00666077" w:rsidRPr="00904D3B" w:rsidRDefault="00666077" w:rsidP="009553C8">
      <w:pPr>
        <w:spacing w:line="260" w:lineRule="atLeast"/>
        <w:jc w:val="both"/>
        <w:rPr>
          <w:rFonts w:ascii="Arial" w:eastAsia="Times New Roman" w:hAnsi="Arial" w:cs="Arial"/>
          <w:b/>
          <w:sz w:val="20"/>
          <w:szCs w:val="20"/>
        </w:rPr>
      </w:pPr>
    </w:p>
    <w:p w14:paraId="7725BE1B" w14:textId="5142A3F6" w:rsidR="00666077" w:rsidRPr="00904D3B" w:rsidRDefault="00666077" w:rsidP="009553C8">
      <w:pPr>
        <w:tabs>
          <w:tab w:val="left" w:pos="3402"/>
        </w:tabs>
        <w:spacing w:line="260" w:lineRule="atLeast"/>
        <w:jc w:val="both"/>
        <w:rPr>
          <w:rFonts w:ascii="Arial" w:eastAsia="Times New Roman" w:hAnsi="Arial" w:cs="Arial"/>
          <w:sz w:val="20"/>
          <w:szCs w:val="20"/>
        </w:rPr>
      </w:pPr>
      <w:r>
        <w:rPr>
          <w:rFonts w:ascii="Arial" w:eastAsia="Times New Roman" w:hAnsi="Arial" w:cs="Arial"/>
          <w:sz w:val="20"/>
          <w:szCs w:val="20"/>
          <w:lang w:val="en-GB"/>
        </w:rPr>
        <w:t xml:space="preserve">According to paragraph 2.15 of the OECD Guidelines, the method of comparable uncontrolled prices is the most direct and reliable way to apply the arm’s length principle in cases where comparable transactions between </w:t>
      </w:r>
      <w:proofErr w:type="spellStart"/>
      <w:r>
        <w:rPr>
          <w:rFonts w:ascii="Arial" w:eastAsia="Times New Roman" w:hAnsi="Arial" w:cs="Arial"/>
          <w:sz w:val="20"/>
          <w:szCs w:val="20"/>
          <w:lang w:val="en-GB"/>
        </w:rPr>
        <w:t>un</w:t>
      </w:r>
      <w:r w:rsidR="003E0B4B">
        <w:rPr>
          <w:rFonts w:ascii="Arial" w:eastAsia="Times New Roman" w:hAnsi="Arial" w:cs="Arial"/>
          <w:sz w:val="20"/>
          <w:szCs w:val="20"/>
          <w:lang w:val="en-GB"/>
        </w:rPr>
        <w:t>associated</w:t>
      </w:r>
      <w:proofErr w:type="spellEnd"/>
      <w:r>
        <w:rPr>
          <w:rFonts w:ascii="Arial" w:eastAsia="Times New Roman" w:hAnsi="Arial" w:cs="Arial"/>
          <w:sz w:val="20"/>
          <w:szCs w:val="20"/>
          <w:lang w:val="en-GB"/>
        </w:rPr>
        <w:t xml:space="preserve"> parties can be found. In such cases, therefore, the comparable uncontrolled price method takes precedence over all other methods.</w:t>
      </w:r>
    </w:p>
    <w:p w14:paraId="7DFB135B" w14:textId="77777777" w:rsidR="00666077" w:rsidRPr="00904D3B" w:rsidRDefault="00666077" w:rsidP="009553C8">
      <w:pPr>
        <w:tabs>
          <w:tab w:val="left" w:pos="3402"/>
        </w:tabs>
        <w:spacing w:line="260" w:lineRule="atLeast"/>
        <w:jc w:val="both"/>
        <w:rPr>
          <w:rFonts w:ascii="Arial" w:eastAsia="Times New Roman" w:hAnsi="Arial" w:cs="Arial"/>
          <w:sz w:val="20"/>
          <w:szCs w:val="20"/>
        </w:rPr>
      </w:pPr>
    </w:p>
    <w:p w14:paraId="24228C83" w14:textId="04990729" w:rsidR="00666077" w:rsidRPr="00904D3B" w:rsidRDefault="00666077" w:rsidP="009553C8">
      <w:pPr>
        <w:tabs>
          <w:tab w:val="left" w:pos="3402"/>
        </w:tabs>
        <w:spacing w:line="260" w:lineRule="atLeast"/>
        <w:jc w:val="both"/>
        <w:rPr>
          <w:rFonts w:ascii="Arial" w:eastAsia="Times New Roman" w:hAnsi="Arial" w:cs="Arial"/>
          <w:sz w:val="20"/>
          <w:szCs w:val="20"/>
        </w:rPr>
      </w:pPr>
      <w:r>
        <w:rPr>
          <w:rFonts w:ascii="Arial" w:eastAsia="Times New Roman" w:hAnsi="Arial" w:cs="Arial"/>
          <w:sz w:val="20"/>
          <w:szCs w:val="20"/>
          <w:lang w:val="en-GB"/>
        </w:rPr>
        <w:t xml:space="preserve">Furthermore, paragraph 2.16 of the OECD Guidelines (paragraph 2.15 of the 2010 OECD Guidelines) states that it will sometimes be difficult to find a transaction between independent companies that is sufficiently similar to </w:t>
      </w:r>
      <w:proofErr w:type="spellStart"/>
      <w:r>
        <w:rPr>
          <w:rFonts w:ascii="Arial" w:eastAsia="Times New Roman" w:hAnsi="Arial" w:cs="Arial"/>
          <w:sz w:val="20"/>
          <w:szCs w:val="20"/>
          <w:lang w:val="en-GB"/>
        </w:rPr>
        <w:t>a</w:t>
      </w:r>
      <w:proofErr w:type="spellEnd"/>
      <w:r>
        <w:rPr>
          <w:rFonts w:ascii="Arial" w:eastAsia="Times New Roman" w:hAnsi="Arial" w:cs="Arial"/>
          <w:sz w:val="20"/>
          <w:szCs w:val="20"/>
          <w:lang w:val="en-GB"/>
        </w:rPr>
        <w:t xml:space="preserve"> </w:t>
      </w:r>
      <w:r w:rsidR="003E0B4B">
        <w:rPr>
          <w:rFonts w:ascii="Arial" w:eastAsia="Times New Roman" w:hAnsi="Arial" w:cs="Arial"/>
          <w:sz w:val="20"/>
          <w:szCs w:val="20"/>
          <w:lang w:val="en-GB"/>
        </w:rPr>
        <w:t>associated</w:t>
      </w:r>
      <w:r>
        <w:rPr>
          <w:rFonts w:ascii="Arial" w:eastAsia="Times New Roman" w:hAnsi="Arial" w:cs="Arial"/>
          <w:sz w:val="20"/>
          <w:szCs w:val="20"/>
          <w:lang w:val="en-GB"/>
        </w:rPr>
        <w:t xml:space="preserve"> </w:t>
      </w:r>
      <w:r w:rsidR="00FC5DC6">
        <w:rPr>
          <w:rFonts w:ascii="Arial" w:eastAsia="Times New Roman" w:hAnsi="Arial" w:cs="Arial"/>
          <w:sz w:val="20"/>
          <w:szCs w:val="20"/>
          <w:lang w:val="en-GB"/>
        </w:rPr>
        <w:t xml:space="preserve">party </w:t>
      </w:r>
      <w:r>
        <w:rPr>
          <w:rFonts w:ascii="Arial" w:eastAsia="Times New Roman" w:hAnsi="Arial" w:cs="Arial"/>
          <w:sz w:val="20"/>
          <w:szCs w:val="20"/>
          <w:lang w:val="en-GB"/>
        </w:rPr>
        <w:t>transaction, so that there is no difference between them that could have a significant effect on the price. In such a case, certain adjustments would be appropriate.</w:t>
      </w:r>
    </w:p>
    <w:p w14:paraId="5C753A35" w14:textId="77777777" w:rsidR="00666077" w:rsidRPr="00904D3B" w:rsidRDefault="00666077" w:rsidP="009553C8">
      <w:pPr>
        <w:tabs>
          <w:tab w:val="left" w:pos="3402"/>
        </w:tabs>
        <w:spacing w:line="260" w:lineRule="atLeast"/>
        <w:jc w:val="both"/>
        <w:rPr>
          <w:rFonts w:ascii="Arial" w:eastAsia="Times New Roman" w:hAnsi="Arial" w:cs="Arial"/>
          <w:sz w:val="20"/>
          <w:szCs w:val="20"/>
        </w:rPr>
      </w:pPr>
    </w:p>
    <w:p w14:paraId="1846DB13" w14:textId="7DB46DDB" w:rsidR="00666077" w:rsidRDefault="00666077" w:rsidP="009553C8">
      <w:pPr>
        <w:tabs>
          <w:tab w:val="left" w:pos="3402"/>
        </w:tabs>
        <w:spacing w:line="260" w:lineRule="atLeast"/>
        <w:jc w:val="both"/>
        <w:rPr>
          <w:rFonts w:ascii="Arial" w:eastAsia="Times New Roman" w:hAnsi="Arial" w:cs="Arial"/>
          <w:b/>
          <w:bCs/>
          <w:sz w:val="24"/>
          <w:szCs w:val="24"/>
          <w:lang w:val="en-GB"/>
        </w:rPr>
      </w:pPr>
      <w:r>
        <w:rPr>
          <w:rFonts w:ascii="Arial" w:eastAsia="Times New Roman" w:hAnsi="Arial" w:cs="Arial"/>
          <w:sz w:val="20"/>
          <w:szCs w:val="20"/>
          <w:lang w:val="en-GB"/>
        </w:rPr>
        <w:t xml:space="preserve">Paragraph 2.19 of the OECD Guidelines introduces a new </w:t>
      </w:r>
      <w:r>
        <w:rPr>
          <w:rFonts w:ascii="Arial" w:eastAsia="Times New Roman" w:hAnsi="Arial" w:cs="Arial"/>
          <w:i/>
          <w:iCs/>
          <w:sz w:val="20"/>
          <w:szCs w:val="20"/>
          <w:lang w:val="en-GB"/>
        </w:rPr>
        <w:t>"quoted price"</w:t>
      </w:r>
      <w:r>
        <w:rPr>
          <w:rFonts w:ascii="Arial" w:eastAsia="Times New Roman" w:hAnsi="Arial" w:cs="Arial"/>
          <w:sz w:val="20"/>
          <w:szCs w:val="20"/>
          <w:lang w:val="en-GB"/>
        </w:rPr>
        <w:t xml:space="preserve"> concept, which can be used to assess the arm’s length price in transactions in goods. The term “quoted price” refers to the price of goods in the relevant period on an international or domestic stock market. In this context, it also includes prices for goods derived from reliable and transparent reports or data from statistical agencies or from reports of government pricing agencies used as references for </w:t>
      </w:r>
      <w:proofErr w:type="spellStart"/>
      <w:r>
        <w:rPr>
          <w:rFonts w:ascii="Arial" w:eastAsia="Times New Roman" w:hAnsi="Arial" w:cs="Arial"/>
          <w:sz w:val="20"/>
          <w:szCs w:val="20"/>
          <w:lang w:val="en-GB"/>
        </w:rPr>
        <w:t>un</w:t>
      </w:r>
      <w:r w:rsidR="003E0B4B">
        <w:rPr>
          <w:rFonts w:ascii="Arial" w:eastAsia="Times New Roman" w:hAnsi="Arial" w:cs="Arial"/>
          <w:sz w:val="20"/>
          <w:szCs w:val="20"/>
          <w:lang w:val="en-GB"/>
        </w:rPr>
        <w:t>associated</w:t>
      </w:r>
      <w:proofErr w:type="spellEnd"/>
      <w:r>
        <w:rPr>
          <w:rFonts w:ascii="Arial" w:eastAsia="Times New Roman" w:hAnsi="Arial" w:cs="Arial"/>
          <w:sz w:val="20"/>
          <w:szCs w:val="20"/>
          <w:lang w:val="en-GB"/>
        </w:rPr>
        <w:t xml:space="preserve"> parties to determine prices in transactions between them. Quoted prices of goods usually reflect an agreement between independent buyers and sellers on the market on the price of a particular type and quantity of goods, determined under certain conditions at a given time.</w:t>
      </w:r>
      <w:r>
        <w:rPr>
          <w:rFonts w:ascii="Arial" w:eastAsia="Times New Roman" w:hAnsi="Arial" w:cs="Arial"/>
          <w:b/>
          <w:bCs/>
          <w:sz w:val="24"/>
          <w:szCs w:val="24"/>
          <w:lang w:val="en-GB"/>
        </w:rPr>
        <w:t xml:space="preserve"> </w:t>
      </w:r>
    </w:p>
    <w:p w14:paraId="714F16E1" w14:textId="77777777" w:rsidR="004A7D62" w:rsidRPr="00831279" w:rsidRDefault="004A7D62" w:rsidP="009553C8">
      <w:pPr>
        <w:tabs>
          <w:tab w:val="left" w:pos="3402"/>
        </w:tabs>
        <w:spacing w:line="260" w:lineRule="atLeast"/>
        <w:jc w:val="both"/>
        <w:rPr>
          <w:rFonts w:ascii="Arial" w:eastAsia="Times New Roman" w:hAnsi="Arial" w:cs="Arial"/>
          <w:b/>
          <w:sz w:val="24"/>
          <w:szCs w:val="24"/>
        </w:rPr>
      </w:pPr>
    </w:p>
    <w:p w14:paraId="022DB1AC" w14:textId="77777777" w:rsidR="00666077" w:rsidRPr="00904D3B" w:rsidRDefault="00666077" w:rsidP="00FE686B">
      <w:pPr>
        <w:pBdr>
          <w:top w:val="single" w:sz="4" w:space="5" w:color="auto"/>
          <w:left w:val="single" w:sz="4" w:space="0" w:color="auto"/>
          <w:bottom w:val="single" w:sz="4" w:space="24" w:color="auto"/>
          <w:right w:val="single" w:sz="4" w:space="1" w:color="auto"/>
        </w:pBdr>
        <w:snapToGrid w:val="0"/>
        <w:jc w:val="center"/>
        <w:rPr>
          <w:rFonts w:ascii="Arial" w:eastAsia="Calibri" w:hAnsi="Arial" w:cs="Arial"/>
          <w:b/>
          <w:i/>
          <w:sz w:val="18"/>
          <w:szCs w:val="18"/>
        </w:rPr>
      </w:pPr>
      <w:r>
        <w:rPr>
          <w:rFonts w:ascii="Arial" w:eastAsia="Calibri" w:hAnsi="Arial" w:cs="Arial"/>
          <w:b/>
          <w:bCs/>
          <w:i/>
          <w:iCs/>
          <w:sz w:val="18"/>
          <w:szCs w:val="18"/>
          <w:lang w:val="en-GB"/>
        </w:rPr>
        <w:t>A graphical presentation of the comparable uncontrolled price method using an internal comparable transaction</w:t>
      </w:r>
    </w:p>
    <w:p w14:paraId="2E05D7BF" w14:textId="77777777" w:rsidR="00666077" w:rsidRPr="00904D3B" w:rsidRDefault="00666077" w:rsidP="00FE686B">
      <w:pPr>
        <w:pBdr>
          <w:top w:val="single" w:sz="4" w:space="5" w:color="auto"/>
          <w:left w:val="single" w:sz="4" w:space="0" w:color="auto"/>
          <w:bottom w:val="single" w:sz="4" w:space="24" w:color="auto"/>
          <w:right w:val="single" w:sz="4" w:space="1" w:color="auto"/>
        </w:pBdr>
        <w:snapToGrid w:val="0"/>
        <w:jc w:val="both"/>
        <w:rPr>
          <w:rFonts w:ascii="Arial" w:eastAsia="Calibri" w:hAnsi="Arial" w:cs="Arial"/>
          <w:b/>
          <w:i/>
          <w:sz w:val="18"/>
          <w:szCs w:val="18"/>
        </w:rPr>
      </w:pPr>
    </w:p>
    <w:p w14:paraId="31328013" w14:textId="0DE77315" w:rsidR="00666077" w:rsidRDefault="0085131D" w:rsidP="00FE686B">
      <w:pPr>
        <w:pBdr>
          <w:top w:val="single" w:sz="4" w:space="5" w:color="auto"/>
          <w:left w:val="single" w:sz="4" w:space="0" w:color="auto"/>
          <w:bottom w:val="single" w:sz="4" w:space="24" w:color="auto"/>
          <w:right w:val="single" w:sz="4" w:space="1" w:color="auto"/>
        </w:pBdr>
        <w:snapToGrid w:val="0"/>
        <w:jc w:val="both"/>
        <w:rPr>
          <w:rFonts w:ascii="Arial" w:hAnsi="Arial" w:cs="Arial"/>
          <w:i/>
          <w:iCs/>
          <w:sz w:val="18"/>
          <w:szCs w:val="18"/>
          <w:lang w:val="en-GB"/>
        </w:rPr>
      </w:pPr>
      <w:proofErr w:type="spellStart"/>
      <w:r>
        <w:rPr>
          <w:rFonts w:ascii="Arial" w:hAnsi="Arial" w:cs="Arial"/>
          <w:i/>
          <w:iCs/>
          <w:sz w:val="18"/>
          <w:szCs w:val="18"/>
        </w:rPr>
        <w:t>Enterprise</w:t>
      </w:r>
      <w:proofErr w:type="spellEnd"/>
      <w:r w:rsidR="00666077">
        <w:rPr>
          <w:rFonts w:ascii="Arial" w:hAnsi="Arial" w:cs="Arial"/>
          <w:i/>
          <w:iCs/>
          <w:sz w:val="18"/>
          <w:szCs w:val="18"/>
          <w:lang w:val="en-GB"/>
        </w:rPr>
        <w:t xml:space="preserve"> A est</w:t>
      </w:r>
      <w:r>
        <w:rPr>
          <w:rFonts w:ascii="Arial" w:hAnsi="Arial" w:cs="Arial"/>
          <w:i/>
          <w:iCs/>
          <w:sz w:val="18"/>
          <w:szCs w:val="18"/>
          <w:lang w:val="en-GB"/>
        </w:rPr>
        <w:t>ablished in Slovenia and Enterprise</w:t>
      </w:r>
      <w:r w:rsidR="00666077">
        <w:rPr>
          <w:rFonts w:ascii="Arial" w:hAnsi="Arial" w:cs="Arial"/>
          <w:i/>
          <w:iCs/>
          <w:sz w:val="18"/>
          <w:szCs w:val="18"/>
          <w:lang w:val="en-GB"/>
        </w:rPr>
        <w:t xml:space="preserve"> B established in country B are </w:t>
      </w:r>
      <w:r w:rsidR="003E0B4B">
        <w:rPr>
          <w:rFonts w:ascii="Arial" w:hAnsi="Arial" w:cs="Arial"/>
          <w:i/>
          <w:iCs/>
          <w:sz w:val="18"/>
          <w:szCs w:val="18"/>
          <w:lang w:val="en-GB"/>
        </w:rPr>
        <w:t>associated</w:t>
      </w:r>
      <w:r w:rsidR="00666077">
        <w:rPr>
          <w:rFonts w:ascii="Arial" w:hAnsi="Arial" w:cs="Arial"/>
          <w:i/>
          <w:iCs/>
          <w:sz w:val="18"/>
          <w:szCs w:val="18"/>
          <w:lang w:val="en-GB"/>
        </w:rPr>
        <w:t xml:space="preserve"> parties. </w:t>
      </w:r>
      <w:r>
        <w:rPr>
          <w:rFonts w:ascii="Arial" w:hAnsi="Arial" w:cs="Arial"/>
          <w:sz w:val="18"/>
          <w:szCs w:val="18"/>
          <w:lang w:val="en-GB"/>
        </w:rPr>
        <w:t>Enterprise</w:t>
      </w:r>
      <w:r w:rsidR="00666077">
        <w:rPr>
          <w:rFonts w:ascii="Arial" w:hAnsi="Arial" w:cs="Arial"/>
          <w:sz w:val="18"/>
          <w:szCs w:val="18"/>
          <w:lang w:val="en-GB"/>
        </w:rPr>
        <w:t xml:space="preserve"> A sells the same type of prod</w:t>
      </w:r>
      <w:r>
        <w:rPr>
          <w:rFonts w:ascii="Arial" w:hAnsi="Arial" w:cs="Arial"/>
          <w:sz w:val="18"/>
          <w:szCs w:val="18"/>
          <w:lang w:val="en-GB"/>
        </w:rPr>
        <w:t>ucts to both the associated enterprise</w:t>
      </w:r>
      <w:r w:rsidR="00666077">
        <w:rPr>
          <w:rFonts w:ascii="Arial" w:hAnsi="Arial" w:cs="Arial"/>
          <w:sz w:val="18"/>
          <w:szCs w:val="18"/>
          <w:lang w:val="en-GB"/>
        </w:rPr>
        <w:t xml:space="preserve"> B and </w:t>
      </w:r>
      <w:r>
        <w:rPr>
          <w:rFonts w:ascii="Arial" w:hAnsi="Arial" w:cs="Arial"/>
          <w:sz w:val="18"/>
          <w:szCs w:val="18"/>
          <w:lang w:val="en-GB"/>
        </w:rPr>
        <w:t>the non-associated enterprise</w:t>
      </w:r>
      <w:r w:rsidR="00666077">
        <w:rPr>
          <w:rFonts w:ascii="Arial" w:hAnsi="Arial" w:cs="Arial"/>
          <w:sz w:val="18"/>
          <w:szCs w:val="18"/>
          <w:lang w:val="en-GB"/>
        </w:rPr>
        <w:t xml:space="preserve"> C. The</w:t>
      </w:r>
      <w:r w:rsidR="006F191A">
        <w:rPr>
          <w:rFonts w:ascii="Arial" w:hAnsi="Arial" w:cs="Arial"/>
          <w:sz w:val="18"/>
          <w:szCs w:val="18"/>
          <w:lang w:val="en-GB"/>
        </w:rPr>
        <w:t xml:space="preserve"> price in both transactions is E</w:t>
      </w:r>
      <w:r w:rsidR="00666077">
        <w:rPr>
          <w:rFonts w:ascii="Arial" w:hAnsi="Arial" w:cs="Arial"/>
          <w:sz w:val="18"/>
          <w:szCs w:val="18"/>
          <w:lang w:val="en-GB"/>
        </w:rPr>
        <w:t>UR 100 per product unit.</w:t>
      </w:r>
      <w:r w:rsidR="00666077">
        <w:rPr>
          <w:rFonts w:ascii="Arial" w:hAnsi="Arial" w:cs="Arial"/>
          <w:i/>
          <w:iCs/>
          <w:sz w:val="18"/>
          <w:szCs w:val="18"/>
          <w:lang w:val="en-GB"/>
        </w:rPr>
        <w:t xml:space="preserve"> </w:t>
      </w:r>
    </w:p>
    <w:p w14:paraId="11A97646" w14:textId="66399715" w:rsidR="00446AD2" w:rsidRDefault="0048619E" w:rsidP="00FE686B">
      <w:pPr>
        <w:pBdr>
          <w:top w:val="single" w:sz="4" w:space="5" w:color="auto"/>
          <w:left w:val="single" w:sz="4" w:space="0" w:color="auto"/>
          <w:bottom w:val="single" w:sz="4" w:space="24" w:color="auto"/>
          <w:right w:val="single" w:sz="4" w:space="1" w:color="auto"/>
        </w:pBdr>
        <w:snapToGrid w:val="0"/>
        <w:jc w:val="both"/>
        <w:rPr>
          <w:rFonts w:ascii="Arial" w:eastAsia="Calibri" w:hAnsi="Arial" w:cs="Arial"/>
          <w:i/>
          <w:sz w:val="18"/>
          <w:szCs w:val="18"/>
        </w:rPr>
      </w:pPr>
      <w:r>
        <w:rPr>
          <w:rFonts w:ascii="Arial" w:eastAsia="Times New Roman" w:hAnsi="Arial" w:cs="Arial"/>
          <w:noProof/>
          <w:sz w:val="20"/>
          <w:szCs w:val="24"/>
          <w:lang w:eastAsia="sl-SI"/>
        </w:rPr>
        <mc:AlternateContent>
          <mc:Choice Requires="wps">
            <w:drawing>
              <wp:anchor distT="0" distB="0" distL="114300" distR="114300" simplePos="0" relativeHeight="251664384" behindDoc="0" locked="0" layoutInCell="1" allowOverlap="1" wp14:anchorId="6324F57F" wp14:editId="66820621">
                <wp:simplePos x="0" y="0"/>
                <wp:positionH relativeFrom="column">
                  <wp:posOffset>4159993</wp:posOffset>
                </wp:positionH>
                <wp:positionV relativeFrom="paragraph">
                  <wp:posOffset>113833</wp:posOffset>
                </wp:positionV>
                <wp:extent cx="1177290" cy="508635"/>
                <wp:effectExtent l="0" t="0" r="22860" b="24765"/>
                <wp:wrapNone/>
                <wp:docPr id="23" name="Pravokotnik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7290" cy="508635"/>
                        </a:xfrm>
                        <a:prstGeom prst="rect">
                          <a:avLst/>
                        </a:prstGeom>
                        <a:solidFill>
                          <a:sysClr val="window" lastClr="FFFFFF"/>
                        </a:solidFill>
                        <a:ln w="12700" cap="flat" cmpd="sng" algn="ctr">
                          <a:solidFill>
                            <a:srgbClr val="4472C4">
                              <a:lumMod val="75000"/>
                            </a:srgbClr>
                          </a:solidFill>
                          <a:prstDash val="solid"/>
                          <a:miter lim="800000"/>
                        </a:ln>
                        <a:effectLst/>
                      </wps:spPr>
                      <wps:txbx>
                        <w:txbxContent>
                          <w:p w14:paraId="41F0DEFE" w14:textId="77777777" w:rsidR="0018663B" w:rsidRPr="00B810D1" w:rsidRDefault="0018663B" w:rsidP="00666077">
                            <w:pPr>
                              <w:spacing w:line="240" w:lineRule="auto"/>
                              <w:jc w:val="center"/>
                              <w:rPr>
                                <w:rFonts w:cs="Arial"/>
                                <w:i/>
                                <w:sz w:val="18"/>
                                <w:szCs w:val="18"/>
                              </w:rPr>
                            </w:pPr>
                            <w:r>
                              <w:rPr>
                                <w:rFonts w:cs="Arial"/>
                                <w:i/>
                                <w:iCs/>
                                <w:sz w:val="18"/>
                                <w:szCs w:val="18"/>
                                <w:lang w:val="en-GB"/>
                              </w:rPr>
                              <w:t>Same type product</w:t>
                            </w:r>
                          </w:p>
                          <w:p w14:paraId="50A78FAA" w14:textId="77777777" w:rsidR="0018663B" w:rsidRPr="00B810D1" w:rsidRDefault="0018663B" w:rsidP="00666077">
                            <w:pPr>
                              <w:spacing w:line="240" w:lineRule="auto"/>
                              <w:jc w:val="center"/>
                              <w:rPr>
                                <w:rFonts w:cs="Arial"/>
                                <w:sz w:val="18"/>
                                <w:szCs w:val="18"/>
                              </w:rPr>
                            </w:pPr>
                            <w:r>
                              <w:rPr>
                                <w:rFonts w:cs="Arial"/>
                                <w:sz w:val="18"/>
                                <w:szCs w:val="18"/>
                                <w:lang w:val="en-GB"/>
                              </w:rPr>
                              <w:t>Price: EUR 100/unit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324F57F" id="Pravokotnik 23" o:spid="_x0000_s1026" style="position:absolute;left:0;text-align:left;margin-left:327.55pt;margin-top:8.95pt;width:92.7pt;height:40.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" fillcolor="window" strokecolor="#2f5597" strokeweight="1pt">
                <v:path arrowok="t"/>
                <v:textbox>
                  <w:txbxContent>
                    <w:p w14:paraId="41F0DEFE" w14:textId="77777777" w:rsidR="0018663B" w:rsidRPr="00B810D1" w:rsidRDefault="0018663B" w:rsidP="00666077">
                      <w:pPr>
                        <w:spacing w:line="240" w:lineRule="auto"/>
                        <w:jc w:val="center"/>
                        <w:rPr>
                          <w:rFonts w:cs="Arial"/>
                          <w:i/>
                          <w:sz w:val="18"/>
                          <w:szCs w:val="18"/>
                        </w:rPr>
                      </w:pPr>
                      <w:r>
                        <w:rPr>
                          <w:rFonts w:cs="Arial"/>
                          <w:i/>
                          <w:iCs/>
                          <w:sz w:val="18"/>
                          <w:szCs w:val="18"/>
                          <w:lang w:val="en-GB"/>
                        </w:rPr>
                        <w:t>Same type product</w:t>
                      </w:r>
                    </w:p>
                    <w:p w14:paraId="50A78FAA" w14:textId="77777777" w:rsidR="0018663B" w:rsidRPr="00B810D1" w:rsidRDefault="0018663B" w:rsidP="00666077">
                      <w:pPr>
                        <w:spacing w:line="240" w:lineRule="auto"/>
                        <w:jc w:val="center"/>
                        <w:rPr>
                          <w:rFonts w:cs="Arial"/>
                          <w:sz w:val="18"/>
                          <w:szCs w:val="18"/>
                        </w:rPr>
                      </w:pPr>
                      <w:r>
                        <w:rPr>
                          <w:rFonts w:cs="Arial"/>
                          <w:sz w:val="18"/>
                          <w:szCs w:val="18"/>
                          <w:lang w:val="en-GB"/>
                        </w:rPr>
                        <w:t>Price: EUR 100/unit</w:t>
                      </w:r>
                    </w:p>
                  </w:txbxContent>
                </v:textbox>
              </v:rect>
            </w:pict>
          </mc:Fallback>
        </mc:AlternateContent>
      </w:r>
      <w:r w:rsidR="00446AD2">
        <w:rPr>
          <w:rFonts w:ascii="Arial" w:hAnsi="Arial" w:cs="Arial"/>
          <w:noProof/>
          <w:sz w:val="20"/>
          <w:szCs w:val="24"/>
          <w:lang w:eastAsia="sl-SI"/>
        </w:rPr>
        <mc:AlternateContent>
          <mc:Choice Requires="wps">
            <w:drawing>
              <wp:anchor distT="0" distB="0" distL="114300" distR="114300" simplePos="0" relativeHeight="251660288" behindDoc="1" locked="0" layoutInCell="1" allowOverlap="1" wp14:anchorId="5F987A3E" wp14:editId="6B376F57">
                <wp:simplePos x="0" y="0"/>
                <wp:positionH relativeFrom="margin">
                  <wp:posOffset>2125609</wp:posOffset>
                </wp:positionH>
                <wp:positionV relativeFrom="paragraph">
                  <wp:posOffset>27305</wp:posOffset>
                </wp:positionV>
                <wp:extent cx="1138507" cy="619125"/>
                <wp:effectExtent l="0" t="0" r="24130" b="28575"/>
                <wp:wrapTight wrapText="bothSides">
                  <wp:wrapPolygon edited="0">
                    <wp:start x="7232" y="0"/>
                    <wp:lineTo x="0" y="1994"/>
                    <wp:lineTo x="0" y="17280"/>
                    <wp:lineTo x="5063" y="21268"/>
                    <wp:lineTo x="6147" y="21932"/>
                    <wp:lineTo x="6509" y="21932"/>
                    <wp:lineTo x="15188" y="21932"/>
                    <wp:lineTo x="15549" y="21932"/>
                    <wp:lineTo x="21696" y="17945"/>
                    <wp:lineTo x="21696" y="2658"/>
                    <wp:lineTo x="14826" y="0"/>
                    <wp:lineTo x="7232" y="0"/>
                  </wp:wrapPolygon>
                </wp:wrapTight>
                <wp:docPr id="25" name="Elipsa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8507" cy="619125"/>
                        </a:xfrm>
                        <a:prstGeom prst="ellipse">
                          <a:avLst/>
                        </a:prstGeom>
                        <a:solidFill>
                          <a:sysClr val="window" lastClr="FFFFFF"/>
                        </a:solidFill>
                        <a:ln w="12700" cap="flat" cmpd="sng" algn="ctr">
                          <a:solidFill>
                            <a:srgbClr val="4472C4">
                              <a:lumMod val="50000"/>
                            </a:srgbClr>
                          </a:solidFill>
                          <a:prstDash val="solid"/>
                          <a:miter lim="800000"/>
                        </a:ln>
                        <a:effectLst/>
                      </wps:spPr>
                      <wps:txbx>
                        <w:txbxContent>
                          <w:p w14:paraId="1013CE00" w14:textId="0D894680" w:rsidR="0018663B" w:rsidRPr="00BD5B10" w:rsidRDefault="0018663B" w:rsidP="00666077">
                            <w:pPr>
                              <w:jc w:val="center"/>
                              <w:rPr>
                                <w:b/>
                              </w:rPr>
                            </w:pPr>
                            <w:r>
                              <w:rPr>
                                <w:b/>
                                <w:bCs/>
                                <w:szCs w:val="20"/>
                                <w:lang w:val="en-GB"/>
                              </w:rPr>
                              <w:t>Enterprise A</w:t>
                            </w:r>
                            <w:r>
                              <w:rPr>
                                <w:b/>
                                <w:bCs/>
                                <w:lang w:val="en-GB"/>
                              </w:rPr>
                              <w:t xml:space="preserve"> SLO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987A3E" id="Elipsa 25" o:spid="_x0000_s1027" style="position:absolute;left:0;text-align:left;margin-left:167.35pt;margin-top:2.15pt;width:89.65pt;height:48.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" fillcolor="window" strokecolor="#203864" strokeweight="1pt">
                <v:stroke joinstyle="miter"/>
                <v:path arrowok="t"/>
                <v:textbox>
                  <w:txbxContent>
                    <w:p w14:paraId="1013CE00" w14:textId="0D894680" w:rsidR="0018663B" w:rsidRPr="00BD5B10" w:rsidRDefault="0018663B" w:rsidP="00666077">
                      <w:pPr>
                        <w:jc w:val="center"/>
                        <w:rPr>
                          <w:b/>
                        </w:rPr>
                      </w:pPr>
                      <w:r>
                        <w:rPr>
                          <w:b/>
                          <w:bCs/>
                          <w:szCs w:val="20"/>
                          <w:lang w:val="en-GB"/>
                        </w:rPr>
                        <w:t>Enterprise A</w:t>
                      </w:r>
                      <w:r>
                        <w:rPr>
                          <w:b/>
                          <w:bCs/>
                          <w:lang w:val="en-GB"/>
                        </w:rPr>
                        <w:t xml:space="preserve"> SLO</w:t>
                      </w:r>
                    </w:p>
                  </w:txbxContent>
                </v:textbox>
                <w10:wrap type="tight" anchorx="margin"/>
              </v:oval>
            </w:pict>
          </mc:Fallback>
        </mc:AlternateContent>
      </w:r>
    </w:p>
    <w:p w14:paraId="79682088" w14:textId="13EE9372" w:rsidR="00401899" w:rsidRPr="00904D3B" w:rsidRDefault="00520D91" w:rsidP="00FE686B">
      <w:pPr>
        <w:pBdr>
          <w:top w:val="single" w:sz="4" w:space="5" w:color="auto"/>
          <w:left w:val="single" w:sz="4" w:space="0" w:color="auto"/>
          <w:bottom w:val="single" w:sz="4" w:space="24" w:color="auto"/>
          <w:right w:val="single" w:sz="4" w:space="1" w:color="auto"/>
        </w:pBdr>
        <w:snapToGrid w:val="0"/>
        <w:jc w:val="both"/>
        <w:rPr>
          <w:rFonts w:ascii="Arial" w:eastAsia="Calibri" w:hAnsi="Arial" w:cs="Arial"/>
          <w:i/>
          <w:sz w:val="18"/>
          <w:szCs w:val="18"/>
        </w:rPr>
      </w:pPr>
      <w:r>
        <w:rPr>
          <w:rFonts w:ascii="Arial" w:eastAsia="Times New Roman" w:hAnsi="Arial" w:cs="Arial"/>
          <w:noProof/>
          <w:sz w:val="20"/>
          <w:szCs w:val="24"/>
          <w:lang w:eastAsia="sl-SI"/>
        </w:rPr>
        <mc:AlternateContent>
          <mc:Choice Requires="wps">
            <w:drawing>
              <wp:anchor distT="0" distB="0" distL="114300" distR="114300" simplePos="0" relativeHeight="251663360" behindDoc="0" locked="0" layoutInCell="1" allowOverlap="1" wp14:anchorId="213432E7" wp14:editId="566F30AA">
                <wp:simplePos x="0" y="0"/>
                <wp:positionH relativeFrom="column">
                  <wp:posOffset>31426</wp:posOffset>
                </wp:positionH>
                <wp:positionV relativeFrom="paragraph">
                  <wp:posOffset>33811</wp:posOffset>
                </wp:positionV>
                <wp:extent cx="1177290" cy="508635"/>
                <wp:effectExtent l="0" t="0" r="22860" b="24765"/>
                <wp:wrapNone/>
                <wp:docPr id="24" name="Pravokotnik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7290" cy="508635"/>
                        </a:xfrm>
                        <a:prstGeom prst="rect">
                          <a:avLst/>
                        </a:prstGeom>
                        <a:solidFill>
                          <a:sysClr val="window" lastClr="FFFFFF"/>
                        </a:solidFill>
                        <a:ln w="12700" cap="flat" cmpd="sng" algn="ctr">
                          <a:solidFill>
                            <a:srgbClr val="4472C4">
                              <a:lumMod val="75000"/>
                            </a:srgbClr>
                          </a:solidFill>
                          <a:prstDash val="solid"/>
                          <a:miter lim="800000"/>
                        </a:ln>
                        <a:effectLst/>
                      </wps:spPr>
                      <wps:txbx>
                        <w:txbxContent>
                          <w:p w14:paraId="5FC6A14C" w14:textId="77777777" w:rsidR="0018663B" w:rsidRPr="00B810D1" w:rsidRDefault="0018663B" w:rsidP="00666077">
                            <w:pPr>
                              <w:spacing w:line="240" w:lineRule="auto"/>
                              <w:jc w:val="center"/>
                              <w:rPr>
                                <w:rFonts w:cs="Arial"/>
                                <w:i/>
                                <w:sz w:val="18"/>
                                <w:szCs w:val="18"/>
                              </w:rPr>
                            </w:pPr>
                            <w:r>
                              <w:rPr>
                                <w:rFonts w:cs="Arial"/>
                                <w:i/>
                                <w:iCs/>
                                <w:sz w:val="18"/>
                                <w:szCs w:val="18"/>
                                <w:lang w:val="en-GB"/>
                              </w:rPr>
                              <w:t>Same type product</w:t>
                            </w:r>
                          </w:p>
                          <w:p w14:paraId="6226D2F3" w14:textId="77777777" w:rsidR="0018663B" w:rsidRPr="00B810D1" w:rsidRDefault="0018663B" w:rsidP="00666077">
                            <w:pPr>
                              <w:spacing w:line="240" w:lineRule="auto"/>
                              <w:jc w:val="center"/>
                              <w:rPr>
                                <w:rFonts w:cs="Arial"/>
                                <w:sz w:val="18"/>
                                <w:szCs w:val="18"/>
                              </w:rPr>
                            </w:pPr>
                            <w:r>
                              <w:rPr>
                                <w:rFonts w:cs="Arial"/>
                                <w:sz w:val="18"/>
                                <w:szCs w:val="18"/>
                                <w:lang w:val="en-GB"/>
                              </w:rPr>
                              <w:t>Price: EUR 100/unit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13432E7" id="Pravokotnik 24" o:spid="_x0000_s1028" style="position:absolute;left:0;text-align:left;margin-left:2.45pt;margin-top:2.65pt;width:92.7pt;height:4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" fillcolor="window" strokecolor="#2f5597" strokeweight="1pt">
                <v:path arrowok="t"/>
                <v:textbox>
                  <w:txbxContent>
                    <w:p w14:paraId="5FC6A14C" w14:textId="77777777" w:rsidR="0018663B" w:rsidRPr="00B810D1" w:rsidRDefault="0018663B" w:rsidP="00666077">
                      <w:pPr>
                        <w:spacing w:line="240" w:lineRule="auto"/>
                        <w:jc w:val="center"/>
                        <w:rPr>
                          <w:rFonts w:cs="Arial"/>
                          <w:i/>
                          <w:sz w:val="18"/>
                          <w:szCs w:val="18"/>
                        </w:rPr>
                      </w:pPr>
                      <w:r>
                        <w:rPr>
                          <w:rFonts w:cs="Arial"/>
                          <w:i/>
                          <w:iCs/>
                          <w:sz w:val="18"/>
                          <w:szCs w:val="18"/>
                          <w:lang w:val="en-GB"/>
                        </w:rPr>
                        <w:t>Same type product</w:t>
                      </w:r>
                    </w:p>
                    <w:p w14:paraId="6226D2F3" w14:textId="77777777" w:rsidR="0018663B" w:rsidRPr="00B810D1" w:rsidRDefault="0018663B" w:rsidP="00666077">
                      <w:pPr>
                        <w:spacing w:line="240" w:lineRule="auto"/>
                        <w:jc w:val="center"/>
                        <w:rPr>
                          <w:rFonts w:cs="Arial"/>
                          <w:sz w:val="18"/>
                          <w:szCs w:val="18"/>
                        </w:rPr>
                      </w:pPr>
                      <w:r>
                        <w:rPr>
                          <w:rFonts w:cs="Arial"/>
                          <w:sz w:val="18"/>
                          <w:szCs w:val="18"/>
                          <w:lang w:val="en-GB"/>
                        </w:rPr>
                        <w:t>Price: EUR 100/unit</w:t>
                      </w:r>
                    </w:p>
                  </w:txbxContent>
                </v:textbox>
              </v:rect>
            </w:pict>
          </mc:Fallback>
        </mc:AlternateContent>
      </w:r>
    </w:p>
    <w:p w14:paraId="2AB4F420" w14:textId="204DDD90" w:rsidR="00666077" w:rsidRPr="00227C1D" w:rsidRDefault="00446AD2" w:rsidP="00FE686B">
      <w:pPr>
        <w:pBdr>
          <w:top w:val="single" w:sz="4" w:space="5" w:color="auto"/>
          <w:left w:val="single" w:sz="4" w:space="0" w:color="auto"/>
          <w:bottom w:val="single" w:sz="4" w:space="24" w:color="auto"/>
          <w:right w:val="single" w:sz="4" w:space="1" w:color="auto"/>
        </w:pBdr>
        <w:snapToGrid w:val="0"/>
        <w:jc w:val="both"/>
        <w:rPr>
          <w:rFonts w:ascii="Arial" w:eastAsia="Calibri" w:hAnsi="Arial" w:cs="Arial"/>
        </w:rPr>
      </w:pPr>
      <w:r>
        <w:rPr>
          <w:rFonts w:ascii="Arial" w:eastAsia="Times New Roman" w:hAnsi="Arial" w:cs="Arial"/>
          <w:noProof/>
          <w:sz w:val="20"/>
          <w:szCs w:val="24"/>
          <w:lang w:eastAsia="sl-SI"/>
        </w:rPr>
        <mc:AlternateContent>
          <mc:Choice Requires="wps">
            <w:drawing>
              <wp:anchor distT="0" distB="0" distL="114300" distR="114300" simplePos="0" relativeHeight="251662336" behindDoc="1" locked="0" layoutInCell="1" allowOverlap="1" wp14:anchorId="6CD84519" wp14:editId="36C75C51">
                <wp:simplePos x="0" y="0"/>
                <wp:positionH relativeFrom="column">
                  <wp:posOffset>3207193</wp:posOffset>
                </wp:positionH>
                <wp:positionV relativeFrom="paragraph">
                  <wp:posOffset>162572</wp:posOffset>
                </wp:positionV>
                <wp:extent cx="1544129" cy="788418"/>
                <wp:effectExtent l="0" t="0" r="18415" b="12065"/>
                <wp:wrapNone/>
                <wp:docPr id="17" name="Elipsa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4129" cy="788418"/>
                        </a:xfrm>
                        <a:prstGeom prst="ellipse">
                          <a:avLst/>
                        </a:prstGeom>
                        <a:solidFill>
                          <a:sysClr val="window" lastClr="FFFFFF"/>
                        </a:solidFill>
                        <a:ln w="12700" cap="flat" cmpd="sng" algn="ctr">
                          <a:solidFill>
                            <a:srgbClr val="4472C4">
                              <a:lumMod val="50000"/>
                            </a:srgbClr>
                          </a:solidFill>
                          <a:prstDash val="solid"/>
                          <a:miter lim="800000"/>
                        </a:ln>
                        <a:effectLst/>
                      </wps:spPr>
                      <wps:txbx>
                        <w:txbxContent>
                          <w:p w14:paraId="34A21A6A" w14:textId="0C0868DA" w:rsidR="0018663B" w:rsidRPr="00BD5B10" w:rsidRDefault="0018663B" w:rsidP="00446AD2">
                            <w:pPr>
                              <w:jc w:val="center"/>
                              <w:rPr>
                                <w:b/>
                              </w:rPr>
                            </w:pPr>
                            <w:r>
                              <w:rPr>
                                <w:rFonts w:cs="Arial"/>
                                <w:b/>
                                <w:bCs/>
                                <w:szCs w:val="20"/>
                                <w:lang w:val="en-GB"/>
                              </w:rPr>
                              <w:t>Non-associated Enterprise 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D84519" id="Elipsa 17" o:spid="_x0000_s1029" style="position:absolute;left:0;text-align:left;margin-left:252.55pt;margin-top:12.8pt;width:121.6pt;height:62.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" fillcolor="window" strokecolor="#203864" strokeweight="1pt">
                <v:stroke joinstyle="miter"/>
                <v:path arrowok="t"/>
                <v:textbox>
                  <w:txbxContent>
                    <w:p w14:paraId="34A21A6A" w14:textId="0C0868DA" w:rsidR="0018663B" w:rsidRPr="00BD5B10" w:rsidRDefault="0018663B" w:rsidP="00446AD2">
                      <w:pPr>
                        <w:jc w:val="center"/>
                        <w:rPr>
                          <w:b/>
                        </w:rPr>
                      </w:pPr>
                      <w:r>
                        <w:rPr>
                          <w:rFonts w:cs="Arial"/>
                          <w:b/>
                          <w:bCs/>
                          <w:szCs w:val="20"/>
                          <w:lang w:val="en-GB"/>
                        </w:rPr>
                        <w:t>Non-associated Enterprise C</w:t>
                      </w:r>
                    </w:p>
                  </w:txbxContent>
                </v:textbox>
              </v:oval>
            </w:pict>
          </mc:Fallback>
        </mc:AlternateContent>
      </w:r>
    </w:p>
    <w:p w14:paraId="7B0626B2" w14:textId="7C375CC3" w:rsidR="00666077" w:rsidRPr="00904D3B" w:rsidRDefault="0085131D" w:rsidP="00FE686B">
      <w:pPr>
        <w:pBdr>
          <w:top w:val="single" w:sz="4" w:space="5" w:color="auto"/>
          <w:left w:val="single" w:sz="4" w:space="0" w:color="auto"/>
          <w:bottom w:val="single" w:sz="4" w:space="24" w:color="auto"/>
          <w:right w:val="single" w:sz="4" w:space="1" w:color="auto"/>
        </w:pBdr>
        <w:snapToGrid w:val="0"/>
        <w:jc w:val="both"/>
        <w:rPr>
          <w:rFonts w:ascii="Arial" w:eastAsia="Calibri" w:hAnsi="Arial" w:cs="Arial"/>
        </w:rPr>
      </w:pPr>
      <w:r>
        <w:rPr>
          <w:rFonts w:ascii="Arial" w:eastAsia="Times New Roman" w:hAnsi="Arial" w:cs="Arial"/>
          <w:noProof/>
          <w:sz w:val="20"/>
          <w:szCs w:val="24"/>
          <w:lang w:eastAsia="sl-SI"/>
        </w:rPr>
        <mc:AlternateContent>
          <mc:Choice Requires="wps">
            <w:drawing>
              <wp:anchor distT="0" distB="0" distL="114300" distR="114300" simplePos="0" relativeHeight="251661312" behindDoc="0" locked="0" layoutInCell="1" allowOverlap="1" wp14:anchorId="076BDC19" wp14:editId="20DCAD17">
                <wp:simplePos x="0" y="0"/>
                <wp:positionH relativeFrom="column">
                  <wp:posOffset>714160</wp:posOffset>
                </wp:positionH>
                <wp:positionV relativeFrom="paragraph">
                  <wp:posOffset>45049</wp:posOffset>
                </wp:positionV>
                <wp:extent cx="1525498" cy="741872"/>
                <wp:effectExtent l="0" t="0" r="17780" b="20320"/>
                <wp:wrapNone/>
                <wp:docPr id="20" name="Elipsa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5498" cy="741872"/>
                        </a:xfrm>
                        <a:prstGeom prst="ellipse">
                          <a:avLst/>
                        </a:prstGeom>
                        <a:solidFill>
                          <a:sysClr val="window" lastClr="FFFFFF"/>
                        </a:solidFill>
                        <a:ln w="12700" cap="flat" cmpd="sng" algn="ctr">
                          <a:solidFill>
                            <a:srgbClr val="4472C4">
                              <a:lumMod val="50000"/>
                            </a:srgbClr>
                          </a:solidFill>
                          <a:prstDash val="solid"/>
                          <a:miter lim="800000"/>
                        </a:ln>
                        <a:effectLst/>
                      </wps:spPr>
                      <wps:txbx>
                        <w:txbxContent>
                          <w:p w14:paraId="1E49E540" w14:textId="7E42099F" w:rsidR="0018663B" w:rsidRPr="00BD5B10" w:rsidRDefault="0018663B" w:rsidP="00666077">
                            <w:pPr>
                              <w:spacing w:line="240" w:lineRule="auto"/>
                              <w:jc w:val="center"/>
                              <w:rPr>
                                <w:b/>
                              </w:rPr>
                            </w:pPr>
                            <w:r>
                              <w:rPr>
                                <w:rFonts w:cs="Arial"/>
                                <w:b/>
                                <w:bCs/>
                                <w:szCs w:val="20"/>
                                <w:lang w:val="en-GB"/>
                              </w:rPr>
                              <w:t>Associated enterprise 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6BDC19" id="Elipsa 20" o:spid="_x0000_s1030" style="position:absolute;left:0;text-align:left;margin-left:56.25pt;margin-top:3.55pt;width:120.1pt;height:5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" fillcolor="window" strokecolor="#203864" strokeweight="1pt">
                <v:stroke joinstyle="miter"/>
                <v:path arrowok="t"/>
                <v:textbox>
                  <w:txbxContent>
                    <w:p w14:paraId="1E49E540" w14:textId="7E42099F" w:rsidR="0018663B" w:rsidRPr="00BD5B10" w:rsidRDefault="0018663B" w:rsidP="00666077">
                      <w:pPr>
                        <w:spacing w:line="240" w:lineRule="auto"/>
                        <w:jc w:val="center"/>
                        <w:rPr>
                          <w:b/>
                        </w:rPr>
                      </w:pPr>
                      <w:r>
                        <w:rPr>
                          <w:rFonts w:cs="Arial"/>
                          <w:b/>
                          <w:bCs/>
                          <w:szCs w:val="20"/>
                          <w:lang w:val="en-GB"/>
                        </w:rPr>
                        <w:t>Associated enterprise C</w:t>
                      </w:r>
                    </w:p>
                  </w:txbxContent>
                </v:textbox>
              </v:oval>
            </w:pict>
          </mc:Fallback>
        </mc:AlternateContent>
      </w:r>
    </w:p>
    <w:p w14:paraId="360767E9" w14:textId="7867B9A7" w:rsidR="00666077" w:rsidRPr="00227C1D" w:rsidRDefault="00B22872" w:rsidP="00FE686B">
      <w:pPr>
        <w:pBdr>
          <w:top w:val="single" w:sz="4" w:space="5" w:color="auto"/>
          <w:left w:val="single" w:sz="4" w:space="0" w:color="auto"/>
          <w:bottom w:val="single" w:sz="4" w:space="24" w:color="auto"/>
          <w:right w:val="single" w:sz="4" w:space="1" w:color="auto"/>
        </w:pBdr>
        <w:snapToGrid w:val="0"/>
        <w:jc w:val="both"/>
        <w:rPr>
          <w:rFonts w:ascii="Arial" w:eastAsia="Calibri" w:hAnsi="Arial" w:cs="Arial"/>
        </w:rPr>
      </w:pPr>
      <w:r>
        <w:rPr>
          <w:rFonts w:ascii="Arial" w:eastAsia="Calibri" w:hAnsi="Arial" w:cs="Arial"/>
          <w:noProof/>
          <w:lang w:eastAsia="sl-SI"/>
        </w:rPr>
        <mc:AlternateContent>
          <mc:Choice Requires="wps">
            <w:drawing>
              <wp:anchor distT="0" distB="0" distL="114300" distR="114300" simplePos="0" relativeHeight="251674624" behindDoc="0" locked="0" layoutInCell="1" allowOverlap="1" wp14:anchorId="7C0EEF81" wp14:editId="3E07CCDE">
                <wp:simplePos x="0" y="0"/>
                <wp:positionH relativeFrom="column">
                  <wp:posOffset>2905269</wp:posOffset>
                </wp:positionH>
                <wp:positionV relativeFrom="paragraph">
                  <wp:posOffset>34876</wp:posOffset>
                </wp:positionV>
                <wp:extent cx="301924" cy="181155"/>
                <wp:effectExtent l="0" t="0" r="79375" b="47625"/>
                <wp:wrapNone/>
                <wp:docPr id="22" name="Raven puščični povezovalnik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924" cy="181155"/>
                        </a:xfrm>
                        <a:prstGeom prst="straightConnector1">
                          <a:avLst/>
                        </a:prstGeom>
                        <a:noFill/>
                        <a:ln w="9525">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411BFF" id="_x0000_t32" coordsize="21600,21600" o:spt="32" o:oned="t" path="m,l21600,21600e" filled="f">
                <v:path arrowok="t" fillok="f" o:connecttype="none"/>
                <o:lock v:ext="edit" shapetype="t"/>
              </v:shapetype>
              <v:shape id="Raven puščični povezovalnik 22" o:spid="_x0000_s1026" type="#_x0000_t32" style="position:absolute;margin-left:228.75pt;margin-top:2.75pt;width:23.75pt;height:1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">
                <v:stroke dashstyle="longDash" endarrow="block"/>
              </v:shape>
            </w:pict>
          </mc:Fallback>
        </mc:AlternateContent>
      </w:r>
      <w:r>
        <w:rPr>
          <w:rFonts w:ascii="Arial" w:eastAsia="Calibri" w:hAnsi="Arial" w:cs="Arial"/>
          <w:noProof/>
          <w:lang w:eastAsia="sl-SI"/>
        </w:rPr>
        <mc:AlternateContent>
          <mc:Choice Requires="wps">
            <w:drawing>
              <wp:anchor distT="0" distB="0" distL="114300" distR="114300" simplePos="0" relativeHeight="251673600" behindDoc="0" locked="0" layoutInCell="1" allowOverlap="1" wp14:anchorId="7F685F10" wp14:editId="74913F34">
                <wp:simplePos x="0" y="0"/>
                <wp:positionH relativeFrom="column">
                  <wp:posOffset>2253256</wp:posOffset>
                </wp:positionH>
                <wp:positionV relativeFrom="paragraph">
                  <wp:posOffset>24274</wp:posOffset>
                </wp:positionV>
                <wp:extent cx="350088" cy="180735"/>
                <wp:effectExtent l="38100" t="0" r="31115" b="48260"/>
                <wp:wrapNone/>
                <wp:docPr id="21" name="Raven puščični povezovalnik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0088" cy="180735"/>
                        </a:xfrm>
                        <a:prstGeom prst="straightConnector1">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303F196" id="Raven puščični povezovalnik 21" o:spid="_x0000_s1026" type="#_x0000_t32" style="position:absolute;margin-left:177.4pt;margin-top:1.9pt;width:27.55pt;height:14.2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" strokeweight="1pt">
                <v:stroke endarrow="block"/>
                <v:shadow color="#7f7f7f" opacity=".5" offset="1pt"/>
              </v:shape>
            </w:pict>
          </mc:Fallback>
        </mc:AlternateContent>
      </w:r>
    </w:p>
    <w:p w14:paraId="552A2930" w14:textId="749534A1" w:rsidR="00666077" w:rsidRDefault="00666077" w:rsidP="00FE686B">
      <w:pPr>
        <w:pBdr>
          <w:top w:val="single" w:sz="4" w:space="5" w:color="auto"/>
          <w:left w:val="single" w:sz="4" w:space="0" w:color="auto"/>
          <w:bottom w:val="single" w:sz="4" w:space="24" w:color="auto"/>
          <w:right w:val="single" w:sz="4" w:space="1" w:color="auto"/>
        </w:pBdr>
        <w:snapToGrid w:val="0"/>
        <w:jc w:val="both"/>
        <w:rPr>
          <w:rFonts w:ascii="Arial" w:eastAsia="Calibri" w:hAnsi="Arial" w:cs="Arial"/>
        </w:rPr>
      </w:pPr>
    </w:p>
    <w:p w14:paraId="3B4AC46B" w14:textId="2C8E035E" w:rsidR="00446AD2" w:rsidRDefault="00446AD2" w:rsidP="00FE686B">
      <w:pPr>
        <w:pBdr>
          <w:top w:val="single" w:sz="4" w:space="5" w:color="auto"/>
          <w:left w:val="single" w:sz="4" w:space="0" w:color="auto"/>
          <w:bottom w:val="single" w:sz="4" w:space="24" w:color="auto"/>
          <w:right w:val="single" w:sz="4" w:space="1" w:color="auto"/>
        </w:pBdr>
        <w:snapToGrid w:val="0"/>
        <w:jc w:val="both"/>
        <w:rPr>
          <w:rFonts w:ascii="Arial" w:eastAsia="Calibri" w:hAnsi="Arial" w:cs="Arial"/>
        </w:rPr>
      </w:pPr>
    </w:p>
    <w:p w14:paraId="4D7B0495" w14:textId="77777777" w:rsidR="00EF1E1D" w:rsidRDefault="00EF1E1D" w:rsidP="0085131D">
      <w:pPr>
        <w:pBdr>
          <w:top w:val="single" w:sz="4" w:space="0" w:color="auto"/>
          <w:left w:val="single" w:sz="4" w:space="0" w:color="auto"/>
          <w:bottom w:val="single" w:sz="4" w:space="1" w:color="auto"/>
          <w:right w:val="single" w:sz="4" w:space="1" w:color="auto"/>
        </w:pBdr>
        <w:snapToGrid w:val="0"/>
        <w:jc w:val="both"/>
        <w:rPr>
          <w:rFonts w:ascii="Arial" w:eastAsia="Calibri" w:hAnsi="Arial" w:cs="Arial"/>
          <w:b/>
          <w:i/>
          <w:sz w:val="18"/>
          <w:szCs w:val="18"/>
        </w:rPr>
      </w:pPr>
    </w:p>
    <w:p w14:paraId="036BA26C" w14:textId="03369E4F" w:rsidR="00666077" w:rsidRPr="00904D3B" w:rsidRDefault="00666077" w:rsidP="0085131D">
      <w:pPr>
        <w:pBdr>
          <w:top w:val="single" w:sz="4" w:space="0" w:color="auto"/>
          <w:left w:val="single" w:sz="4" w:space="0" w:color="auto"/>
          <w:bottom w:val="single" w:sz="4" w:space="1" w:color="auto"/>
          <w:right w:val="single" w:sz="4" w:space="1" w:color="auto"/>
        </w:pBdr>
        <w:snapToGrid w:val="0"/>
        <w:jc w:val="both"/>
        <w:rPr>
          <w:rFonts w:ascii="Arial" w:eastAsia="Calibri" w:hAnsi="Arial" w:cs="Arial"/>
          <w:b/>
          <w:i/>
          <w:sz w:val="18"/>
          <w:szCs w:val="18"/>
        </w:rPr>
      </w:pPr>
      <w:r>
        <w:rPr>
          <w:rFonts w:ascii="Arial" w:eastAsia="Calibri" w:hAnsi="Arial" w:cs="Arial"/>
          <w:b/>
          <w:bCs/>
          <w:i/>
          <w:iCs/>
          <w:sz w:val="18"/>
          <w:szCs w:val="18"/>
          <w:lang w:val="en-GB"/>
        </w:rPr>
        <w:t xml:space="preserve">Is the price used in </w:t>
      </w:r>
      <w:proofErr w:type="spellStart"/>
      <w:proofErr w:type="gramStart"/>
      <w:r>
        <w:rPr>
          <w:rFonts w:ascii="Arial" w:eastAsia="Calibri" w:hAnsi="Arial" w:cs="Arial"/>
          <w:b/>
          <w:bCs/>
          <w:i/>
          <w:iCs/>
          <w:sz w:val="18"/>
          <w:szCs w:val="18"/>
          <w:lang w:val="en-GB"/>
        </w:rPr>
        <w:t>a</w:t>
      </w:r>
      <w:proofErr w:type="spellEnd"/>
      <w:proofErr w:type="gramEnd"/>
      <w:r>
        <w:rPr>
          <w:rFonts w:ascii="Arial" w:eastAsia="Calibri" w:hAnsi="Arial" w:cs="Arial"/>
          <w:b/>
          <w:bCs/>
          <w:i/>
          <w:iCs/>
          <w:sz w:val="18"/>
          <w:szCs w:val="18"/>
          <w:lang w:val="en-GB"/>
        </w:rPr>
        <w:t xml:space="preserve"> </w:t>
      </w:r>
      <w:r w:rsidR="003E0B4B">
        <w:rPr>
          <w:rFonts w:ascii="Arial" w:eastAsia="Calibri" w:hAnsi="Arial" w:cs="Arial"/>
          <w:b/>
          <w:bCs/>
          <w:i/>
          <w:iCs/>
          <w:sz w:val="18"/>
          <w:szCs w:val="18"/>
          <w:lang w:val="en-GB"/>
        </w:rPr>
        <w:t>associated</w:t>
      </w:r>
      <w:r>
        <w:rPr>
          <w:rFonts w:ascii="Arial" w:eastAsia="Calibri" w:hAnsi="Arial" w:cs="Arial"/>
          <w:b/>
          <w:bCs/>
          <w:i/>
          <w:iCs/>
          <w:sz w:val="18"/>
          <w:szCs w:val="18"/>
          <w:lang w:val="en-GB"/>
        </w:rPr>
        <w:t>-party transaction in line with the arm's length principle?</w:t>
      </w:r>
    </w:p>
    <w:p w14:paraId="5342B7FD" w14:textId="61640095" w:rsidR="00666077" w:rsidRDefault="00666077" w:rsidP="0085131D">
      <w:pPr>
        <w:pBdr>
          <w:top w:val="single" w:sz="4" w:space="0" w:color="auto"/>
          <w:left w:val="single" w:sz="4" w:space="0" w:color="auto"/>
          <w:bottom w:val="single" w:sz="4" w:space="1" w:color="auto"/>
          <w:right w:val="single" w:sz="4" w:space="1" w:color="auto"/>
        </w:pBdr>
        <w:snapToGrid w:val="0"/>
        <w:jc w:val="both"/>
        <w:rPr>
          <w:rFonts w:ascii="Arial" w:eastAsia="Calibri" w:hAnsi="Arial" w:cs="Arial"/>
          <w:i/>
          <w:sz w:val="18"/>
          <w:szCs w:val="18"/>
        </w:rPr>
      </w:pPr>
      <w:r>
        <w:rPr>
          <w:rFonts w:ascii="Arial" w:eastAsia="Calibri" w:hAnsi="Arial" w:cs="Arial"/>
          <w:i/>
          <w:iCs/>
          <w:sz w:val="18"/>
          <w:szCs w:val="18"/>
          <w:lang w:val="en-GB"/>
        </w:rPr>
        <w:t xml:space="preserve">Although the price for the same product is in both cases the same, it is necessary to check other circumstances (contractual terms, the functions performed by the parties to the transaction, etc.) in order to determine that the price in the </w:t>
      </w:r>
      <w:r w:rsidR="003E0B4B">
        <w:rPr>
          <w:rFonts w:ascii="Arial" w:eastAsia="Calibri" w:hAnsi="Arial" w:cs="Arial"/>
          <w:i/>
          <w:iCs/>
          <w:sz w:val="18"/>
          <w:szCs w:val="18"/>
          <w:lang w:val="en-GB"/>
        </w:rPr>
        <w:t>associated</w:t>
      </w:r>
      <w:r>
        <w:rPr>
          <w:rFonts w:ascii="Arial" w:eastAsia="Calibri" w:hAnsi="Arial" w:cs="Arial"/>
          <w:i/>
          <w:iCs/>
          <w:sz w:val="18"/>
          <w:szCs w:val="18"/>
          <w:lang w:val="en-GB"/>
        </w:rPr>
        <w:t>-party transaction is the same as in the arm’s length transaction and therefore in accordance with the arm’s length principle.</w:t>
      </w:r>
    </w:p>
    <w:p w14:paraId="41994BF0" w14:textId="77777777" w:rsidR="00EF1E1D" w:rsidRDefault="00EF1E1D" w:rsidP="0085131D">
      <w:pPr>
        <w:pBdr>
          <w:top w:val="single" w:sz="4" w:space="0" w:color="auto"/>
          <w:left w:val="single" w:sz="4" w:space="0" w:color="auto"/>
          <w:bottom w:val="single" w:sz="4" w:space="1" w:color="auto"/>
          <w:right w:val="single" w:sz="4" w:space="1" w:color="auto"/>
        </w:pBdr>
        <w:snapToGrid w:val="0"/>
        <w:jc w:val="both"/>
        <w:rPr>
          <w:rFonts w:ascii="Arial" w:eastAsia="Calibri" w:hAnsi="Arial" w:cs="Arial"/>
          <w:i/>
          <w:sz w:val="18"/>
          <w:szCs w:val="18"/>
        </w:rPr>
      </w:pPr>
    </w:p>
    <w:p w14:paraId="310306A9" w14:textId="202335F2" w:rsidR="00EF1E1D" w:rsidRDefault="00EF1E1D" w:rsidP="00756903"/>
    <w:p w14:paraId="01D94A87" w14:textId="77777777" w:rsidR="00520D91" w:rsidRDefault="00520D91" w:rsidP="00756903"/>
    <w:p w14:paraId="53E89909" w14:textId="77777777" w:rsidR="00666077" w:rsidRPr="00C761FB" w:rsidRDefault="003971AE" w:rsidP="009553C8">
      <w:pPr>
        <w:pStyle w:val="Naslov3"/>
        <w:spacing w:before="0" w:after="0"/>
        <w:rPr>
          <w:rFonts w:cs="Arial"/>
          <w:b w:val="0"/>
          <w:bCs w:val="0"/>
        </w:rPr>
      </w:pPr>
      <w:bookmarkStart w:id="19" w:name="_Toc103257430"/>
      <w:r>
        <w:rPr>
          <w:rFonts w:cs="Arial"/>
          <w:lang w:val="en-GB"/>
        </w:rPr>
        <w:t>2.2.2 THE RESALE PRICE METHOD</w:t>
      </w:r>
      <w:bookmarkEnd w:id="19"/>
    </w:p>
    <w:p w14:paraId="1D43DA65" w14:textId="77777777" w:rsidR="00700A76" w:rsidRDefault="00700A76" w:rsidP="009553C8">
      <w:pPr>
        <w:tabs>
          <w:tab w:val="left" w:pos="3402"/>
        </w:tabs>
        <w:spacing w:line="260" w:lineRule="atLeast"/>
        <w:jc w:val="both"/>
        <w:rPr>
          <w:rFonts w:ascii="Arial" w:eastAsia="Times New Roman" w:hAnsi="Arial" w:cs="Arial"/>
          <w:sz w:val="20"/>
          <w:szCs w:val="20"/>
        </w:rPr>
      </w:pPr>
    </w:p>
    <w:p w14:paraId="4F1E0C4A" w14:textId="16B6B8D5" w:rsidR="00666077" w:rsidRDefault="00666077" w:rsidP="009553C8">
      <w:pPr>
        <w:tabs>
          <w:tab w:val="left" w:pos="3402"/>
        </w:tabs>
        <w:spacing w:line="260" w:lineRule="atLeast"/>
        <w:jc w:val="both"/>
        <w:rPr>
          <w:rFonts w:ascii="Arial" w:eastAsia="Times New Roman" w:hAnsi="Arial" w:cs="Arial"/>
          <w:sz w:val="20"/>
          <w:szCs w:val="20"/>
        </w:rPr>
      </w:pPr>
      <w:r>
        <w:rPr>
          <w:rFonts w:ascii="Arial" w:eastAsia="Times New Roman" w:hAnsi="Arial" w:cs="Arial"/>
          <w:sz w:val="20"/>
          <w:szCs w:val="20"/>
          <w:lang w:val="en-GB"/>
        </w:rPr>
        <w:t xml:space="preserve">Pursuant to Article 3 of the TPR, the resale price method is based on the prices at which assets purchased from </w:t>
      </w:r>
      <w:proofErr w:type="spellStart"/>
      <w:proofErr w:type="gramStart"/>
      <w:r>
        <w:rPr>
          <w:rFonts w:ascii="Arial" w:eastAsia="Times New Roman" w:hAnsi="Arial" w:cs="Arial"/>
          <w:sz w:val="20"/>
          <w:szCs w:val="20"/>
          <w:lang w:val="en-GB"/>
        </w:rPr>
        <w:t>a</w:t>
      </w:r>
      <w:proofErr w:type="spellEnd"/>
      <w:proofErr w:type="gramEnd"/>
      <w:r>
        <w:rPr>
          <w:rFonts w:ascii="Arial" w:eastAsia="Times New Roman" w:hAnsi="Arial" w:cs="Arial"/>
          <w:sz w:val="20"/>
          <w:szCs w:val="20"/>
          <w:lang w:val="en-GB"/>
        </w:rPr>
        <w:t xml:space="preserve"> </w:t>
      </w:r>
      <w:r w:rsidR="003E0B4B">
        <w:rPr>
          <w:rFonts w:ascii="Arial" w:eastAsia="Times New Roman" w:hAnsi="Arial" w:cs="Arial"/>
          <w:sz w:val="20"/>
          <w:szCs w:val="20"/>
          <w:lang w:val="en-GB"/>
        </w:rPr>
        <w:t>associated</w:t>
      </w:r>
      <w:r>
        <w:rPr>
          <w:rFonts w:ascii="Arial" w:eastAsia="Times New Roman" w:hAnsi="Arial" w:cs="Arial"/>
          <w:sz w:val="20"/>
          <w:szCs w:val="20"/>
          <w:lang w:val="en-GB"/>
        </w:rPr>
        <w:t xml:space="preserve"> party were resold to an </w:t>
      </w:r>
      <w:proofErr w:type="spellStart"/>
      <w:r>
        <w:rPr>
          <w:rFonts w:ascii="Arial" w:eastAsia="Times New Roman" w:hAnsi="Arial" w:cs="Arial"/>
          <w:sz w:val="20"/>
          <w:szCs w:val="20"/>
          <w:lang w:val="en-GB"/>
        </w:rPr>
        <w:t>un</w:t>
      </w:r>
      <w:r w:rsidR="003E0B4B">
        <w:rPr>
          <w:rFonts w:ascii="Arial" w:eastAsia="Times New Roman" w:hAnsi="Arial" w:cs="Arial"/>
          <w:sz w:val="20"/>
          <w:szCs w:val="20"/>
          <w:lang w:val="en-GB"/>
        </w:rPr>
        <w:t>associated</w:t>
      </w:r>
      <w:proofErr w:type="spellEnd"/>
      <w:r>
        <w:rPr>
          <w:rFonts w:ascii="Arial" w:eastAsia="Times New Roman" w:hAnsi="Arial" w:cs="Arial"/>
          <w:sz w:val="20"/>
          <w:szCs w:val="20"/>
          <w:lang w:val="en-GB"/>
        </w:rPr>
        <w:t xml:space="preserve"> party. A comparable market price is determined by deducting from the selling price charged by the seller for assets or services to </w:t>
      </w:r>
      <w:proofErr w:type="spellStart"/>
      <w:r>
        <w:rPr>
          <w:rFonts w:ascii="Arial" w:eastAsia="Times New Roman" w:hAnsi="Arial" w:cs="Arial"/>
          <w:sz w:val="20"/>
          <w:szCs w:val="20"/>
          <w:lang w:val="en-GB"/>
        </w:rPr>
        <w:t>un</w:t>
      </w:r>
      <w:r w:rsidR="003E0B4B">
        <w:rPr>
          <w:rFonts w:ascii="Arial" w:eastAsia="Times New Roman" w:hAnsi="Arial" w:cs="Arial"/>
          <w:sz w:val="20"/>
          <w:szCs w:val="20"/>
          <w:lang w:val="en-GB"/>
        </w:rPr>
        <w:t>associated</w:t>
      </w:r>
      <w:proofErr w:type="spellEnd"/>
      <w:r>
        <w:rPr>
          <w:rFonts w:ascii="Arial" w:eastAsia="Times New Roman" w:hAnsi="Arial" w:cs="Arial"/>
          <w:sz w:val="20"/>
          <w:szCs w:val="20"/>
          <w:lang w:val="en-GB"/>
        </w:rPr>
        <w:t xml:space="preserve"> parties the difference in the price achieved or to be achieved in the same or comparable circumstances on the market by </w:t>
      </w:r>
      <w:proofErr w:type="spellStart"/>
      <w:r>
        <w:rPr>
          <w:rFonts w:ascii="Arial" w:eastAsia="Times New Roman" w:hAnsi="Arial" w:cs="Arial"/>
          <w:sz w:val="20"/>
          <w:szCs w:val="20"/>
          <w:lang w:val="en-GB"/>
        </w:rPr>
        <w:t>un</w:t>
      </w:r>
      <w:r w:rsidR="003E0B4B">
        <w:rPr>
          <w:rFonts w:ascii="Arial" w:eastAsia="Times New Roman" w:hAnsi="Arial" w:cs="Arial"/>
          <w:sz w:val="20"/>
          <w:szCs w:val="20"/>
          <w:lang w:val="en-GB"/>
        </w:rPr>
        <w:t>associated</w:t>
      </w:r>
      <w:proofErr w:type="spellEnd"/>
      <w:r>
        <w:rPr>
          <w:rFonts w:ascii="Arial" w:eastAsia="Times New Roman" w:hAnsi="Arial" w:cs="Arial"/>
          <w:sz w:val="20"/>
          <w:szCs w:val="20"/>
          <w:lang w:val="en-GB"/>
        </w:rPr>
        <w:t xml:space="preserve"> resellers. The difference in the price consists of the reseller's selling and other costs and the reseller's net profit in accordance with the functions performed and the related assets </w:t>
      </w:r>
      <w:proofErr w:type="gramStart"/>
      <w:r>
        <w:rPr>
          <w:rFonts w:ascii="Arial" w:eastAsia="Times New Roman" w:hAnsi="Arial" w:cs="Arial"/>
          <w:sz w:val="20"/>
          <w:szCs w:val="20"/>
          <w:lang w:val="en-GB"/>
        </w:rPr>
        <w:t>invested</w:t>
      </w:r>
      <w:proofErr w:type="gramEnd"/>
      <w:r>
        <w:rPr>
          <w:rFonts w:ascii="Arial" w:eastAsia="Times New Roman" w:hAnsi="Arial" w:cs="Arial"/>
          <w:sz w:val="20"/>
          <w:szCs w:val="20"/>
          <w:lang w:val="en-GB"/>
        </w:rPr>
        <w:t xml:space="preserve"> and risks assumed.</w:t>
      </w:r>
    </w:p>
    <w:p w14:paraId="4ECA442E" w14:textId="77777777" w:rsidR="0005289E" w:rsidRPr="00904D3B" w:rsidRDefault="0005289E" w:rsidP="009553C8">
      <w:pPr>
        <w:tabs>
          <w:tab w:val="left" w:pos="3402"/>
        </w:tabs>
        <w:spacing w:line="260" w:lineRule="atLeast"/>
        <w:jc w:val="both"/>
        <w:rPr>
          <w:rFonts w:ascii="Arial" w:eastAsia="Times New Roman" w:hAnsi="Arial" w:cs="Arial"/>
          <w:sz w:val="20"/>
          <w:szCs w:val="20"/>
        </w:rPr>
      </w:pPr>
    </w:p>
    <w:p w14:paraId="40A6759F" w14:textId="7ADD852A" w:rsidR="00666077" w:rsidRDefault="00666077" w:rsidP="009553C8">
      <w:pPr>
        <w:tabs>
          <w:tab w:val="left" w:pos="3402"/>
        </w:tabs>
        <w:spacing w:line="260" w:lineRule="atLeast"/>
        <w:jc w:val="both"/>
        <w:rPr>
          <w:rFonts w:ascii="Arial" w:eastAsia="Times New Roman" w:hAnsi="Arial" w:cs="Arial"/>
          <w:sz w:val="20"/>
          <w:szCs w:val="20"/>
        </w:rPr>
      </w:pPr>
      <w:r>
        <w:rPr>
          <w:rFonts w:ascii="Arial" w:eastAsia="Times New Roman" w:hAnsi="Arial" w:cs="Arial"/>
          <w:sz w:val="20"/>
          <w:szCs w:val="20"/>
          <w:lang w:val="en-GB"/>
        </w:rPr>
        <w:t xml:space="preserve">A comparable market price is determined by comparing the difference in the price of a transaction or transactions performed in the same or comparable circumstances between </w:t>
      </w:r>
      <w:proofErr w:type="spellStart"/>
      <w:r>
        <w:rPr>
          <w:rFonts w:ascii="Arial" w:eastAsia="Times New Roman" w:hAnsi="Arial" w:cs="Arial"/>
          <w:sz w:val="20"/>
          <w:szCs w:val="20"/>
          <w:lang w:val="en-GB"/>
        </w:rPr>
        <w:t>un</w:t>
      </w:r>
      <w:r w:rsidR="003E0B4B">
        <w:rPr>
          <w:rFonts w:ascii="Arial" w:eastAsia="Times New Roman" w:hAnsi="Arial" w:cs="Arial"/>
          <w:sz w:val="20"/>
          <w:szCs w:val="20"/>
          <w:lang w:val="en-GB"/>
        </w:rPr>
        <w:t>associated</w:t>
      </w:r>
      <w:proofErr w:type="spellEnd"/>
      <w:r>
        <w:rPr>
          <w:rFonts w:ascii="Arial" w:eastAsia="Times New Roman" w:hAnsi="Arial" w:cs="Arial"/>
          <w:sz w:val="20"/>
          <w:szCs w:val="20"/>
          <w:lang w:val="en-GB"/>
        </w:rPr>
        <w:t xml:space="preserve"> parties. The price comparison is made </w:t>
      </w:r>
      <w:proofErr w:type="gramStart"/>
      <w:r>
        <w:rPr>
          <w:rFonts w:ascii="Arial" w:eastAsia="Times New Roman" w:hAnsi="Arial" w:cs="Arial"/>
          <w:sz w:val="20"/>
          <w:szCs w:val="20"/>
          <w:lang w:val="en-GB"/>
        </w:rPr>
        <w:t>on the basis of</w:t>
      </w:r>
      <w:proofErr w:type="gramEnd"/>
      <w:r>
        <w:rPr>
          <w:rFonts w:ascii="Arial" w:eastAsia="Times New Roman" w:hAnsi="Arial" w:cs="Arial"/>
          <w:sz w:val="20"/>
          <w:szCs w:val="20"/>
          <w:lang w:val="en-GB"/>
        </w:rPr>
        <w:t xml:space="preserve"> (TPR 3/3):</w:t>
      </w:r>
    </w:p>
    <w:p w14:paraId="4CFB3797" w14:textId="77777777" w:rsidR="0005289E" w:rsidRPr="004F2499" w:rsidRDefault="0005289E" w:rsidP="009553C8">
      <w:pPr>
        <w:tabs>
          <w:tab w:val="left" w:pos="3402"/>
        </w:tabs>
        <w:spacing w:line="260" w:lineRule="atLeast"/>
        <w:jc w:val="both"/>
        <w:rPr>
          <w:rFonts w:ascii="Arial" w:eastAsia="Times New Roman" w:hAnsi="Arial" w:cs="Arial"/>
          <w:sz w:val="10"/>
          <w:szCs w:val="10"/>
        </w:rPr>
      </w:pPr>
    </w:p>
    <w:p w14:paraId="5C908C19" w14:textId="2B1E0D29" w:rsidR="00666077" w:rsidRPr="00904D3B" w:rsidRDefault="005258B7" w:rsidP="009553C8">
      <w:pPr>
        <w:numPr>
          <w:ilvl w:val="0"/>
          <w:numId w:val="14"/>
        </w:numPr>
        <w:spacing w:line="260" w:lineRule="atLeast"/>
        <w:ind w:left="284" w:hanging="284"/>
        <w:jc w:val="both"/>
        <w:rPr>
          <w:rFonts w:ascii="Arial" w:eastAsia="Times New Roman" w:hAnsi="Arial" w:cs="Arial"/>
          <w:sz w:val="20"/>
          <w:szCs w:val="20"/>
        </w:rPr>
      </w:pPr>
      <w:r>
        <w:rPr>
          <w:rFonts w:ascii="Arial" w:eastAsia="Times New Roman" w:hAnsi="Arial" w:cs="Arial"/>
          <w:b/>
          <w:bCs/>
          <w:sz w:val="20"/>
          <w:szCs w:val="20"/>
          <w:lang w:val="en-GB"/>
        </w:rPr>
        <w:t>internal comparable</w:t>
      </w:r>
      <w:r w:rsidR="001E2046">
        <w:rPr>
          <w:rFonts w:ascii="Arial" w:eastAsia="Times New Roman" w:hAnsi="Arial" w:cs="Arial"/>
          <w:sz w:val="20"/>
          <w:szCs w:val="20"/>
          <w:lang w:val="en-GB"/>
        </w:rPr>
        <w:t xml:space="preserve"> comparing </w:t>
      </w:r>
      <w:r w:rsidR="00666077">
        <w:rPr>
          <w:rFonts w:ascii="Arial" w:eastAsia="Times New Roman" w:hAnsi="Arial" w:cs="Arial"/>
          <w:sz w:val="20"/>
          <w:szCs w:val="20"/>
          <w:lang w:val="en-GB"/>
        </w:rPr>
        <w:t xml:space="preserve">prices obtained between </w:t>
      </w:r>
      <w:r w:rsidR="003E0B4B">
        <w:rPr>
          <w:rFonts w:ascii="Arial" w:eastAsia="Times New Roman" w:hAnsi="Arial" w:cs="Arial"/>
          <w:sz w:val="20"/>
          <w:szCs w:val="20"/>
          <w:lang w:val="en-GB"/>
        </w:rPr>
        <w:t>associated</w:t>
      </w:r>
      <w:r w:rsidR="00666077">
        <w:rPr>
          <w:rFonts w:ascii="Arial" w:eastAsia="Times New Roman" w:hAnsi="Arial" w:cs="Arial"/>
          <w:sz w:val="20"/>
          <w:szCs w:val="20"/>
          <w:lang w:val="en-GB"/>
        </w:rPr>
        <w:t xml:space="preserve"> parties with those achieved by </w:t>
      </w:r>
      <w:r w:rsidR="003E0B4B">
        <w:rPr>
          <w:rFonts w:ascii="Arial" w:eastAsia="Times New Roman" w:hAnsi="Arial" w:cs="Arial"/>
          <w:sz w:val="20"/>
          <w:szCs w:val="20"/>
          <w:lang w:val="en-GB"/>
        </w:rPr>
        <w:t>associated</w:t>
      </w:r>
      <w:r w:rsidR="00666077">
        <w:rPr>
          <w:rFonts w:ascii="Arial" w:eastAsia="Times New Roman" w:hAnsi="Arial" w:cs="Arial"/>
          <w:sz w:val="20"/>
          <w:szCs w:val="20"/>
          <w:lang w:val="en-GB"/>
        </w:rPr>
        <w:t xml:space="preserve"> parties themselves or parties </w:t>
      </w:r>
      <w:r w:rsidR="003E0B4B">
        <w:rPr>
          <w:rFonts w:ascii="Arial" w:eastAsia="Times New Roman" w:hAnsi="Arial" w:cs="Arial"/>
          <w:sz w:val="20"/>
          <w:szCs w:val="20"/>
          <w:lang w:val="en-GB"/>
        </w:rPr>
        <w:t>associated</w:t>
      </w:r>
      <w:r w:rsidR="00666077">
        <w:rPr>
          <w:rFonts w:ascii="Arial" w:eastAsia="Times New Roman" w:hAnsi="Arial" w:cs="Arial"/>
          <w:sz w:val="20"/>
          <w:szCs w:val="20"/>
          <w:lang w:val="en-GB"/>
        </w:rPr>
        <w:t xml:space="preserve"> </w:t>
      </w:r>
      <w:r w:rsidR="003E0B4B">
        <w:rPr>
          <w:rFonts w:ascii="Arial" w:eastAsia="Times New Roman" w:hAnsi="Arial" w:cs="Arial"/>
          <w:sz w:val="20"/>
          <w:szCs w:val="20"/>
          <w:lang w:val="en-GB"/>
        </w:rPr>
        <w:t>with</w:t>
      </w:r>
      <w:r w:rsidR="00666077">
        <w:rPr>
          <w:rFonts w:ascii="Arial" w:eastAsia="Times New Roman" w:hAnsi="Arial" w:cs="Arial"/>
          <w:sz w:val="20"/>
          <w:szCs w:val="20"/>
          <w:lang w:val="en-GB"/>
        </w:rPr>
        <w:t xml:space="preserve"> them with </w:t>
      </w:r>
      <w:proofErr w:type="spellStart"/>
      <w:r w:rsidR="00666077">
        <w:rPr>
          <w:rFonts w:ascii="Arial" w:eastAsia="Times New Roman" w:hAnsi="Arial" w:cs="Arial"/>
          <w:sz w:val="20"/>
          <w:szCs w:val="20"/>
          <w:lang w:val="en-GB"/>
        </w:rPr>
        <w:t>un</w:t>
      </w:r>
      <w:r w:rsidR="003E0B4B">
        <w:rPr>
          <w:rFonts w:ascii="Arial" w:eastAsia="Times New Roman" w:hAnsi="Arial" w:cs="Arial"/>
          <w:sz w:val="20"/>
          <w:szCs w:val="20"/>
          <w:lang w:val="en-GB"/>
        </w:rPr>
        <w:t>associated</w:t>
      </w:r>
      <w:proofErr w:type="spellEnd"/>
      <w:r w:rsidR="00666077">
        <w:rPr>
          <w:rFonts w:ascii="Arial" w:eastAsia="Times New Roman" w:hAnsi="Arial" w:cs="Arial"/>
          <w:sz w:val="20"/>
          <w:szCs w:val="20"/>
          <w:lang w:val="en-GB"/>
        </w:rPr>
        <w:t xml:space="preserve"> parties; or</w:t>
      </w:r>
    </w:p>
    <w:p w14:paraId="305B78AB" w14:textId="7DA7337A" w:rsidR="00666077" w:rsidRPr="00904D3B" w:rsidRDefault="005258B7" w:rsidP="009553C8">
      <w:pPr>
        <w:numPr>
          <w:ilvl w:val="0"/>
          <w:numId w:val="14"/>
        </w:numPr>
        <w:spacing w:line="260" w:lineRule="atLeast"/>
        <w:ind w:left="284" w:hanging="284"/>
        <w:jc w:val="both"/>
        <w:rPr>
          <w:rFonts w:ascii="Arial" w:eastAsia="Times New Roman" w:hAnsi="Arial" w:cs="Arial"/>
          <w:b/>
          <w:i/>
          <w:sz w:val="20"/>
          <w:szCs w:val="20"/>
        </w:rPr>
      </w:pPr>
      <w:r>
        <w:rPr>
          <w:rFonts w:ascii="Arial" w:eastAsia="Times New Roman" w:hAnsi="Arial" w:cs="Arial"/>
          <w:b/>
          <w:bCs/>
          <w:sz w:val="20"/>
          <w:szCs w:val="20"/>
          <w:lang w:val="en-GB"/>
        </w:rPr>
        <w:t>external comparable</w:t>
      </w:r>
      <w:r w:rsidR="001E2046">
        <w:rPr>
          <w:rFonts w:ascii="Arial" w:eastAsia="Times New Roman" w:hAnsi="Arial" w:cs="Arial"/>
          <w:sz w:val="20"/>
          <w:szCs w:val="20"/>
          <w:lang w:val="en-GB"/>
        </w:rPr>
        <w:t xml:space="preserve"> comparing </w:t>
      </w:r>
      <w:r w:rsidR="00666077">
        <w:rPr>
          <w:rFonts w:ascii="Arial" w:eastAsia="Times New Roman" w:hAnsi="Arial" w:cs="Arial"/>
          <w:sz w:val="20"/>
          <w:szCs w:val="20"/>
          <w:lang w:val="en-GB"/>
        </w:rPr>
        <w:t xml:space="preserve">prices obtained between </w:t>
      </w:r>
      <w:r w:rsidR="003E0B4B">
        <w:rPr>
          <w:rFonts w:ascii="Arial" w:eastAsia="Times New Roman" w:hAnsi="Arial" w:cs="Arial"/>
          <w:sz w:val="20"/>
          <w:szCs w:val="20"/>
          <w:lang w:val="en-GB"/>
        </w:rPr>
        <w:t>associated</w:t>
      </w:r>
      <w:r w:rsidR="00666077">
        <w:rPr>
          <w:rFonts w:ascii="Arial" w:eastAsia="Times New Roman" w:hAnsi="Arial" w:cs="Arial"/>
          <w:sz w:val="20"/>
          <w:szCs w:val="20"/>
          <w:lang w:val="en-GB"/>
        </w:rPr>
        <w:t xml:space="preserve"> parties with those achieved or potentially achieved or potentially achieved on the market by </w:t>
      </w:r>
      <w:proofErr w:type="spellStart"/>
      <w:r w:rsidR="00666077">
        <w:rPr>
          <w:rFonts w:ascii="Arial" w:eastAsia="Times New Roman" w:hAnsi="Arial" w:cs="Arial"/>
          <w:sz w:val="20"/>
          <w:szCs w:val="20"/>
          <w:lang w:val="en-GB"/>
        </w:rPr>
        <w:t>un</w:t>
      </w:r>
      <w:r w:rsidR="003E0B4B">
        <w:rPr>
          <w:rFonts w:ascii="Arial" w:eastAsia="Times New Roman" w:hAnsi="Arial" w:cs="Arial"/>
          <w:sz w:val="20"/>
          <w:szCs w:val="20"/>
          <w:lang w:val="en-GB"/>
        </w:rPr>
        <w:t>associated</w:t>
      </w:r>
      <w:proofErr w:type="spellEnd"/>
      <w:r w:rsidR="00666077">
        <w:rPr>
          <w:rFonts w:ascii="Arial" w:eastAsia="Times New Roman" w:hAnsi="Arial" w:cs="Arial"/>
          <w:sz w:val="20"/>
          <w:szCs w:val="20"/>
          <w:lang w:val="en-GB"/>
        </w:rPr>
        <w:t xml:space="preserve"> parties.</w:t>
      </w:r>
    </w:p>
    <w:p w14:paraId="40310CF1" w14:textId="77777777" w:rsidR="00666077" w:rsidRPr="00904D3B" w:rsidRDefault="00666077" w:rsidP="009553C8">
      <w:pPr>
        <w:spacing w:line="260" w:lineRule="atLeast"/>
        <w:jc w:val="both"/>
        <w:rPr>
          <w:rFonts w:ascii="Arial" w:eastAsia="Times New Roman" w:hAnsi="Arial" w:cs="Arial"/>
          <w:b/>
          <w:i/>
          <w:sz w:val="20"/>
          <w:szCs w:val="20"/>
        </w:rPr>
      </w:pPr>
    </w:p>
    <w:p w14:paraId="34CA44B4" w14:textId="77777777" w:rsidR="00666077" w:rsidRDefault="00666077" w:rsidP="009553C8">
      <w:pPr>
        <w:tabs>
          <w:tab w:val="left" w:pos="3402"/>
        </w:tabs>
        <w:spacing w:line="260" w:lineRule="atLeast"/>
        <w:jc w:val="both"/>
        <w:rPr>
          <w:rFonts w:ascii="Arial" w:eastAsia="Times New Roman" w:hAnsi="Arial" w:cs="Arial"/>
          <w:sz w:val="20"/>
          <w:szCs w:val="20"/>
        </w:rPr>
      </w:pPr>
      <w:r>
        <w:rPr>
          <w:rFonts w:ascii="Arial" w:eastAsia="Times New Roman" w:hAnsi="Arial" w:cs="Arial"/>
          <w:sz w:val="20"/>
          <w:szCs w:val="20"/>
          <w:lang w:val="en-GB"/>
        </w:rPr>
        <w:t>The OECD Guidelines provide for the use of the resale price method in points 2.27 - 2.44 (or in points 2.21 - 2.38 of the 2010 OECD Guidelines). In accordance with the OECD Guidelines, there is a tendency in a market economy to compensate for similar functions to a relatively equal extent irrespective of industry sector. Therefore, the resale price method allows for greater differences in the products that are the subject of the transaction, although the general rule is that greater comparability will lead to better results. Appropriate resale profits are easiest to determine when the reseller does not significantly increase the value of the product. In contrast, when using the resale price method, it is more difficult to determine the transfer price:</w:t>
      </w:r>
    </w:p>
    <w:p w14:paraId="4EBA8E59" w14:textId="77777777" w:rsidR="0005289E" w:rsidRPr="004F2499" w:rsidRDefault="0005289E" w:rsidP="009553C8">
      <w:pPr>
        <w:tabs>
          <w:tab w:val="left" w:pos="3402"/>
        </w:tabs>
        <w:spacing w:line="260" w:lineRule="atLeast"/>
        <w:jc w:val="both"/>
        <w:rPr>
          <w:rFonts w:ascii="Arial" w:eastAsia="Times New Roman" w:hAnsi="Arial" w:cs="Arial"/>
          <w:sz w:val="10"/>
          <w:szCs w:val="10"/>
        </w:rPr>
      </w:pPr>
    </w:p>
    <w:p w14:paraId="65F3C7D1" w14:textId="77777777" w:rsidR="00666077" w:rsidRPr="00904D3B" w:rsidRDefault="00666077" w:rsidP="009553C8">
      <w:pPr>
        <w:numPr>
          <w:ilvl w:val="0"/>
          <w:numId w:val="14"/>
        </w:numPr>
        <w:spacing w:line="260" w:lineRule="atLeast"/>
        <w:ind w:left="284" w:hanging="284"/>
        <w:jc w:val="both"/>
        <w:rPr>
          <w:rFonts w:ascii="Arial" w:eastAsia="Times New Roman" w:hAnsi="Arial" w:cs="Arial"/>
          <w:sz w:val="20"/>
          <w:szCs w:val="20"/>
        </w:rPr>
      </w:pPr>
      <w:r>
        <w:rPr>
          <w:rFonts w:ascii="Arial" w:eastAsia="Times New Roman" w:hAnsi="Arial" w:cs="Arial"/>
          <w:sz w:val="20"/>
          <w:szCs w:val="20"/>
          <w:lang w:val="en-GB"/>
        </w:rPr>
        <w:t>when the goods are further processed or incorporated into a more complex product before resale so that their visibility is lost or transformed (for example, when individual parts are incorporated into finished products or semi-finished products</w:t>
      </w:r>
      <w:proofErr w:type="gramStart"/>
      <w:r>
        <w:rPr>
          <w:rFonts w:ascii="Arial" w:eastAsia="Times New Roman" w:hAnsi="Arial" w:cs="Arial"/>
          <w:sz w:val="20"/>
          <w:szCs w:val="20"/>
          <w:lang w:val="en-GB"/>
        </w:rPr>
        <w:t>);</w:t>
      </w:r>
      <w:proofErr w:type="gramEnd"/>
    </w:p>
    <w:p w14:paraId="544594CF" w14:textId="77777777" w:rsidR="00955DC3" w:rsidRDefault="00666077" w:rsidP="009553C8">
      <w:pPr>
        <w:numPr>
          <w:ilvl w:val="0"/>
          <w:numId w:val="14"/>
        </w:numPr>
        <w:spacing w:line="260" w:lineRule="atLeast"/>
        <w:ind w:left="284" w:hanging="284"/>
        <w:jc w:val="both"/>
        <w:rPr>
          <w:rFonts w:ascii="Arial" w:eastAsia="Times New Roman" w:hAnsi="Arial" w:cs="Arial"/>
          <w:sz w:val="20"/>
          <w:szCs w:val="20"/>
        </w:rPr>
      </w:pPr>
      <w:r>
        <w:rPr>
          <w:rFonts w:ascii="Arial" w:eastAsia="Times New Roman" w:hAnsi="Arial" w:cs="Arial"/>
          <w:sz w:val="20"/>
          <w:szCs w:val="20"/>
          <w:lang w:val="en-GB"/>
        </w:rPr>
        <w:t>when the reseller makes a significant contribution to the creation or maintenance of intangible assets related to the product (e.g. trademarks or commercial brands).</w:t>
      </w:r>
    </w:p>
    <w:p w14:paraId="0C6ABB05" w14:textId="77777777" w:rsidR="009553C8" w:rsidRDefault="009553C8" w:rsidP="009553C8">
      <w:pPr>
        <w:spacing w:line="260" w:lineRule="atLeast"/>
        <w:ind w:left="284"/>
        <w:jc w:val="both"/>
        <w:rPr>
          <w:rFonts w:ascii="Arial" w:eastAsia="Times New Roman" w:hAnsi="Arial" w:cs="Arial"/>
          <w:sz w:val="20"/>
          <w:szCs w:val="20"/>
        </w:rPr>
      </w:pPr>
    </w:p>
    <w:tbl>
      <w:tblPr>
        <w:tblW w:w="8613" w:type="dxa"/>
        <w:jc w:val="center"/>
        <w:tblCellMar>
          <w:left w:w="0" w:type="dxa"/>
          <w:right w:w="0" w:type="dxa"/>
        </w:tblCellMar>
        <w:tblLook w:val="04A0" w:firstRow="1" w:lastRow="0" w:firstColumn="1" w:lastColumn="0" w:noHBand="0" w:noVBand="1"/>
      </w:tblPr>
      <w:tblGrid>
        <w:gridCol w:w="6936"/>
        <w:gridCol w:w="1677"/>
      </w:tblGrid>
      <w:tr w:rsidR="00666077" w:rsidRPr="00904D3B" w14:paraId="5C447BC1" w14:textId="77777777" w:rsidTr="00E479C1">
        <w:trPr>
          <w:trHeight w:val="240"/>
          <w:jc w:val="center"/>
        </w:trPr>
        <w:tc>
          <w:tcPr>
            <w:tcW w:w="8613"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vAlign w:val="center"/>
          </w:tcPr>
          <w:p w14:paraId="75955EEB" w14:textId="77777777" w:rsidR="00666077" w:rsidRDefault="00666077" w:rsidP="00756903">
            <w:pPr>
              <w:snapToGrid w:val="0"/>
              <w:jc w:val="center"/>
              <w:rPr>
                <w:rFonts w:ascii="Arial" w:eastAsia="Calibri" w:hAnsi="Arial" w:cs="Arial"/>
                <w:b/>
                <w:bCs/>
                <w:i/>
                <w:color w:val="000000"/>
                <w:sz w:val="18"/>
                <w:szCs w:val="18"/>
              </w:rPr>
            </w:pPr>
            <w:r>
              <w:rPr>
                <w:rFonts w:ascii="Arial" w:eastAsia="Calibri" w:hAnsi="Arial" w:cs="Arial"/>
                <w:b/>
                <w:bCs/>
                <w:i/>
                <w:iCs/>
                <w:color w:val="000000"/>
                <w:sz w:val="18"/>
                <w:szCs w:val="18"/>
                <w:lang w:val="en-GB"/>
              </w:rPr>
              <w:t>Use of the resale price method (a distributor example)</w:t>
            </w:r>
          </w:p>
          <w:p w14:paraId="7E674EBC" w14:textId="77777777" w:rsidR="001C5964" w:rsidRPr="00227C1D" w:rsidRDefault="001C5964" w:rsidP="00756903">
            <w:pPr>
              <w:snapToGrid w:val="0"/>
              <w:jc w:val="center"/>
              <w:rPr>
                <w:rFonts w:ascii="Arial" w:eastAsia="Calibri" w:hAnsi="Arial" w:cs="Arial"/>
                <w:b/>
                <w:bCs/>
                <w:i/>
                <w:color w:val="000000"/>
                <w:sz w:val="18"/>
                <w:szCs w:val="18"/>
              </w:rPr>
            </w:pPr>
          </w:p>
        </w:tc>
      </w:tr>
      <w:tr w:rsidR="00666077" w:rsidRPr="00904D3B" w14:paraId="7E69FFBD" w14:textId="77777777" w:rsidTr="00AA2C04">
        <w:trPr>
          <w:trHeight w:val="240"/>
          <w:jc w:val="center"/>
        </w:trPr>
        <w:tc>
          <w:tcPr>
            <w:tcW w:w="6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A4C85E3" w14:textId="126ECFE6" w:rsidR="00666077" w:rsidRPr="00227C1D" w:rsidRDefault="00666077" w:rsidP="00756903">
            <w:pPr>
              <w:snapToGrid w:val="0"/>
              <w:ind w:right="-850"/>
              <w:rPr>
                <w:rFonts w:ascii="Arial" w:eastAsia="Calibri" w:hAnsi="Arial" w:cs="Arial"/>
                <w:sz w:val="18"/>
                <w:szCs w:val="18"/>
              </w:rPr>
            </w:pPr>
            <w:r>
              <w:rPr>
                <w:rFonts w:ascii="Arial" w:eastAsia="Calibri" w:hAnsi="Arial" w:cs="Arial"/>
                <w:sz w:val="18"/>
                <w:szCs w:val="18"/>
                <w:lang w:val="en-GB"/>
              </w:rPr>
              <w:t xml:space="preserve">Sale to </w:t>
            </w:r>
            <w:proofErr w:type="spellStart"/>
            <w:r>
              <w:rPr>
                <w:rFonts w:ascii="Arial" w:eastAsia="Calibri" w:hAnsi="Arial" w:cs="Arial"/>
                <w:sz w:val="18"/>
                <w:szCs w:val="18"/>
                <w:lang w:val="en-GB"/>
              </w:rPr>
              <w:t>un</w:t>
            </w:r>
            <w:r w:rsidR="003E0B4B">
              <w:rPr>
                <w:rFonts w:ascii="Arial" w:eastAsia="Calibri" w:hAnsi="Arial" w:cs="Arial"/>
                <w:sz w:val="18"/>
                <w:szCs w:val="18"/>
                <w:lang w:val="en-GB"/>
              </w:rPr>
              <w:t>associated</w:t>
            </w:r>
            <w:proofErr w:type="spellEnd"/>
            <w:r>
              <w:rPr>
                <w:rFonts w:ascii="Arial" w:eastAsia="Calibri" w:hAnsi="Arial" w:cs="Arial"/>
                <w:sz w:val="18"/>
                <w:szCs w:val="18"/>
                <w:lang w:val="en-GB"/>
              </w:rPr>
              <w:t xml:space="preserve"> customers</w:t>
            </w:r>
          </w:p>
        </w:tc>
        <w:tc>
          <w:tcPr>
            <w:tcW w:w="167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4B92915" w14:textId="77777777" w:rsidR="00666077" w:rsidRPr="00520D91" w:rsidRDefault="00666077" w:rsidP="00520D91">
            <w:pPr>
              <w:snapToGrid w:val="0"/>
              <w:jc w:val="right"/>
              <w:rPr>
                <w:rFonts w:ascii="Arial" w:eastAsia="Calibri" w:hAnsi="Arial" w:cs="Arial"/>
                <w:sz w:val="18"/>
                <w:szCs w:val="18"/>
                <w:lang w:val="en-GB"/>
              </w:rPr>
            </w:pPr>
            <w:r>
              <w:rPr>
                <w:rFonts w:ascii="Arial" w:eastAsia="Calibri" w:hAnsi="Arial" w:cs="Arial"/>
                <w:sz w:val="18"/>
                <w:szCs w:val="18"/>
                <w:lang w:val="en-GB"/>
              </w:rPr>
              <w:t xml:space="preserve">                     500</w:t>
            </w:r>
          </w:p>
        </w:tc>
      </w:tr>
      <w:tr w:rsidR="00666077" w:rsidRPr="00904D3B" w14:paraId="166FC584" w14:textId="77777777" w:rsidTr="00AA2C04">
        <w:trPr>
          <w:trHeight w:val="254"/>
          <w:jc w:val="center"/>
        </w:trPr>
        <w:tc>
          <w:tcPr>
            <w:tcW w:w="693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384F244" w14:textId="77777777" w:rsidR="00666077" w:rsidRPr="00227C1D" w:rsidRDefault="00666077" w:rsidP="00756903">
            <w:pPr>
              <w:snapToGrid w:val="0"/>
              <w:ind w:right="-850"/>
              <w:rPr>
                <w:rFonts w:ascii="Arial" w:eastAsia="Calibri" w:hAnsi="Arial" w:cs="Arial"/>
                <w:sz w:val="18"/>
                <w:szCs w:val="18"/>
              </w:rPr>
            </w:pPr>
            <w:r>
              <w:rPr>
                <w:rFonts w:ascii="Arial" w:eastAsia="Calibri" w:hAnsi="Arial" w:cs="Arial"/>
                <w:sz w:val="18"/>
                <w:szCs w:val="18"/>
                <w:lang w:val="en-GB"/>
              </w:rPr>
              <w:t xml:space="preserve">The cost of goods sold (transfer </w:t>
            </w:r>
            <w:proofErr w:type="gramStart"/>
            <w:r>
              <w:rPr>
                <w:rFonts w:ascii="Arial" w:eastAsia="Calibri" w:hAnsi="Arial" w:cs="Arial"/>
                <w:sz w:val="18"/>
                <w:szCs w:val="18"/>
                <w:lang w:val="en-GB"/>
              </w:rPr>
              <w:t>price)*</w:t>
            </w:r>
            <w:proofErr w:type="gramEnd"/>
            <w:r>
              <w:rPr>
                <w:rFonts w:ascii="Arial" w:eastAsia="Calibri" w:hAnsi="Arial" w:cs="Arial"/>
                <w:sz w:val="18"/>
                <w:szCs w:val="18"/>
                <w:lang w:val="en-GB"/>
              </w:rPr>
              <w:t>*</w:t>
            </w:r>
          </w:p>
        </w:tc>
        <w:tc>
          <w:tcPr>
            <w:tcW w:w="1677" w:type="dxa"/>
            <w:tcBorders>
              <w:top w:val="nil"/>
              <w:left w:val="nil"/>
              <w:bottom w:val="single" w:sz="8" w:space="0" w:color="000000"/>
              <w:right w:val="single" w:sz="8" w:space="0" w:color="000000"/>
            </w:tcBorders>
            <w:tcMar>
              <w:top w:w="0" w:type="dxa"/>
              <w:left w:w="108" w:type="dxa"/>
              <w:bottom w:w="0" w:type="dxa"/>
              <w:right w:w="108" w:type="dxa"/>
            </w:tcMar>
            <w:hideMark/>
          </w:tcPr>
          <w:p w14:paraId="5E4EF73D" w14:textId="77777777" w:rsidR="00666077" w:rsidRPr="00520D91" w:rsidRDefault="00666077" w:rsidP="00520D91">
            <w:pPr>
              <w:snapToGrid w:val="0"/>
              <w:jc w:val="right"/>
              <w:rPr>
                <w:rFonts w:ascii="Arial" w:eastAsia="Calibri" w:hAnsi="Arial" w:cs="Arial"/>
                <w:sz w:val="18"/>
                <w:szCs w:val="18"/>
                <w:lang w:val="en-GB"/>
              </w:rPr>
            </w:pPr>
            <w:r>
              <w:rPr>
                <w:rFonts w:ascii="Arial" w:eastAsia="Calibri" w:hAnsi="Arial" w:cs="Arial"/>
                <w:sz w:val="18"/>
                <w:szCs w:val="18"/>
                <w:lang w:val="en-GB"/>
              </w:rPr>
              <w:t xml:space="preserve">                   -300</w:t>
            </w:r>
          </w:p>
        </w:tc>
      </w:tr>
      <w:tr w:rsidR="00666077" w:rsidRPr="00904D3B" w14:paraId="30AC2A77" w14:textId="77777777" w:rsidTr="00AA2C04">
        <w:trPr>
          <w:trHeight w:val="254"/>
          <w:jc w:val="center"/>
        </w:trPr>
        <w:tc>
          <w:tcPr>
            <w:tcW w:w="693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8F91113" w14:textId="77777777" w:rsidR="00666077" w:rsidRPr="00227C1D" w:rsidRDefault="00666077" w:rsidP="00756903">
            <w:pPr>
              <w:snapToGrid w:val="0"/>
              <w:ind w:right="-850"/>
              <w:rPr>
                <w:rFonts w:ascii="Arial" w:eastAsia="Calibri" w:hAnsi="Arial" w:cs="Arial"/>
                <w:b/>
                <w:sz w:val="18"/>
                <w:szCs w:val="18"/>
              </w:rPr>
            </w:pPr>
            <w:r>
              <w:rPr>
                <w:rFonts w:ascii="Arial" w:eastAsia="Calibri" w:hAnsi="Arial" w:cs="Arial"/>
                <w:b/>
                <w:bCs/>
                <w:sz w:val="18"/>
                <w:szCs w:val="18"/>
                <w:lang w:val="en-GB"/>
              </w:rPr>
              <w:t>Margin (resale profit or gross margin) 40%*</w:t>
            </w:r>
          </w:p>
        </w:tc>
        <w:tc>
          <w:tcPr>
            <w:tcW w:w="1677" w:type="dxa"/>
            <w:tcBorders>
              <w:top w:val="nil"/>
              <w:left w:val="nil"/>
              <w:bottom w:val="single" w:sz="8" w:space="0" w:color="000000"/>
              <w:right w:val="single" w:sz="8" w:space="0" w:color="000000"/>
            </w:tcBorders>
            <w:tcMar>
              <w:top w:w="0" w:type="dxa"/>
              <w:left w:w="108" w:type="dxa"/>
              <w:bottom w:w="0" w:type="dxa"/>
              <w:right w:w="108" w:type="dxa"/>
            </w:tcMar>
            <w:hideMark/>
          </w:tcPr>
          <w:p w14:paraId="6610E19D" w14:textId="77777777" w:rsidR="00666077" w:rsidRPr="00520D91" w:rsidRDefault="00666077" w:rsidP="00520D91">
            <w:pPr>
              <w:snapToGrid w:val="0"/>
              <w:jc w:val="right"/>
              <w:rPr>
                <w:rFonts w:ascii="Arial" w:eastAsia="Calibri" w:hAnsi="Arial" w:cs="Arial"/>
                <w:sz w:val="18"/>
                <w:szCs w:val="18"/>
                <w:lang w:val="en-GB"/>
              </w:rPr>
            </w:pPr>
            <w:r w:rsidRPr="00520D91">
              <w:rPr>
                <w:rFonts w:ascii="Arial" w:eastAsia="Calibri" w:hAnsi="Arial" w:cs="Arial"/>
                <w:sz w:val="18"/>
                <w:szCs w:val="18"/>
                <w:lang w:val="en-GB"/>
              </w:rPr>
              <w:t xml:space="preserve">                     200</w:t>
            </w:r>
          </w:p>
        </w:tc>
      </w:tr>
      <w:tr w:rsidR="00666077" w:rsidRPr="00904D3B" w14:paraId="0A95730B" w14:textId="77777777" w:rsidTr="00AA2C04">
        <w:trPr>
          <w:trHeight w:val="225"/>
          <w:jc w:val="center"/>
        </w:trPr>
        <w:tc>
          <w:tcPr>
            <w:tcW w:w="693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7E5D652" w14:textId="77777777" w:rsidR="00666077" w:rsidRPr="00227C1D" w:rsidRDefault="00666077" w:rsidP="00756903">
            <w:pPr>
              <w:snapToGrid w:val="0"/>
              <w:ind w:right="-850"/>
              <w:rPr>
                <w:rFonts w:ascii="Arial" w:eastAsia="Calibri" w:hAnsi="Arial" w:cs="Arial"/>
                <w:sz w:val="18"/>
                <w:szCs w:val="18"/>
              </w:rPr>
            </w:pPr>
            <w:r>
              <w:rPr>
                <w:rFonts w:ascii="Arial" w:eastAsia="Calibri" w:hAnsi="Arial" w:cs="Arial"/>
                <w:sz w:val="18"/>
                <w:szCs w:val="18"/>
                <w:lang w:val="en-GB"/>
              </w:rPr>
              <w:t>Selling and other operating expenses</w:t>
            </w:r>
          </w:p>
        </w:tc>
        <w:tc>
          <w:tcPr>
            <w:tcW w:w="1677" w:type="dxa"/>
            <w:tcBorders>
              <w:top w:val="nil"/>
              <w:left w:val="nil"/>
              <w:bottom w:val="single" w:sz="8" w:space="0" w:color="000000"/>
              <w:right w:val="single" w:sz="8" w:space="0" w:color="000000"/>
            </w:tcBorders>
            <w:tcMar>
              <w:top w:w="0" w:type="dxa"/>
              <w:left w:w="108" w:type="dxa"/>
              <w:bottom w:w="0" w:type="dxa"/>
              <w:right w:w="108" w:type="dxa"/>
            </w:tcMar>
            <w:hideMark/>
          </w:tcPr>
          <w:p w14:paraId="275BDF62" w14:textId="77777777" w:rsidR="00666077" w:rsidRPr="00520D91" w:rsidRDefault="00666077" w:rsidP="00520D91">
            <w:pPr>
              <w:snapToGrid w:val="0"/>
              <w:jc w:val="right"/>
              <w:rPr>
                <w:rFonts w:ascii="Arial" w:eastAsia="Calibri" w:hAnsi="Arial" w:cs="Arial"/>
                <w:sz w:val="18"/>
                <w:szCs w:val="18"/>
                <w:lang w:val="en-GB"/>
              </w:rPr>
            </w:pPr>
            <w:r>
              <w:rPr>
                <w:rFonts w:ascii="Arial" w:eastAsia="Calibri" w:hAnsi="Arial" w:cs="Arial"/>
                <w:sz w:val="18"/>
                <w:szCs w:val="18"/>
                <w:lang w:val="en-GB"/>
              </w:rPr>
              <w:t xml:space="preserve">                   -150</w:t>
            </w:r>
          </w:p>
        </w:tc>
      </w:tr>
      <w:tr w:rsidR="00666077" w:rsidRPr="00904D3B" w14:paraId="0FE60D13" w14:textId="77777777" w:rsidTr="00AA2C04">
        <w:trPr>
          <w:trHeight w:val="240"/>
          <w:jc w:val="center"/>
        </w:trPr>
        <w:tc>
          <w:tcPr>
            <w:tcW w:w="693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26B2891" w14:textId="77777777" w:rsidR="00666077" w:rsidRPr="00227C1D" w:rsidRDefault="00666077" w:rsidP="00756903">
            <w:pPr>
              <w:snapToGrid w:val="0"/>
              <w:ind w:right="-850"/>
              <w:rPr>
                <w:rFonts w:ascii="Arial" w:eastAsia="Calibri" w:hAnsi="Arial" w:cs="Arial"/>
                <w:sz w:val="18"/>
                <w:szCs w:val="18"/>
              </w:rPr>
            </w:pPr>
            <w:r>
              <w:rPr>
                <w:rFonts w:ascii="Arial" w:eastAsia="Calibri" w:hAnsi="Arial" w:cs="Arial"/>
                <w:sz w:val="18"/>
                <w:szCs w:val="18"/>
                <w:lang w:val="en-GB"/>
              </w:rPr>
              <w:t>Operating profit</w:t>
            </w:r>
          </w:p>
        </w:tc>
        <w:tc>
          <w:tcPr>
            <w:tcW w:w="1677" w:type="dxa"/>
            <w:tcBorders>
              <w:top w:val="nil"/>
              <w:left w:val="nil"/>
              <w:bottom w:val="single" w:sz="8" w:space="0" w:color="000000"/>
              <w:right w:val="single" w:sz="8" w:space="0" w:color="000000"/>
            </w:tcBorders>
            <w:tcMar>
              <w:top w:w="0" w:type="dxa"/>
              <w:left w:w="108" w:type="dxa"/>
              <w:bottom w:w="0" w:type="dxa"/>
              <w:right w:w="108" w:type="dxa"/>
            </w:tcMar>
            <w:hideMark/>
          </w:tcPr>
          <w:p w14:paraId="040005AA" w14:textId="77777777" w:rsidR="00666077" w:rsidRPr="00520D91" w:rsidRDefault="00666077" w:rsidP="00520D91">
            <w:pPr>
              <w:snapToGrid w:val="0"/>
              <w:jc w:val="right"/>
              <w:rPr>
                <w:rFonts w:ascii="Arial" w:eastAsia="Calibri" w:hAnsi="Arial" w:cs="Arial"/>
                <w:sz w:val="18"/>
                <w:szCs w:val="18"/>
                <w:lang w:val="en-GB"/>
              </w:rPr>
            </w:pPr>
            <w:r>
              <w:rPr>
                <w:rFonts w:ascii="Arial" w:eastAsia="Calibri" w:hAnsi="Arial" w:cs="Arial"/>
                <w:sz w:val="18"/>
                <w:szCs w:val="18"/>
                <w:lang w:val="en-GB"/>
              </w:rPr>
              <w:t xml:space="preserve">                       50</w:t>
            </w:r>
          </w:p>
        </w:tc>
      </w:tr>
      <w:tr w:rsidR="00666077" w:rsidRPr="00904D3B" w14:paraId="4A4994BE" w14:textId="77777777" w:rsidTr="00E479C1">
        <w:trPr>
          <w:trHeight w:val="537"/>
          <w:jc w:val="center"/>
        </w:trPr>
        <w:tc>
          <w:tcPr>
            <w:tcW w:w="8613"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6A47CEC3" w14:textId="77777777" w:rsidR="00E479C1" w:rsidRDefault="00666077" w:rsidP="00756903">
            <w:pPr>
              <w:shd w:val="clear" w:color="auto" w:fill="EEECE1"/>
              <w:snapToGrid w:val="0"/>
              <w:ind w:right="-850"/>
              <w:jc w:val="both"/>
              <w:rPr>
                <w:rFonts w:ascii="Arial" w:eastAsia="Calibri" w:hAnsi="Arial" w:cs="Arial"/>
                <w:i/>
                <w:iCs/>
                <w:sz w:val="16"/>
                <w:szCs w:val="16"/>
                <w:lang w:val="en-GB"/>
              </w:rPr>
            </w:pPr>
            <w:r>
              <w:rPr>
                <w:rFonts w:ascii="Arial" w:eastAsia="Calibri" w:hAnsi="Arial" w:cs="Arial"/>
                <w:i/>
                <w:iCs/>
                <w:sz w:val="16"/>
                <w:szCs w:val="16"/>
                <w:lang w:val="en-GB"/>
              </w:rPr>
              <w:t xml:space="preserve">* The object of comparison is the margin (the resale profit or gross margin) in </w:t>
            </w:r>
            <w:proofErr w:type="spellStart"/>
            <w:proofErr w:type="gramStart"/>
            <w:r>
              <w:rPr>
                <w:rFonts w:ascii="Arial" w:eastAsia="Calibri" w:hAnsi="Arial" w:cs="Arial"/>
                <w:i/>
                <w:iCs/>
                <w:sz w:val="16"/>
                <w:szCs w:val="16"/>
                <w:lang w:val="en-GB"/>
              </w:rPr>
              <w:t>a</w:t>
            </w:r>
            <w:proofErr w:type="spellEnd"/>
            <w:proofErr w:type="gramEnd"/>
            <w:r>
              <w:rPr>
                <w:rFonts w:ascii="Arial" w:eastAsia="Calibri" w:hAnsi="Arial" w:cs="Arial"/>
                <w:i/>
                <w:iCs/>
                <w:sz w:val="16"/>
                <w:szCs w:val="16"/>
                <w:lang w:val="en-GB"/>
              </w:rPr>
              <w:t xml:space="preserve"> </w:t>
            </w:r>
            <w:r w:rsidR="003E0B4B">
              <w:rPr>
                <w:rFonts w:ascii="Arial" w:eastAsia="Calibri" w:hAnsi="Arial" w:cs="Arial"/>
                <w:i/>
                <w:iCs/>
                <w:sz w:val="16"/>
                <w:szCs w:val="16"/>
                <w:lang w:val="en-GB"/>
              </w:rPr>
              <w:t>associated</w:t>
            </w:r>
            <w:r>
              <w:rPr>
                <w:rFonts w:ascii="Arial" w:eastAsia="Calibri" w:hAnsi="Arial" w:cs="Arial"/>
                <w:i/>
                <w:iCs/>
                <w:sz w:val="16"/>
                <w:szCs w:val="16"/>
                <w:lang w:val="en-GB"/>
              </w:rPr>
              <w:t xml:space="preserve">-party transaction with the </w:t>
            </w:r>
          </w:p>
          <w:p w14:paraId="43555C56" w14:textId="5FD3F1BE" w:rsidR="00666077" w:rsidRPr="00904D3B" w:rsidRDefault="00666077" w:rsidP="00756903">
            <w:pPr>
              <w:shd w:val="clear" w:color="auto" w:fill="EEECE1"/>
              <w:snapToGrid w:val="0"/>
              <w:ind w:right="-850"/>
              <w:jc w:val="both"/>
              <w:rPr>
                <w:rFonts w:ascii="Arial" w:eastAsia="Calibri" w:hAnsi="Arial" w:cs="Arial"/>
                <w:i/>
                <w:sz w:val="16"/>
                <w:szCs w:val="16"/>
              </w:rPr>
            </w:pPr>
            <w:r>
              <w:rPr>
                <w:rFonts w:ascii="Arial" w:eastAsia="Calibri" w:hAnsi="Arial" w:cs="Arial"/>
                <w:i/>
                <w:iCs/>
                <w:sz w:val="16"/>
                <w:szCs w:val="16"/>
                <w:lang w:val="en-GB"/>
              </w:rPr>
              <w:t xml:space="preserve">price difference in comparable </w:t>
            </w:r>
            <w:proofErr w:type="spellStart"/>
            <w:r>
              <w:rPr>
                <w:rFonts w:ascii="Arial" w:eastAsia="Calibri" w:hAnsi="Arial" w:cs="Arial"/>
                <w:i/>
                <w:iCs/>
                <w:sz w:val="16"/>
                <w:szCs w:val="16"/>
                <w:lang w:val="en-GB"/>
              </w:rPr>
              <w:t>un</w:t>
            </w:r>
            <w:r w:rsidR="003E0B4B">
              <w:rPr>
                <w:rFonts w:ascii="Arial" w:eastAsia="Calibri" w:hAnsi="Arial" w:cs="Arial"/>
                <w:i/>
                <w:iCs/>
                <w:sz w:val="16"/>
                <w:szCs w:val="16"/>
                <w:lang w:val="en-GB"/>
              </w:rPr>
              <w:t>associated</w:t>
            </w:r>
            <w:proofErr w:type="spellEnd"/>
            <w:r>
              <w:rPr>
                <w:rFonts w:ascii="Arial" w:eastAsia="Calibri" w:hAnsi="Arial" w:cs="Arial"/>
                <w:i/>
                <w:iCs/>
                <w:sz w:val="16"/>
                <w:szCs w:val="16"/>
                <w:lang w:val="en-GB"/>
              </w:rPr>
              <w:t xml:space="preserve"> party transactions.</w:t>
            </w:r>
          </w:p>
          <w:p w14:paraId="3CC41AEC" w14:textId="28678A3C" w:rsidR="00D40C41" w:rsidRPr="00227C1D" w:rsidRDefault="00666077" w:rsidP="00756903">
            <w:pPr>
              <w:shd w:val="clear" w:color="auto" w:fill="EEECE1"/>
              <w:snapToGrid w:val="0"/>
              <w:ind w:right="-850"/>
              <w:jc w:val="both"/>
              <w:rPr>
                <w:rFonts w:ascii="Arial" w:eastAsia="Calibri" w:hAnsi="Arial" w:cs="Arial"/>
                <w:sz w:val="20"/>
                <w:szCs w:val="20"/>
              </w:rPr>
            </w:pPr>
            <w:r>
              <w:rPr>
                <w:rFonts w:ascii="Arial" w:eastAsia="Calibri" w:hAnsi="Arial" w:cs="Arial"/>
                <w:i/>
                <w:iCs/>
                <w:sz w:val="16"/>
                <w:szCs w:val="16"/>
                <w:lang w:val="en-GB"/>
              </w:rPr>
              <w:t xml:space="preserve">** The cost of goods sold equals the cost of goods purchased from </w:t>
            </w:r>
            <w:proofErr w:type="spellStart"/>
            <w:proofErr w:type="gramStart"/>
            <w:r>
              <w:rPr>
                <w:rFonts w:ascii="Arial" w:eastAsia="Calibri" w:hAnsi="Arial" w:cs="Arial"/>
                <w:i/>
                <w:iCs/>
                <w:sz w:val="16"/>
                <w:szCs w:val="16"/>
                <w:lang w:val="en-GB"/>
              </w:rPr>
              <w:t>a</w:t>
            </w:r>
            <w:proofErr w:type="spellEnd"/>
            <w:proofErr w:type="gramEnd"/>
            <w:r>
              <w:rPr>
                <w:rFonts w:ascii="Arial" w:eastAsia="Calibri" w:hAnsi="Arial" w:cs="Arial"/>
                <w:i/>
                <w:iCs/>
                <w:sz w:val="16"/>
                <w:szCs w:val="16"/>
                <w:lang w:val="en-GB"/>
              </w:rPr>
              <w:t xml:space="preserve"> </w:t>
            </w:r>
            <w:r w:rsidR="003E0B4B">
              <w:rPr>
                <w:rFonts w:ascii="Arial" w:eastAsia="Calibri" w:hAnsi="Arial" w:cs="Arial"/>
                <w:i/>
                <w:iCs/>
                <w:sz w:val="16"/>
                <w:szCs w:val="16"/>
                <w:lang w:val="en-GB"/>
              </w:rPr>
              <w:t>associated</w:t>
            </w:r>
            <w:r>
              <w:rPr>
                <w:rFonts w:ascii="Arial" w:eastAsia="Calibri" w:hAnsi="Arial" w:cs="Arial"/>
                <w:i/>
                <w:iCs/>
                <w:sz w:val="16"/>
                <w:szCs w:val="16"/>
                <w:lang w:val="en-GB"/>
              </w:rPr>
              <w:t xml:space="preserve"> party.</w:t>
            </w:r>
          </w:p>
        </w:tc>
      </w:tr>
    </w:tbl>
    <w:p w14:paraId="03DC2208" w14:textId="77777777" w:rsidR="00E542EE" w:rsidRDefault="00E542EE" w:rsidP="00756903"/>
    <w:p w14:paraId="2F123AB0" w14:textId="77777777" w:rsidR="009553C8" w:rsidRPr="001F2D24" w:rsidRDefault="009553C8" w:rsidP="00756903"/>
    <w:p w14:paraId="69624B1A" w14:textId="77777777" w:rsidR="00666077" w:rsidRPr="00F27413" w:rsidRDefault="003971AE" w:rsidP="009553C8">
      <w:pPr>
        <w:pStyle w:val="Naslov3"/>
        <w:spacing w:before="0" w:after="0"/>
        <w:rPr>
          <w:rFonts w:cs="Arial"/>
        </w:rPr>
      </w:pPr>
      <w:bookmarkStart w:id="20" w:name="_Toc103257431"/>
      <w:r>
        <w:rPr>
          <w:rFonts w:cs="Arial"/>
          <w:lang w:val="en-GB"/>
        </w:rPr>
        <w:t>2.2.3 THE COST PLUS METHOD</w:t>
      </w:r>
      <w:bookmarkEnd w:id="20"/>
    </w:p>
    <w:p w14:paraId="7AE80420" w14:textId="77777777" w:rsidR="00666077" w:rsidRPr="001F2D24" w:rsidRDefault="00666077" w:rsidP="009553C8">
      <w:pPr>
        <w:tabs>
          <w:tab w:val="left" w:pos="3402"/>
        </w:tabs>
        <w:spacing w:line="260" w:lineRule="atLeast"/>
        <w:jc w:val="both"/>
        <w:rPr>
          <w:rFonts w:ascii="Arial" w:eastAsia="Times New Roman" w:hAnsi="Arial" w:cs="Arial"/>
          <w:sz w:val="20"/>
          <w:szCs w:val="20"/>
        </w:rPr>
      </w:pPr>
    </w:p>
    <w:p w14:paraId="31F33E1B" w14:textId="4B6BCA97" w:rsidR="00666077" w:rsidRPr="00AD51AA" w:rsidRDefault="00666077" w:rsidP="009553C8">
      <w:pPr>
        <w:tabs>
          <w:tab w:val="left" w:pos="3402"/>
        </w:tabs>
        <w:spacing w:line="260" w:lineRule="atLeast"/>
        <w:jc w:val="both"/>
        <w:rPr>
          <w:rFonts w:ascii="Arial" w:eastAsia="Times New Roman" w:hAnsi="Arial" w:cs="Arial"/>
          <w:sz w:val="20"/>
          <w:szCs w:val="20"/>
        </w:rPr>
      </w:pPr>
      <w:r>
        <w:rPr>
          <w:rFonts w:ascii="Arial" w:eastAsia="Times New Roman" w:hAnsi="Arial" w:cs="Arial"/>
          <w:sz w:val="20"/>
          <w:szCs w:val="20"/>
          <w:lang w:val="en-GB"/>
        </w:rPr>
        <w:t xml:space="preserve">Pursuant to Article 4 of the TPR, the </w:t>
      </w:r>
      <w:proofErr w:type="gramStart"/>
      <w:r>
        <w:rPr>
          <w:rFonts w:ascii="Arial" w:eastAsia="Times New Roman" w:hAnsi="Arial" w:cs="Arial"/>
          <w:sz w:val="20"/>
          <w:szCs w:val="20"/>
          <w:lang w:val="en-GB"/>
        </w:rPr>
        <w:t>cost plus</w:t>
      </w:r>
      <w:proofErr w:type="gramEnd"/>
      <w:r>
        <w:rPr>
          <w:rFonts w:ascii="Arial" w:eastAsia="Times New Roman" w:hAnsi="Arial" w:cs="Arial"/>
          <w:sz w:val="20"/>
          <w:szCs w:val="20"/>
          <w:lang w:val="en-GB"/>
        </w:rPr>
        <w:t xml:space="preserve"> method is based on the costs of the supplier of the assets or services in </w:t>
      </w:r>
      <w:proofErr w:type="spellStart"/>
      <w:r>
        <w:rPr>
          <w:rFonts w:ascii="Arial" w:eastAsia="Times New Roman" w:hAnsi="Arial" w:cs="Arial"/>
          <w:sz w:val="20"/>
          <w:szCs w:val="20"/>
          <w:lang w:val="en-GB"/>
        </w:rPr>
        <w:t>a</w:t>
      </w:r>
      <w:proofErr w:type="spellEnd"/>
      <w:r>
        <w:rPr>
          <w:rFonts w:ascii="Arial" w:eastAsia="Times New Roman" w:hAnsi="Arial" w:cs="Arial"/>
          <w:sz w:val="20"/>
          <w:szCs w:val="20"/>
          <w:lang w:val="en-GB"/>
        </w:rPr>
        <w:t xml:space="preserve"> </w:t>
      </w:r>
      <w:r w:rsidR="003E0B4B">
        <w:rPr>
          <w:rFonts w:ascii="Arial" w:eastAsia="Times New Roman" w:hAnsi="Arial" w:cs="Arial"/>
          <w:sz w:val="20"/>
          <w:szCs w:val="20"/>
          <w:lang w:val="en-GB"/>
        </w:rPr>
        <w:t>associated</w:t>
      </w:r>
      <w:r>
        <w:rPr>
          <w:rFonts w:ascii="Arial" w:eastAsia="Times New Roman" w:hAnsi="Arial" w:cs="Arial"/>
          <w:sz w:val="20"/>
          <w:szCs w:val="20"/>
          <w:lang w:val="en-GB"/>
        </w:rPr>
        <w:t xml:space="preserve">-party transaction. The comparable market price is determined by adding to these costs an appropriate allowance which, in the same or comparable circumstances, would be achieved on the market by </w:t>
      </w:r>
      <w:proofErr w:type="spellStart"/>
      <w:r>
        <w:rPr>
          <w:rFonts w:ascii="Arial" w:eastAsia="Times New Roman" w:hAnsi="Arial" w:cs="Arial"/>
          <w:sz w:val="20"/>
          <w:szCs w:val="20"/>
          <w:lang w:val="en-GB"/>
        </w:rPr>
        <w:t>un</w:t>
      </w:r>
      <w:r w:rsidR="003E0B4B">
        <w:rPr>
          <w:rFonts w:ascii="Arial" w:eastAsia="Times New Roman" w:hAnsi="Arial" w:cs="Arial"/>
          <w:sz w:val="20"/>
          <w:szCs w:val="20"/>
          <w:lang w:val="en-GB"/>
        </w:rPr>
        <w:t>associated</w:t>
      </w:r>
      <w:proofErr w:type="spellEnd"/>
      <w:r>
        <w:rPr>
          <w:rFonts w:ascii="Arial" w:eastAsia="Times New Roman" w:hAnsi="Arial" w:cs="Arial"/>
          <w:sz w:val="20"/>
          <w:szCs w:val="20"/>
          <w:lang w:val="en-GB"/>
        </w:rPr>
        <w:t xml:space="preserve"> parties.</w:t>
      </w:r>
    </w:p>
    <w:p w14:paraId="5BA25CA9" w14:textId="0147ED1C" w:rsidR="00666077" w:rsidRPr="00904D3B" w:rsidRDefault="00666077" w:rsidP="009553C8">
      <w:pPr>
        <w:spacing w:line="260" w:lineRule="atLeast"/>
        <w:jc w:val="both"/>
        <w:rPr>
          <w:rFonts w:ascii="Arial" w:eastAsia="Times New Roman" w:hAnsi="Arial" w:cs="Arial"/>
          <w:sz w:val="20"/>
          <w:szCs w:val="20"/>
        </w:rPr>
      </w:pPr>
      <w:r>
        <w:rPr>
          <w:rFonts w:ascii="Arial" w:eastAsia="Times New Roman" w:hAnsi="Arial" w:cs="Arial"/>
          <w:sz w:val="20"/>
          <w:szCs w:val="20"/>
          <w:lang w:val="en-GB"/>
        </w:rPr>
        <w:t xml:space="preserve">This is an appropriate allowance that provides an appropriate profit according to the functions performed and the </w:t>
      </w:r>
      <w:r w:rsidR="003E0B4B">
        <w:rPr>
          <w:rFonts w:ascii="Arial" w:eastAsia="Times New Roman" w:hAnsi="Arial" w:cs="Arial"/>
          <w:sz w:val="20"/>
          <w:szCs w:val="20"/>
          <w:lang w:val="en-GB"/>
        </w:rPr>
        <w:t>associated</w:t>
      </w:r>
      <w:r>
        <w:rPr>
          <w:rFonts w:ascii="Arial" w:eastAsia="Times New Roman" w:hAnsi="Arial" w:cs="Arial"/>
          <w:sz w:val="20"/>
          <w:szCs w:val="20"/>
          <w:lang w:val="en-GB"/>
        </w:rPr>
        <w:t xml:space="preserve"> funds invested and assumed risks.</w:t>
      </w:r>
    </w:p>
    <w:p w14:paraId="7EC9AAD7" w14:textId="77777777" w:rsidR="00700A76" w:rsidRDefault="00700A76" w:rsidP="009553C8">
      <w:pPr>
        <w:spacing w:line="260" w:lineRule="atLeast"/>
        <w:jc w:val="both"/>
        <w:rPr>
          <w:rFonts w:ascii="Arial" w:eastAsia="Times New Roman" w:hAnsi="Arial" w:cs="Arial"/>
          <w:sz w:val="20"/>
          <w:szCs w:val="20"/>
        </w:rPr>
      </w:pPr>
    </w:p>
    <w:p w14:paraId="19ABE614" w14:textId="77777777" w:rsidR="00666077" w:rsidRPr="00904D3B" w:rsidRDefault="00666077" w:rsidP="009553C8">
      <w:pPr>
        <w:spacing w:line="260" w:lineRule="atLeast"/>
        <w:jc w:val="both"/>
        <w:rPr>
          <w:rFonts w:ascii="Arial" w:eastAsia="Times New Roman" w:hAnsi="Arial" w:cs="Arial"/>
          <w:sz w:val="20"/>
          <w:szCs w:val="20"/>
        </w:rPr>
      </w:pPr>
      <w:r>
        <w:rPr>
          <w:rFonts w:ascii="Arial" w:eastAsia="Times New Roman" w:hAnsi="Arial" w:cs="Arial"/>
          <w:sz w:val="20"/>
          <w:szCs w:val="20"/>
          <w:lang w:val="en-GB"/>
        </w:rPr>
        <w:t>When determining the supplier's cost margin (cost bases), the comparability of cost bases between the compared transactions needs to be ensured. If different accounting principles and standards are applied to the persons who have made the transactions and are the object of the comparison, adjustments and reconciliation are required in order to enable a comparison of the costs or cost bases that are determined in the same or in a comparable manner.</w:t>
      </w:r>
    </w:p>
    <w:p w14:paraId="72A65D5C" w14:textId="77777777" w:rsidR="00700A76" w:rsidRDefault="00700A76" w:rsidP="009553C8">
      <w:pPr>
        <w:spacing w:line="260" w:lineRule="atLeast"/>
        <w:jc w:val="both"/>
        <w:rPr>
          <w:rFonts w:ascii="Arial" w:eastAsia="Times New Roman" w:hAnsi="Arial" w:cs="Arial"/>
          <w:sz w:val="20"/>
          <w:szCs w:val="20"/>
        </w:rPr>
      </w:pPr>
    </w:p>
    <w:p w14:paraId="7358994A" w14:textId="3F5FEE04" w:rsidR="00666077" w:rsidRDefault="00666077" w:rsidP="009553C8">
      <w:pPr>
        <w:spacing w:line="260" w:lineRule="atLeast"/>
        <w:jc w:val="both"/>
        <w:rPr>
          <w:rFonts w:ascii="Arial" w:eastAsia="Times New Roman" w:hAnsi="Arial" w:cs="Arial"/>
          <w:sz w:val="20"/>
          <w:szCs w:val="20"/>
        </w:rPr>
      </w:pPr>
      <w:r>
        <w:rPr>
          <w:rFonts w:ascii="Arial" w:eastAsia="Times New Roman" w:hAnsi="Arial" w:cs="Arial"/>
          <w:sz w:val="20"/>
          <w:szCs w:val="20"/>
          <w:lang w:val="en-GB"/>
        </w:rPr>
        <w:t xml:space="preserve">A comparable market price is determined by comparing the cost mark-up in a transaction or transactions performed in the same or comparable circumstances between </w:t>
      </w:r>
      <w:proofErr w:type="spellStart"/>
      <w:r>
        <w:rPr>
          <w:rFonts w:ascii="Arial" w:eastAsia="Times New Roman" w:hAnsi="Arial" w:cs="Arial"/>
          <w:sz w:val="20"/>
          <w:szCs w:val="20"/>
          <w:lang w:val="en-GB"/>
        </w:rPr>
        <w:t>un</w:t>
      </w:r>
      <w:r w:rsidR="003E0B4B">
        <w:rPr>
          <w:rFonts w:ascii="Arial" w:eastAsia="Times New Roman" w:hAnsi="Arial" w:cs="Arial"/>
          <w:sz w:val="20"/>
          <w:szCs w:val="20"/>
          <w:lang w:val="en-GB"/>
        </w:rPr>
        <w:t>associated</w:t>
      </w:r>
      <w:proofErr w:type="spellEnd"/>
      <w:r>
        <w:rPr>
          <w:rFonts w:ascii="Arial" w:eastAsia="Times New Roman" w:hAnsi="Arial" w:cs="Arial"/>
          <w:sz w:val="20"/>
          <w:szCs w:val="20"/>
          <w:lang w:val="en-GB"/>
        </w:rPr>
        <w:t xml:space="preserve"> parties. A cost mark-up comparison is made </w:t>
      </w:r>
      <w:proofErr w:type="gramStart"/>
      <w:r>
        <w:rPr>
          <w:rFonts w:ascii="Arial" w:eastAsia="Times New Roman" w:hAnsi="Arial" w:cs="Arial"/>
          <w:sz w:val="20"/>
          <w:szCs w:val="20"/>
          <w:lang w:val="en-GB"/>
        </w:rPr>
        <w:t>on the basis of</w:t>
      </w:r>
      <w:proofErr w:type="gramEnd"/>
      <w:r>
        <w:rPr>
          <w:rFonts w:ascii="Arial" w:eastAsia="Times New Roman" w:hAnsi="Arial" w:cs="Arial"/>
          <w:sz w:val="20"/>
          <w:szCs w:val="20"/>
          <w:lang w:val="en-GB"/>
        </w:rPr>
        <w:t xml:space="preserve"> the following (TPR 4/4):</w:t>
      </w:r>
    </w:p>
    <w:p w14:paraId="28FDAA4A" w14:textId="77777777" w:rsidR="0005289E" w:rsidRPr="004F2499" w:rsidRDefault="0005289E" w:rsidP="009553C8">
      <w:pPr>
        <w:spacing w:line="260" w:lineRule="atLeast"/>
        <w:jc w:val="both"/>
        <w:rPr>
          <w:rFonts w:ascii="Arial" w:eastAsia="Times New Roman" w:hAnsi="Arial" w:cs="Arial"/>
          <w:sz w:val="10"/>
          <w:szCs w:val="10"/>
        </w:rPr>
      </w:pPr>
    </w:p>
    <w:p w14:paraId="267A9CD8" w14:textId="5D828393" w:rsidR="00666077" w:rsidRPr="00904D3B" w:rsidRDefault="006216F4" w:rsidP="009553C8">
      <w:pPr>
        <w:numPr>
          <w:ilvl w:val="0"/>
          <w:numId w:val="15"/>
        </w:numPr>
        <w:spacing w:line="260" w:lineRule="atLeast"/>
        <w:ind w:left="284" w:hanging="284"/>
        <w:jc w:val="both"/>
        <w:rPr>
          <w:rFonts w:ascii="Arial" w:eastAsia="Times New Roman" w:hAnsi="Arial" w:cs="Arial"/>
          <w:sz w:val="20"/>
          <w:szCs w:val="20"/>
        </w:rPr>
      </w:pPr>
      <w:r>
        <w:rPr>
          <w:rFonts w:ascii="Arial" w:eastAsia="Times New Roman" w:hAnsi="Arial" w:cs="Arial"/>
          <w:b/>
          <w:bCs/>
          <w:sz w:val="20"/>
          <w:szCs w:val="20"/>
          <w:lang w:val="en-GB"/>
        </w:rPr>
        <w:t>internal comparable</w:t>
      </w:r>
      <w:r>
        <w:rPr>
          <w:rFonts w:ascii="Arial" w:eastAsia="Times New Roman" w:hAnsi="Arial" w:cs="Arial"/>
          <w:sz w:val="20"/>
          <w:szCs w:val="20"/>
          <w:lang w:val="en-GB"/>
        </w:rPr>
        <w:t xml:space="preserve"> </w:t>
      </w:r>
      <w:r w:rsidR="00666077">
        <w:rPr>
          <w:rFonts w:ascii="Arial" w:eastAsia="Times New Roman" w:hAnsi="Arial" w:cs="Arial"/>
          <w:sz w:val="20"/>
          <w:szCs w:val="20"/>
          <w:lang w:val="en-GB"/>
        </w:rPr>
        <w:t xml:space="preserve">comparing cost mark-ups, using an appropriately comparable cost base, between </w:t>
      </w:r>
      <w:r w:rsidR="003E0B4B">
        <w:rPr>
          <w:rFonts w:ascii="Arial" w:eastAsia="Times New Roman" w:hAnsi="Arial" w:cs="Arial"/>
          <w:sz w:val="20"/>
          <w:szCs w:val="20"/>
          <w:lang w:val="en-GB"/>
        </w:rPr>
        <w:t>associated</w:t>
      </w:r>
      <w:r w:rsidR="00666077">
        <w:rPr>
          <w:rFonts w:ascii="Arial" w:eastAsia="Times New Roman" w:hAnsi="Arial" w:cs="Arial"/>
          <w:sz w:val="20"/>
          <w:szCs w:val="20"/>
          <w:lang w:val="en-GB"/>
        </w:rPr>
        <w:t xml:space="preserve"> parties with those achieved by </w:t>
      </w:r>
      <w:r w:rsidR="003E0B4B">
        <w:rPr>
          <w:rFonts w:ascii="Arial" w:eastAsia="Times New Roman" w:hAnsi="Arial" w:cs="Arial"/>
          <w:sz w:val="20"/>
          <w:szCs w:val="20"/>
          <w:lang w:val="en-GB"/>
        </w:rPr>
        <w:t>associated</w:t>
      </w:r>
      <w:r w:rsidR="00666077">
        <w:rPr>
          <w:rFonts w:ascii="Arial" w:eastAsia="Times New Roman" w:hAnsi="Arial" w:cs="Arial"/>
          <w:sz w:val="20"/>
          <w:szCs w:val="20"/>
          <w:lang w:val="en-GB"/>
        </w:rPr>
        <w:t xml:space="preserve"> parties themselves or </w:t>
      </w:r>
      <w:r w:rsidR="003E0B4B">
        <w:rPr>
          <w:rFonts w:ascii="Arial" w:eastAsia="Times New Roman" w:hAnsi="Arial" w:cs="Arial"/>
          <w:sz w:val="20"/>
          <w:szCs w:val="20"/>
          <w:lang w:val="en-GB"/>
        </w:rPr>
        <w:t>associated</w:t>
      </w:r>
      <w:r w:rsidR="00666077">
        <w:rPr>
          <w:rFonts w:ascii="Arial" w:eastAsia="Times New Roman" w:hAnsi="Arial" w:cs="Arial"/>
          <w:sz w:val="20"/>
          <w:szCs w:val="20"/>
          <w:lang w:val="en-GB"/>
        </w:rPr>
        <w:t xml:space="preserve"> parties with </w:t>
      </w:r>
      <w:proofErr w:type="spellStart"/>
      <w:r w:rsidR="00666077">
        <w:rPr>
          <w:rFonts w:ascii="Arial" w:eastAsia="Times New Roman" w:hAnsi="Arial" w:cs="Arial"/>
          <w:sz w:val="20"/>
          <w:szCs w:val="20"/>
          <w:lang w:val="en-GB"/>
        </w:rPr>
        <w:t>un</w:t>
      </w:r>
      <w:r w:rsidR="003E0B4B">
        <w:rPr>
          <w:rFonts w:ascii="Arial" w:eastAsia="Times New Roman" w:hAnsi="Arial" w:cs="Arial"/>
          <w:sz w:val="20"/>
          <w:szCs w:val="20"/>
          <w:lang w:val="en-GB"/>
        </w:rPr>
        <w:t>associated</w:t>
      </w:r>
      <w:proofErr w:type="spellEnd"/>
      <w:r w:rsidR="00666077">
        <w:rPr>
          <w:rFonts w:ascii="Arial" w:eastAsia="Times New Roman" w:hAnsi="Arial" w:cs="Arial"/>
          <w:sz w:val="20"/>
          <w:szCs w:val="20"/>
          <w:lang w:val="en-GB"/>
        </w:rPr>
        <w:t xml:space="preserve"> parties; or</w:t>
      </w:r>
    </w:p>
    <w:p w14:paraId="48DFDAA4" w14:textId="2979DBA0" w:rsidR="00666077" w:rsidRPr="00904D3B" w:rsidRDefault="006216F4" w:rsidP="009553C8">
      <w:pPr>
        <w:numPr>
          <w:ilvl w:val="0"/>
          <w:numId w:val="15"/>
        </w:numPr>
        <w:spacing w:line="260" w:lineRule="atLeast"/>
        <w:ind w:left="284" w:hanging="284"/>
        <w:jc w:val="both"/>
        <w:rPr>
          <w:rFonts w:ascii="Arial" w:eastAsia="Times New Roman" w:hAnsi="Arial" w:cs="Arial"/>
          <w:sz w:val="20"/>
          <w:szCs w:val="20"/>
        </w:rPr>
      </w:pPr>
      <w:r>
        <w:rPr>
          <w:rFonts w:ascii="Arial" w:eastAsia="Times New Roman" w:hAnsi="Arial" w:cs="Arial"/>
          <w:b/>
          <w:bCs/>
          <w:sz w:val="20"/>
          <w:szCs w:val="20"/>
          <w:lang w:val="en-GB"/>
        </w:rPr>
        <w:t>external comparable</w:t>
      </w:r>
      <w:r>
        <w:rPr>
          <w:rFonts w:ascii="Arial" w:eastAsia="Times New Roman" w:hAnsi="Arial" w:cs="Arial"/>
          <w:sz w:val="20"/>
          <w:szCs w:val="20"/>
          <w:lang w:val="en-GB"/>
        </w:rPr>
        <w:t xml:space="preserve"> </w:t>
      </w:r>
      <w:r w:rsidR="00666077">
        <w:rPr>
          <w:rFonts w:ascii="Arial" w:eastAsia="Times New Roman" w:hAnsi="Arial" w:cs="Arial"/>
          <w:sz w:val="20"/>
          <w:szCs w:val="20"/>
          <w:lang w:val="en-GB"/>
        </w:rPr>
        <w:t xml:space="preserve">comparing cost mark-ups, using an appropriately comparable cost base, between </w:t>
      </w:r>
      <w:r w:rsidR="003E0B4B">
        <w:rPr>
          <w:rFonts w:ascii="Arial" w:eastAsia="Times New Roman" w:hAnsi="Arial" w:cs="Arial"/>
          <w:sz w:val="20"/>
          <w:szCs w:val="20"/>
          <w:lang w:val="en-GB"/>
        </w:rPr>
        <w:t>associated</w:t>
      </w:r>
      <w:r w:rsidR="00666077">
        <w:rPr>
          <w:rFonts w:ascii="Arial" w:eastAsia="Times New Roman" w:hAnsi="Arial" w:cs="Arial"/>
          <w:sz w:val="20"/>
          <w:szCs w:val="20"/>
          <w:lang w:val="en-GB"/>
        </w:rPr>
        <w:t xml:space="preserve"> parties with those achieved or potentially achieved on the market by </w:t>
      </w:r>
      <w:proofErr w:type="spellStart"/>
      <w:r w:rsidR="00666077">
        <w:rPr>
          <w:rFonts w:ascii="Arial" w:eastAsia="Times New Roman" w:hAnsi="Arial" w:cs="Arial"/>
          <w:sz w:val="20"/>
          <w:szCs w:val="20"/>
          <w:lang w:val="en-GB"/>
        </w:rPr>
        <w:t>un</w:t>
      </w:r>
      <w:r w:rsidR="003E0B4B">
        <w:rPr>
          <w:rFonts w:ascii="Arial" w:eastAsia="Times New Roman" w:hAnsi="Arial" w:cs="Arial"/>
          <w:sz w:val="20"/>
          <w:szCs w:val="20"/>
          <w:lang w:val="en-GB"/>
        </w:rPr>
        <w:t>associated</w:t>
      </w:r>
      <w:proofErr w:type="spellEnd"/>
      <w:r w:rsidR="00666077">
        <w:rPr>
          <w:rFonts w:ascii="Arial" w:eastAsia="Times New Roman" w:hAnsi="Arial" w:cs="Arial"/>
          <w:sz w:val="20"/>
          <w:szCs w:val="20"/>
          <w:lang w:val="en-GB"/>
        </w:rPr>
        <w:t xml:space="preserve"> parties.</w:t>
      </w:r>
    </w:p>
    <w:p w14:paraId="4ED3AD0E" w14:textId="77777777" w:rsidR="00700A76" w:rsidRDefault="00700A76" w:rsidP="009553C8">
      <w:pPr>
        <w:tabs>
          <w:tab w:val="left" w:pos="3402"/>
        </w:tabs>
        <w:spacing w:line="260" w:lineRule="atLeast"/>
        <w:jc w:val="both"/>
        <w:rPr>
          <w:rFonts w:ascii="Arial" w:eastAsia="Times New Roman" w:hAnsi="Arial" w:cs="Arial"/>
          <w:sz w:val="20"/>
          <w:szCs w:val="20"/>
        </w:rPr>
      </w:pPr>
    </w:p>
    <w:p w14:paraId="29A2C602" w14:textId="5A094101" w:rsidR="00666077" w:rsidRDefault="00666077" w:rsidP="009553C8">
      <w:pPr>
        <w:tabs>
          <w:tab w:val="left" w:pos="3402"/>
        </w:tabs>
        <w:spacing w:line="260" w:lineRule="atLeast"/>
        <w:jc w:val="both"/>
        <w:rPr>
          <w:rFonts w:ascii="Arial" w:eastAsia="Times New Roman" w:hAnsi="Arial" w:cs="Arial"/>
          <w:sz w:val="20"/>
          <w:szCs w:val="20"/>
        </w:rPr>
      </w:pPr>
      <w:r>
        <w:rPr>
          <w:rFonts w:ascii="Arial" w:eastAsia="Times New Roman" w:hAnsi="Arial" w:cs="Arial"/>
          <w:sz w:val="20"/>
          <w:szCs w:val="20"/>
          <w:lang w:val="en-GB"/>
        </w:rPr>
        <w:t xml:space="preserve">The OECD Guidelines provide for the use of the </w:t>
      </w:r>
      <w:proofErr w:type="gramStart"/>
      <w:r>
        <w:rPr>
          <w:rFonts w:ascii="Arial" w:eastAsia="Times New Roman" w:hAnsi="Arial" w:cs="Arial"/>
          <w:sz w:val="20"/>
          <w:szCs w:val="20"/>
          <w:lang w:val="en-GB"/>
        </w:rPr>
        <w:t>cost plus</w:t>
      </w:r>
      <w:proofErr w:type="gramEnd"/>
      <w:r>
        <w:rPr>
          <w:rFonts w:ascii="Arial" w:eastAsia="Times New Roman" w:hAnsi="Arial" w:cs="Arial"/>
          <w:sz w:val="20"/>
          <w:szCs w:val="20"/>
          <w:lang w:val="en-GB"/>
        </w:rPr>
        <w:t xml:space="preserve"> method in paragraphs 2.45-2.61 (or in paragraphs 2.39-2.55 of the 2010 OECD Guidelines).</w:t>
      </w:r>
      <w:r>
        <w:rPr>
          <w:rFonts w:ascii="Arial" w:eastAsia="Times New Roman" w:hAnsi="Arial" w:cs="Arial"/>
          <w:sz w:val="24"/>
          <w:szCs w:val="24"/>
          <w:lang w:val="en-GB"/>
        </w:rPr>
        <w:t xml:space="preserve"> </w:t>
      </w:r>
      <w:r>
        <w:rPr>
          <w:rFonts w:ascii="Arial" w:eastAsia="Times New Roman" w:hAnsi="Arial" w:cs="Arial"/>
          <w:sz w:val="20"/>
          <w:szCs w:val="20"/>
          <w:lang w:val="en-GB"/>
        </w:rPr>
        <w:t xml:space="preserve">The </w:t>
      </w:r>
      <w:proofErr w:type="gramStart"/>
      <w:r>
        <w:rPr>
          <w:rFonts w:ascii="Arial" w:eastAsia="Times New Roman" w:hAnsi="Arial" w:cs="Arial"/>
          <w:sz w:val="20"/>
          <w:szCs w:val="20"/>
          <w:lang w:val="en-GB"/>
        </w:rPr>
        <w:t>cost plus</w:t>
      </w:r>
      <w:proofErr w:type="gramEnd"/>
      <w:r>
        <w:rPr>
          <w:rFonts w:ascii="Arial" w:eastAsia="Times New Roman" w:hAnsi="Arial" w:cs="Arial"/>
          <w:sz w:val="20"/>
          <w:szCs w:val="20"/>
          <w:lang w:val="en-GB"/>
        </w:rPr>
        <w:t xml:space="preserve"> method is based on the costs incurred by the supplier of assets (or services) in </w:t>
      </w:r>
      <w:proofErr w:type="spellStart"/>
      <w:r>
        <w:rPr>
          <w:rFonts w:ascii="Arial" w:eastAsia="Times New Roman" w:hAnsi="Arial" w:cs="Arial"/>
          <w:sz w:val="20"/>
          <w:szCs w:val="20"/>
          <w:lang w:val="en-GB"/>
        </w:rPr>
        <w:t>a</w:t>
      </w:r>
      <w:proofErr w:type="spellEnd"/>
      <w:r>
        <w:rPr>
          <w:rFonts w:ascii="Arial" w:eastAsia="Times New Roman" w:hAnsi="Arial" w:cs="Arial"/>
          <w:sz w:val="20"/>
          <w:szCs w:val="20"/>
          <w:lang w:val="en-GB"/>
        </w:rPr>
        <w:t xml:space="preserve"> </w:t>
      </w:r>
      <w:r w:rsidR="003E0B4B">
        <w:rPr>
          <w:rFonts w:ascii="Arial" w:eastAsia="Times New Roman" w:hAnsi="Arial" w:cs="Arial"/>
          <w:sz w:val="20"/>
          <w:szCs w:val="20"/>
          <w:lang w:val="en-GB"/>
        </w:rPr>
        <w:t>associated</w:t>
      </w:r>
      <w:r>
        <w:rPr>
          <w:rFonts w:ascii="Arial" w:eastAsia="Times New Roman" w:hAnsi="Arial" w:cs="Arial"/>
          <w:sz w:val="20"/>
          <w:szCs w:val="20"/>
          <w:lang w:val="en-GB"/>
        </w:rPr>
        <w:t xml:space="preserve">-party transaction by transferring such assets or services to </w:t>
      </w:r>
      <w:proofErr w:type="spellStart"/>
      <w:r>
        <w:rPr>
          <w:rFonts w:ascii="Arial" w:eastAsia="Times New Roman" w:hAnsi="Arial" w:cs="Arial"/>
          <w:sz w:val="20"/>
          <w:szCs w:val="20"/>
          <w:lang w:val="en-GB"/>
        </w:rPr>
        <w:t>a</w:t>
      </w:r>
      <w:proofErr w:type="spellEnd"/>
      <w:r>
        <w:rPr>
          <w:rFonts w:ascii="Arial" w:eastAsia="Times New Roman" w:hAnsi="Arial" w:cs="Arial"/>
          <w:sz w:val="20"/>
          <w:szCs w:val="20"/>
          <w:lang w:val="en-GB"/>
        </w:rPr>
        <w:t xml:space="preserve"> </w:t>
      </w:r>
      <w:r w:rsidR="003E0B4B">
        <w:rPr>
          <w:rFonts w:ascii="Arial" w:eastAsia="Times New Roman" w:hAnsi="Arial" w:cs="Arial"/>
          <w:sz w:val="20"/>
          <w:szCs w:val="20"/>
          <w:lang w:val="en-GB"/>
        </w:rPr>
        <w:t>associated</w:t>
      </w:r>
      <w:r>
        <w:rPr>
          <w:rFonts w:ascii="Arial" w:eastAsia="Times New Roman" w:hAnsi="Arial" w:cs="Arial"/>
          <w:sz w:val="20"/>
          <w:szCs w:val="20"/>
          <w:lang w:val="en-GB"/>
        </w:rPr>
        <w:t xml:space="preserve"> customer. These costs are increased by a reasonable mark-up which ensures an appropriate profit </w:t>
      </w:r>
      <w:proofErr w:type="gramStart"/>
      <w:r>
        <w:rPr>
          <w:rFonts w:ascii="Arial" w:eastAsia="Times New Roman" w:hAnsi="Arial" w:cs="Arial"/>
          <w:sz w:val="20"/>
          <w:szCs w:val="20"/>
          <w:lang w:val="en-GB"/>
        </w:rPr>
        <w:t>in light of</w:t>
      </w:r>
      <w:proofErr w:type="gramEnd"/>
      <w:r>
        <w:rPr>
          <w:rFonts w:ascii="Arial" w:eastAsia="Times New Roman" w:hAnsi="Arial" w:cs="Arial"/>
          <w:sz w:val="20"/>
          <w:szCs w:val="20"/>
          <w:lang w:val="en-GB"/>
        </w:rPr>
        <w:t xml:space="preserve"> the functions performed and market conditions. The price, which is the sum of this cost mark-up and the </w:t>
      </w:r>
      <w:proofErr w:type="gramStart"/>
      <w:r>
        <w:rPr>
          <w:rFonts w:ascii="Arial" w:eastAsia="Times New Roman" w:hAnsi="Arial" w:cs="Arial"/>
          <w:sz w:val="20"/>
          <w:szCs w:val="20"/>
          <w:lang w:val="en-GB"/>
        </w:rPr>
        <w:t>aforementioned costs</w:t>
      </w:r>
      <w:proofErr w:type="gramEnd"/>
      <w:r>
        <w:rPr>
          <w:rFonts w:ascii="Arial" w:eastAsia="Times New Roman" w:hAnsi="Arial" w:cs="Arial"/>
          <w:sz w:val="20"/>
          <w:szCs w:val="20"/>
          <w:lang w:val="en-GB"/>
        </w:rPr>
        <w:t xml:space="preserve">, can be considered to be the comparable market price of the original </w:t>
      </w:r>
      <w:r w:rsidR="003E0B4B">
        <w:rPr>
          <w:rFonts w:ascii="Arial" w:eastAsia="Times New Roman" w:hAnsi="Arial" w:cs="Arial"/>
          <w:sz w:val="20"/>
          <w:szCs w:val="20"/>
          <w:lang w:val="en-GB"/>
        </w:rPr>
        <w:t>associated</w:t>
      </w:r>
      <w:r>
        <w:rPr>
          <w:rFonts w:ascii="Arial" w:eastAsia="Times New Roman" w:hAnsi="Arial" w:cs="Arial"/>
          <w:sz w:val="20"/>
          <w:szCs w:val="20"/>
          <w:lang w:val="en-GB"/>
        </w:rPr>
        <w:t xml:space="preserve">-party transaction. This method is probably the most useful when semi-finished products are sold between </w:t>
      </w:r>
      <w:r w:rsidR="003E0B4B">
        <w:rPr>
          <w:rFonts w:ascii="Arial" w:eastAsia="Times New Roman" w:hAnsi="Arial" w:cs="Arial"/>
          <w:sz w:val="20"/>
          <w:szCs w:val="20"/>
          <w:lang w:val="en-GB"/>
        </w:rPr>
        <w:t>associated</w:t>
      </w:r>
      <w:r>
        <w:rPr>
          <w:rFonts w:ascii="Arial" w:eastAsia="Times New Roman" w:hAnsi="Arial" w:cs="Arial"/>
          <w:sz w:val="20"/>
          <w:szCs w:val="20"/>
          <w:lang w:val="en-GB"/>
        </w:rPr>
        <w:t xml:space="preserve"> parties, when </w:t>
      </w:r>
      <w:r w:rsidR="003E0B4B">
        <w:rPr>
          <w:rFonts w:ascii="Arial" w:eastAsia="Times New Roman" w:hAnsi="Arial" w:cs="Arial"/>
          <w:sz w:val="20"/>
          <w:szCs w:val="20"/>
          <w:lang w:val="en-GB"/>
        </w:rPr>
        <w:t>associated</w:t>
      </w:r>
      <w:r>
        <w:rPr>
          <w:rFonts w:ascii="Arial" w:eastAsia="Times New Roman" w:hAnsi="Arial" w:cs="Arial"/>
          <w:sz w:val="20"/>
          <w:szCs w:val="20"/>
          <w:lang w:val="en-GB"/>
        </w:rPr>
        <w:t xml:space="preserve"> parties have entered into joint production or long-term purchase and supply agreements, or when </w:t>
      </w:r>
      <w:proofErr w:type="spellStart"/>
      <w:proofErr w:type="gramStart"/>
      <w:r>
        <w:rPr>
          <w:rFonts w:ascii="Arial" w:eastAsia="Times New Roman" w:hAnsi="Arial" w:cs="Arial"/>
          <w:sz w:val="20"/>
          <w:szCs w:val="20"/>
          <w:lang w:val="en-GB"/>
        </w:rPr>
        <w:t>a</w:t>
      </w:r>
      <w:proofErr w:type="spellEnd"/>
      <w:proofErr w:type="gramEnd"/>
      <w:r>
        <w:rPr>
          <w:rFonts w:ascii="Arial" w:eastAsia="Times New Roman" w:hAnsi="Arial" w:cs="Arial"/>
          <w:sz w:val="20"/>
          <w:szCs w:val="20"/>
          <w:lang w:val="en-GB"/>
        </w:rPr>
        <w:t xml:space="preserve"> </w:t>
      </w:r>
      <w:r w:rsidR="003E0B4B">
        <w:rPr>
          <w:rFonts w:ascii="Arial" w:eastAsia="Times New Roman" w:hAnsi="Arial" w:cs="Arial"/>
          <w:sz w:val="20"/>
          <w:szCs w:val="20"/>
          <w:lang w:val="en-GB"/>
        </w:rPr>
        <w:t>associated</w:t>
      </w:r>
      <w:r>
        <w:rPr>
          <w:rFonts w:ascii="Arial" w:eastAsia="Times New Roman" w:hAnsi="Arial" w:cs="Arial"/>
          <w:sz w:val="20"/>
          <w:szCs w:val="20"/>
          <w:lang w:val="en-GB"/>
        </w:rPr>
        <w:t xml:space="preserve">-party service transaction is involved. </w:t>
      </w:r>
    </w:p>
    <w:p w14:paraId="6492FEFC" w14:textId="77777777" w:rsidR="009553C8" w:rsidRDefault="009553C8" w:rsidP="009553C8">
      <w:pPr>
        <w:tabs>
          <w:tab w:val="left" w:pos="3402"/>
        </w:tabs>
        <w:spacing w:line="260" w:lineRule="atLeast"/>
        <w:jc w:val="both"/>
        <w:rPr>
          <w:rFonts w:ascii="Arial" w:eastAsia="Times New Roman" w:hAnsi="Arial" w:cs="Arial"/>
          <w:sz w:val="20"/>
          <w:szCs w:val="20"/>
        </w:rPr>
      </w:pPr>
    </w:p>
    <w:p w14:paraId="01769F37" w14:textId="77777777" w:rsidR="00257BB8" w:rsidRPr="00AA2C04" w:rsidRDefault="00257BB8" w:rsidP="00756903">
      <w:pPr>
        <w:pStyle w:val="Brezrazmikov"/>
        <w:spacing w:line="240" w:lineRule="atLeast"/>
        <w:rPr>
          <w:highlight w:val="cyan"/>
        </w:rPr>
      </w:pPr>
    </w:p>
    <w:tbl>
      <w:tblPr>
        <w:tblW w:w="8613" w:type="dxa"/>
        <w:tblCellMar>
          <w:left w:w="0" w:type="dxa"/>
          <w:right w:w="0" w:type="dxa"/>
        </w:tblCellMar>
        <w:tblLook w:val="04A0" w:firstRow="1" w:lastRow="0" w:firstColumn="1" w:lastColumn="0" w:noHBand="0" w:noVBand="1"/>
      </w:tblPr>
      <w:tblGrid>
        <w:gridCol w:w="6912"/>
        <w:gridCol w:w="1701"/>
      </w:tblGrid>
      <w:tr w:rsidR="00666077" w:rsidRPr="00904D3B" w14:paraId="4369AB8B" w14:textId="77777777" w:rsidTr="00E479C1">
        <w:trPr>
          <w:trHeight w:val="313"/>
        </w:trPr>
        <w:tc>
          <w:tcPr>
            <w:tcW w:w="8613"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vAlign w:val="center"/>
          </w:tcPr>
          <w:p w14:paraId="3EC6B01C" w14:textId="77777777" w:rsidR="00666077" w:rsidRDefault="00666077" w:rsidP="00756903">
            <w:pPr>
              <w:jc w:val="center"/>
              <w:rPr>
                <w:rFonts w:ascii="Arial" w:eastAsia="Calibri" w:hAnsi="Arial" w:cs="Arial"/>
                <w:b/>
                <w:bCs/>
                <w:i/>
                <w:color w:val="000000"/>
                <w:sz w:val="18"/>
                <w:szCs w:val="18"/>
              </w:rPr>
            </w:pPr>
            <w:r>
              <w:rPr>
                <w:rFonts w:ascii="Arial" w:eastAsia="Calibri" w:hAnsi="Arial" w:cs="Arial"/>
                <w:b/>
                <w:bCs/>
                <w:i/>
                <w:iCs/>
                <w:color w:val="000000"/>
                <w:sz w:val="18"/>
                <w:szCs w:val="18"/>
                <w:lang w:val="en-GB"/>
              </w:rPr>
              <w:t xml:space="preserve">The use of the </w:t>
            </w:r>
            <w:proofErr w:type="gramStart"/>
            <w:r>
              <w:rPr>
                <w:rFonts w:ascii="Arial" w:eastAsia="Calibri" w:hAnsi="Arial" w:cs="Arial"/>
                <w:b/>
                <w:bCs/>
                <w:i/>
                <w:iCs/>
                <w:color w:val="000000"/>
                <w:sz w:val="18"/>
                <w:szCs w:val="18"/>
                <w:lang w:val="en-GB"/>
              </w:rPr>
              <w:t>cost plus</w:t>
            </w:r>
            <w:proofErr w:type="gramEnd"/>
            <w:r>
              <w:rPr>
                <w:rFonts w:ascii="Arial" w:eastAsia="Calibri" w:hAnsi="Arial" w:cs="Arial"/>
                <w:b/>
                <w:bCs/>
                <w:i/>
                <w:iCs/>
                <w:color w:val="000000"/>
                <w:sz w:val="18"/>
                <w:szCs w:val="18"/>
                <w:lang w:val="en-GB"/>
              </w:rPr>
              <w:t xml:space="preserve"> method (a contract manufacturer example)</w:t>
            </w:r>
          </w:p>
          <w:p w14:paraId="675F05AD" w14:textId="77777777" w:rsidR="001C5964" w:rsidRPr="00227C1D" w:rsidRDefault="001C5964" w:rsidP="00756903">
            <w:pPr>
              <w:jc w:val="center"/>
              <w:rPr>
                <w:rFonts w:ascii="Arial" w:eastAsia="Calibri" w:hAnsi="Arial" w:cs="Arial"/>
                <w:b/>
                <w:i/>
                <w:sz w:val="18"/>
                <w:szCs w:val="18"/>
              </w:rPr>
            </w:pPr>
          </w:p>
        </w:tc>
      </w:tr>
      <w:tr w:rsidR="00666077" w:rsidRPr="00904D3B" w14:paraId="55CDB7C5" w14:textId="77777777" w:rsidTr="00666077">
        <w:trPr>
          <w:trHeight w:val="240"/>
        </w:trPr>
        <w:tc>
          <w:tcPr>
            <w:tcW w:w="69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7E6CA56" w14:textId="77777777" w:rsidR="00666077" w:rsidRPr="00227C1D" w:rsidRDefault="00666077" w:rsidP="00756903">
            <w:pPr>
              <w:snapToGrid w:val="0"/>
              <w:ind w:right="-850"/>
              <w:rPr>
                <w:rFonts w:ascii="Arial" w:eastAsia="Calibri" w:hAnsi="Arial" w:cs="Arial"/>
                <w:sz w:val="18"/>
                <w:szCs w:val="18"/>
              </w:rPr>
            </w:pPr>
            <w:r>
              <w:rPr>
                <w:rFonts w:ascii="Arial" w:eastAsia="Calibri" w:hAnsi="Arial" w:cs="Arial"/>
                <w:sz w:val="18"/>
                <w:szCs w:val="18"/>
                <w:lang w:val="en-GB"/>
              </w:rPr>
              <w:t>The cost of raw materials and supplies</w:t>
            </w:r>
          </w:p>
        </w:tc>
        <w:tc>
          <w:tcPr>
            <w:tcW w:w="170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BED3315" w14:textId="77777777" w:rsidR="00666077" w:rsidRPr="00904D3B" w:rsidRDefault="00666077" w:rsidP="00756903">
            <w:pPr>
              <w:snapToGrid w:val="0"/>
              <w:ind w:right="-850"/>
              <w:rPr>
                <w:rFonts w:ascii="Arial" w:eastAsia="Calibri" w:hAnsi="Arial" w:cs="Arial"/>
                <w:sz w:val="18"/>
                <w:szCs w:val="18"/>
              </w:rPr>
            </w:pPr>
            <w:r>
              <w:rPr>
                <w:rFonts w:ascii="Arial" w:eastAsia="Calibri" w:hAnsi="Arial" w:cs="Arial"/>
                <w:sz w:val="18"/>
                <w:szCs w:val="18"/>
                <w:lang w:val="en-GB"/>
              </w:rPr>
              <w:t xml:space="preserve">                     300</w:t>
            </w:r>
          </w:p>
        </w:tc>
      </w:tr>
      <w:tr w:rsidR="00666077" w:rsidRPr="00904D3B" w14:paraId="71932B41" w14:textId="77777777" w:rsidTr="00666077">
        <w:trPr>
          <w:trHeight w:val="240"/>
        </w:trPr>
        <w:tc>
          <w:tcPr>
            <w:tcW w:w="69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00FE63E" w14:textId="77777777" w:rsidR="00666077" w:rsidRPr="00227C1D" w:rsidRDefault="00666077" w:rsidP="00756903">
            <w:pPr>
              <w:snapToGrid w:val="0"/>
              <w:ind w:right="-850"/>
              <w:rPr>
                <w:rFonts w:ascii="Arial" w:eastAsia="Calibri" w:hAnsi="Arial" w:cs="Arial"/>
                <w:sz w:val="18"/>
                <w:szCs w:val="18"/>
              </w:rPr>
            </w:pPr>
            <w:r>
              <w:rPr>
                <w:rFonts w:ascii="Arial" w:eastAsia="Calibri" w:hAnsi="Arial" w:cs="Arial"/>
                <w:sz w:val="18"/>
                <w:szCs w:val="18"/>
                <w:lang w:val="en-GB"/>
              </w:rPr>
              <w:t>Other direct and indirect production costs</w:t>
            </w:r>
          </w:p>
        </w:tc>
        <w:tc>
          <w:tcPr>
            <w:tcW w:w="1701"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0D00C506" w14:textId="77777777" w:rsidR="00666077" w:rsidRPr="00904D3B" w:rsidRDefault="00666077" w:rsidP="00756903">
            <w:pPr>
              <w:snapToGrid w:val="0"/>
              <w:ind w:right="-850"/>
              <w:rPr>
                <w:rFonts w:ascii="Arial" w:eastAsia="Calibri" w:hAnsi="Arial" w:cs="Arial"/>
                <w:sz w:val="18"/>
                <w:szCs w:val="18"/>
              </w:rPr>
            </w:pPr>
            <w:r>
              <w:rPr>
                <w:rFonts w:ascii="Arial" w:eastAsia="Calibri" w:hAnsi="Arial" w:cs="Arial"/>
                <w:sz w:val="18"/>
                <w:szCs w:val="18"/>
                <w:lang w:val="en-GB"/>
              </w:rPr>
              <w:t xml:space="preserve">                     150</w:t>
            </w:r>
          </w:p>
        </w:tc>
      </w:tr>
      <w:tr w:rsidR="00666077" w:rsidRPr="00904D3B" w14:paraId="2A40923F" w14:textId="77777777" w:rsidTr="00666077">
        <w:trPr>
          <w:trHeight w:val="254"/>
        </w:trPr>
        <w:tc>
          <w:tcPr>
            <w:tcW w:w="69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5EF3FAB" w14:textId="77777777" w:rsidR="00666077" w:rsidRPr="00227C1D" w:rsidRDefault="00666077" w:rsidP="00756903">
            <w:pPr>
              <w:snapToGrid w:val="0"/>
              <w:ind w:right="-850"/>
              <w:rPr>
                <w:rFonts w:ascii="Arial" w:eastAsia="Calibri" w:hAnsi="Arial" w:cs="Arial"/>
                <w:b/>
                <w:sz w:val="18"/>
                <w:szCs w:val="18"/>
              </w:rPr>
            </w:pPr>
            <w:r>
              <w:rPr>
                <w:rFonts w:ascii="Arial" w:eastAsia="Calibri" w:hAnsi="Arial" w:cs="Arial"/>
                <w:b/>
                <w:bCs/>
                <w:sz w:val="18"/>
                <w:szCs w:val="18"/>
                <w:lang w:val="en-GB"/>
              </w:rPr>
              <w:t>Cost mark-up 10%*</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366A620E" w14:textId="77777777" w:rsidR="00666077" w:rsidRPr="00904D3B" w:rsidRDefault="00666077" w:rsidP="00756903">
            <w:pPr>
              <w:snapToGrid w:val="0"/>
              <w:ind w:right="-850"/>
              <w:rPr>
                <w:rFonts w:ascii="Arial" w:eastAsia="Calibri" w:hAnsi="Arial" w:cs="Arial"/>
                <w:b/>
                <w:sz w:val="18"/>
                <w:szCs w:val="18"/>
              </w:rPr>
            </w:pPr>
            <w:r>
              <w:rPr>
                <w:rFonts w:ascii="Arial" w:eastAsia="Calibri" w:hAnsi="Arial" w:cs="Arial"/>
                <w:b/>
                <w:bCs/>
                <w:sz w:val="18"/>
                <w:szCs w:val="18"/>
                <w:lang w:val="en-GB"/>
              </w:rPr>
              <w:t xml:space="preserve">                       45</w:t>
            </w:r>
          </w:p>
        </w:tc>
      </w:tr>
      <w:tr w:rsidR="00666077" w:rsidRPr="00904D3B" w14:paraId="450A62A0" w14:textId="77777777" w:rsidTr="00666077">
        <w:trPr>
          <w:trHeight w:val="225"/>
        </w:trPr>
        <w:tc>
          <w:tcPr>
            <w:tcW w:w="69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A374897" w14:textId="77777777" w:rsidR="00666077" w:rsidRPr="00227C1D" w:rsidRDefault="00666077" w:rsidP="00756903">
            <w:pPr>
              <w:snapToGrid w:val="0"/>
              <w:ind w:right="-850"/>
              <w:rPr>
                <w:rFonts w:ascii="Arial" w:eastAsia="Calibri" w:hAnsi="Arial" w:cs="Arial"/>
                <w:sz w:val="18"/>
                <w:szCs w:val="18"/>
              </w:rPr>
            </w:pPr>
            <w:r>
              <w:rPr>
                <w:rFonts w:ascii="Arial" w:eastAsia="Calibri" w:hAnsi="Arial" w:cs="Arial"/>
                <w:sz w:val="18"/>
                <w:szCs w:val="18"/>
                <w:lang w:val="en-GB"/>
              </w:rPr>
              <w:t xml:space="preserve">Selling price (transfer </w:t>
            </w:r>
            <w:proofErr w:type="gramStart"/>
            <w:r>
              <w:rPr>
                <w:rFonts w:ascii="Arial" w:eastAsia="Calibri" w:hAnsi="Arial" w:cs="Arial"/>
                <w:sz w:val="18"/>
                <w:szCs w:val="18"/>
                <w:lang w:val="en-GB"/>
              </w:rPr>
              <w:t>price)*</w:t>
            </w:r>
            <w:proofErr w:type="gramEnd"/>
            <w:r>
              <w:rPr>
                <w:rFonts w:ascii="Arial" w:eastAsia="Calibri" w:hAnsi="Arial" w:cs="Arial"/>
                <w:sz w:val="18"/>
                <w:szCs w:val="18"/>
                <w:lang w:val="en-GB"/>
              </w:rPr>
              <w:t>*</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05E88A32" w14:textId="77777777" w:rsidR="00666077" w:rsidRPr="00904D3B" w:rsidRDefault="00666077" w:rsidP="00756903">
            <w:pPr>
              <w:snapToGrid w:val="0"/>
              <w:ind w:right="-850"/>
              <w:rPr>
                <w:rFonts w:ascii="Arial" w:eastAsia="Calibri" w:hAnsi="Arial" w:cs="Arial"/>
                <w:sz w:val="18"/>
                <w:szCs w:val="18"/>
              </w:rPr>
            </w:pPr>
            <w:r>
              <w:rPr>
                <w:rFonts w:ascii="Arial" w:eastAsia="Calibri" w:hAnsi="Arial" w:cs="Arial"/>
                <w:sz w:val="18"/>
                <w:szCs w:val="18"/>
                <w:lang w:val="en-GB"/>
              </w:rPr>
              <w:t xml:space="preserve">                     495</w:t>
            </w:r>
          </w:p>
        </w:tc>
      </w:tr>
      <w:tr w:rsidR="00666077" w:rsidRPr="00904D3B" w14:paraId="7483A65B" w14:textId="77777777" w:rsidTr="00666077">
        <w:trPr>
          <w:trHeight w:val="225"/>
        </w:trPr>
        <w:tc>
          <w:tcPr>
            <w:tcW w:w="691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A767263" w14:textId="77777777" w:rsidR="00666077" w:rsidRPr="00227C1D" w:rsidRDefault="00666077" w:rsidP="00756903">
            <w:pPr>
              <w:snapToGrid w:val="0"/>
              <w:ind w:right="-850"/>
              <w:rPr>
                <w:rFonts w:ascii="Arial" w:eastAsia="Calibri" w:hAnsi="Arial" w:cs="Arial"/>
                <w:sz w:val="18"/>
                <w:szCs w:val="18"/>
              </w:rPr>
            </w:pPr>
            <w:r>
              <w:rPr>
                <w:rFonts w:ascii="Arial" w:eastAsia="Calibri" w:hAnsi="Arial" w:cs="Arial"/>
                <w:sz w:val="18"/>
                <w:szCs w:val="18"/>
                <w:lang w:val="en-GB"/>
              </w:rPr>
              <w:t>Overhead and other operating expenses</w:t>
            </w:r>
          </w:p>
        </w:tc>
        <w:tc>
          <w:tcPr>
            <w:tcW w:w="1701" w:type="dxa"/>
            <w:tcBorders>
              <w:top w:val="nil"/>
              <w:left w:val="nil"/>
              <w:bottom w:val="single" w:sz="8" w:space="0" w:color="000000"/>
              <w:right w:val="single" w:sz="8" w:space="0" w:color="000000"/>
            </w:tcBorders>
            <w:tcMar>
              <w:top w:w="0" w:type="dxa"/>
              <w:left w:w="108" w:type="dxa"/>
              <w:bottom w:w="0" w:type="dxa"/>
              <w:right w:w="108" w:type="dxa"/>
            </w:tcMar>
          </w:tcPr>
          <w:p w14:paraId="6D0F06C5" w14:textId="77777777" w:rsidR="00666077" w:rsidRPr="00904D3B" w:rsidRDefault="00666077" w:rsidP="00756903">
            <w:pPr>
              <w:snapToGrid w:val="0"/>
              <w:ind w:right="-850"/>
              <w:rPr>
                <w:rFonts w:ascii="Arial" w:eastAsia="Calibri" w:hAnsi="Arial" w:cs="Arial"/>
                <w:sz w:val="18"/>
                <w:szCs w:val="18"/>
              </w:rPr>
            </w:pPr>
            <w:r>
              <w:rPr>
                <w:rFonts w:ascii="Arial" w:eastAsia="Calibri" w:hAnsi="Arial" w:cs="Arial"/>
                <w:sz w:val="18"/>
                <w:szCs w:val="18"/>
                <w:lang w:val="en-GB"/>
              </w:rPr>
              <w:t xml:space="preserve">                       15</w:t>
            </w:r>
          </w:p>
        </w:tc>
      </w:tr>
      <w:tr w:rsidR="00666077" w:rsidRPr="00904D3B" w14:paraId="1A37721A" w14:textId="77777777" w:rsidTr="00666077">
        <w:trPr>
          <w:trHeight w:val="240"/>
        </w:trPr>
        <w:tc>
          <w:tcPr>
            <w:tcW w:w="69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991D562" w14:textId="77777777" w:rsidR="00666077" w:rsidRPr="00227C1D" w:rsidRDefault="00666077" w:rsidP="00756903">
            <w:pPr>
              <w:snapToGrid w:val="0"/>
              <w:ind w:right="-850"/>
              <w:rPr>
                <w:rFonts w:ascii="Arial" w:eastAsia="Calibri" w:hAnsi="Arial" w:cs="Arial"/>
                <w:sz w:val="18"/>
                <w:szCs w:val="18"/>
              </w:rPr>
            </w:pPr>
            <w:r>
              <w:rPr>
                <w:rFonts w:ascii="Arial" w:eastAsia="Calibri" w:hAnsi="Arial" w:cs="Arial"/>
                <w:sz w:val="18"/>
                <w:szCs w:val="18"/>
                <w:lang w:val="en-GB"/>
              </w:rPr>
              <w:t>Operating profit</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6AB41932" w14:textId="77777777" w:rsidR="00666077" w:rsidRPr="00904D3B" w:rsidRDefault="00666077" w:rsidP="00756903">
            <w:pPr>
              <w:snapToGrid w:val="0"/>
              <w:ind w:right="-850"/>
              <w:rPr>
                <w:rFonts w:ascii="Arial" w:eastAsia="Calibri" w:hAnsi="Arial" w:cs="Arial"/>
                <w:sz w:val="18"/>
                <w:szCs w:val="18"/>
              </w:rPr>
            </w:pPr>
            <w:r>
              <w:rPr>
                <w:rFonts w:ascii="Arial" w:eastAsia="Calibri" w:hAnsi="Arial" w:cs="Arial"/>
                <w:sz w:val="18"/>
                <w:szCs w:val="18"/>
                <w:lang w:val="en-GB"/>
              </w:rPr>
              <w:t xml:space="preserve">                       30</w:t>
            </w:r>
          </w:p>
        </w:tc>
      </w:tr>
      <w:tr w:rsidR="00666077" w:rsidRPr="00904D3B" w14:paraId="4FC8E89B" w14:textId="77777777" w:rsidTr="00666077">
        <w:trPr>
          <w:trHeight w:val="302"/>
        </w:trPr>
        <w:tc>
          <w:tcPr>
            <w:tcW w:w="8613"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C21083D" w14:textId="300F9D47" w:rsidR="00666077" w:rsidRPr="00904D3B" w:rsidRDefault="00666077" w:rsidP="00756903">
            <w:pPr>
              <w:shd w:val="clear" w:color="auto" w:fill="EEECE1"/>
              <w:snapToGrid w:val="0"/>
              <w:ind w:right="-850"/>
              <w:rPr>
                <w:rFonts w:ascii="Arial" w:eastAsia="Calibri" w:hAnsi="Arial" w:cs="Arial"/>
                <w:i/>
                <w:sz w:val="16"/>
                <w:szCs w:val="16"/>
              </w:rPr>
            </w:pPr>
            <w:r>
              <w:rPr>
                <w:rFonts w:ascii="Arial" w:eastAsia="Calibri" w:hAnsi="Arial" w:cs="Arial"/>
                <w:i/>
                <w:iCs/>
                <w:sz w:val="16"/>
                <w:szCs w:val="16"/>
                <w:lang w:val="en-GB"/>
              </w:rPr>
              <w:t xml:space="preserve">* The object of comparison is the </w:t>
            </w:r>
            <w:r>
              <w:rPr>
                <w:rFonts w:ascii="Arial" w:eastAsia="Calibri" w:hAnsi="Arial" w:cs="Arial"/>
                <w:i/>
                <w:iCs/>
                <w:snapToGrid w:val="0"/>
                <w:sz w:val="16"/>
                <w:szCs w:val="16"/>
                <w:lang w:val="en-GB"/>
              </w:rPr>
              <w:t>cost mark-up</w:t>
            </w:r>
            <w:r>
              <w:rPr>
                <w:rFonts w:ascii="Arial" w:eastAsia="Calibri" w:hAnsi="Arial" w:cs="Arial"/>
                <w:i/>
                <w:iCs/>
                <w:sz w:val="16"/>
                <w:szCs w:val="16"/>
                <w:lang w:val="en-GB"/>
              </w:rPr>
              <w:t xml:space="preserve"> in </w:t>
            </w:r>
            <w:proofErr w:type="spellStart"/>
            <w:proofErr w:type="gramStart"/>
            <w:r>
              <w:rPr>
                <w:rFonts w:ascii="Arial" w:eastAsia="Calibri" w:hAnsi="Arial" w:cs="Arial"/>
                <w:i/>
                <w:iCs/>
                <w:sz w:val="16"/>
                <w:szCs w:val="16"/>
                <w:lang w:val="en-GB"/>
              </w:rPr>
              <w:t>a</w:t>
            </w:r>
            <w:proofErr w:type="spellEnd"/>
            <w:proofErr w:type="gramEnd"/>
            <w:r>
              <w:rPr>
                <w:rFonts w:ascii="Arial" w:eastAsia="Calibri" w:hAnsi="Arial" w:cs="Arial"/>
                <w:i/>
                <w:iCs/>
                <w:sz w:val="16"/>
                <w:szCs w:val="16"/>
                <w:lang w:val="en-GB"/>
              </w:rPr>
              <w:t xml:space="preserve"> </w:t>
            </w:r>
            <w:r w:rsidR="003E0B4B">
              <w:rPr>
                <w:rFonts w:ascii="Arial" w:eastAsia="Calibri" w:hAnsi="Arial" w:cs="Arial"/>
                <w:i/>
                <w:iCs/>
                <w:sz w:val="16"/>
                <w:szCs w:val="16"/>
                <w:lang w:val="en-GB"/>
              </w:rPr>
              <w:t>associated</w:t>
            </w:r>
            <w:r>
              <w:rPr>
                <w:rFonts w:ascii="Arial" w:eastAsia="Calibri" w:hAnsi="Arial" w:cs="Arial"/>
                <w:i/>
                <w:iCs/>
                <w:sz w:val="16"/>
                <w:szCs w:val="16"/>
                <w:lang w:val="en-GB"/>
              </w:rPr>
              <w:t xml:space="preserve">-party transaction with a cost mark-up in the price of  </w:t>
            </w:r>
          </w:p>
          <w:p w14:paraId="7A460039" w14:textId="6211856E" w:rsidR="00666077" w:rsidRPr="00904D3B" w:rsidRDefault="00666077" w:rsidP="00756903">
            <w:pPr>
              <w:shd w:val="clear" w:color="auto" w:fill="EEECE1"/>
              <w:snapToGrid w:val="0"/>
              <w:ind w:right="-850"/>
              <w:rPr>
                <w:rFonts w:ascii="Arial" w:eastAsia="Calibri" w:hAnsi="Arial" w:cs="Arial"/>
                <w:i/>
                <w:sz w:val="16"/>
                <w:szCs w:val="16"/>
              </w:rPr>
            </w:pPr>
            <w:r>
              <w:rPr>
                <w:rFonts w:ascii="Arial" w:eastAsia="Calibri" w:hAnsi="Arial" w:cs="Arial"/>
                <w:i/>
                <w:iCs/>
                <w:sz w:val="16"/>
                <w:szCs w:val="16"/>
                <w:lang w:val="en-GB"/>
              </w:rPr>
              <w:t xml:space="preserve"> comparable non-</w:t>
            </w:r>
            <w:r w:rsidR="003E0B4B">
              <w:rPr>
                <w:rFonts w:ascii="Arial" w:eastAsia="Calibri" w:hAnsi="Arial" w:cs="Arial"/>
                <w:i/>
                <w:iCs/>
                <w:sz w:val="16"/>
                <w:szCs w:val="16"/>
                <w:lang w:val="en-GB"/>
              </w:rPr>
              <w:t>associated</w:t>
            </w:r>
            <w:r>
              <w:rPr>
                <w:rFonts w:ascii="Arial" w:eastAsia="Calibri" w:hAnsi="Arial" w:cs="Arial"/>
                <w:i/>
                <w:iCs/>
                <w:sz w:val="16"/>
                <w:szCs w:val="16"/>
                <w:lang w:val="en-GB"/>
              </w:rPr>
              <w:t xml:space="preserve"> party transactions.</w:t>
            </w:r>
          </w:p>
          <w:p w14:paraId="6A837268" w14:textId="77777777" w:rsidR="00666077" w:rsidRPr="00904D3B" w:rsidRDefault="00666077" w:rsidP="00756903">
            <w:pPr>
              <w:shd w:val="clear" w:color="auto" w:fill="EEECE1"/>
              <w:snapToGrid w:val="0"/>
              <w:ind w:right="-850"/>
              <w:rPr>
                <w:rFonts w:ascii="Arial" w:eastAsia="Calibri" w:hAnsi="Arial" w:cs="Arial"/>
                <w:sz w:val="20"/>
                <w:szCs w:val="20"/>
              </w:rPr>
            </w:pPr>
            <w:r>
              <w:rPr>
                <w:rFonts w:ascii="Arial" w:eastAsia="Calibri" w:hAnsi="Arial" w:cs="Arial"/>
                <w:i/>
                <w:iCs/>
                <w:sz w:val="16"/>
                <w:szCs w:val="16"/>
                <w:lang w:val="en-GB"/>
              </w:rPr>
              <w:t>** The selling price equals the transfer price.</w:t>
            </w:r>
          </w:p>
        </w:tc>
      </w:tr>
    </w:tbl>
    <w:p w14:paraId="69906091" w14:textId="77777777" w:rsidR="00E542EE" w:rsidRDefault="00E542EE" w:rsidP="00756903">
      <w:pPr>
        <w:tabs>
          <w:tab w:val="left" w:pos="3402"/>
        </w:tabs>
        <w:jc w:val="both"/>
        <w:rPr>
          <w:rFonts w:ascii="Arial" w:eastAsia="Times New Roman" w:hAnsi="Arial" w:cs="Arial"/>
          <w:b/>
          <w:sz w:val="20"/>
          <w:szCs w:val="20"/>
        </w:rPr>
      </w:pPr>
    </w:p>
    <w:p w14:paraId="62D587D8" w14:textId="77777777" w:rsidR="009553C8" w:rsidRPr="00904D3B" w:rsidRDefault="009553C8" w:rsidP="00756903">
      <w:pPr>
        <w:tabs>
          <w:tab w:val="left" w:pos="3402"/>
        </w:tabs>
        <w:jc w:val="both"/>
        <w:rPr>
          <w:rFonts w:ascii="Arial" w:eastAsia="Times New Roman" w:hAnsi="Arial" w:cs="Arial"/>
          <w:b/>
          <w:sz w:val="20"/>
          <w:szCs w:val="20"/>
        </w:rPr>
      </w:pPr>
    </w:p>
    <w:p w14:paraId="34C95C43" w14:textId="77777777" w:rsidR="00666077" w:rsidRPr="00F27413" w:rsidRDefault="003971AE" w:rsidP="00756903">
      <w:pPr>
        <w:pStyle w:val="Naslov3"/>
        <w:spacing w:before="0" w:after="0" w:line="240" w:lineRule="atLeast"/>
        <w:rPr>
          <w:rFonts w:cs="Arial"/>
        </w:rPr>
      </w:pPr>
      <w:bookmarkStart w:id="21" w:name="_Toc103257432"/>
      <w:r>
        <w:rPr>
          <w:rFonts w:cs="Arial"/>
          <w:lang w:val="en-GB"/>
        </w:rPr>
        <w:t>2.2.4 THE TRANSACTIONAL NET MARGIN METHOD</w:t>
      </w:r>
      <w:bookmarkEnd w:id="21"/>
      <w:r>
        <w:rPr>
          <w:rFonts w:cs="Arial"/>
          <w:lang w:val="en-GB"/>
        </w:rPr>
        <w:t xml:space="preserve"> </w:t>
      </w:r>
    </w:p>
    <w:p w14:paraId="2BE5344F" w14:textId="77777777" w:rsidR="00666077" w:rsidRPr="001F2D24" w:rsidRDefault="00666077" w:rsidP="00756903">
      <w:pPr>
        <w:tabs>
          <w:tab w:val="left" w:pos="3402"/>
        </w:tabs>
        <w:jc w:val="both"/>
        <w:rPr>
          <w:rFonts w:ascii="Arial" w:eastAsia="Times New Roman" w:hAnsi="Arial" w:cs="Arial"/>
          <w:sz w:val="20"/>
          <w:szCs w:val="20"/>
        </w:rPr>
      </w:pPr>
    </w:p>
    <w:p w14:paraId="1314767F" w14:textId="5538C897" w:rsidR="00666077" w:rsidRPr="00904D3B" w:rsidRDefault="00666077" w:rsidP="009553C8">
      <w:pPr>
        <w:spacing w:line="260" w:lineRule="atLeast"/>
        <w:jc w:val="both"/>
        <w:rPr>
          <w:rFonts w:ascii="Arial" w:eastAsia="Times New Roman" w:hAnsi="Arial" w:cs="Arial"/>
          <w:sz w:val="20"/>
          <w:szCs w:val="20"/>
        </w:rPr>
      </w:pPr>
      <w:r>
        <w:rPr>
          <w:rFonts w:ascii="Arial" w:eastAsia="Times New Roman" w:hAnsi="Arial" w:cs="Arial"/>
          <w:sz w:val="20"/>
          <w:szCs w:val="20"/>
          <w:lang w:val="en-GB"/>
        </w:rPr>
        <w:t xml:space="preserve">Pursuant to </w:t>
      </w:r>
      <w:r>
        <w:rPr>
          <w:rFonts w:ascii="Arial" w:eastAsia="Times New Roman" w:hAnsi="Arial" w:cs="Arial"/>
          <w:b/>
          <w:bCs/>
          <w:sz w:val="20"/>
          <w:szCs w:val="20"/>
          <w:lang w:val="en-GB"/>
        </w:rPr>
        <w:t>Article 6 of the TPR</w:t>
      </w:r>
      <w:r>
        <w:rPr>
          <w:rFonts w:ascii="Arial" w:eastAsia="Times New Roman" w:hAnsi="Arial" w:cs="Arial"/>
          <w:sz w:val="20"/>
          <w:szCs w:val="20"/>
          <w:lang w:val="en-GB"/>
        </w:rPr>
        <w:t xml:space="preserve">, the transactional net margin method compares the net profit obtained in </w:t>
      </w:r>
      <w:proofErr w:type="spellStart"/>
      <w:proofErr w:type="gramStart"/>
      <w:r>
        <w:rPr>
          <w:rFonts w:ascii="Arial" w:eastAsia="Times New Roman" w:hAnsi="Arial" w:cs="Arial"/>
          <w:sz w:val="20"/>
          <w:szCs w:val="20"/>
          <w:lang w:val="en-GB"/>
        </w:rPr>
        <w:t>a</w:t>
      </w:r>
      <w:proofErr w:type="spellEnd"/>
      <w:proofErr w:type="gramEnd"/>
      <w:r>
        <w:rPr>
          <w:rFonts w:ascii="Arial" w:eastAsia="Times New Roman" w:hAnsi="Arial" w:cs="Arial"/>
          <w:sz w:val="20"/>
          <w:szCs w:val="20"/>
          <w:lang w:val="en-GB"/>
        </w:rPr>
        <w:t xml:space="preserve"> </w:t>
      </w:r>
      <w:r w:rsidR="003E0B4B">
        <w:rPr>
          <w:rFonts w:ascii="Arial" w:eastAsia="Times New Roman" w:hAnsi="Arial" w:cs="Arial"/>
          <w:sz w:val="20"/>
          <w:szCs w:val="20"/>
          <w:lang w:val="en-GB"/>
        </w:rPr>
        <w:t>associated</w:t>
      </w:r>
      <w:r>
        <w:rPr>
          <w:rFonts w:ascii="Arial" w:eastAsia="Times New Roman" w:hAnsi="Arial" w:cs="Arial"/>
          <w:sz w:val="20"/>
          <w:szCs w:val="20"/>
          <w:lang w:val="en-GB"/>
        </w:rPr>
        <w:t xml:space="preserve">-party transaction or transactions with appropriate base values (e.g. costs, sales revenue, assets). A comparable market price is determined </w:t>
      </w:r>
      <w:proofErr w:type="gramStart"/>
      <w:r>
        <w:rPr>
          <w:rFonts w:ascii="Arial" w:eastAsia="Times New Roman" w:hAnsi="Arial" w:cs="Arial"/>
          <w:sz w:val="20"/>
          <w:szCs w:val="20"/>
          <w:lang w:val="en-GB"/>
        </w:rPr>
        <w:t>on the basis of</w:t>
      </w:r>
      <w:proofErr w:type="gramEnd"/>
      <w:r>
        <w:rPr>
          <w:rFonts w:ascii="Arial" w:eastAsia="Times New Roman" w:hAnsi="Arial" w:cs="Arial"/>
          <w:sz w:val="20"/>
          <w:szCs w:val="20"/>
          <w:lang w:val="en-GB"/>
        </w:rPr>
        <w:t xml:space="preserve"> the ratio between the net profit and the appropriate base value, taking into account the functions performed and the related funds invested and assumed risks.</w:t>
      </w:r>
    </w:p>
    <w:p w14:paraId="4B513112" w14:textId="7E743DD1" w:rsidR="00666077" w:rsidRPr="00904D3B" w:rsidRDefault="00666077" w:rsidP="009553C8">
      <w:pPr>
        <w:spacing w:line="260" w:lineRule="atLeast"/>
        <w:jc w:val="both"/>
        <w:rPr>
          <w:rFonts w:ascii="Arial" w:eastAsia="Times New Roman" w:hAnsi="Arial" w:cs="Arial"/>
          <w:sz w:val="20"/>
          <w:szCs w:val="20"/>
        </w:rPr>
      </w:pPr>
      <w:r>
        <w:rPr>
          <w:rFonts w:ascii="Arial" w:eastAsia="Times New Roman" w:hAnsi="Arial" w:cs="Arial"/>
          <w:sz w:val="20"/>
          <w:szCs w:val="20"/>
          <w:lang w:val="en-GB"/>
        </w:rPr>
        <w:t xml:space="preserve">A comparable market price is determined by comparing the net profit margin achieved in a transaction or transactions performed in the same or comparable circumstances between </w:t>
      </w:r>
      <w:proofErr w:type="spellStart"/>
      <w:r>
        <w:rPr>
          <w:rFonts w:ascii="Arial" w:eastAsia="Times New Roman" w:hAnsi="Arial" w:cs="Arial"/>
          <w:sz w:val="20"/>
          <w:szCs w:val="20"/>
          <w:lang w:val="en-GB"/>
        </w:rPr>
        <w:t>un</w:t>
      </w:r>
      <w:r w:rsidR="003E0B4B">
        <w:rPr>
          <w:rFonts w:ascii="Arial" w:eastAsia="Times New Roman" w:hAnsi="Arial" w:cs="Arial"/>
          <w:sz w:val="20"/>
          <w:szCs w:val="20"/>
          <w:lang w:val="en-GB"/>
        </w:rPr>
        <w:t>associated</w:t>
      </w:r>
      <w:proofErr w:type="spellEnd"/>
      <w:r>
        <w:rPr>
          <w:rFonts w:ascii="Arial" w:eastAsia="Times New Roman" w:hAnsi="Arial" w:cs="Arial"/>
          <w:sz w:val="20"/>
          <w:szCs w:val="20"/>
          <w:lang w:val="en-GB"/>
        </w:rPr>
        <w:t xml:space="preserve"> parties. </w:t>
      </w:r>
    </w:p>
    <w:p w14:paraId="04D450FD" w14:textId="77777777" w:rsidR="00666077" w:rsidRPr="00904D3B" w:rsidRDefault="00666077" w:rsidP="009553C8">
      <w:pPr>
        <w:spacing w:line="260" w:lineRule="atLeast"/>
        <w:jc w:val="both"/>
        <w:rPr>
          <w:rFonts w:ascii="Arial" w:eastAsia="Times New Roman" w:hAnsi="Arial" w:cs="Arial"/>
          <w:sz w:val="20"/>
          <w:szCs w:val="20"/>
        </w:rPr>
      </w:pPr>
    </w:p>
    <w:p w14:paraId="6033BE65" w14:textId="77777777" w:rsidR="00666077" w:rsidRDefault="00666077" w:rsidP="009553C8">
      <w:pPr>
        <w:spacing w:line="260" w:lineRule="atLeast"/>
        <w:jc w:val="both"/>
        <w:rPr>
          <w:rFonts w:ascii="Arial" w:eastAsia="Times New Roman" w:hAnsi="Arial" w:cs="Arial"/>
          <w:sz w:val="20"/>
          <w:szCs w:val="20"/>
        </w:rPr>
      </w:pPr>
      <w:r>
        <w:rPr>
          <w:rFonts w:ascii="Arial" w:eastAsia="Times New Roman" w:hAnsi="Arial" w:cs="Arial"/>
          <w:sz w:val="20"/>
          <w:szCs w:val="20"/>
          <w:lang w:val="en-GB"/>
        </w:rPr>
        <w:t xml:space="preserve">The comparison of net profit margins is made </w:t>
      </w:r>
      <w:proofErr w:type="gramStart"/>
      <w:r>
        <w:rPr>
          <w:rFonts w:ascii="Arial" w:eastAsia="Times New Roman" w:hAnsi="Arial" w:cs="Arial"/>
          <w:sz w:val="20"/>
          <w:szCs w:val="20"/>
          <w:lang w:val="en-GB"/>
        </w:rPr>
        <w:t>on the basis of</w:t>
      </w:r>
      <w:proofErr w:type="gramEnd"/>
      <w:r>
        <w:rPr>
          <w:rFonts w:ascii="Arial" w:eastAsia="Times New Roman" w:hAnsi="Arial" w:cs="Arial"/>
          <w:sz w:val="20"/>
          <w:szCs w:val="20"/>
          <w:lang w:val="en-GB"/>
        </w:rPr>
        <w:t xml:space="preserve"> the following (TPR 6/2):</w:t>
      </w:r>
    </w:p>
    <w:p w14:paraId="3C1C0348" w14:textId="77777777" w:rsidR="0005289E" w:rsidRPr="004F2499" w:rsidRDefault="0005289E" w:rsidP="009553C8">
      <w:pPr>
        <w:spacing w:line="260" w:lineRule="atLeast"/>
        <w:jc w:val="both"/>
        <w:rPr>
          <w:rFonts w:ascii="Arial" w:eastAsia="Times New Roman" w:hAnsi="Arial" w:cs="Arial"/>
          <w:sz w:val="10"/>
          <w:szCs w:val="10"/>
        </w:rPr>
      </w:pPr>
    </w:p>
    <w:p w14:paraId="19B6ABCA" w14:textId="55CACB98" w:rsidR="00666077" w:rsidRPr="00904D3B" w:rsidRDefault="006216F4" w:rsidP="009553C8">
      <w:pPr>
        <w:numPr>
          <w:ilvl w:val="0"/>
          <w:numId w:val="16"/>
        </w:numPr>
        <w:spacing w:line="260" w:lineRule="atLeast"/>
        <w:ind w:left="284" w:hanging="284"/>
        <w:jc w:val="both"/>
        <w:rPr>
          <w:rFonts w:ascii="Arial" w:eastAsia="Times New Roman" w:hAnsi="Arial" w:cs="Arial"/>
          <w:sz w:val="20"/>
          <w:szCs w:val="20"/>
        </w:rPr>
      </w:pPr>
      <w:r>
        <w:rPr>
          <w:rFonts w:ascii="Arial" w:eastAsia="Times New Roman" w:hAnsi="Arial" w:cs="Arial"/>
          <w:b/>
          <w:bCs/>
          <w:sz w:val="20"/>
          <w:szCs w:val="20"/>
          <w:lang w:val="en-GB"/>
        </w:rPr>
        <w:t>internal comparable</w:t>
      </w:r>
      <w:r>
        <w:rPr>
          <w:rFonts w:ascii="Arial" w:eastAsia="Times New Roman" w:hAnsi="Arial" w:cs="Arial"/>
          <w:sz w:val="20"/>
          <w:szCs w:val="20"/>
          <w:lang w:val="en-GB"/>
        </w:rPr>
        <w:t xml:space="preserve"> </w:t>
      </w:r>
      <w:r w:rsidR="00666077">
        <w:rPr>
          <w:rFonts w:ascii="Arial" w:eastAsia="Times New Roman" w:hAnsi="Arial" w:cs="Arial"/>
          <w:sz w:val="20"/>
          <w:szCs w:val="20"/>
          <w:lang w:val="en-GB"/>
        </w:rPr>
        <w:t xml:space="preserve">comparing net profit margins achieved between </w:t>
      </w:r>
      <w:r w:rsidR="003E0B4B">
        <w:rPr>
          <w:rFonts w:ascii="Arial" w:eastAsia="Times New Roman" w:hAnsi="Arial" w:cs="Arial"/>
          <w:sz w:val="20"/>
          <w:szCs w:val="20"/>
          <w:lang w:val="en-GB"/>
        </w:rPr>
        <w:t>associated</w:t>
      </w:r>
      <w:r w:rsidR="00666077">
        <w:rPr>
          <w:rFonts w:ascii="Arial" w:eastAsia="Times New Roman" w:hAnsi="Arial" w:cs="Arial"/>
          <w:sz w:val="20"/>
          <w:szCs w:val="20"/>
          <w:lang w:val="en-GB"/>
        </w:rPr>
        <w:t xml:space="preserve"> parties with those achieved by </w:t>
      </w:r>
      <w:r w:rsidR="003E0B4B">
        <w:rPr>
          <w:rFonts w:ascii="Arial" w:eastAsia="Times New Roman" w:hAnsi="Arial" w:cs="Arial"/>
          <w:sz w:val="20"/>
          <w:szCs w:val="20"/>
          <w:lang w:val="en-GB"/>
        </w:rPr>
        <w:t>associated</w:t>
      </w:r>
      <w:r w:rsidR="00666077">
        <w:rPr>
          <w:rFonts w:ascii="Arial" w:eastAsia="Times New Roman" w:hAnsi="Arial" w:cs="Arial"/>
          <w:sz w:val="20"/>
          <w:szCs w:val="20"/>
          <w:lang w:val="en-GB"/>
        </w:rPr>
        <w:t xml:space="preserve"> parties themselves or parties </w:t>
      </w:r>
      <w:r w:rsidR="003E0B4B">
        <w:rPr>
          <w:rFonts w:ascii="Arial" w:eastAsia="Times New Roman" w:hAnsi="Arial" w:cs="Arial"/>
          <w:sz w:val="20"/>
          <w:szCs w:val="20"/>
          <w:lang w:val="en-GB"/>
        </w:rPr>
        <w:t>associated</w:t>
      </w:r>
      <w:r w:rsidR="00666077">
        <w:rPr>
          <w:rFonts w:ascii="Arial" w:eastAsia="Times New Roman" w:hAnsi="Arial" w:cs="Arial"/>
          <w:sz w:val="20"/>
          <w:szCs w:val="20"/>
          <w:lang w:val="en-GB"/>
        </w:rPr>
        <w:t xml:space="preserve"> to them with </w:t>
      </w:r>
      <w:proofErr w:type="spellStart"/>
      <w:r w:rsidR="00666077">
        <w:rPr>
          <w:rFonts w:ascii="Arial" w:eastAsia="Times New Roman" w:hAnsi="Arial" w:cs="Arial"/>
          <w:sz w:val="20"/>
          <w:szCs w:val="20"/>
          <w:lang w:val="en-GB"/>
        </w:rPr>
        <w:t>un</w:t>
      </w:r>
      <w:r w:rsidR="003E0B4B">
        <w:rPr>
          <w:rFonts w:ascii="Arial" w:eastAsia="Times New Roman" w:hAnsi="Arial" w:cs="Arial"/>
          <w:sz w:val="20"/>
          <w:szCs w:val="20"/>
          <w:lang w:val="en-GB"/>
        </w:rPr>
        <w:t>associated</w:t>
      </w:r>
      <w:proofErr w:type="spellEnd"/>
      <w:r w:rsidR="00666077">
        <w:rPr>
          <w:rFonts w:ascii="Arial" w:eastAsia="Times New Roman" w:hAnsi="Arial" w:cs="Arial"/>
          <w:sz w:val="20"/>
          <w:szCs w:val="20"/>
          <w:lang w:val="en-GB"/>
        </w:rPr>
        <w:t xml:space="preserve"> parties; or</w:t>
      </w:r>
    </w:p>
    <w:p w14:paraId="0FE91491" w14:textId="4B2CC38B" w:rsidR="00666077" w:rsidRDefault="006216F4" w:rsidP="009553C8">
      <w:pPr>
        <w:numPr>
          <w:ilvl w:val="0"/>
          <w:numId w:val="16"/>
        </w:numPr>
        <w:spacing w:line="260" w:lineRule="atLeast"/>
        <w:ind w:left="284" w:hanging="284"/>
        <w:jc w:val="both"/>
        <w:rPr>
          <w:rFonts w:ascii="Arial" w:eastAsia="Times New Roman" w:hAnsi="Arial" w:cs="Arial"/>
          <w:sz w:val="20"/>
          <w:szCs w:val="20"/>
        </w:rPr>
      </w:pPr>
      <w:r>
        <w:rPr>
          <w:rFonts w:ascii="Arial" w:eastAsia="Times New Roman" w:hAnsi="Arial" w:cs="Arial"/>
          <w:b/>
          <w:bCs/>
          <w:sz w:val="20"/>
          <w:szCs w:val="20"/>
          <w:lang w:val="en-GB"/>
        </w:rPr>
        <w:t>external comparable</w:t>
      </w:r>
      <w:r>
        <w:rPr>
          <w:rFonts w:ascii="Arial" w:eastAsia="Times New Roman" w:hAnsi="Arial" w:cs="Arial"/>
          <w:sz w:val="20"/>
          <w:szCs w:val="20"/>
          <w:lang w:val="en-GB"/>
        </w:rPr>
        <w:t xml:space="preserve"> </w:t>
      </w:r>
      <w:r w:rsidR="00666077">
        <w:rPr>
          <w:rFonts w:ascii="Arial" w:eastAsia="Times New Roman" w:hAnsi="Arial" w:cs="Arial"/>
          <w:sz w:val="20"/>
          <w:szCs w:val="20"/>
          <w:lang w:val="en-GB"/>
        </w:rPr>
        <w:t xml:space="preserve">comparing net profit margins achieved between </w:t>
      </w:r>
      <w:r w:rsidR="003E0B4B">
        <w:rPr>
          <w:rFonts w:ascii="Arial" w:eastAsia="Times New Roman" w:hAnsi="Arial" w:cs="Arial"/>
          <w:sz w:val="20"/>
          <w:szCs w:val="20"/>
          <w:lang w:val="en-GB"/>
        </w:rPr>
        <w:t>associated</w:t>
      </w:r>
      <w:r w:rsidR="00666077">
        <w:rPr>
          <w:rFonts w:ascii="Arial" w:eastAsia="Times New Roman" w:hAnsi="Arial" w:cs="Arial"/>
          <w:sz w:val="20"/>
          <w:szCs w:val="20"/>
          <w:lang w:val="en-GB"/>
        </w:rPr>
        <w:t xml:space="preserve"> parties with those achieved or potentially achieved on the market by </w:t>
      </w:r>
      <w:proofErr w:type="spellStart"/>
      <w:r w:rsidR="00666077">
        <w:rPr>
          <w:rFonts w:ascii="Arial" w:eastAsia="Times New Roman" w:hAnsi="Arial" w:cs="Arial"/>
          <w:sz w:val="20"/>
          <w:szCs w:val="20"/>
          <w:lang w:val="en-GB"/>
        </w:rPr>
        <w:t>un</w:t>
      </w:r>
      <w:r w:rsidR="003E0B4B">
        <w:rPr>
          <w:rFonts w:ascii="Arial" w:eastAsia="Times New Roman" w:hAnsi="Arial" w:cs="Arial"/>
          <w:sz w:val="20"/>
          <w:szCs w:val="20"/>
          <w:lang w:val="en-GB"/>
        </w:rPr>
        <w:t>associated</w:t>
      </w:r>
      <w:proofErr w:type="spellEnd"/>
      <w:r w:rsidR="00666077">
        <w:rPr>
          <w:rFonts w:ascii="Arial" w:eastAsia="Times New Roman" w:hAnsi="Arial" w:cs="Arial"/>
          <w:sz w:val="20"/>
          <w:szCs w:val="20"/>
          <w:lang w:val="en-GB"/>
        </w:rPr>
        <w:t xml:space="preserve"> parties.</w:t>
      </w:r>
    </w:p>
    <w:p w14:paraId="7BC6AA48" w14:textId="77777777" w:rsidR="00257BB8" w:rsidRPr="00227C1D" w:rsidRDefault="00257BB8" w:rsidP="009553C8">
      <w:pPr>
        <w:spacing w:line="260" w:lineRule="atLeast"/>
        <w:ind w:left="284"/>
        <w:jc w:val="both"/>
        <w:rPr>
          <w:rFonts w:ascii="Arial" w:eastAsia="Times New Roman" w:hAnsi="Arial" w:cs="Arial"/>
          <w:sz w:val="20"/>
          <w:szCs w:val="20"/>
        </w:rPr>
      </w:pPr>
    </w:p>
    <w:p w14:paraId="0F7F816C" w14:textId="0F567A2D" w:rsidR="00666077" w:rsidRDefault="00666077" w:rsidP="009553C8">
      <w:pPr>
        <w:spacing w:line="260" w:lineRule="atLeast"/>
        <w:jc w:val="both"/>
        <w:rPr>
          <w:rFonts w:ascii="Arial" w:eastAsia="Times New Roman" w:hAnsi="Arial" w:cs="Arial"/>
          <w:sz w:val="20"/>
          <w:szCs w:val="20"/>
        </w:rPr>
      </w:pPr>
      <w:r>
        <w:rPr>
          <w:rFonts w:ascii="Arial" w:eastAsia="Times New Roman" w:hAnsi="Arial" w:cs="Arial"/>
          <w:sz w:val="20"/>
          <w:szCs w:val="20"/>
          <w:lang w:val="en-GB"/>
        </w:rPr>
        <w:t>The OECD Guidelines provide for the use of the transactional net margin method in paragraphs 2.64-2.113 (or in paragraphs 2.58-2.107 of the 2010 OECD Guidelines).</w:t>
      </w:r>
      <w:r>
        <w:rPr>
          <w:rFonts w:ascii="Arial" w:eastAsia="Times New Roman" w:hAnsi="Arial" w:cs="Arial"/>
          <w:lang w:val="en-GB"/>
        </w:rPr>
        <w:t xml:space="preserve"> </w:t>
      </w:r>
      <w:r>
        <w:rPr>
          <w:rFonts w:ascii="Arial" w:eastAsia="Times New Roman" w:hAnsi="Arial" w:cs="Arial"/>
          <w:sz w:val="20"/>
          <w:szCs w:val="20"/>
          <w:lang w:val="en-GB"/>
        </w:rPr>
        <w:t xml:space="preserve">Under the transactional net margin method, the net profit that a taxable person achieves in </w:t>
      </w:r>
      <w:proofErr w:type="spellStart"/>
      <w:proofErr w:type="gramStart"/>
      <w:r>
        <w:rPr>
          <w:rFonts w:ascii="Arial" w:eastAsia="Times New Roman" w:hAnsi="Arial" w:cs="Arial"/>
          <w:sz w:val="20"/>
          <w:szCs w:val="20"/>
          <w:lang w:val="en-GB"/>
        </w:rPr>
        <w:t>a</w:t>
      </w:r>
      <w:proofErr w:type="spellEnd"/>
      <w:proofErr w:type="gramEnd"/>
      <w:r>
        <w:rPr>
          <w:rFonts w:ascii="Arial" w:eastAsia="Times New Roman" w:hAnsi="Arial" w:cs="Arial"/>
          <w:sz w:val="20"/>
          <w:szCs w:val="20"/>
          <w:lang w:val="en-GB"/>
        </w:rPr>
        <w:t xml:space="preserve"> </w:t>
      </w:r>
      <w:r w:rsidR="003E0B4B">
        <w:rPr>
          <w:rFonts w:ascii="Arial" w:eastAsia="Times New Roman" w:hAnsi="Arial" w:cs="Arial"/>
          <w:sz w:val="20"/>
          <w:szCs w:val="20"/>
          <w:lang w:val="en-GB"/>
        </w:rPr>
        <w:t>associated</w:t>
      </w:r>
      <w:r>
        <w:rPr>
          <w:rFonts w:ascii="Arial" w:eastAsia="Times New Roman" w:hAnsi="Arial" w:cs="Arial"/>
          <w:sz w:val="20"/>
          <w:szCs w:val="20"/>
          <w:lang w:val="en-GB"/>
        </w:rPr>
        <w:t>-party transaction is examined in relation to the appropriate base value (e.g. costs, sales revenue, assets).</w:t>
      </w:r>
    </w:p>
    <w:p w14:paraId="2994CA0D" w14:textId="77777777" w:rsidR="0000726E" w:rsidRPr="00904D3B" w:rsidRDefault="0000726E" w:rsidP="009553C8">
      <w:pPr>
        <w:spacing w:line="260" w:lineRule="atLeast"/>
        <w:jc w:val="both"/>
        <w:rPr>
          <w:rFonts w:ascii="Arial" w:eastAsia="Times New Roman" w:hAnsi="Arial" w:cs="Arial"/>
          <w:sz w:val="20"/>
          <w:szCs w:val="20"/>
        </w:rPr>
      </w:pPr>
    </w:p>
    <w:p w14:paraId="4C1828F1" w14:textId="7FBF69ED" w:rsidR="00666077" w:rsidRPr="00904D3B" w:rsidRDefault="00666077" w:rsidP="009553C8">
      <w:pPr>
        <w:spacing w:line="260" w:lineRule="atLeast"/>
        <w:jc w:val="both"/>
        <w:rPr>
          <w:rFonts w:ascii="Arial" w:eastAsia="Times New Roman" w:hAnsi="Arial" w:cs="Arial"/>
          <w:sz w:val="20"/>
          <w:szCs w:val="20"/>
        </w:rPr>
      </w:pPr>
      <w:r>
        <w:rPr>
          <w:rFonts w:ascii="Arial" w:hAnsi="Arial" w:cs="Arial"/>
          <w:color w:val="000000"/>
          <w:sz w:val="20"/>
          <w:szCs w:val="20"/>
          <w:lang w:val="en-GB"/>
        </w:rPr>
        <w:t xml:space="preserve">The OECD Guidelines provide that the net-profit-to-cost ratio is applied to manufacturing and service activities, and the ratio of net profit to sales revenue to companies engaged in sales activities. The net profit to investment ratio is used when an activity requires assets of great value. The selected financial ratio must reflect the value of the functions performed by the test party (i.e. the client in a controlled transaction for which the financial indicator is compared). The assets used by this party and the risks it is exposed to must also be </w:t>
      </w:r>
      <w:proofErr w:type="gramStart"/>
      <w:r>
        <w:rPr>
          <w:rFonts w:ascii="Arial" w:hAnsi="Arial" w:cs="Arial"/>
          <w:color w:val="000000"/>
          <w:sz w:val="20"/>
          <w:szCs w:val="20"/>
          <w:lang w:val="en-GB"/>
        </w:rPr>
        <w:t>taken into account</w:t>
      </w:r>
      <w:proofErr w:type="gramEnd"/>
      <w:r>
        <w:rPr>
          <w:rFonts w:ascii="Arial" w:hAnsi="Arial" w:cs="Arial"/>
          <w:color w:val="000000"/>
          <w:sz w:val="20"/>
          <w:szCs w:val="20"/>
          <w:lang w:val="en-GB"/>
        </w:rPr>
        <w:t xml:space="preserve">. The data used for calculating the financial ratio should be based on objective data (such as sales to </w:t>
      </w:r>
      <w:proofErr w:type="spellStart"/>
      <w:r>
        <w:rPr>
          <w:rFonts w:ascii="Arial" w:hAnsi="Arial" w:cs="Arial"/>
          <w:sz w:val="20"/>
          <w:szCs w:val="20"/>
          <w:lang w:val="en-GB"/>
        </w:rPr>
        <w:t>un</w:t>
      </w:r>
      <w:r w:rsidR="003E0B4B">
        <w:rPr>
          <w:rFonts w:ascii="Arial" w:hAnsi="Arial" w:cs="Arial"/>
          <w:sz w:val="20"/>
          <w:szCs w:val="20"/>
          <w:lang w:val="en-GB"/>
        </w:rPr>
        <w:t>associated</w:t>
      </w:r>
      <w:proofErr w:type="spellEnd"/>
      <w:r>
        <w:rPr>
          <w:rFonts w:ascii="Arial" w:hAnsi="Arial" w:cs="Arial"/>
          <w:sz w:val="20"/>
          <w:szCs w:val="20"/>
          <w:lang w:val="en-GB"/>
        </w:rPr>
        <w:t xml:space="preserve"> parties) and not on those based on transactions between </w:t>
      </w:r>
      <w:r w:rsidR="003E0B4B">
        <w:rPr>
          <w:rFonts w:ascii="Arial" w:hAnsi="Arial" w:cs="Arial"/>
          <w:sz w:val="20"/>
          <w:szCs w:val="20"/>
          <w:lang w:val="en-GB"/>
        </w:rPr>
        <w:t>associated</w:t>
      </w:r>
      <w:r>
        <w:rPr>
          <w:rFonts w:ascii="Arial" w:hAnsi="Arial" w:cs="Arial"/>
          <w:sz w:val="20"/>
          <w:szCs w:val="20"/>
          <w:lang w:val="en-GB"/>
        </w:rPr>
        <w:t xml:space="preserve"> parties. It is also necessary to ensure that the selected financial ratio is reliable and can be tested for both </w:t>
      </w:r>
      <w:r w:rsidR="003E0B4B">
        <w:rPr>
          <w:rFonts w:ascii="Arial" w:hAnsi="Arial" w:cs="Arial"/>
          <w:sz w:val="20"/>
          <w:szCs w:val="20"/>
          <w:lang w:val="en-GB"/>
        </w:rPr>
        <w:t>associated</w:t>
      </w:r>
      <w:r>
        <w:rPr>
          <w:rFonts w:ascii="Arial" w:hAnsi="Arial" w:cs="Arial"/>
          <w:sz w:val="20"/>
          <w:szCs w:val="20"/>
          <w:lang w:val="en-GB"/>
        </w:rPr>
        <w:t xml:space="preserve"> and comparable </w:t>
      </w:r>
      <w:proofErr w:type="spellStart"/>
      <w:r>
        <w:rPr>
          <w:rFonts w:ascii="Arial" w:hAnsi="Arial" w:cs="Arial"/>
          <w:sz w:val="20"/>
          <w:szCs w:val="20"/>
          <w:lang w:val="en-GB"/>
        </w:rPr>
        <w:t>un</w:t>
      </w:r>
      <w:r w:rsidR="003E0B4B">
        <w:rPr>
          <w:rFonts w:ascii="Arial" w:hAnsi="Arial" w:cs="Arial"/>
          <w:sz w:val="20"/>
          <w:szCs w:val="20"/>
          <w:lang w:val="en-GB"/>
        </w:rPr>
        <w:t>associated</w:t>
      </w:r>
      <w:proofErr w:type="spellEnd"/>
      <w:r>
        <w:rPr>
          <w:rFonts w:ascii="Arial" w:hAnsi="Arial" w:cs="Arial"/>
          <w:sz w:val="20"/>
          <w:szCs w:val="20"/>
          <w:lang w:val="en-GB"/>
        </w:rPr>
        <w:t xml:space="preserve"> party transactions.</w:t>
      </w:r>
    </w:p>
    <w:p w14:paraId="55E785AF" w14:textId="77777777" w:rsidR="00666077" w:rsidRPr="00904D3B" w:rsidRDefault="00666077" w:rsidP="009553C8">
      <w:pPr>
        <w:spacing w:line="260" w:lineRule="atLeast"/>
        <w:jc w:val="both"/>
        <w:rPr>
          <w:rFonts w:ascii="Arial" w:eastAsia="Times New Roman" w:hAnsi="Arial" w:cs="Arial"/>
          <w:sz w:val="20"/>
          <w:szCs w:val="20"/>
        </w:rPr>
      </w:pPr>
    </w:p>
    <w:p w14:paraId="2E006623" w14:textId="6D4F9C8F" w:rsidR="00666077" w:rsidRPr="00904D3B" w:rsidRDefault="00666077" w:rsidP="009553C8">
      <w:pPr>
        <w:spacing w:line="260" w:lineRule="atLeast"/>
        <w:jc w:val="both"/>
        <w:rPr>
          <w:rFonts w:ascii="Arial" w:eastAsia="Times New Roman" w:hAnsi="Arial" w:cs="Arial"/>
          <w:sz w:val="20"/>
          <w:szCs w:val="20"/>
        </w:rPr>
      </w:pPr>
      <w:r>
        <w:rPr>
          <w:rFonts w:ascii="Arial" w:eastAsia="Times New Roman" w:hAnsi="Arial" w:cs="Arial"/>
          <w:sz w:val="20"/>
          <w:szCs w:val="20"/>
          <w:lang w:val="en-GB"/>
        </w:rPr>
        <w:t xml:space="preserve">Only those items that relate (directly or indirectly) to </w:t>
      </w:r>
      <w:proofErr w:type="spellStart"/>
      <w:proofErr w:type="gramStart"/>
      <w:r>
        <w:rPr>
          <w:rFonts w:ascii="Arial" w:eastAsia="Times New Roman" w:hAnsi="Arial" w:cs="Arial"/>
          <w:sz w:val="20"/>
          <w:szCs w:val="20"/>
          <w:lang w:val="en-GB"/>
        </w:rPr>
        <w:t>a</w:t>
      </w:r>
      <w:proofErr w:type="spellEnd"/>
      <w:proofErr w:type="gramEnd"/>
      <w:r>
        <w:rPr>
          <w:rFonts w:ascii="Arial" w:eastAsia="Times New Roman" w:hAnsi="Arial" w:cs="Arial"/>
          <w:sz w:val="20"/>
          <w:szCs w:val="20"/>
          <w:lang w:val="en-GB"/>
        </w:rPr>
        <w:t xml:space="preserve"> </w:t>
      </w:r>
      <w:r w:rsidR="003E0B4B">
        <w:rPr>
          <w:rFonts w:ascii="Arial" w:eastAsia="Times New Roman" w:hAnsi="Arial" w:cs="Arial"/>
          <w:sz w:val="20"/>
          <w:szCs w:val="20"/>
          <w:lang w:val="en-GB"/>
        </w:rPr>
        <w:t>associated</w:t>
      </w:r>
      <w:r>
        <w:rPr>
          <w:rFonts w:ascii="Arial" w:eastAsia="Times New Roman" w:hAnsi="Arial" w:cs="Arial"/>
          <w:sz w:val="20"/>
          <w:szCs w:val="20"/>
          <w:lang w:val="en-GB"/>
        </w:rPr>
        <w:t xml:space="preserve">-party transaction should be considered when determining net profit. Non-operating items, such as accrued income tax and various exceptional and extraordinary items, should also be excluded. When determining the profit from non-financial transactions, interest income and expenses related to a company’s capital structure should be excluded, and interest related to receivables and payables to customers or suppliers should be </w:t>
      </w:r>
      <w:proofErr w:type="gramStart"/>
      <w:r>
        <w:rPr>
          <w:rFonts w:ascii="Arial" w:eastAsia="Times New Roman" w:hAnsi="Arial" w:cs="Arial"/>
          <w:sz w:val="20"/>
          <w:szCs w:val="20"/>
          <w:lang w:val="en-GB"/>
        </w:rPr>
        <w:t>taken into account</w:t>
      </w:r>
      <w:proofErr w:type="gramEnd"/>
      <w:r>
        <w:rPr>
          <w:rFonts w:ascii="Arial" w:eastAsia="Times New Roman" w:hAnsi="Arial" w:cs="Arial"/>
          <w:sz w:val="20"/>
          <w:szCs w:val="20"/>
          <w:lang w:val="en-GB"/>
        </w:rPr>
        <w:t xml:space="preserve">. In non-financial transactions, the transactional net margin method most often uses profit or loss determined before </w:t>
      </w:r>
      <w:proofErr w:type="gramStart"/>
      <w:r>
        <w:rPr>
          <w:rFonts w:ascii="Arial" w:eastAsia="Times New Roman" w:hAnsi="Arial" w:cs="Arial"/>
          <w:sz w:val="20"/>
          <w:szCs w:val="20"/>
          <w:lang w:val="en-GB"/>
        </w:rPr>
        <w:t>taking into account</w:t>
      </w:r>
      <w:proofErr w:type="gramEnd"/>
      <w:r>
        <w:rPr>
          <w:rFonts w:ascii="Arial" w:eastAsia="Times New Roman" w:hAnsi="Arial" w:cs="Arial"/>
          <w:sz w:val="20"/>
          <w:szCs w:val="20"/>
          <w:lang w:val="en-GB"/>
        </w:rPr>
        <w:t xml:space="preserve"> interest income and expenses and extraordinary items before calculating income tax (Earnings Before Interest and Taxes – EBIT). </w:t>
      </w:r>
    </w:p>
    <w:p w14:paraId="605B2534" w14:textId="77777777" w:rsidR="00666077" w:rsidRPr="00904D3B" w:rsidRDefault="00666077" w:rsidP="009553C8">
      <w:pPr>
        <w:tabs>
          <w:tab w:val="left" w:pos="1790"/>
        </w:tabs>
        <w:spacing w:line="260" w:lineRule="atLeast"/>
        <w:jc w:val="both"/>
        <w:rPr>
          <w:rFonts w:ascii="Arial" w:eastAsia="Times New Roman" w:hAnsi="Arial" w:cs="Arial"/>
          <w:sz w:val="20"/>
          <w:szCs w:val="20"/>
        </w:rPr>
      </w:pPr>
      <w:r>
        <w:rPr>
          <w:lang w:val="en-GB"/>
        </w:rPr>
        <w:tab/>
      </w:r>
    </w:p>
    <w:p w14:paraId="23AF2996" w14:textId="223616B5" w:rsidR="00955DC3" w:rsidRDefault="00666077" w:rsidP="009553C8">
      <w:pPr>
        <w:spacing w:line="260" w:lineRule="atLeast"/>
        <w:jc w:val="both"/>
        <w:rPr>
          <w:rFonts w:ascii="Arial" w:eastAsia="Times New Roman" w:hAnsi="Arial" w:cs="Arial"/>
          <w:sz w:val="20"/>
          <w:szCs w:val="20"/>
          <w:lang w:val="en-GB"/>
        </w:rPr>
      </w:pPr>
      <w:r>
        <w:rPr>
          <w:rFonts w:ascii="Arial" w:eastAsia="Times New Roman" w:hAnsi="Arial" w:cs="Arial"/>
          <w:sz w:val="20"/>
          <w:szCs w:val="20"/>
          <w:lang w:val="en-GB"/>
        </w:rPr>
        <w:t xml:space="preserve">The use of this method consists in comparing the net margin achieved in a transaction or in transactions with an appropriate value base, depending on the facts and circumstances of the case (such as the sales revenues or manufacturing costs). In accordance with the OECD Guidelines (paragraph 2.94), the denominator should be reasonably independent of the </w:t>
      </w:r>
      <w:r w:rsidR="003E0B4B">
        <w:rPr>
          <w:rFonts w:ascii="Arial" w:eastAsia="Times New Roman" w:hAnsi="Arial" w:cs="Arial"/>
          <w:sz w:val="20"/>
          <w:szCs w:val="20"/>
          <w:lang w:val="en-GB"/>
        </w:rPr>
        <w:t>associated</w:t>
      </w:r>
      <w:r>
        <w:rPr>
          <w:rFonts w:ascii="Arial" w:eastAsia="Times New Roman" w:hAnsi="Arial" w:cs="Arial"/>
          <w:sz w:val="20"/>
          <w:szCs w:val="20"/>
          <w:lang w:val="en-GB"/>
        </w:rPr>
        <w:t xml:space="preserve">-party transaction.   </w:t>
      </w:r>
    </w:p>
    <w:p w14:paraId="57F38A3E" w14:textId="350B410B" w:rsidR="00520D91" w:rsidRDefault="00520D91" w:rsidP="009553C8">
      <w:pPr>
        <w:spacing w:line="260" w:lineRule="atLeast"/>
        <w:jc w:val="both"/>
        <w:rPr>
          <w:rFonts w:ascii="Arial" w:eastAsia="Times New Roman" w:hAnsi="Arial" w:cs="Arial"/>
          <w:sz w:val="20"/>
          <w:szCs w:val="20"/>
          <w:lang w:val="en-GB"/>
        </w:rPr>
      </w:pPr>
    </w:p>
    <w:tbl>
      <w:tblPr>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709"/>
        <w:gridCol w:w="3402"/>
        <w:gridCol w:w="992"/>
      </w:tblGrid>
      <w:tr w:rsidR="00520D91" w:rsidRPr="00904D3B" w14:paraId="535C706D" w14:textId="77777777" w:rsidTr="003E0B4B">
        <w:tc>
          <w:tcPr>
            <w:tcW w:w="8505"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97D16A9" w14:textId="77777777" w:rsidR="00520D91" w:rsidRDefault="00520D91" w:rsidP="003E0B4B">
            <w:pPr>
              <w:ind w:left="-74" w:right="-850"/>
              <w:jc w:val="center"/>
              <w:rPr>
                <w:rFonts w:ascii="Arial" w:eastAsia="Calibri" w:hAnsi="Arial" w:cs="Arial"/>
                <w:b/>
                <w:snapToGrid w:val="0"/>
                <w:sz w:val="18"/>
                <w:szCs w:val="18"/>
              </w:rPr>
            </w:pPr>
            <w:r>
              <w:rPr>
                <w:rFonts w:ascii="Arial" w:eastAsia="Calibri" w:hAnsi="Arial" w:cs="Arial"/>
                <w:b/>
                <w:bCs/>
                <w:snapToGrid w:val="0"/>
                <w:sz w:val="18"/>
                <w:szCs w:val="18"/>
                <w:lang w:val="en-GB"/>
              </w:rPr>
              <w:t>The use of the transactional net margin method</w:t>
            </w:r>
          </w:p>
          <w:p w14:paraId="1EDB0506" w14:textId="77777777" w:rsidR="00520D91" w:rsidRPr="00227C1D" w:rsidRDefault="00520D91" w:rsidP="003E0B4B">
            <w:pPr>
              <w:ind w:left="-74" w:right="-850"/>
              <w:jc w:val="center"/>
              <w:rPr>
                <w:rFonts w:ascii="Arial" w:eastAsia="Calibri" w:hAnsi="Arial" w:cs="Arial"/>
                <w:b/>
                <w:snapToGrid w:val="0"/>
                <w:sz w:val="18"/>
                <w:szCs w:val="18"/>
              </w:rPr>
            </w:pPr>
          </w:p>
        </w:tc>
      </w:tr>
      <w:tr w:rsidR="00520D91" w:rsidRPr="00904D3B" w14:paraId="4511C144" w14:textId="77777777" w:rsidTr="003E0B4B">
        <w:tc>
          <w:tcPr>
            <w:tcW w:w="4111" w:type="dxa"/>
            <w:gridSpan w:val="2"/>
            <w:tcBorders>
              <w:top w:val="single" w:sz="4" w:space="0" w:color="000000"/>
              <w:left w:val="single" w:sz="4" w:space="0" w:color="000000"/>
              <w:bottom w:val="single" w:sz="4" w:space="0" w:color="000000"/>
              <w:right w:val="single" w:sz="4" w:space="0" w:color="000000"/>
            </w:tcBorders>
            <w:hideMark/>
          </w:tcPr>
          <w:p w14:paraId="1C51D6BF" w14:textId="77777777" w:rsidR="00520D91" w:rsidRPr="00227C1D" w:rsidRDefault="00520D91" w:rsidP="003E0B4B">
            <w:pPr>
              <w:ind w:left="-74" w:right="-850"/>
              <w:rPr>
                <w:rFonts w:ascii="Arial" w:eastAsia="Calibri" w:hAnsi="Arial" w:cs="Arial"/>
                <w:b/>
                <w:snapToGrid w:val="0"/>
                <w:sz w:val="18"/>
                <w:szCs w:val="18"/>
              </w:rPr>
            </w:pPr>
            <w:r>
              <w:rPr>
                <w:rFonts w:ascii="Arial" w:eastAsia="Calibri" w:hAnsi="Arial" w:cs="Arial"/>
                <w:b/>
                <w:bCs/>
                <w:snapToGrid w:val="0"/>
                <w:sz w:val="18"/>
                <w:szCs w:val="18"/>
                <w:lang w:val="en-GB"/>
              </w:rPr>
              <w:t xml:space="preserve">                    Distributor</w:t>
            </w:r>
          </w:p>
        </w:tc>
        <w:tc>
          <w:tcPr>
            <w:tcW w:w="4394" w:type="dxa"/>
            <w:gridSpan w:val="2"/>
            <w:tcBorders>
              <w:top w:val="single" w:sz="4" w:space="0" w:color="000000"/>
              <w:left w:val="single" w:sz="4" w:space="0" w:color="000000"/>
              <w:bottom w:val="single" w:sz="4" w:space="0" w:color="000000"/>
              <w:right w:val="single" w:sz="4" w:space="0" w:color="000000"/>
            </w:tcBorders>
            <w:hideMark/>
          </w:tcPr>
          <w:p w14:paraId="0AA82C5D" w14:textId="77777777" w:rsidR="00520D91" w:rsidRDefault="00520D91" w:rsidP="003E0B4B">
            <w:pPr>
              <w:ind w:left="-74" w:right="-850"/>
              <w:rPr>
                <w:rFonts w:ascii="Arial" w:eastAsia="Calibri" w:hAnsi="Arial" w:cs="Arial"/>
                <w:b/>
                <w:snapToGrid w:val="0"/>
                <w:sz w:val="18"/>
                <w:szCs w:val="18"/>
              </w:rPr>
            </w:pPr>
            <w:r>
              <w:rPr>
                <w:rFonts w:ascii="Arial" w:eastAsia="Calibri" w:hAnsi="Arial" w:cs="Arial"/>
                <w:b/>
                <w:bCs/>
                <w:snapToGrid w:val="0"/>
                <w:sz w:val="18"/>
                <w:szCs w:val="18"/>
                <w:lang w:val="en-GB"/>
              </w:rPr>
              <w:t xml:space="preserve">         The contract manufacturer</w:t>
            </w:r>
          </w:p>
          <w:p w14:paraId="70BAB07E" w14:textId="77777777" w:rsidR="00520D91" w:rsidRPr="00227C1D" w:rsidRDefault="00520D91" w:rsidP="003E0B4B">
            <w:pPr>
              <w:ind w:left="-74" w:right="-850"/>
              <w:rPr>
                <w:rFonts w:ascii="Arial" w:eastAsia="Calibri" w:hAnsi="Arial" w:cs="Arial"/>
                <w:b/>
                <w:snapToGrid w:val="0"/>
                <w:sz w:val="18"/>
                <w:szCs w:val="18"/>
              </w:rPr>
            </w:pPr>
          </w:p>
        </w:tc>
      </w:tr>
      <w:tr w:rsidR="00520D91" w:rsidRPr="00904D3B" w14:paraId="288AEB10" w14:textId="77777777" w:rsidTr="003E0B4B">
        <w:trPr>
          <w:trHeight w:val="448"/>
        </w:trPr>
        <w:tc>
          <w:tcPr>
            <w:tcW w:w="3402" w:type="dxa"/>
            <w:tcBorders>
              <w:top w:val="single" w:sz="4" w:space="0" w:color="000000"/>
              <w:left w:val="single" w:sz="4" w:space="0" w:color="000000"/>
              <w:bottom w:val="single" w:sz="4" w:space="0" w:color="000000"/>
              <w:right w:val="single" w:sz="4" w:space="0" w:color="000000"/>
            </w:tcBorders>
            <w:vAlign w:val="center"/>
            <w:hideMark/>
          </w:tcPr>
          <w:p w14:paraId="55303255" w14:textId="1011E1DE" w:rsidR="00520D91" w:rsidRDefault="00520D91" w:rsidP="003E0B4B">
            <w:pPr>
              <w:ind w:left="-74"/>
              <w:rPr>
                <w:rFonts w:ascii="Arial" w:eastAsia="Calibri" w:hAnsi="Arial" w:cs="Arial"/>
                <w:snapToGrid w:val="0"/>
                <w:sz w:val="18"/>
                <w:szCs w:val="18"/>
              </w:rPr>
            </w:pPr>
            <w:r>
              <w:rPr>
                <w:rFonts w:ascii="Arial" w:eastAsia="Calibri" w:hAnsi="Arial" w:cs="Arial"/>
                <w:snapToGrid w:val="0"/>
                <w:sz w:val="18"/>
                <w:szCs w:val="18"/>
                <w:lang w:val="en-GB"/>
              </w:rPr>
              <w:t xml:space="preserve">Sale to </w:t>
            </w:r>
            <w:proofErr w:type="spellStart"/>
            <w:r>
              <w:rPr>
                <w:rFonts w:ascii="Arial" w:eastAsia="Calibri" w:hAnsi="Arial" w:cs="Arial"/>
                <w:snapToGrid w:val="0"/>
                <w:sz w:val="18"/>
                <w:szCs w:val="18"/>
                <w:lang w:val="en-GB"/>
              </w:rPr>
              <w:t>un</w:t>
            </w:r>
            <w:r w:rsidR="003E0B4B">
              <w:rPr>
                <w:rFonts w:ascii="Arial" w:eastAsia="Calibri" w:hAnsi="Arial" w:cs="Arial"/>
                <w:snapToGrid w:val="0"/>
                <w:sz w:val="18"/>
                <w:szCs w:val="18"/>
                <w:lang w:val="en-GB"/>
              </w:rPr>
              <w:t>associated</w:t>
            </w:r>
            <w:proofErr w:type="spellEnd"/>
            <w:r>
              <w:rPr>
                <w:rFonts w:ascii="Arial" w:eastAsia="Calibri" w:hAnsi="Arial" w:cs="Arial"/>
                <w:snapToGrid w:val="0"/>
                <w:sz w:val="18"/>
                <w:szCs w:val="18"/>
                <w:lang w:val="en-GB"/>
              </w:rPr>
              <w:t xml:space="preserve"> customers</w:t>
            </w:r>
          </w:p>
          <w:p w14:paraId="3507BE8C" w14:textId="77777777" w:rsidR="00520D91" w:rsidRPr="00227C1D" w:rsidRDefault="00520D91" w:rsidP="003E0B4B">
            <w:pPr>
              <w:rPr>
                <w:rFonts w:ascii="Arial" w:eastAsia="Calibri" w:hAnsi="Arial" w:cs="Arial"/>
                <w:snapToGrid w:val="0"/>
                <w:sz w:val="18"/>
                <w:szCs w:val="18"/>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0525C845" w14:textId="77777777" w:rsidR="00520D91" w:rsidRPr="00904D3B" w:rsidRDefault="00520D91" w:rsidP="003E0B4B">
            <w:pPr>
              <w:jc w:val="center"/>
              <w:rPr>
                <w:rFonts w:ascii="Arial" w:eastAsia="Calibri" w:hAnsi="Arial" w:cs="Arial"/>
                <w:snapToGrid w:val="0"/>
                <w:sz w:val="18"/>
                <w:szCs w:val="18"/>
              </w:rPr>
            </w:pPr>
            <w:r>
              <w:rPr>
                <w:rFonts w:ascii="Arial" w:eastAsia="Calibri" w:hAnsi="Arial" w:cs="Arial"/>
                <w:snapToGrid w:val="0"/>
                <w:sz w:val="18"/>
                <w:szCs w:val="18"/>
                <w:lang w:val="en-GB"/>
              </w:rPr>
              <w:t>500</w:t>
            </w:r>
          </w:p>
        </w:tc>
        <w:tc>
          <w:tcPr>
            <w:tcW w:w="3402" w:type="dxa"/>
            <w:tcBorders>
              <w:top w:val="single" w:sz="4" w:space="0" w:color="000000"/>
              <w:left w:val="single" w:sz="4" w:space="0" w:color="000000"/>
              <w:bottom w:val="single" w:sz="4" w:space="0" w:color="000000"/>
              <w:right w:val="single" w:sz="4" w:space="0" w:color="000000"/>
            </w:tcBorders>
            <w:vAlign w:val="center"/>
            <w:hideMark/>
          </w:tcPr>
          <w:p w14:paraId="1580B684" w14:textId="77777777" w:rsidR="00520D91" w:rsidRDefault="00520D91" w:rsidP="003E0B4B">
            <w:pPr>
              <w:ind w:left="-74"/>
              <w:rPr>
                <w:rFonts w:ascii="Arial" w:eastAsia="Calibri" w:hAnsi="Arial" w:cs="Arial"/>
                <w:snapToGrid w:val="0"/>
                <w:sz w:val="18"/>
                <w:szCs w:val="18"/>
              </w:rPr>
            </w:pPr>
            <w:r>
              <w:rPr>
                <w:rFonts w:ascii="Arial" w:eastAsia="Calibri" w:hAnsi="Arial" w:cs="Arial"/>
                <w:snapToGrid w:val="0"/>
                <w:sz w:val="18"/>
                <w:szCs w:val="18"/>
                <w:lang w:val="en-GB"/>
              </w:rPr>
              <w:t>The cost of raw materials and supplies</w:t>
            </w:r>
          </w:p>
          <w:p w14:paraId="05E6A951" w14:textId="77777777" w:rsidR="00520D91" w:rsidRPr="00227C1D" w:rsidRDefault="00520D91" w:rsidP="003E0B4B">
            <w:pPr>
              <w:ind w:left="-74"/>
              <w:rPr>
                <w:rFonts w:ascii="Arial" w:eastAsia="Calibri" w:hAnsi="Arial" w:cs="Arial"/>
                <w:snapToGrid w:val="0"/>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CFA4736" w14:textId="77777777" w:rsidR="00520D91" w:rsidRPr="00904D3B" w:rsidRDefault="00520D91" w:rsidP="003E0B4B">
            <w:pPr>
              <w:jc w:val="center"/>
              <w:rPr>
                <w:rFonts w:ascii="Arial" w:eastAsia="Calibri" w:hAnsi="Arial" w:cs="Arial"/>
                <w:snapToGrid w:val="0"/>
                <w:sz w:val="18"/>
                <w:szCs w:val="18"/>
              </w:rPr>
            </w:pPr>
            <w:r>
              <w:rPr>
                <w:rFonts w:ascii="Arial" w:eastAsia="Calibri" w:hAnsi="Arial" w:cs="Arial"/>
                <w:snapToGrid w:val="0"/>
                <w:sz w:val="18"/>
                <w:szCs w:val="18"/>
                <w:lang w:val="en-GB"/>
              </w:rPr>
              <w:t>300</w:t>
            </w:r>
          </w:p>
        </w:tc>
      </w:tr>
      <w:tr w:rsidR="00520D91" w:rsidRPr="00904D3B" w14:paraId="5856CA37" w14:textId="77777777" w:rsidTr="003E0B4B">
        <w:tc>
          <w:tcPr>
            <w:tcW w:w="3402" w:type="dxa"/>
            <w:tcBorders>
              <w:top w:val="single" w:sz="4" w:space="0" w:color="000000"/>
              <w:left w:val="single" w:sz="4" w:space="0" w:color="000000"/>
              <w:bottom w:val="single" w:sz="4" w:space="0" w:color="000000"/>
              <w:right w:val="single" w:sz="4" w:space="0" w:color="000000"/>
            </w:tcBorders>
            <w:vAlign w:val="center"/>
            <w:hideMark/>
          </w:tcPr>
          <w:p w14:paraId="746895CF" w14:textId="77777777" w:rsidR="00520D91" w:rsidRPr="00227C1D" w:rsidRDefault="00520D91" w:rsidP="003E0B4B">
            <w:pPr>
              <w:ind w:left="-74"/>
              <w:rPr>
                <w:rFonts w:ascii="Arial" w:eastAsia="Calibri" w:hAnsi="Arial" w:cs="Arial"/>
                <w:snapToGrid w:val="0"/>
                <w:sz w:val="18"/>
                <w:szCs w:val="18"/>
              </w:rPr>
            </w:pPr>
            <w:r>
              <w:rPr>
                <w:rFonts w:ascii="Arial" w:eastAsia="Calibri" w:hAnsi="Arial" w:cs="Arial"/>
                <w:snapToGrid w:val="0"/>
                <w:sz w:val="18"/>
                <w:szCs w:val="18"/>
                <w:lang w:val="en-GB"/>
              </w:rPr>
              <w:t>The cost of the goods sold</w:t>
            </w:r>
          </w:p>
          <w:p w14:paraId="6B480D99" w14:textId="77777777" w:rsidR="00520D91" w:rsidRDefault="00520D91" w:rsidP="003E0B4B">
            <w:pPr>
              <w:ind w:left="-74"/>
              <w:rPr>
                <w:rFonts w:ascii="Arial" w:eastAsia="Calibri" w:hAnsi="Arial" w:cs="Arial"/>
                <w:snapToGrid w:val="0"/>
                <w:sz w:val="18"/>
                <w:szCs w:val="18"/>
              </w:rPr>
            </w:pPr>
            <w:r>
              <w:rPr>
                <w:rFonts w:ascii="Arial" w:eastAsia="Calibri" w:hAnsi="Arial" w:cs="Arial"/>
                <w:snapToGrid w:val="0"/>
                <w:sz w:val="18"/>
                <w:szCs w:val="18"/>
                <w:lang w:val="en-GB"/>
              </w:rPr>
              <w:t>(transfer price)</w:t>
            </w:r>
          </w:p>
          <w:p w14:paraId="463E99E6" w14:textId="77777777" w:rsidR="00520D91" w:rsidRPr="00227C1D" w:rsidRDefault="00520D91" w:rsidP="003E0B4B">
            <w:pPr>
              <w:ind w:left="-74"/>
              <w:rPr>
                <w:rFonts w:ascii="Arial" w:eastAsia="Calibri" w:hAnsi="Arial" w:cs="Arial"/>
                <w:snapToGrid w:val="0"/>
                <w:sz w:val="18"/>
                <w:szCs w:val="18"/>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AA2D502" w14:textId="77777777" w:rsidR="00520D91" w:rsidRPr="00904D3B" w:rsidRDefault="00520D91" w:rsidP="003E0B4B">
            <w:pPr>
              <w:ind w:left="-74"/>
              <w:jc w:val="both"/>
              <w:rPr>
                <w:rFonts w:ascii="Arial" w:eastAsia="Calibri" w:hAnsi="Arial" w:cs="Arial"/>
                <w:snapToGrid w:val="0"/>
                <w:sz w:val="18"/>
                <w:szCs w:val="18"/>
              </w:rPr>
            </w:pPr>
          </w:p>
          <w:p w14:paraId="03D2A05F" w14:textId="77777777" w:rsidR="00520D91" w:rsidRPr="00227C1D" w:rsidRDefault="00520D91" w:rsidP="003E0B4B">
            <w:pPr>
              <w:ind w:left="-74"/>
              <w:jc w:val="both"/>
              <w:rPr>
                <w:rFonts w:ascii="Arial" w:eastAsia="Calibri" w:hAnsi="Arial" w:cs="Arial"/>
                <w:snapToGrid w:val="0"/>
                <w:color w:val="FF0000"/>
                <w:sz w:val="18"/>
                <w:szCs w:val="18"/>
              </w:rPr>
            </w:pPr>
            <w:r>
              <w:rPr>
                <w:rFonts w:ascii="Arial" w:eastAsia="Calibri" w:hAnsi="Arial" w:cs="Arial"/>
                <w:snapToGrid w:val="0"/>
                <w:sz w:val="18"/>
                <w:szCs w:val="18"/>
                <w:lang w:val="en-GB"/>
              </w:rPr>
              <w:t xml:space="preserve">  -300</w:t>
            </w:r>
          </w:p>
        </w:tc>
        <w:tc>
          <w:tcPr>
            <w:tcW w:w="3402" w:type="dxa"/>
            <w:tcBorders>
              <w:top w:val="single" w:sz="4" w:space="0" w:color="000000"/>
              <w:left w:val="single" w:sz="4" w:space="0" w:color="000000"/>
              <w:bottom w:val="single" w:sz="4" w:space="0" w:color="000000"/>
              <w:right w:val="single" w:sz="4" w:space="0" w:color="000000"/>
            </w:tcBorders>
            <w:vAlign w:val="center"/>
            <w:hideMark/>
          </w:tcPr>
          <w:p w14:paraId="425F0C8A" w14:textId="77777777" w:rsidR="00520D91" w:rsidRPr="00904D3B" w:rsidRDefault="00520D91" w:rsidP="003E0B4B">
            <w:pPr>
              <w:ind w:left="-74"/>
              <w:rPr>
                <w:rFonts w:ascii="Arial" w:eastAsia="Calibri" w:hAnsi="Arial" w:cs="Arial"/>
                <w:snapToGrid w:val="0"/>
                <w:sz w:val="18"/>
                <w:szCs w:val="18"/>
              </w:rPr>
            </w:pPr>
            <w:r>
              <w:rPr>
                <w:rFonts w:ascii="Arial" w:eastAsia="Calibri" w:hAnsi="Arial" w:cs="Arial"/>
                <w:snapToGrid w:val="0"/>
                <w:sz w:val="18"/>
                <w:szCs w:val="18"/>
                <w:lang w:val="en-GB"/>
              </w:rPr>
              <w:t>+ other direct and indirect production costs</w:t>
            </w:r>
          </w:p>
          <w:p w14:paraId="5370F488" w14:textId="77777777" w:rsidR="00520D91" w:rsidRPr="00904D3B" w:rsidRDefault="00520D91" w:rsidP="003E0B4B">
            <w:pPr>
              <w:ind w:left="-74"/>
              <w:rPr>
                <w:rFonts w:ascii="Arial" w:eastAsia="Calibri" w:hAnsi="Arial" w:cs="Arial"/>
                <w:snapToGrid w:val="0"/>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F61DC8D" w14:textId="77777777" w:rsidR="00520D91" w:rsidRPr="00904D3B" w:rsidRDefault="00520D91" w:rsidP="003E0B4B">
            <w:pPr>
              <w:jc w:val="center"/>
              <w:rPr>
                <w:rFonts w:ascii="Arial" w:eastAsia="Calibri" w:hAnsi="Arial" w:cs="Arial"/>
                <w:snapToGrid w:val="0"/>
                <w:sz w:val="18"/>
                <w:szCs w:val="18"/>
              </w:rPr>
            </w:pPr>
            <w:r>
              <w:rPr>
                <w:rFonts w:ascii="Arial" w:eastAsia="Calibri" w:hAnsi="Arial" w:cs="Arial"/>
                <w:snapToGrid w:val="0"/>
                <w:sz w:val="18"/>
                <w:szCs w:val="18"/>
              </w:rPr>
              <w:t>150</w:t>
            </w:r>
          </w:p>
        </w:tc>
      </w:tr>
      <w:tr w:rsidR="00520D91" w:rsidRPr="00904D3B" w14:paraId="3294FFD7" w14:textId="77777777" w:rsidTr="003E0B4B">
        <w:trPr>
          <w:trHeight w:val="302"/>
        </w:trPr>
        <w:tc>
          <w:tcPr>
            <w:tcW w:w="3402"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14987447" w14:textId="77777777" w:rsidR="00520D91" w:rsidRPr="00227C1D" w:rsidRDefault="00520D91" w:rsidP="003E0B4B">
            <w:pPr>
              <w:ind w:left="-74"/>
              <w:rPr>
                <w:rFonts w:ascii="Arial" w:eastAsia="Calibri" w:hAnsi="Arial" w:cs="Arial"/>
                <w:b/>
                <w:snapToGrid w:val="0"/>
                <w:sz w:val="18"/>
                <w:szCs w:val="18"/>
              </w:rPr>
            </w:pPr>
            <w:r>
              <w:rPr>
                <w:rFonts w:ascii="Arial" w:eastAsia="Calibri" w:hAnsi="Arial" w:cs="Arial"/>
                <w:b/>
                <w:bCs/>
                <w:snapToGrid w:val="0"/>
                <w:sz w:val="18"/>
                <w:szCs w:val="18"/>
                <w:lang w:val="en-GB"/>
              </w:rPr>
              <w:t>Price difference</w:t>
            </w:r>
          </w:p>
        </w:tc>
        <w:tc>
          <w:tcPr>
            <w:tcW w:w="709"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37B18888" w14:textId="77777777" w:rsidR="00520D91" w:rsidRPr="00904D3B" w:rsidRDefault="00520D91" w:rsidP="003E0B4B">
            <w:pPr>
              <w:ind w:left="-74"/>
              <w:jc w:val="both"/>
              <w:rPr>
                <w:rFonts w:ascii="Arial" w:eastAsia="Calibri" w:hAnsi="Arial" w:cs="Arial"/>
                <w:b/>
                <w:snapToGrid w:val="0"/>
                <w:sz w:val="18"/>
                <w:szCs w:val="18"/>
              </w:rPr>
            </w:pPr>
            <w:r>
              <w:rPr>
                <w:rFonts w:ascii="Arial" w:eastAsia="Calibri" w:hAnsi="Arial" w:cs="Arial"/>
                <w:b/>
                <w:bCs/>
                <w:snapToGrid w:val="0"/>
                <w:sz w:val="18"/>
                <w:szCs w:val="18"/>
                <w:lang w:val="en-GB"/>
              </w:rPr>
              <w:t xml:space="preserve">   200</w:t>
            </w:r>
          </w:p>
        </w:tc>
        <w:tc>
          <w:tcPr>
            <w:tcW w:w="3402" w:type="dxa"/>
            <w:tcBorders>
              <w:top w:val="single" w:sz="4" w:space="0" w:color="000000"/>
              <w:left w:val="single" w:sz="4" w:space="0" w:color="000000"/>
              <w:bottom w:val="single" w:sz="4" w:space="0" w:color="000000"/>
              <w:right w:val="single" w:sz="4" w:space="0" w:color="000000"/>
            </w:tcBorders>
            <w:vAlign w:val="center"/>
          </w:tcPr>
          <w:p w14:paraId="30CFA0D9" w14:textId="77777777" w:rsidR="00520D91" w:rsidRPr="00904D3B" w:rsidRDefault="00520D91" w:rsidP="003E0B4B">
            <w:pPr>
              <w:ind w:left="-74"/>
              <w:rPr>
                <w:rFonts w:ascii="Arial" w:eastAsia="Calibri" w:hAnsi="Arial" w:cs="Arial"/>
                <w:snapToGrid w:val="0"/>
                <w:sz w:val="18"/>
                <w:szCs w:val="18"/>
              </w:rPr>
            </w:pPr>
            <w:r>
              <w:rPr>
                <w:rFonts w:ascii="Arial" w:eastAsia="Calibri" w:hAnsi="Arial" w:cs="Arial"/>
                <w:snapToGrid w:val="0"/>
                <w:sz w:val="18"/>
                <w:szCs w:val="18"/>
                <w:lang w:val="en-GB"/>
              </w:rPr>
              <w:t>Total manufacturing costs</w:t>
            </w:r>
          </w:p>
        </w:tc>
        <w:tc>
          <w:tcPr>
            <w:tcW w:w="992" w:type="dxa"/>
            <w:tcBorders>
              <w:top w:val="single" w:sz="4" w:space="0" w:color="000000"/>
              <w:left w:val="single" w:sz="4" w:space="0" w:color="000000"/>
              <w:bottom w:val="single" w:sz="4" w:space="0" w:color="000000"/>
              <w:right w:val="single" w:sz="4" w:space="0" w:color="000000"/>
            </w:tcBorders>
            <w:vAlign w:val="center"/>
          </w:tcPr>
          <w:p w14:paraId="285A7DB3" w14:textId="77777777" w:rsidR="00520D91" w:rsidRPr="00904D3B" w:rsidRDefault="00520D91" w:rsidP="003E0B4B">
            <w:pPr>
              <w:jc w:val="center"/>
              <w:rPr>
                <w:rFonts w:ascii="Arial" w:eastAsia="Calibri" w:hAnsi="Arial" w:cs="Arial"/>
                <w:snapToGrid w:val="0"/>
                <w:sz w:val="18"/>
                <w:szCs w:val="18"/>
              </w:rPr>
            </w:pPr>
            <w:r>
              <w:rPr>
                <w:rFonts w:ascii="Arial" w:eastAsia="Calibri" w:hAnsi="Arial" w:cs="Arial"/>
                <w:snapToGrid w:val="0"/>
                <w:sz w:val="18"/>
                <w:szCs w:val="18"/>
                <w:lang w:val="en-GB"/>
              </w:rPr>
              <w:t>450</w:t>
            </w:r>
          </w:p>
        </w:tc>
      </w:tr>
      <w:tr w:rsidR="00520D91" w:rsidRPr="00904D3B" w14:paraId="28AABD63" w14:textId="77777777" w:rsidTr="003E0B4B">
        <w:tc>
          <w:tcPr>
            <w:tcW w:w="3402" w:type="dxa"/>
            <w:tcBorders>
              <w:top w:val="single" w:sz="4" w:space="0" w:color="000000"/>
              <w:left w:val="single" w:sz="4" w:space="0" w:color="000000"/>
              <w:bottom w:val="single" w:sz="4" w:space="0" w:color="000000"/>
              <w:right w:val="single" w:sz="4" w:space="0" w:color="000000"/>
            </w:tcBorders>
            <w:vAlign w:val="center"/>
            <w:hideMark/>
          </w:tcPr>
          <w:p w14:paraId="19279D58" w14:textId="77777777" w:rsidR="00520D91" w:rsidRDefault="00520D91" w:rsidP="003E0B4B">
            <w:pPr>
              <w:ind w:left="-74"/>
              <w:rPr>
                <w:rFonts w:ascii="Arial" w:eastAsia="Calibri" w:hAnsi="Arial" w:cs="Arial"/>
                <w:snapToGrid w:val="0"/>
                <w:sz w:val="18"/>
                <w:szCs w:val="18"/>
              </w:rPr>
            </w:pPr>
            <w:r>
              <w:rPr>
                <w:rFonts w:ascii="Arial" w:eastAsia="Calibri" w:hAnsi="Arial" w:cs="Arial"/>
                <w:snapToGrid w:val="0"/>
                <w:sz w:val="18"/>
                <w:szCs w:val="18"/>
                <w:lang w:val="en-GB"/>
              </w:rPr>
              <w:t>Other selling expenses and other operating expenses</w:t>
            </w:r>
          </w:p>
          <w:p w14:paraId="1FCC0253" w14:textId="77777777" w:rsidR="00520D91" w:rsidRPr="00227C1D" w:rsidRDefault="00520D91" w:rsidP="003E0B4B">
            <w:pPr>
              <w:ind w:left="-74"/>
              <w:rPr>
                <w:rFonts w:ascii="Arial" w:eastAsia="Calibri" w:hAnsi="Arial" w:cs="Arial"/>
                <w:snapToGrid w:val="0"/>
                <w:sz w:val="18"/>
                <w:szCs w:val="18"/>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081FD52" w14:textId="77777777" w:rsidR="00520D91" w:rsidRPr="00904D3B" w:rsidRDefault="00520D91" w:rsidP="003E0B4B">
            <w:pPr>
              <w:ind w:left="-74"/>
              <w:jc w:val="both"/>
              <w:rPr>
                <w:rFonts w:ascii="Arial" w:eastAsia="Calibri" w:hAnsi="Arial" w:cs="Arial"/>
                <w:snapToGrid w:val="0"/>
                <w:sz w:val="18"/>
                <w:szCs w:val="18"/>
              </w:rPr>
            </w:pPr>
            <w:r>
              <w:rPr>
                <w:rFonts w:ascii="Arial" w:eastAsia="Calibri" w:hAnsi="Arial" w:cs="Arial"/>
                <w:snapToGrid w:val="0"/>
                <w:sz w:val="18"/>
                <w:szCs w:val="18"/>
                <w:lang w:val="en-GB"/>
              </w:rPr>
              <w:t xml:space="preserve">   150</w:t>
            </w:r>
          </w:p>
        </w:tc>
        <w:tc>
          <w:tcPr>
            <w:tcW w:w="3402"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45E02475" w14:textId="77777777" w:rsidR="00520D91" w:rsidRPr="00904D3B" w:rsidRDefault="00520D91" w:rsidP="003E0B4B">
            <w:pPr>
              <w:ind w:left="-74"/>
              <w:rPr>
                <w:rFonts w:ascii="Arial" w:eastAsia="Calibri" w:hAnsi="Arial" w:cs="Arial"/>
                <w:b/>
                <w:snapToGrid w:val="0"/>
                <w:sz w:val="18"/>
                <w:szCs w:val="18"/>
              </w:rPr>
            </w:pPr>
            <w:r>
              <w:rPr>
                <w:rFonts w:ascii="Arial" w:eastAsia="Calibri" w:hAnsi="Arial" w:cs="Arial"/>
                <w:b/>
                <w:bCs/>
                <w:snapToGrid w:val="0"/>
                <w:sz w:val="18"/>
                <w:szCs w:val="18"/>
                <w:lang w:val="en-GB"/>
              </w:rPr>
              <w:t>Cost mark-up 10%</w:t>
            </w:r>
          </w:p>
        </w:tc>
        <w:tc>
          <w:tcPr>
            <w:tcW w:w="992"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42E3651C" w14:textId="77777777" w:rsidR="00520D91" w:rsidRPr="00904D3B" w:rsidRDefault="00520D91" w:rsidP="003E0B4B">
            <w:pPr>
              <w:jc w:val="center"/>
              <w:rPr>
                <w:rFonts w:ascii="Arial" w:eastAsia="Calibri" w:hAnsi="Arial" w:cs="Arial"/>
                <w:b/>
                <w:snapToGrid w:val="0"/>
                <w:sz w:val="18"/>
                <w:szCs w:val="18"/>
              </w:rPr>
            </w:pPr>
            <w:r>
              <w:rPr>
                <w:rFonts w:ascii="Arial" w:eastAsia="Calibri" w:hAnsi="Arial" w:cs="Arial"/>
                <w:b/>
                <w:snapToGrid w:val="0"/>
                <w:sz w:val="18"/>
                <w:szCs w:val="18"/>
              </w:rPr>
              <w:t>45</w:t>
            </w:r>
          </w:p>
        </w:tc>
      </w:tr>
      <w:tr w:rsidR="00520D91" w:rsidRPr="00904D3B" w14:paraId="5C32A4BB" w14:textId="77777777" w:rsidTr="003E0B4B">
        <w:tc>
          <w:tcPr>
            <w:tcW w:w="3402" w:type="dxa"/>
            <w:tcBorders>
              <w:top w:val="single" w:sz="4" w:space="0" w:color="000000"/>
              <w:left w:val="single" w:sz="4" w:space="0" w:color="000000"/>
              <w:bottom w:val="single" w:sz="4" w:space="0" w:color="auto"/>
              <w:right w:val="single" w:sz="4" w:space="0" w:color="000000"/>
            </w:tcBorders>
            <w:shd w:val="clear" w:color="auto" w:fill="EEECE1"/>
            <w:vAlign w:val="center"/>
            <w:hideMark/>
          </w:tcPr>
          <w:p w14:paraId="39304D1E" w14:textId="77777777" w:rsidR="00520D91" w:rsidRPr="00227C1D" w:rsidRDefault="00520D91" w:rsidP="003E0B4B">
            <w:pPr>
              <w:ind w:left="-74"/>
              <w:rPr>
                <w:rFonts w:ascii="Arial" w:eastAsia="Calibri" w:hAnsi="Arial" w:cs="Arial"/>
                <w:b/>
                <w:snapToGrid w:val="0"/>
                <w:sz w:val="18"/>
                <w:szCs w:val="18"/>
              </w:rPr>
            </w:pPr>
            <w:r>
              <w:rPr>
                <w:rFonts w:ascii="Arial" w:eastAsia="Calibri" w:hAnsi="Arial" w:cs="Arial"/>
                <w:b/>
                <w:bCs/>
                <w:snapToGrid w:val="0"/>
                <w:sz w:val="18"/>
                <w:szCs w:val="18"/>
                <w:lang w:val="en-GB"/>
              </w:rPr>
              <w:t>Net profit or net operating</w:t>
            </w:r>
          </w:p>
          <w:p w14:paraId="0D0B3CB0" w14:textId="77777777" w:rsidR="00520D91" w:rsidRDefault="00520D91" w:rsidP="003E0B4B">
            <w:pPr>
              <w:ind w:left="-74"/>
              <w:rPr>
                <w:rFonts w:ascii="Arial" w:eastAsia="Calibri" w:hAnsi="Arial" w:cs="Arial"/>
                <w:b/>
                <w:snapToGrid w:val="0"/>
                <w:sz w:val="18"/>
                <w:szCs w:val="18"/>
              </w:rPr>
            </w:pPr>
            <w:r>
              <w:rPr>
                <w:rFonts w:ascii="Arial" w:eastAsia="Calibri" w:hAnsi="Arial" w:cs="Arial"/>
                <w:b/>
                <w:bCs/>
                <w:snapToGrid w:val="0"/>
                <w:sz w:val="18"/>
                <w:szCs w:val="18"/>
                <w:lang w:val="en-GB"/>
              </w:rPr>
              <w:t>profit*</w:t>
            </w:r>
          </w:p>
          <w:p w14:paraId="0323D5AD" w14:textId="77777777" w:rsidR="00520D91" w:rsidRPr="00227C1D" w:rsidRDefault="00520D91" w:rsidP="003E0B4B">
            <w:pPr>
              <w:ind w:left="-74"/>
              <w:rPr>
                <w:rFonts w:ascii="Arial" w:eastAsia="Calibri" w:hAnsi="Arial" w:cs="Arial"/>
                <w:b/>
                <w:snapToGrid w:val="0"/>
                <w:sz w:val="18"/>
                <w:szCs w:val="18"/>
              </w:rPr>
            </w:pPr>
          </w:p>
        </w:tc>
        <w:tc>
          <w:tcPr>
            <w:tcW w:w="709" w:type="dxa"/>
            <w:tcBorders>
              <w:top w:val="single" w:sz="4" w:space="0" w:color="000000"/>
              <w:left w:val="single" w:sz="4" w:space="0" w:color="000000"/>
              <w:bottom w:val="single" w:sz="4" w:space="0" w:color="auto"/>
              <w:right w:val="single" w:sz="4" w:space="0" w:color="000000"/>
            </w:tcBorders>
            <w:shd w:val="clear" w:color="auto" w:fill="EEECE1"/>
            <w:vAlign w:val="center"/>
          </w:tcPr>
          <w:p w14:paraId="10C907FF" w14:textId="77777777" w:rsidR="00520D91" w:rsidRPr="00904D3B" w:rsidRDefault="00520D91" w:rsidP="003E0B4B">
            <w:pPr>
              <w:ind w:left="-74"/>
              <w:jc w:val="both"/>
              <w:rPr>
                <w:rFonts w:ascii="Arial" w:eastAsia="Calibri" w:hAnsi="Arial" w:cs="Arial"/>
                <w:b/>
                <w:snapToGrid w:val="0"/>
                <w:sz w:val="18"/>
                <w:szCs w:val="18"/>
              </w:rPr>
            </w:pPr>
          </w:p>
          <w:p w14:paraId="0B447352" w14:textId="77777777" w:rsidR="00520D91" w:rsidRPr="00904D3B" w:rsidRDefault="00520D91" w:rsidP="003E0B4B">
            <w:pPr>
              <w:ind w:left="-74"/>
              <w:jc w:val="both"/>
              <w:rPr>
                <w:rFonts w:ascii="Arial" w:eastAsia="Calibri" w:hAnsi="Arial" w:cs="Arial"/>
                <w:b/>
                <w:snapToGrid w:val="0"/>
                <w:sz w:val="18"/>
                <w:szCs w:val="18"/>
              </w:rPr>
            </w:pPr>
            <w:r>
              <w:rPr>
                <w:rFonts w:ascii="Arial" w:eastAsia="Calibri" w:hAnsi="Arial" w:cs="Arial"/>
                <w:b/>
                <w:bCs/>
                <w:snapToGrid w:val="0"/>
                <w:sz w:val="18"/>
                <w:szCs w:val="18"/>
                <w:lang w:val="en-GB"/>
              </w:rPr>
              <w:t xml:space="preserve">     50</w:t>
            </w:r>
          </w:p>
        </w:tc>
        <w:tc>
          <w:tcPr>
            <w:tcW w:w="3402" w:type="dxa"/>
            <w:tcBorders>
              <w:top w:val="single" w:sz="4" w:space="0" w:color="000000"/>
              <w:left w:val="single" w:sz="4" w:space="0" w:color="000000"/>
              <w:bottom w:val="single" w:sz="4" w:space="0" w:color="000000"/>
              <w:right w:val="single" w:sz="4" w:space="0" w:color="000000"/>
            </w:tcBorders>
            <w:vAlign w:val="center"/>
          </w:tcPr>
          <w:p w14:paraId="5C08C550" w14:textId="77777777" w:rsidR="00520D91" w:rsidRPr="00904D3B" w:rsidRDefault="00520D91" w:rsidP="003E0B4B">
            <w:pPr>
              <w:ind w:left="-74"/>
              <w:rPr>
                <w:rFonts w:ascii="Arial" w:eastAsia="Calibri" w:hAnsi="Arial" w:cs="Arial"/>
                <w:snapToGrid w:val="0"/>
                <w:sz w:val="18"/>
                <w:szCs w:val="18"/>
              </w:rPr>
            </w:pPr>
            <w:r>
              <w:rPr>
                <w:rFonts w:ascii="Arial" w:eastAsia="Calibri" w:hAnsi="Arial" w:cs="Arial"/>
                <w:snapToGrid w:val="0"/>
                <w:sz w:val="18"/>
                <w:szCs w:val="18"/>
                <w:lang w:val="en-GB"/>
              </w:rPr>
              <w:t>Selling price (transfer price)</w:t>
            </w:r>
          </w:p>
        </w:tc>
        <w:tc>
          <w:tcPr>
            <w:tcW w:w="992" w:type="dxa"/>
            <w:tcBorders>
              <w:top w:val="single" w:sz="4" w:space="0" w:color="000000"/>
              <w:left w:val="single" w:sz="4" w:space="0" w:color="000000"/>
              <w:bottom w:val="single" w:sz="4" w:space="0" w:color="000000"/>
              <w:right w:val="single" w:sz="4" w:space="0" w:color="000000"/>
            </w:tcBorders>
            <w:vAlign w:val="center"/>
          </w:tcPr>
          <w:p w14:paraId="57867490" w14:textId="77777777" w:rsidR="00520D91" w:rsidRPr="00904D3B" w:rsidRDefault="00520D91" w:rsidP="003E0B4B">
            <w:pPr>
              <w:jc w:val="center"/>
              <w:rPr>
                <w:rFonts w:ascii="Arial" w:eastAsia="Calibri" w:hAnsi="Arial" w:cs="Arial"/>
                <w:snapToGrid w:val="0"/>
                <w:sz w:val="18"/>
                <w:szCs w:val="18"/>
              </w:rPr>
            </w:pPr>
            <w:r>
              <w:rPr>
                <w:rFonts w:ascii="Arial" w:eastAsia="Calibri" w:hAnsi="Arial" w:cs="Arial"/>
                <w:snapToGrid w:val="0"/>
                <w:sz w:val="18"/>
                <w:szCs w:val="18"/>
              </w:rPr>
              <w:t>495</w:t>
            </w:r>
          </w:p>
        </w:tc>
      </w:tr>
      <w:tr w:rsidR="00520D91" w:rsidRPr="00904D3B" w14:paraId="3C14B7E8" w14:textId="77777777" w:rsidTr="003E0B4B">
        <w:trPr>
          <w:trHeight w:val="438"/>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DE693C5" w14:textId="77777777" w:rsidR="00520D91" w:rsidRPr="00227C1D" w:rsidRDefault="00520D91" w:rsidP="003E0B4B">
            <w:pPr>
              <w:ind w:left="-74"/>
              <w:rPr>
                <w:rFonts w:ascii="Arial" w:eastAsia="Calibri" w:hAnsi="Arial" w:cs="Arial"/>
                <w:b/>
                <w:snapToGrid w:val="0"/>
                <w:sz w:val="18"/>
                <w:szCs w:val="18"/>
              </w:rPr>
            </w:pPr>
            <w:r>
              <w:rPr>
                <w:rFonts w:ascii="Arial" w:eastAsia="Calibri" w:hAnsi="Arial" w:cs="Arial"/>
                <w:snapToGrid w:val="0"/>
                <w:sz w:val="18"/>
                <w:szCs w:val="18"/>
                <w:lang w:val="en-GB"/>
              </w:rPr>
              <w:t>Financing income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1BFAD61" w14:textId="77777777" w:rsidR="00520D91" w:rsidRPr="00904D3B" w:rsidRDefault="00520D91" w:rsidP="003E0B4B">
            <w:pPr>
              <w:ind w:left="-74"/>
              <w:jc w:val="both"/>
              <w:rPr>
                <w:rFonts w:ascii="Arial" w:eastAsia="Calibri" w:hAnsi="Arial" w:cs="Arial"/>
                <w:snapToGrid w:val="0"/>
                <w:sz w:val="18"/>
                <w:szCs w:val="18"/>
              </w:rPr>
            </w:pPr>
            <w:r>
              <w:rPr>
                <w:rFonts w:ascii="Arial" w:eastAsia="Calibri" w:hAnsi="Arial" w:cs="Arial"/>
                <w:snapToGrid w:val="0"/>
                <w:sz w:val="18"/>
                <w:szCs w:val="18"/>
                <w:lang w:val="en-GB"/>
              </w:rPr>
              <w:t xml:space="preserve">     10</w:t>
            </w:r>
          </w:p>
        </w:tc>
        <w:tc>
          <w:tcPr>
            <w:tcW w:w="3402" w:type="dxa"/>
            <w:tcBorders>
              <w:top w:val="single" w:sz="4" w:space="0" w:color="000000"/>
              <w:left w:val="single" w:sz="4" w:space="0" w:color="auto"/>
              <w:bottom w:val="single" w:sz="4" w:space="0" w:color="000000"/>
              <w:right w:val="single" w:sz="4" w:space="0" w:color="000000"/>
            </w:tcBorders>
            <w:vAlign w:val="center"/>
          </w:tcPr>
          <w:p w14:paraId="216B40A6" w14:textId="77777777" w:rsidR="00520D91" w:rsidRPr="00904D3B" w:rsidRDefault="00520D91" w:rsidP="003E0B4B">
            <w:pPr>
              <w:ind w:left="-74"/>
              <w:rPr>
                <w:rFonts w:ascii="Arial" w:eastAsia="Calibri" w:hAnsi="Arial" w:cs="Arial"/>
                <w:snapToGrid w:val="0"/>
                <w:sz w:val="18"/>
                <w:szCs w:val="18"/>
              </w:rPr>
            </w:pPr>
            <w:r>
              <w:rPr>
                <w:rFonts w:ascii="Arial" w:eastAsia="Calibri" w:hAnsi="Arial" w:cs="Arial"/>
                <w:snapToGrid w:val="0"/>
                <w:sz w:val="18"/>
                <w:szCs w:val="18"/>
                <w:lang w:val="en-GB"/>
              </w:rPr>
              <w:t>Overhead and other operating expenses</w:t>
            </w:r>
          </w:p>
        </w:tc>
        <w:tc>
          <w:tcPr>
            <w:tcW w:w="992" w:type="dxa"/>
            <w:tcBorders>
              <w:top w:val="single" w:sz="4" w:space="0" w:color="000000"/>
              <w:left w:val="single" w:sz="4" w:space="0" w:color="000000"/>
              <w:bottom w:val="single" w:sz="4" w:space="0" w:color="000000"/>
              <w:right w:val="single" w:sz="4" w:space="0" w:color="000000"/>
            </w:tcBorders>
            <w:vAlign w:val="center"/>
          </w:tcPr>
          <w:p w14:paraId="2A9BF50D" w14:textId="77777777" w:rsidR="00520D91" w:rsidRPr="00904D3B" w:rsidRDefault="00520D91" w:rsidP="003E0B4B">
            <w:pPr>
              <w:jc w:val="center"/>
              <w:rPr>
                <w:rFonts w:ascii="Arial" w:eastAsia="Calibri" w:hAnsi="Arial" w:cs="Arial"/>
                <w:snapToGrid w:val="0"/>
                <w:sz w:val="18"/>
                <w:szCs w:val="18"/>
              </w:rPr>
            </w:pPr>
            <w:r>
              <w:rPr>
                <w:rFonts w:ascii="Arial" w:eastAsia="Calibri" w:hAnsi="Arial" w:cs="Arial"/>
                <w:snapToGrid w:val="0"/>
                <w:sz w:val="18"/>
                <w:szCs w:val="18"/>
                <w:lang w:val="en-GB"/>
              </w:rPr>
              <w:t>-15</w:t>
            </w:r>
          </w:p>
        </w:tc>
      </w:tr>
      <w:tr w:rsidR="00520D91" w:rsidRPr="00904D3B" w14:paraId="5374F3A7" w14:textId="77777777" w:rsidTr="003E0B4B">
        <w:trPr>
          <w:trHeight w:val="416"/>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1E0245D" w14:textId="77777777" w:rsidR="00520D91" w:rsidRPr="00227C1D" w:rsidRDefault="00520D91" w:rsidP="003E0B4B">
            <w:pPr>
              <w:ind w:left="-74"/>
              <w:rPr>
                <w:rFonts w:ascii="Arial" w:eastAsia="Calibri" w:hAnsi="Arial" w:cs="Arial"/>
                <w:b/>
                <w:snapToGrid w:val="0"/>
                <w:sz w:val="18"/>
                <w:szCs w:val="18"/>
              </w:rPr>
            </w:pPr>
            <w:r>
              <w:rPr>
                <w:rFonts w:ascii="Arial" w:eastAsia="Calibri" w:hAnsi="Arial" w:cs="Arial"/>
                <w:snapToGrid w:val="0"/>
                <w:sz w:val="18"/>
                <w:szCs w:val="18"/>
                <w:lang w:val="en-GB"/>
              </w:rPr>
              <w:t>Extraordinary expenses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EDFB88A" w14:textId="77777777" w:rsidR="00520D91" w:rsidRPr="00904D3B" w:rsidRDefault="00520D91" w:rsidP="003E0B4B">
            <w:pPr>
              <w:ind w:left="-74"/>
              <w:jc w:val="both"/>
              <w:rPr>
                <w:rFonts w:ascii="Arial" w:eastAsia="Calibri" w:hAnsi="Arial" w:cs="Arial"/>
                <w:snapToGrid w:val="0"/>
                <w:sz w:val="18"/>
                <w:szCs w:val="18"/>
              </w:rPr>
            </w:pPr>
            <w:r>
              <w:rPr>
                <w:rFonts w:ascii="Arial" w:eastAsia="Calibri" w:hAnsi="Arial" w:cs="Arial"/>
                <w:snapToGrid w:val="0"/>
                <w:sz w:val="18"/>
                <w:szCs w:val="18"/>
                <w:lang w:val="en-GB"/>
              </w:rPr>
              <w:t xml:space="preserve">     20</w:t>
            </w:r>
          </w:p>
        </w:tc>
        <w:tc>
          <w:tcPr>
            <w:tcW w:w="3402" w:type="dxa"/>
            <w:tcBorders>
              <w:top w:val="single" w:sz="4" w:space="0" w:color="000000"/>
              <w:left w:val="single" w:sz="4" w:space="0" w:color="auto"/>
              <w:bottom w:val="single" w:sz="4" w:space="0" w:color="000000"/>
              <w:right w:val="single" w:sz="4" w:space="0" w:color="000000"/>
            </w:tcBorders>
            <w:shd w:val="clear" w:color="auto" w:fill="EEECE1"/>
            <w:vAlign w:val="center"/>
          </w:tcPr>
          <w:p w14:paraId="37B734D1" w14:textId="77777777" w:rsidR="00520D91" w:rsidRPr="00227C1D" w:rsidRDefault="00520D91" w:rsidP="003E0B4B">
            <w:pPr>
              <w:ind w:left="-74"/>
              <w:rPr>
                <w:rFonts w:ascii="Arial" w:eastAsia="Calibri" w:hAnsi="Arial" w:cs="Arial"/>
                <w:snapToGrid w:val="0"/>
                <w:sz w:val="18"/>
                <w:szCs w:val="18"/>
              </w:rPr>
            </w:pPr>
            <w:r>
              <w:rPr>
                <w:rFonts w:ascii="Arial" w:eastAsia="Calibri" w:hAnsi="Arial" w:cs="Arial"/>
                <w:b/>
                <w:bCs/>
                <w:snapToGrid w:val="0"/>
                <w:sz w:val="18"/>
                <w:szCs w:val="18"/>
                <w:lang w:val="en-GB"/>
              </w:rPr>
              <w:t xml:space="preserve">Net profit or net operating profit* </w:t>
            </w:r>
          </w:p>
        </w:tc>
        <w:tc>
          <w:tcPr>
            <w:tcW w:w="992"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0A7206A1" w14:textId="77777777" w:rsidR="00520D91" w:rsidRPr="00904D3B" w:rsidRDefault="00520D91" w:rsidP="003E0B4B">
            <w:pPr>
              <w:jc w:val="center"/>
              <w:rPr>
                <w:rFonts w:ascii="Arial" w:eastAsia="Calibri" w:hAnsi="Arial" w:cs="Arial"/>
                <w:snapToGrid w:val="0"/>
                <w:sz w:val="18"/>
                <w:szCs w:val="18"/>
              </w:rPr>
            </w:pPr>
            <w:r>
              <w:rPr>
                <w:rFonts w:ascii="Arial" w:eastAsia="Calibri" w:hAnsi="Arial" w:cs="Arial"/>
                <w:b/>
                <w:snapToGrid w:val="0"/>
                <w:sz w:val="18"/>
                <w:szCs w:val="18"/>
              </w:rPr>
              <w:t>30</w:t>
            </w:r>
          </w:p>
        </w:tc>
      </w:tr>
      <w:tr w:rsidR="00520D91" w:rsidRPr="00904D3B" w14:paraId="68B08BDD" w14:textId="77777777" w:rsidTr="003E0B4B">
        <w:trPr>
          <w:trHeight w:val="420"/>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8B42B1A" w14:textId="77777777" w:rsidR="00520D91" w:rsidRPr="00227C1D" w:rsidRDefault="00520D91" w:rsidP="003E0B4B">
            <w:pPr>
              <w:ind w:left="-74"/>
              <w:rPr>
                <w:rFonts w:ascii="Arial" w:eastAsia="Calibri" w:hAnsi="Arial" w:cs="Arial"/>
                <w:snapToGrid w:val="0"/>
                <w:sz w:val="18"/>
                <w:szCs w:val="18"/>
              </w:rPr>
            </w:pPr>
            <w:r>
              <w:rPr>
                <w:rFonts w:ascii="Arial" w:eastAsia="Calibri" w:hAnsi="Arial" w:cs="Arial"/>
                <w:snapToGrid w:val="0"/>
                <w:sz w:val="18"/>
                <w:szCs w:val="18"/>
                <w:lang w:val="en-GB"/>
              </w:rPr>
              <w:t>Profit before taxation</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2E671B1" w14:textId="77777777" w:rsidR="00520D91" w:rsidRPr="00904D3B" w:rsidRDefault="00520D91" w:rsidP="003E0B4B">
            <w:pPr>
              <w:ind w:left="-74" w:right="-850"/>
              <w:jc w:val="both"/>
              <w:rPr>
                <w:rFonts w:ascii="Arial" w:eastAsia="Calibri" w:hAnsi="Arial" w:cs="Arial"/>
                <w:snapToGrid w:val="0"/>
                <w:sz w:val="18"/>
                <w:szCs w:val="18"/>
              </w:rPr>
            </w:pPr>
            <w:r>
              <w:rPr>
                <w:rFonts w:ascii="Arial" w:eastAsia="Calibri" w:hAnsi="Arial" w:cs="Arial"/>
                <w:snapToGrid w:val="0"/>
                <w:sz w:val="18"/>
                <w:szCs w:val="18"/>
                <w:lang w:val="en-GB"/>
              </w:rPr>
              <w:t xml:space="preserve">     40</w:t>
            </w:r>
          </w:p>
        </w:tc>
        <w:tc>
          <w:tcPr>
            <w:tcW w:w="4394" w:type="dxa"/>
            <w:gridSpan w:val="2"/>
            <w:vMerge w:val="restart"/>
            <w:tcBorders>
              <w:top w:val="single" w:sz="4" w:space="0" w:color="000000"/>
              <w:left w:val="single" w:sz="4" w:space="0" w:color="auto"/>
              <w:right w:val="single" w:sz="4" w:space="0" w:color="000000"/>
            </w:tcBorders>
          </w:tcPr>
          <w:p w14:paraId="1DA466B3" w14:textId="77777777" w:rsidR="00520D91" w:rsidRPr="00904D3B" w:rsidRDefault="00520D91" w:rsidP="003E0B4B">
            <w:pPr>
              <w:ind w:left="-74" w:right="-850"/>
              <w:jc w:val="both"/>
              <w:rPr>
                <w:rFonts w:ascii="Arial" w:eastAsia="Calibri" w:hAnsi="Arial" w:cs="Arial"/>
                <w:snapToGrid w:val="0"/>
                <w:sz w:val="18"/>
                <w:szCs w:val="18"/>
              </w:rPr>
            </w:pPr>
          </w:p>
          <w:p w14:paraId="47049ADF" w14:textId="77777777" w:rsidR="00520D91" w:rsidRPr="00904D3B" w:rsidRDefault="00520D91" w:rsidP="003E0B4B">
            <w:pPr>
              <w:ind w:left="-74" w:right="-850"/>
              <w:jc w:val="both"/>
              <w:rPr>
                <w:rFonts w:ascii="Arial" w:eastAsia="Calibri" w:hAnsi="Arial" w:cs="Arial"/>
                <w:snapToGrid w:val="0"/>
                <w:sz w:val="18"/>
                <w:szCs w:val="18"/>
              </w:rPr>
            </w:pPr>
            <w:r>
              <w:rPr>
                <w:rFonts w:ascii="Arial" w:eastAsia="Calibri" w:hAnsi="Arial" w:cs="Arial"/>
                <w:snapToGrid w:val="0"/>
                <w:sz w:val="18"/>
                <w:szCs w:val="18"/>
                <w:lang w:val="en-GB"/>
              </w:rPr>
              <w:t>* (Operating profit (EBIT) / manufacturing costs)</w:t>
            </w:r>
          </w:p>
          <w:p w14:paraId="16B63F8C" w14:textId="77777777" w:rsidR="00520D91" w:rsidRPr="00904D3B" w:rsidRDefault="00520D91" w:rsidP="003E0B4B">
            <w:pPr>
              <w:ind w:left="-74" w:right="-850"/>
              <w:jc w:val="both"/>
              <w:rPr>
                <w:rFonts w:ascii="Arial" w:eastAsia="Calibri" w:hAnsi="Arial" w:cs="Arial"/>
                <w:snapToGrid w:val="0"/>
                <w:sz w:val="18"/>
                <w:szCs w:val="18"/>
              </w:rPr>
            </w:pPr>
            <w:r>
              <w:rPr>
                <w:rFonts w:ascii="Arial" w:eastAsia="Calibri" w:hAnsi="Arial" w:cs="Arial"/>
                <w:snapToGrid w:val="0"/>
                <w:sz w:val="18"/>
                <w:szCs w:val="18"/>
                <w:lang w:val="en-GB"/>
              </w:rPr>
              <w:t xml:space="preserve">  x 100 = (30/</w:t>
            </w:r>
            <w:proofErr w:type="gramStart"/>
            <w:r>
              <w:rPr>
                <w:rFonts w:ascii="Arial" w:eastAsia="Calibri" w:hAnsi="Arial" w:cs="Arial"/>
                <w:snapToGrid w:val="0"/>
                <w:sz w:val="18"/>
                <w:szCs w:val="18"/>
                <w:lang w:val="en-GB"/>
              </w:rPr>
              <w:t>450)*</w:t>
            </w:r>
            <w:proofErr w:type="gramEnd"/>
            <w:r>
              <w:rPr>
                <w:rFonts w:ascii="Arial" w:eastAsia="Calibri" w:hAnsi="Arial" w:cs="Arial"/>
                <w:snapToGrid w:val="0"/>
                <w:sz w:val="18"/>
                <w:szCs w:val="18"/>
                <w:lang w:val="en-GB"/>
              </w:rPr>
              <w:t xml:space="preserve">100 = </w:t>
            </w:r>
            <w:r>
              <w:rPr>
                <w:rFonts w:ascii="Arial" w:eastAsia="Calibri" w:hAnsi="Arial" w:cs="Arial"/>
                <w:b/>
                <w:bCs/>
                <w:snapToGrid w:val="0"/>
                <w:sz w:val="18"/>
                <w:szCs w:val="18"/>
                <w:lang w:val="en-GB"/>
              </w:rPr>
              <w:t>6.67 %</w:t>
            </w:r>
          </w:p>
        </w:tc>
      </w:tr>
      <w:tr w:rsidR="00520D91" w:rsidRPr="00904D3B" w14:paraId="4BEA4E5E" w14:textId="77777777" w:rsidTr="003E0B4B">
        <w:trPr>
          <w:trHeight w:val="622"/>
        </w:trPr>
        <w:tc>
          <w:tcPr>
            <w:tcW w:w="4111" w:type="dxa"/>
            <w:gridSpan w:val="2"/>
            <w:tcBorders>
              <w:top w:val="single" w:sz="4" w:space="0" w:color="auto"/>
              <w:left w:val="single" w:sz="4" w:space="0" w:color="auto"/>
              <w:bottom w:val="single" w:sz="4" w:space="0" w:color="auto"/>
              <w:right w:val="single" w:sz="4" w:space="0" w:color="auto"/>
            </w:tcBorders>
            <w:shd w:val="clear" w:color="auto" w:fill="auto"/>
          </w:tcPr>
          <w:p w14:paraId="57F28B5B" w14:textId="77777777" w:rsidR="00520D91" w:rsidRDefault="00520D91" w:rsidP="003E0B4B">
            <w:pPr>
              <w:ind w:left="-74" w:right="-850"/>
              <w:jc w:val="both"/>
              <w:rPr>
                <w:rFonts w:ascii="Arial" w:eastAsia="Calibri" w:hAnsi="Arial" w:cs="Arial"/>
                <w:snapToGrid w:val="0"/>
                <w:sz w:val="18"/>
                <w:szCs w:val="18"/>
              </w:rPr>
            </w:pPr>
            <w:r>
              <w:rPr>
                <w:rFonts w:ascii="Arial" w:eastAsia="Calibri" w:hAnsi="Arial" w:cs="Arial"/>
                <w:snapToGrid w:val="0"/>
                <w:sz w:val="18"/>
                <w:szCs w:val="18"/>
                <w:lang w:val="en-GB"/>
              </w:rPr>
              <w:t xml:space="preserve">* (Operating profit (EBIT) / sales revenues) </w:t>
            </w:r>
          </w:p>
          <w:p w14:paraId="0ED8F562" w14:textId="77777777" w:rsidR="00520D91" w:rsidRPr="00227C1D" w:rsidRDefault="00520D91" w:rsidP="003E0B4B">
            <w:pPr>
              <w:ind w:left="-74" w:right="-850"/>
              <w:jc w:val="both"/>
              <w:rPr>
                <w:rFonts w:ascii="Arial" w:eastAsia="Calibri" w:hAnsi="Arial" w:cs="Arial"/>
                <w:snapToGrid w:val="0"/>
                <w:sz w:val="18"/>
                <w:szCs w:val="18"/>
              </w:rPr>
            </w:pPr>
          </w:p>
          <w:p w14:paraId="344A637B" w14:textId="77777777" w:rsidR="00520D91" w:rsidRDefault="00520D91" w:rsidP="003E0B4B">
            <w:pPr>
              <w:ind w:right="-850"/>
              <w:jc w:val="both"/>
              <w:rPr>
                <w:rFonts w:ascii="Arial" w:eastAsia="Calibri" w:hAnsi="Arial" w:cs="Arial"/>
                <w:b/>
                <w:snapToGrid w:val="0"/>
                <w:sz w:val="18"/>
                <w:szCs w:val="18"/>
              </w:rPr>
            </w:pPr>
            <w:r>
              <w:rPr>
                <w:rFonts w:ascii="Arial" w:eastAsia="Calibri" w:hAnsi="Arial" w:cs="Arial"/>
                <w:snapToGrid w:val="0"/>
                <w:sz w:val="18"/>
                <w:szCs w:val="18"/>
                <w:lang w:val="en-GB"/>
              </w:rPr>
              <w:t xml:space="preserve"> x100 = (50/500) x 100 = </w:t>
            </w:r>
            <w:r>
              <w:rPr>
                <w:rFonts w:ascii="Arial" w:eastAsia="Calibri" w:hAnsi="Arial" w:cs="Arial"/>
                <w:b/>
                <w:bCs/>
                <w:snapToGrid w:val="0"/>
                <w:sz w:val="18"/>
                <w:szCs w:val="18"/>
                <w:lang w:val="en-GB"/>
              </w:rPr>
              <w:t>10%</w:t>
            </w:r>
          </w:p>
          <w:p w14:paraId="24D725F9" w14:textId="77777777" w:rsidR="00520D91" w:rsidRPr="00227C1D" w:rsidRDefault="00520D91" w:rsidP="003E0B4B">
            <w:pPr>
              <w:ind w:right="-850"/>
              <w:jc w:val="both"/>
              <w:rPr>
                <w:rFonts w:ascii="Arial" w:eastAsia="Calibri" w:hAnsi="Arial" w:cs="Arial"/>
                <w:b/>
                <w:snapToGrid w:val="0"/>
                <w:sz w:val="18"/>
                <w:szCs w:val="18"/>
              </w:rPr>
            </w:pPr>
          </w:p>
        </w:tc>
        <w:tc>
          <w:tcPr>
            <w:tcW w:w="4394" w:type="dxa"/>
            <w:gridSpan w:val="2"/>
            <w:vMerge/>
            <w:tcBorders>
              <w:left w:val="single" w:sz="4" w:space="0" w:color="auto"/>
              <w:right w:val="single" w:sz="4" w:space="0" w:color="000000"/>
            </w:tcBorders>
          </w:tcPr>
          <w:p w14:paraId="6CD89573" w14:textId="77777777" w:rsidR="00520D91" w:rsidRPr="00904D3B" w:rsidRDefault="00520D91" w:rsidP="003E0B4B">
            <w:pPr>
              <w:ind w:left="-74" w:right="-850"/>
              <w:jc w:val="both"/>
              <w:rPr>
                <w:rFonts w:ascii="Arial" w:eastAsia="Calibri" w:hAnsi="Arial" w:cs="Arial"/>
                <w:snapToGrid w:val="0"/>
                <w:sz w:val="18"/>
                <w:szCs w:val="18"/>
              </w:rPr>
            </w:pPr>
          </w:p>
        </w:tc>
      </w:tr>
      <w:tr w:rsidR="00520D91" w:rsidRPr="00904D3B" w14:paraId="2DD4D31E" w14:textId="77777777" w:rsidTr="003E0B4B">
        <w:tc>
          <w:tcPr>
            <w:tcW w:w="4111" w:type="dxa"/>
            <w:gridSpan w:val="2"/>
            <w:tcBorders>
              <w:top w:val="single" w:sz="4" w:space="0" w:color="auto"/>
              <w:left w:val="single" w:sz="4" w:space="0" w:color="000000"/>
              <w:bottom w:val="single" w:sz="4" w:space="0" w:color="000000"/>
              <w:right w:val="single" w:sz="4" w:space="0" w:color="000000"/>
            </w:tcBorders>
            <w:shd w:val="clear" w:color="auto" w:fill="EEECE1"/>
            <w:hideMark/>
          </w:tcPr>
          <w:p w14:paraId="76CD5412" w14:textId="77777777" w:rsidR="00520D91" w:rsidRDefault="00520D91" w:rsidP="003E0B4B">
            <w:pPr>
              <w:ind w:left="-74" w:right="-850"/>
              <w:rPr>
                <w:rFonts w:ascii="Arial" w:eastAsia="Calibri" w:hAnsi="Arial" w:cs="Arial"/>
                <w:i/>
                <w:snapToGrid w:val="0"/>
                <w:sz w:val="16"/>
                <w:szCs w:val="16"/>
              </w:rPr>
            </w:pPr>
            <w:r>
              <w:rPr>
                <w:rFonts w:ascii="Arial" w:eastAsia="Calibri" w:hAnsi="Arial" w:cs="Arial"/>
                <w:snapToGrid w:val="0"/>
                <w:sz w:val="18"/>
                <w:szCs w:val="18"/>
                <w:lang w:val="en-GB"/>
              </w:rPr>
              <w:t xml:space="preserve">* </w:t>
            </w:r>
            <w:r>
              <w:rPr>
                <w:rFonts w:ascii="Arial" w:eastAsia="Calibri" w:hAnsi="Arial" w:cs="Arial"/>
                <w:i/>
                <w:iCs/>
                <w:snapToGrid w:val="0"/>
                <w:sz w:val="16"/>
                <w:szCs w:val="16"/>
                <w:lang w:val="en-GB"/>
              </w:rPr>
              <w:t xml:space="preserve">The transactional net margin method compares </w:t>
            </w:r>
          </w:p>
          <w:p w14:paraId="3E1F3445" w14:textId="77777777" w:rsidR="00520D91" w:rsidRDefault="00520D91" w:rsidP="003E0B4B">
            <w:pPr>
              <w:ind w:left="-74" w:right="-850"/>
              <w:rPr>
                <w:rFonts w:ascii="Arial" w:eastAsia="Calibri" w:hAnsi="Arial" w:cs="Arial"/>
                <w:i/>
                <w:iCs/>
                <w:snapToGrid w:val="0"/>
                <w:sz w:val="16"/>
                <w:szCs w:val="16"/>
                <w:lang w:val="en-GB"/>
              </w:rPr>
            </w:pPr>
            <w:r>
              <w:rPr>
                <w:rFonts w:ascii="Arial" w:eastAsia="Calibri" w:hAnsi="Arial" w:cs="Arial"/>
                <w:i/>
                <w:iCs/>
                <w:snapToGrid w:val="0"/>
                <w:sz w:val="16"/>
                <w:szCs w:val="16"/>
                <w:lang w:val="en-GB"/>
              </w:rPr>
              <w:t xml:space="preserve">  net profit </w:t>
            </w:r>
            <w:proofErr w:type="gramStart"/>
            <w:r>
              <w:rPr>
                <w:rFonts w:ascii="Arial" w:eastAsia="Calibri" w:hAnsi="Arial" w:cs="Arial"/>
                <w:i/>
                <w:iCs/>
                <w:snapToGrid w:val="0"/>
                <w:sz w:val="16"/>
                <w:szCs w:val="16"/>
                <w:lang w:val="en-GB"/>
              </w:rPr>
              <w:t>with regard to</w:t>
            </w:r>
            <w:proofErr w:type="gramEnd"/>
            <w:r>
              <w:rPr>
                <w:rFonts w:ascii="Arial" w:eastAsia="Calibri" w:hAnsi="Arial" w:cs="Arial"/>
                <w:i/>
                <w:iCs/>
                <w:snapToGrid w:val="0"/>
                <w:sz w:val="16"/>
                <w:szCs w:val="16"/>
                <w:lang w:val="en-GB"/>
              </w:rPr>
              <w:t xml:space="preserve"> sales revenues given that it</w:t>
            </w:r>
          </w:p>
          <w:p w14:paraId="4E250D1D" w14:textId="77777777" w:rsidR="00520D91" w:rsidRDefault="00520D91" w:rsidP="003E0B4B">
            <w:pPr>
              <w:ind w:left="-74" w:right="-850"/>
              <w:rPr>
                <w:rFonts w:ascii="Arial" w:eastAsia="Calibri" w:hAnsi="Arial" w:cs="Arial"/>
                <w:i/>
                <w:iCs/>
                <w:snapToGrid w:val="0"/>
                <w:sz w:val="16"/>
                <w:szCs w:val="16"/>
                <w:lang w:val="en-GB"/>
              </w:rPr>
            </w:pPr>
            <w:r>
              <w:rPr>
                <w:rFonts w:ascii="Arial" w:eastAsia="Calibri" w:hAnsi="Arial" w:cs="Arial"/>
                <w:i/>
                <w:iCs/>
                <w:snapToGrid w:val="0"/>
                <w:sz w:val="16"/>
                <w:szCs w:val="16"/>
                <w:lang w:val="en-GB"/>
              </w:rPr>
              <w:t xml:space="preserve">  is generated from the acquisition of goods from a </w:t>
            </w:r>
          </w:p>
          <w:p w14:paraId="7E74E766" w14:textId="1912B966" w:rsidR="00520D91" w:rsidRDefault="00520D91" w:rsidP="003E0B4B">
            <w:pPr>
              <w:ind w:left="-74" w:right="-850"/>
              <w:rPr>
                <w:rFonts w:ascii="Arial" w:eastAsia="Calibri" w:hAnsi="Arial" w:cs="Arial"/>
                <w:i/>
                <w:snapToGrid w:val="0"/>
                <w:sz w:val="16"/>
                <w:szCs w:val="16"/>
              </w:rPr>
            </w:pPr>
            <w:r>
              <w:rPr>
                <w:rFonts w:ascii="Arial" w:eastAsia="Calibri" w:hAnsi="Arial" w:cs="Arial"/>
                <w:i/>
                <w:iCs/>
                <w:snapToGrid w:val="0"/>
                <w:sz w:val="16"/>
                <w:szCs w:val="16"/>
                <w:lang w:val="en-GB"/>
              </w:rPr>
              <w:t xml:space="preserve">  </w:t>
            </w:r>
            <w:r w:rsidR="003E0B4B">
              <w:rPr>
                <w:rFonts w:ascii="Arial" w:eastAsia="Calibri" w:hAnsi="Arial" w:cs="Arial"/>
                <w:i/>
                <w:iCs/>
                <w:snapToGrid w:val="0"/>
                <w:sz w:val="16"/>
                <w:szCs w:val="16"/>
                <w:lang w:val="en-GB"/>
              </w:rPr>
              <w:t>associated</w:t>
            </w:r>
            <w:r>
              <w:rPr>
                <w:rFonts w:ascii="Arial" w:eastAsia="Calibri" w:hAnsi="Arial" w:cs="Arial"/>
                <w:i/>
                <w:iCs/>
                <w:snapToGrid w:val="0"/>
                <w:sz w:val="16"/>
                <w:szCs w:val="16"/>
                <w:lang w:val="en-GB"/>
              </w:rPr>
              <w:t xml:space="preserve"> company.</w:t>
            </w:r>
          </w:p>
          <w:p w14:paraId="65DE3A66" w14:textId="77777777" w:rsidR="00520D91" w:rsidRPr="00227C1D" w:rsidRDefault="00520D91" w:rsidP="003E0B4B">
            <w:pPr>
              <w:ind w:left="-74" w:right="-850"/>
              <w:rPr>
                <w:rFonts w:ascii="Arial" w:eastAsia="Calibri" w:hAnsi="Arial" w:cs="Arial"/>
                <w:snapToGrid w:val="0"/>
                <w:sz w:val="18"/>
                <w:szCs w:val="18"/>
              </w:rPr>
            </w:pP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EEECE1"/>
            <w:hideMark/>
          </w:tcPr>
          <w:p w14:paraId="19734F1F" w14:textId="77777777" w:rsidR="00520D91" w:rsidRPr="00904D3B" w:rsidRDefault="00520D91" w:rsidP="003E0B4B">
            <w:pPr>
              <w:ind w:left="-74" w:right="-850"/>
              <w:rPr>
                <w:rFonts w:ascii="Arial" w:eastAsia="Calibri" w:hAnsi="Arial" w:cs="Arial"/>
                <w:i/>
                <w:snapToGrid w:val="0"/>
                <w:sz w:val="16"/>
                <w:szCs w:val="16"/>
              </w:rPr>
            </w:pPr>
            <w:r>
              <w:rPr>
                <w:rFonts w:ascii="Arial" w:eastAsia="Calibri" w:hAnsi="Arial" w:cs="Arial"/>
                <w:snapToGrid w:val="0"/>
                <w:sz w:val="18"/>
                <w:szCs w:val="18"/>
                <w:lang w:val="en-GB"/>
              </w:rPr>
              <w:t xml:space="preserve">* </w:t>
            </w:r>
            <w:r>
              <w:rPr>
                <w:rFonts w:ascii="Arial" w:eastAsia="Calibri" w:hAnsi="Arial" w:cs="Arial"/>
                <w:i/>
                <w:iCs/>
                <w:snapToGrid w:val="0"/>
                <w:sz w:val="16"/>
                <w:szCs w:val="16"/>
                <w:lang w:val="en-GB"/>
              </w:rPr>
              <w:t xml:space="preserve">The transactional net margin method compares </w:t>
            </w:r>
          </w:p>
          <w:p w14:paraId="77AF1999" w14:textId="77777777" w:rsidR="00520D91" w:rsidRPr="00904D3B" w:rsidRDefault="00520D91" w:rsidP="003E0B4B">
            <w:pPr>
              <w:ind w:left="-74" w:right="-850"/>
              <w:rPr>
                <w:rFonts w:ascii="Arial" w:eastAsia="Calibri" w:hAnsi="Arial" w:cs="Arial"/>
                <w:i/>
                <w:snapToGrid w:val="0"/>
                <w:sz w:val="16"/>
                <w:szCs w:val="16"/>
              </w:rPr>
            </w:pPr>
            <w:r>
              <w:rPr>
                <w:rFonts w:ascii="Arial" w:eastAsia="Calibri" w:hAnsi="Arial" w:cs="Arial"/>
                <w:i/>
                <w:iCs/>
                <w:snapToGrid w:val="0"/>
                <w:sz w:val="16"/>
                <w:szCs w:val="16"/>
                <w:lang w:val="en-GB"/>
              </w:rPr>
              <w:t xml:space="preserve">net profit with manufacturing costs, as it relates to </w:t>
            </w:r>
          </w:p>
          <w:p w14:paraId="1375EB69" w14:textId="7E5F36EC" w:rsidR="00520D91" w:rsidRPr="00904D3B" w:rsidRDefault="00520D91" w:rsidP="003E0B4B">
            <w:pPr>
              <w:ind w:left="-74" w:right="-850"/>
              <w:rPr>
                <w:rFonts w:ascii="Arial" w:eastAsia="Calibri" w:hAnsi="Arial" w:cs="Arial"/>
                <w:snapToGrid w:val="0"/>
                <w:sz w:val="18"/>
                <w:szCs w:val="18"/>
              </w:rPr>
            </w:pPr>
            <w:r>
              <w:rPr>
                <w:rFonts w:ascii="Arial" w:eastAsia="Calibri" w:hAnsi="Arial" w:cs="Arial"/>
                <w:i/>
                <w:iCs/>
                <w:snapToGrid w:val="0"/>
                <w:sz w:val="16"/>
                <w:szCs w:val="16"/>
                <w:lang w:val="en-GB"/>
              </w:rPr>
              <w:t xml:space="preserve">the sale of goods to </w:t>
            </w:r>
            <w:r w:rsidR="003E0B4B">
              <w:rPr>
                <w:rFonts w:ascii="Arial" w:eastAsia="Calibri" w:hAnsi="Arial" w:cs="Arial"/>
                <w:i/>
                <w:iCs/>
                <w:snapToGrid w:val="0"/>
                <w:sz w:val="16"/>
                <w:szCs w:val="16"/>
                <w:lang w:val="en-GB"/>
              </w:rPr>
              <w:t>associated</w:t>
            </w:r>
            <w:r>
              <w:rPr>
                <w:rFonts w:ascii="Arial" w:eastAsia="Calibri" w:hAnsi="Arial" w:cs="Arial"/>
                <w:i/>
                <w:iCs/>
                <w:snapToGrid w:val="0"/>
                <w:sz w:val="16"/>
                <w:szCs w:val="16"/>
                <w:lang w:val="en-GB"/>
              </w:rPr>
              <w:t xml:space="preserve"> parties. </w:t>
            </w:r>
          </w:p>
        </w:tc>
      </w:tr>
    </w:tbl>
    <w:p w14:paraId="0BCB18A5" w14:textId="77777777" w:rsidR="00520D91" w:rsidRDefault="00520D91" w:rsidP="009553C8">
      <w:pPr>
        <w:spacing w:line="260" w:lineRule="atLeast"/>
        <w:jc w:val="both"/>
        <w:rPr>
          <w:rFonts w:ascii="Arial" w:eastAsia="Times New Roman" w:hAnsi="Arial" w:cs="Arial"/>
          <w:sz w:val="20"/>
          <w:szCs w:val="20"/>
        </w:rPr>
      </w:pPr>
    </w:p>
    <w:p w14:paraId="11DB3656" w14:textId="77777777" w:rsidR="00666077" w:rsidRPr="00904D3B" w:rsidRDefault="00666077" w:rsidP="009553C8">
      <w:pPr>
        <w:spacing w:line="260" w:lineRule="atLeast"/>
        <w:jc w:val="both"/>
        <w:rPr>
          <w:rFonts w:ascii="Arial" w:eastAsia="Calibri" w:hAnsi="Arial" w:cs="Arial"/>
          <w:sz w:val="20"/>
          <w:szCs w:val="20"/>
        </w:rPr>
      </w:pPr>
      <w:r>
        <w:rPr>
          <w:rFonts w:ascii="Arial" w:hAnsi="Arial" w:cs="Arial"/>
          <w:sz w:val="20"/>
          <w:szCs w:val="20"/>
          <w:lang w:val="en-GB"/>
        </w:rPr>
        <w:t xml:space="preserve">                      </w:t>
      </w:r>
    </w:p>
    <w:p w14:paraId="52161A72" w14:textId="77777777" w:rsidR="009553C8" w:rsidRPr="004F2499" w:rsidRDefault="009553C8" w:rsidP="00756903">
      <w:pPr>
        <w:rPr>
          <w:rFonts w:ascii="Arial" w:hAnsi="Arial" w:cs="Arial"/>
          <w:sz w:val="20"/>
        </w:rPr>
      </w:pPr>
    </w:p>
    <w:p w14:paraId="35016C32" w14:textId="77777777" w:rsidR="00666077" w:rsidRPr="00AD51AA" w:rsidRDefault="003971AE" w:rsidP="00756903">
      <w:pPr>
        <w:pStyle w:val="Naslov3"/>
        <w:spacing w:before="0" w:after="0" w:line="240" w:lineRule="atLeast"/>
        <w:rPr>
          <w:rFonts w:cs="Arial"/>
        </w:rPr>
      </w:pPr>
      <w:bookmarkStart w:id="22" w:name="_Toc103257433"/>
      <w:r>
        <w:rPr>
          <w:rFonts w:cs="Arial"/>
          <w:lang w:val="en-GB"/>
        </w:rPr>
        <w:t>2.2.5 THE PROFIT SPLIT METHOD</w:t>
      </w:r>
      <w:bookmarkEnd w:id="22"/>
    </w:p>
    <w:p w14:paraId="12A07968" w14:textId="77777777" w:rsidR="00666077" w:rsidRPr="001F2D24" w:rsidRDefault="00666077" w:rsidP="00756903">
      <w:pPr>
        <w:pStyle w:val="Brezrazmikov"/>
        <w:spacing w:line="240" w:lineRule="atLeast"/>
        <w:rPr>
          <w:szCs w:val="20"/>
        </w:rPr>
      </w:pPr>
    </w:p>
    <w:p w14:paraId="315E49F2" w14:textId="25CAF6C5" w:rsidR="00666077" w:rsidRDefault="00666077" w:rsidP="009553C8">
      <w:pPr>
        <w:autoSpaceDE w:val="0"/>
        <w:autoSpaceDN w:val="0"/>
        <w:adjustRightInd w:val="0"/>
        <w:spacing w:line="260" w:lineRule="atLeast"/>
        <w:jc w:val="both"/>
        <w:rPr>
          <w:rFonts w:ascii="Arial" w:eastAsia="Calibri" w:hAnsi="Arial" w:cs="Arial"/>
          <w:color w:val="000000"/>
          <w:sz w:val="20"/>
          <w:szCs w:val="20"/>
        </w:rPr>
      </w:pPr>
      <w:r>
        <w:rPr>
          <w:rFonts w:ascii="Arial" w:eastAsia="Calibri" w:hAnsi="Arial" w:cs="Arial"/>
          <w:color w:val="000000"/>
          <w:sz w:val="20"/>
          <w:szCs w:val="20"/>
          <w:lang w:val="en-GB"/>
        </w:rPr>
        <w:t xml:space="preserve">Pursuant to Article 5 of the TPR, the profit split method is a method used to determine the amount of consolidated profit from </w:t>
      </w:r>
      <w:proofErr w:type="spellStart"/>
      <w:proofErr w:type="gramStart"/>
      <w:r>
        <w:rPr>
          <w:rFonts w:ascii="Arial" w:eastAsia="Calibri" w:hAnsi="Arial" w:cs="Arial"/>
          <w:color w:val="000000"/>
          <w:sz w:val="20"/>
          <w:szCs w:val="20"/>
          <w:lang w:val="en-GB"/>
        </w:rPr>
        <w:t>a</w:t>
      </w:r>
      <w:proofErr w:type="spellEnd"/>
      <w:proofErr w:type="gramEnd"/>
      <w:r>
        <w:rPr>
          <w:rFonts w:ascii="Arial" w:eastAsia="Calibri" w:hAnsi="Arial" w:cs="Arial"/>
          <w:color w:val="000000"/>
          <w:sz w:val="20"/>
          <w:szCs w:val="20"/>
          <w:lang w:val="en-GB"/>
        </w:rPr>
        <w:t xml:space="preserve"> </w:t>
      </w:r>
      <w:r w:rsidR="003E0B4B">
        <w:rPr>
          <w:rFonts w:ascii="Arial" w:eastAsia="Calibri" w:hAnsi="Arial" w:cs="Arial"/>
          <w:color w:val="000000"/>
          <w:sz w:val="20"/>
          <w:szCs w:val="20"/>
          <w:lang w:val="en-GB"/>
        </w:rPr>
        <w:t>associated</w:t>
      </w:r>
      <w:r>
        <w:rPr>
          <w:rFonts w:ascii="Arial" w:eastAsia="Calibri" w:hAnsi="Arial" w:cs="Arial"/>
          <w:color w:val="000000"/>
          <w:sz w:val="20"/>
          <w:szCs w:val="20"/>
          <w:lang w:val="en-GB"/>
        </w:rPr>
        <w:t>-party transaction or related-party transactions that is distributed among the participating related parties. The distribution of consolidated profits is made in the same way as unrelated parties would be expected to share such profits in comparable unrelated-party transactions.</w:t>
      </w:r>
    </w:p>
    <w:p w14:paraId="0947A77A" w14:textId="77777777" w:rsidR="00D40C41" w:rsidRDefault="00D40C41" w:rsidP="009553C8">
      <w:pPr>
        <w:autoSpaceDE w:val="0"/>
        <w:autoSpaceDN w:val="0"/>
        <w:adjustRightInd w:val="0"/>
        <w:spacing w:line="260" w:lineRule="atLeast"/>
        <w:jc w:val="both"/>
        <w:rPr>
          <w:rFonts w:ascii="Arial" w:eastAsia="Calibri" w:hAnsi="Arial" w:cs="Arial"/>
          <w:color w:val="000000"/>
          <w:sz w:val="20"/>
          <w:szCs w:val="20"/>
        </w:rPr>
      </w:pPr>
    </w:p>
    <w:p w14:paraId="1CF0AFA4" w14:textId="77777777" w:rsidR="00666077" w:rsidRDefault="00666077" w:rsidP="009553C8">
      <w:pPr>
        <w:spacing w:line="260" w:lineRule="atLeast"/>
        <w:jc w:val="both"/>
        <w:rPr>
          <w:rFonts w:ascii="Arial" w:eastAsia="Times New Roman" w:hAnsi="Arial" w:cs="Arial"/>
          <w:sz w:val="20"/>
          <w:szCs w:val="20"/>
        </w:rPr>
      </w:pPr>
      <w:r>
        <w:rPr>
          <w:rFonts w:ascii="Arial" w:eastAsia="Times New Roman" w:hAnsi="Arial" w:cs="Arial"/>
          <w:sz w:val="20"/>
          <w:szCs w:val="20"/>
          <w:lang w:val="en-GB"/>
        </w:rPr>
        <w:t>Consolidated profits may be distributed in one of the following manners (TPR 5/2):</w:t>
      </w:r>
    </w:p>
    <w:p w14:paraId="588EE285" w14:textId="77777777" w:rsidR="00D40C41" w:rsidRPr="00AA2C04" w:rsidRDefault="00D40C41" w:rsidP="009553C8">
      <w:pPr>
        <w:spacing w:line="260" w:lineRule="atLeast"/>
        <w:jc w:val="both"/>
        <w:rPr>
          <w:rFonts w:ascii="Arial" w:eastAsia="Times New Roman" w:hAnsi="Arial" w:cs="Arial"/>
          <w:sz w:val="10"/>
          <w:szCs w:val="20"/>
        </w:rPr>
      </w:pPr>
    </w:p>
    <w:p w14:paraId="7C94EE24" w14:textId="59ADE152" w:rsidR="00666077" w:rsidRDefault="00666077" w:rsidP="009553C8">
      <w:pPr>
        <w:numPr>
          <w:ilvl w:val="0"/>
          <w:numId w:val="17"/>
        </w:numPr>
        <w:spacing w:line="260" w:lineRule="atLeast"/>
        <w:ind w:left="284" w:hanging="284"/>
        <w:contextualSpacing/>
        <w:jc w:val="both"/>
        <w:rPr>
          <w:rFonts w:ascii="Arial" w:eastAsia="Calibri" w:hAnsi="Arial" w:cs="Arial"/>
          <w:sz w:val="20"/>
          <w:szCs w:val="20"/>
        </w:rPr>
      </w:pPr>
      <w:r>
        <w:rPr>
          <w:rFonts w:ascii="Arial" w:eastAsia="Calibri" w:hAnsi="Arial" w:cs="Arial"/>
          <w:sz w:val="20"/>
          <w:szCs w:val="20"/>
          <w:lang w:val="en-GB"/>
        </w:rPr>
        <w:t xml:space="preserve">a reasonable approximation to the distribution of profits is made in the same way as </w:t>
      </w:r>
      <w:proofErr w:type="spellStart"/>
      <w:r>
        <w:rPr>
          <w:rFonts w:ascii="Arial" w:eastAsia="Calibri" w:hAnsi="Arial" w:cs="Arial"/>
          <w:sz w:val="20"/>
          <w:szCs w:val="20"/>
          <w:lang w:val="en-GB"/>
        </w:rPr>
        <w:t>un</w:t>
      </w:r>
      <w:r w:rsidR="003E0B4B">
        <w:rPr>
          <w:rFonts w:ascii="Arial" w:eastAsia="Calibri" w:hAnsi="Arial" w:cs="Arial"/>
          <w:sz w:val="20"/>
          <w:szCs w:val="20"/>
          <w:lang w:val="en-GB"/>
        </w:rPr>
        <w:t>associated</w:t>
      </w:r>
      <w:proofErr w:type="spellEnd"/>
      <w:r>
        <w:rPr>
          <w:rFonts w:ascii="Arial" w:eastAsia="Calibri" w:hAnsi="Arial" w:cs="Arial"/>
          <w:sz w:val="20"/>
          <w:szCs w:val="20"/>
          <w:lang w:val="en-GB"/>
        </w:rPr>
        <w:t xml:space="preserve"> parties would be expected to earn such profits in comparable </w:t>
      </w:r>
      <w:proofErr w:type="spellStart"/>
      <w:r>
        <w:rPr>
          <w:rFonts w:ascii="Arial" w:eastAsia="Calibri" w:hAnsi="Arial" w:cs="Arial"/>
          <w:sz w:val="20"/>
          <w:szCs w:val="20"/>
          <w:lang w:val="en-GB"/>
        </w:rPr>
        <w:t>un</w:t>
      </w:r>
      <w:r w:rsidR="003E0B4B">
        <w:rPr>
          <w:rFonts w:ascii="Arial" w:eastAsia="Calibri" w:hAnsi="Arial" w:cs="Arial"/>
          <w:sz w:val="20"/>
          <w:szCs w:val="20"/>
          <w:lang w:val="en-GB"/>
        </w:rPr>
        <w:t>associated</w:t>
      </w:r>
      <w:proofErr w:type="spellEnd"/>
      <w:r>
        <w:rPr>
          <w:rFonts w:ascii="Arial" w:eastAsia="Calibri" w:hAnsi="Arial" w:cs="Arial"/>
          <w:sz w:val="20"/>
          <w:szCs w:val="20"/>
          <w:lang w:val="en-GB"/>
        </w:rPr>
        <w:t xml:space="preserve">-party transactions, and, in the absence of </w:t>
      </w:r>
      <w:proofErr w:type="spellStart"/>
      <w:r>
        <w:rPr>
          <w:rFonts w:ascii="Arial" w:eastAsia="Calibri" w:hAnsi="Arial" w:cs="Arial"/>
          <w:sz w:val="20"/>
          <w:szCs w:val="20"/>
          <w:lang w:val="en-GB"/>
        </w:rPr>
        <w:t>comparables</w:t>
      </w:r>
      <w:proofErr w:type="spellEnd"/>
      <w:r>
        <w:rPr>
          <w:rFonts w:ascii="Arial" w:eastAsia="Calibri" w:hAnsi="Arial" w:cs="Arial"/>
          <w:sz w:val="20"/>
          <w:szCs w:val="20"/>
          <w:lang w:val="en-GB"/>
        </w:rPr>
        <w:t xml:space="preserve">, on the basis of the functions performed and taking into account the invested funds and the assumed risks of each of the </w:t>
      </w:r>
      <w:r w:rsidR="003E0B4B">
        <w:rPr>
          <w:rFonts w:ascii="Arial" w:eastAsia="Calibri" w:hAnsi="Arial" w:cs="Arial"/>
          <w:sz w:val="20"/>
          <w:szCs w:val="20"/>
          <w:lang w:val="en-GB"/>
        </w:rPr>
        <w:t>associated</w:t>
      </w:r>
      <w:r>
        <w:rPr>
          <w:rFonts w:ascii="Arial" w:eastAsia="Calibri" w:hAnsi="Arial" w:cs="Arial"/>
          <w:sz w:val="20"/>
          <w:szCs w:val="20"/>
          <w:lang w:val="en-GB"/>
        </w:rPr>
        <w:t xml:space="preserve"> parties involved in </w:t>
      </w:r>
      <w:proofErr w:type="spellStart"/>
      <w:r>
        <w:rPr>
          <w:rFonts w:ascii="Arial" w:eastAsia="Calibri" w:hAnsi="Arial" w:cs="Arial"/>
          <w:sz w:val="20"/>
          <w:szCs w:val="20"/>
          <w:lang w:val="en-GB"/>
        </w:rPr>
        <w:t>a</w:t>
      </w:r>
      <w:proofErr w:type="spellEnd"/>
      <w:r>
        <w:rPr>
          <w:rFonts w:ascii="Arial" w:eastAsia="Calibri" w:hAnsi="Arial" w:cs="Arial"/>
          <w:sz w:val="20"/>
          <w:szCs w:val="20"/>
          <w:lang w:val="en-GB"/>
        </w:rPr>
        <w:t xml:space="preserve"> </w:t>
      </w:r>
      <w:r w:rsidR="003E0B4B">
        <w:rPr>
          <w:rFonts w:ascii="Arial" w:eastAsia="Calibri" w:hAnsi="Arial" w:cs="Arial"/>
          <w:sz w:val="20"/>
          <w:szCs w:val="20"/>
          <w:lang w:val="en-GB"/>
        </w:rPr>
        <w:t>associated</w:t>
      </w:r>
      <w:r>
        <w:rPr>
          <w:rFonts w:ascii="Arial" w:eastAsia="Calibri" w:hAnsi="Arial" w:cs="Arial"/>
          <w:sz w:val="20"/>
          <w:szCs w:val="20"/>
          <w:lang w:val="en-GB"/>
        </w:rPr>
        <w:t xml:space="preserve">-party transaction, or </w:t>
      </w:r>
    </w:p>
    <w:p w14:paraId="7880D582" w14:textId="77777777" w:rsidR="00D40C41" w:rsidRPr="00AA2C04" w:rsidRDefault="00D40C41" w:rsidP="009553C8">
      <w:pPr>
        <w:spacing w:line="260" w:lineRule="atLeast"/>
        <w:ind w:left="284"/>
        <w:contextualSpacing/>
        <w:jc w:val="both"/>
        <w:rPr>
          <w:rFonts w:ascii="Arial" w:eastAsia="Calibri" w:hAnsi="Arial" w:cs="Arial"/>
          <w:sz w:val="10"/>
          <w:szCs w:val="20"/>
        </w:rPr>
      </w:pPr>
    </w:p>
    <w:p w14:paraId="018BD4F1" w14:textId="3397A5F9" w:rsidR="00666077" w:rsidRPr="00AA2C04" w:rsidRDefault="00666077" w:rsidP="009553C8">
      <w:pPr>
        <w:pStyle w:val="Odstavekseznama"/>
        <w:numPr>
          <w:ilvl w:val="0"/>
          <w:numId w:val="17"/>
        </w:numPr>
        <w:spacing w:line="260" w:lineRule="atLeast"/>
        <w:ind w:left="284" w:hanging="284"/>
        <w:rPr>
          <w:rFonts w:ascii="Arial" w:hAnsi="Arial" w:cs="Arial"/>
          <w:sz w:val="20"/>
        </w:rPr>
      </w:pPr>
      <w:r>
        <w:rPr>
          <w:rFonts w:ascii="Arial" w:hAnsi="Arial" w:cs="Arial"/>
          <w:sz w:val="20"/>
          <w:lang w:val="en-GB"/>
        </w:rPr>
        <w:t xml:space="preserve">using one of the methods referred to in Articles 2, 3, 4 or 6 of the TPR (i.e. the comparable uncontrolled price method, the resale price method, the cost plus method and the transactional net margin method), if a comparable market price can be determined for certain functions performed by </w:t>
      </w:r>
      <w:r w:rsidR="003E0B4B">
        <w:rPr>
          <w:rFonts w:ascii="Arial" w:hAnsi="Arial" w:cs="Arial"/>
          <w:sz w:val="20"/>
          <w:lang w:val="en-GB"/>
        </w:rPr>
        <w:t>associated</w:t>
      </w:r>
      <w:r>
        <w:rPr>
          <w:rFonts w:ascii="Arial" w:hAnsi="Arial" w:cs="Arial"/>
          <w:sz w:val="20"/>
          <w:lang w:val="en-GB"/>
        </w:rPr>
        <w:t xml:space="preserve"> parties in </w:t>
      </w:r>
      <w:proofErr w:type="spellStart"/>
      <w:r>
        <w:rPr>
          <w:rFonts w:ascii="Arial" w:hAnsi="Arial" w:cs="Arial"/>
          <w:sz w:val="20"/>
          <w:lang w:val="en-GB"/>
        </w:rPr>
        <w:t>a</w:t>
      </w:r>
      <w:proofErr w:type="spellEnd"/>
      <w:r>
        <w:rPr>
          <w:rFonts w:ascii="Arial" w:hAnsi="Arial" w:cs="Arial"/>
          <w:sz w:val="20"/>
          <w:lang w:val="en-GB"/>
        </w:rPr>
        <w:t xml:space="preserve"> </w:t>
      </w:r>
      <w:r w:rsidR="003E0B4B">
        <w:rPr>
          <w:rFonts w:ascii="Arial" w:hAnsi="Arial" w:cs="Arial"/>
          <w:sz w:val="20"/>
          <w:lang w:val="en-GB"/>
        </w:rPr>
        <w:t>associated</w:t>
      </w:r>
      <w:r>
        <w:rPr>
          <w:rFonts w:ascii="Arial" w:hAnsi="Arial" w:cs="Arial"/>
          <w:sz w:val="20"/>
          <w:lang w:val="en-GB"/>
        </w:rPr>
        <w:t xml:space="preserve"> transaction, where any residual consolidated profit that cannot be distributed using one of the methods referred to in Articles 2, 3, 4 or 6 of the Rules is divided on the basis of a reasonable approximation of the distribution of profits that </w:t>
      </w:r>
      <w:proofErr w:type="spellStart"/>
      <w:r>
        <w:rPr>
          <w:rFonts w:ascii="Arial" w:hAnsi="Arial" w:cs="Arial"/>
          <w:sz w:val="20"/>
          <w:lang w:val="en-GB"/>
        </w:rPr>
        <w:t>un</w:t>
      </w:r>
      <w:r w:rsidR="003E0B4B">
        <w:rPr>
          <w:rFonts w:ascii="Arial" w:hAnsi="Arial" w:cs="Arial"/>
          <w:sz w:val="20"/>
          <w:lang w:val="en-GB"/>
        </w:rPr>
        <w:t>associated</w:t>
      </w:r>
      <w:proofErr w:type="spellEnd"/>
      <w:r>
        <w:rPr>
          <w:rFonts w:ascii="Arial" w:hAnsi="Arial" w:cs="Arial"/>
          <w:sz w:val="20"/>
          <w:lang w:val="en-GB"/>
        </w:rPr>
        <w:t xml:space="preserve"> parties would be expected to earn by participating in comparable </w:t>
      </w:r>
      <w:proofErr w:type="spellStart"/>
      <w:r>
        <w:rPr>
          <w:rFonts w:ascii="Arial" w:hAnsi="Arial" w:cs="Arial"/>
          <w:sz w:val="20"/>
          <w:lang w:val="en-GB"/>
        </w:rPr>
        <w:t>un</w:t>
      </w:r>
      <w:r w:rsidR="003E0B4B">
        <w:rPr>
          <w:rFonts w:ascii="Arial" w:hAnsi="Arial" w:cs="Arial"/>
          <w:sz w:val="20"/>
          <w:lang w:val="en-GB"/>
        </w:rPr>
        <w:t>associated</w:t>
      </w:r>
      <w:proofErr w:type="spellEnd"/>
      <w:r>
        <w:rPr>
          <w:rFonts w:ascii="Arial" w:hAnsi="Arial" w:cs="Arial"/>
          <w:sz w:val="20"/>
          <w:lang w:val="en-GB"/>
        </w:rPr>
        <w:t>-party transactions.</w:t>
      </w:r>
    </w:p>
    <w:p w14:paraId="6C74C6A3" w14:textId="77777777" w:rsidR="00666077" w:rsidRPr="00227C1D" w:rsidRDefault="00666077" w:rsidP="009553C8">
      <w:pPr>
        <w:pStyle w:val="Brezrazmikov"/>
        <w:spacing w:line="260" w:lineRule="atLeast"/>
      </w:pPr>
    </w:p>
    <w:p w14:paraId="56F5580C" w14:textId="5BC707F7" w:rsidR="00666077" w:rsidRDefault="00666077" w:rsidP="009553C8">
      <w:pPr>
        <w:pStyle w:val="Brezrazmikov"/>
        <w:spacing w:line="260" w:lineRule="atLeast"/>
        <w:rPr>
          <w:rFonts w:cs="Arial"/>
        </w:rPr>
      </w:pPr>
      <w:r>
        <w:rPr>
          <w:rFonts w:cs="Arial"/>
          <w:lang w:val="en-GB"/>
        </w:rPr>
        <w:t xml:space="preserve">Paragraph 2.124 of the OECD Guidelines (paragraph 2.118 of the 2010 OECD Guidelines) provides that profit distribution can be assessed in a number of ways (either on the basis of the planned/projected or actual profit, if applicable), which would be agreed upon by </w:t>
      </w:r>
      <w:proofErr w:type="spellStart"/>
      <w:r>
        <w:rPr>
          <w:rFonts w:cs="Arial"/>
          <w:lang w:val="en-GB"/>
        </w:rPr>
        <w:t>un</w:t>
      </w:r>
      <w:r w:rsidR="003E0B4B">
        <w:rPr>
          <w:rFonts w:cs="Arial"/>
          <w:lang w:val="en-GB"/>
        </w:rPr>
        <w:t>associated</w:t>
      </w:r>
      <w:proofErr w:type="spellEnd"/>
      <w:r>
        <w:rPr>
          <w:rFonts w:cs="Arial"/>
          <w:lang w:val="en-GB"/>
        </w:rPr>
        <w:t xml:space="preserve"> parties. Two such methods are contribution analysis and residual analysis, which are not the only ones possible and are not mutually exclusive.</w:t>
      </w:r>
    </w:p>
    <w:p w14:paraId="1D3F9AE7" w14:textId="77777777" w:rsidR="00D40C41" w:rsidRPr="00227C1D" w:rsidRDefault="00D40C41" w:rsidP="009553C8">
      <w:pPr>
        <w:pStyle w:val="Brezrazmikov"/>
        <w:spacing w:line="260" w:lineRule="atLeast"/>
      </w:pPr>
    </w:p>
    <w:p w14:paraId="2C2661E4" w14:textId="1B0D5FC2" w:rsidR="00666077" w:rsidRPr="00227C1D" w:rsidRDefault="00666077" w:rsidP="009553C8">
      <w:pPr>
        <w:spacing w:line="260" w:lineRule="atLeast"/>
        <w:jc w:val="both"/>
      </w:pPr>
      <w:r>
        <w:rPr>
          <w:rFonts w:ascii="Arial" w:hAnsi="Arial"/>
          <w:b/>
          <w:bCs/>
          <w:sz w:val="20"/>
          <w:lang w:val="en-GB"/>
        </w:rPr>
        <w:t xml:space="preserve">In accordance with a contribution analysis </w:t>
      </w:r>
      <w:r>
        <w:rPr>
          <w:rFonts w:ascii="Arial" w:hAnsi="Arial"/>
          <w:sz w:val="20"/>
          <w:lang w:val="en-GB"/>
        </w:rPr>
        <w:t xml:space="preserve">(paragraph 2.125 of the OECD Guidelines or paragraph 2.119 of the 2010 OECD Guidelines), consolidated profit, which is the total profit of </w:t>
      </w:r>
      <w:proofErr w:type="spellStart"/>
      <w:r>
        <w:rPr>
          <w:rFonts w:ascii="Arial" w:hAnsi="Arial"/>
          <w:sz w:val="20"/>
          <w:lang w:val="en-GB"/>
        </w:rPr>
        <w:t>a</w:t>
      </w:r>
      <w:proofErr w:type="spellEnd"/>
      <w:r>
        <w:rPr>
          <w:rFonts w:ascii="Arial" w:hAnsi="Arial"/>
          <w:sz w:val="20"/>
          <w:lang w:val="en-GB"/>
        </w:rPr>
        <w:t xml:space="preserve"> </w:t>
      </w:r>
      <w:r w:rsidR="003E0B4B">
        <w:rPr>
          <w:rFonts w:ascii="Arial" w:hAnsi="Arial"/>
          <w:sz w:val="20"/>
          <w:lang w:val="en-GB"/>
        </w:rPr>
        <w:t>associated</w:t>
      </w:r>
      <w:r>
        <w:rPr>
          <w:rFonts w:ascii="Arial" w:hAnsi="Arial"/>
          <w:sz w:val="20"/>
          <w:lang w:val="en-GB"/>
        </w:rPr>
        <w:t xml:space="preserve">-party transaction under scrutiny, would be distributed among associated enterprises according to the proportional value of the functions performed by each associated enterprise involved in </w:t>
      </w:r>
      <w:proofErr w:type="spellStart"/>
      <w:r>
        <w:rPr>
          <w:rFonts w:ascii="Arial" w:hAnsi="Arial"/>
          <w:sz w:val="20"/>
          <w:lang w:val="en-GB"/>
        </w:rPr>
        <w:t>a</w:t>
      </w:r>
      <w:proofErr w:type="spellEnd"/>
      <w:r>
        <w:rPr>
          <w:rFonts w:ascii="Arial" w:hAnsi="Arial"/>
          <w:sz w:val="20"/>
          <w:lang w:val="en-GB"/>
        </w:rPr>
        <w:t xml:space="preserve"> </w:t>
      </w:r>
      <w:r w:rsidR="003E0B4B">
        <w:rPr>
          <w:rFonts w:ascii="Arial" w:hAnsi="Arial"/>
          <w:sz w:val="20"/>
          <w:lang w:val="en-GB"/>
        </w:rPr>
        <w:t>associated</w:t>
      </w:r>
      <w:r>
        <w:rPr>
          <w:rFonts w:ascii="Arial" w:hAnsi="Arial"/>
          <w:sz w:val="20"/>
          <w:lang w:val="en-GB"/>
        </w:rPr>
        <w:t>-party transaction on the basis of a reasonable approximation of the profit distribution as would be expected by independent companies</w:t>
      </w:r>
      <w:r>
        <w:rPr>
          <w:rFonts w:ascii="Arial" w:hAnsi="Arial"/>
          <w:sz w:val="20"/>
          <w:szCs w:val="24"/>
          <w:lang w:val="en-GB"/>
        </w:rPr>
        <w:t xml:space="preserve"> by </w:t>
      </w:r>
      <w:r>
        <w:rPr>
          <w:rFonts w:ascii="Arial" w:hAnsi="Arial"/>
          <w:sz w:val="20"/>
          <w:lang w:val="en-GB"/>
        </w:rPr>
        <w:t xml:space="preserve"> participating in comparable transactions.</w:t>
      </w:r>
      <w:r>
        <w:rPr>
          <w:lang w:val="en-GB"/>
        </w:rPr>
        <w:t xml:space="preserve">  </w:t>
      </w:r>
    </w:p>
    <w:p w14:paraId="578636BA" w14:textId="77777777" w:rsidR="00D40C41" w:rsidRPr="00AA2C04" w:rsidRDefault="00D40C41" w:rsidP="009553C8">
      <w:pPr>
        <w:pStyle w:val="Brezrazmikov"/>
        <w:spacing w:line="260" w:lineRule="atLeast"/>
        <w:rPr>
          <w:sz w:val="4"/>
        </w:rPr>
      </w:pPr>
    </w:p>
    <w:p w14:paraId="52EE61AC" w14:textId="5D9B068B" w:rsidR="00666077" w:rsidRPr="00AA2C04" w:rsidRDefault="00666077" w:rsidP="009553C8">
      <w:pPr>
        <w:spacing w:line="260" w:lineRule="atLeast"/>
        <w:jc w:val="both"/>
        <w:rPr>
          <w:rFonts w:ascii="Arial" w:hAnsi="Arial" w:cs="Arial"/>
          <w:sz w:val="20"/>
        </w:rPr>
      </w:pPr>
      <w:r>
        <w:rPr>
          <w:rFonts w:ascii="Arial" w:hAnsi="Arial" w:cs="Arial"/>
          <w:b/>
          <w:bCs/>
          <w:sz w:val="20"/>
          <w:lang w:val="en-GB"/>
        </w:rPr>
        <w:t>In accordance with a residual analysis,</w:t>
      </w:r>
      <w:r>
        <w:rPr>
          <w:rFonts w:ascii="Arial" w:hAnsi="Arial" w:cs="Arial"/>
          <w:sz w:val="20"/>
          <w:lang w:val="en-GB"/>
        </w:rPr>
        <w:t xml:space="preserve"> however, paragraph 2.127 of the OECD Guidelines (paragraph 2.121of the 2010 OECD Guidelines) suggests the distribution of consolidated profits in two stages, as one of the possibilities. In the first stage, each participant in the transaction is allocated a market-oriented payment for their regular contribution (the contribution is not unique in nature) to the </w:t>
      </w:r>
      <w:r w:rsidR="003E0B4B">
        <w:rPr>
          <w:rFonts w:ascii="Arial" w:hAnsi="Arial" w:cs="Arial"/>
          <w:sz w:val="20"/>
          <w:lang w:val="en-GB"/>
        </w:rPr>
        <w:t>associated</w:t>
      </w:r>
      <w:r>
        <w:rPr>
          <w:rFonts w:ascii="Arial" w:hAnsi="Arial" w:cs="Arial"/>
          <w:sz w:val="20"/>
          <w:lang w:val="en-GB"/>
        </w:rPr>
        <w:t xml:space="preserve">-party transaction in which they participate. This initial payment would normally be determined using one of the </w:t>
      </w:r>
      <w:r w:rsidR="00520D91">
        <w:rPr>
          <w:rFonts w:ascii="Arial" w:hAnsi="Arial" w:cs="Arial"/>
          <w:sz w:val="20"/>
          <w:lang w:val="en-GB"/>
        </w:rPr>
        <w:t xml:space="preserve">traditional </w:t>
      </w:r>
      <w:r>
        <w:rPr>
          <w:rFonts w:ascii="Arial" w:hAnsi="Arial" w:cs="Arial"/>
          <w:sz w:val="20"/>
          <w:lang w:val="en-GB"/>
        </w:rPr>
        <w:t xml:space="preserve">methods or the transactional net margin method. In the second stage, the remaining consolidated profit is distributed according to the contribution of each </w:t>
      </w:r>
      <w:r w:rsidR="003E0B4B">
        <w:rPr>
          <w:rFonts w:ascii="Arial" w:hAnsi="Arial" w:cs="Arial"/>
          <w:sz w:val="20"/>
          <w:lang w:val="en-GB"/>
        </w:rPr>
        <w:t>associated</w:t>
      </w:r>
      <w:r>
        <w:rPr>
          <w:rFonts w:ascii="Arial" w:hAnsi="Arial" w:cs="Arial"/>
          <w:sz w:val="20"/>
          <w:lang w:val="en-GB"/>
        </w:rPr>
        <w:t xml:space="preserve"> party in the transaction.</w:t>
      </w:r>
    </w:p>
    <w:p w14:paraId="1E25F71A" w14:textId="77777777" w:rsidR="00666077" w:rsidRPr="00AA2C04" w:rsidRDefault="00666077" w:rsidP="009553C8">
      <w:pPr>
        <w:pStyle w:val="Brezrazmikov"/>
        <w:spacing w:line="260" w:lineRule="atLeast"/>
        <w:rPr>
          <w:sz w:val="8"/>
        </w:rPr>
      </w:pPr>
    </w:p>
    <w:p w14:paraId="31855E56" w14:textId="1F56DAC4" w:rsidR="00666077" w:rsidRPr="00904D3B" w:rsidRDefault="00666077" w:rsidP="009553C8">
      <w:pPr>
        <w:spacing w:line="260" w:lineRule="atLeast"/>
        <w:jc w:val="both"/>
        <w:rPr>
          <w:rFonts w:ascii="Arial" w:eastAsia="Times New Roman" w:hAnsi="Arial" w:cs="Arial"/>
          <w:sz w:val="20"/>
          <w:szCs w:val="20"/>
        </w:rPr>
      </w:pPr>
      <w:r>
        <w:rPr>
          <w:rFonts w:ascii="Arial" w:eastAsia="Times New Roman" w:hAnsi="Arial" w:cs="Arial"/>
          <w:sz w:val="20"/>
          <w:szCs w:val="20"/>
          <w:lang w:val="en-GB"/>
        </w:rPr>
        <w:t xml:space="preserve">Like all other transfer pricing methods, the profit distribution method has its strengths and weaknesses. One of the main strengths of this method is that it examines profit allocation holistically, as it offers a more complete picture of what is happening and shows a broader, more accurate assessment of a company's transfer pricing policies. Therefore, it is less likely that one or the other party in </w:t>
      </w:r>
      <w:proofErr w:type="spellStart"/>
      <w:proofErr w:type="gramStart"/>
      <w:r>
        <w:rPr>
          <w:rFonts w:ascii="Arial" w:eastAsia="Times New Roman" w:hAnsi="Arial" w:cs="Arial"/>
          <w:sz w:val="20"/>
          <w:szCs w:val="20"/>
          <w:lang w:val="en-GB"/>
        </w:rPr>
        <w:t>a</w:t>
      </w:r>
      <w:proofErr w:type="spellEnd"/>
      <w:proofErr w:type="gramEnd"/>
      <w:r>
        <w:rPr>
          <w:rFonts w:ascii="Arial" w:eastAsia="Times New Roman" w:hAnsi="Arial" w:cs="Arial"/>
          <w:sz w:val="20"/>
          <w:szCs w:val="20"/>
          <w:lang w:val="en-GB"/>
        </w:rPr>
        <w:t xml:space="preserve"> </w:t>
      </w:r>
      <w:r w:rsidR="003E0B4B">
        <w:rPr>
          <w:rFonts w:ascii="Arial" w:eastAsia="Times New Roman" w:hAnsi="Arial" w:cs="Arial"/>
          <w:sz w:val="20"/>
          <w:szCs w:val="20"/>
          <w:lang w:val="en-GB"/>
        </w:rPr>
        <w:t>associated</w:t>
      </w:r>
      <w:r>
        <w:rPr>
          <w:rFonts w:ascii="Arial" w:eastAsia="Times New Roman" w:hAnsi="Arial" w:cs="Arial"/>
          <w:sz w:val="20"/>
          <w:szCs w:val="20"/>
          <w:lang w:val="en-GB"/>
        </w:rPr>
        <w:t xml:space="preserve">-party transaction will be left with extremely extreme and unbelievably high profits as both parties to the transaction are subject to assessment.  </w:t>
      </w:r>
    </w:p>
    <w:p w14:paraId="6480E46E" w14:textId="77777777" w:rsidR="00666077" w:rsidRPr="00904D3B" w:rsidRDefault="00666077" w:rsidP="009553C8">
      <w:pPr>
        <w:spacing w:line="260" w:lineRule="atLeast"/>
        <w:jc w:val="both"/>
        <w:rPr>
          <w:rFonts w:ascii="Arial" w:eastAsia="Times New Roman" w:hAnsi="Arial" w:cs="Arial"/>
          <w:sz w:val="20"/>
          <w:szCs w:val="20"/>
        </w:rPr>
      </w:pPr>
    </w:p>
    <w:p w14:paraId="3FC82BF9" w14:textId="621343A1" w:rsidR="00666077" w:rsidRPr="00904D3B" w:rsidRDefault="00666077" w:rsidP="009553C8">
      <w:pPr>
        <w:spacing w:line="260" w:lineRule="atLeast"/>
        <w:jc w:val="both"/>
        <w:rPr>
          <w:rFonts w:ascii="Arial" w:eastAsia="Times New Roman" w:hAnsi="Arial" w:cs="Arial"/>
          <w:sz w:val="20"/>
          <w:szCs w:val="20"/>
        </w:rPr>
      </w:pPr>
      <w:r>
        <w:rPr>
          <w:rFonts w:ascii="Arial" w:eastAsia="Times New Roman" w:hAnsi="Arial" w:cs="Arial"/>
          <w:sz w:val="20"/>
          <w:szCs w:val="20"/>
          <w:lang w:val="en-GB"/>
        </w:rPr>
        <w:t xml:space="preserve">On the other hand, the method can also be risky, as profit distribution is often very subjective. Even minor divisive shifts can yield significantly different results. Another weak point of this method is the fact that both associated enterprises and tax authorities are likely to find it difficult to obtain information on associated enterprises in other countries. It may also be difficult to measure the consolidated revenue and consolidated costs for all associated enterprises involved in </w:t>
      </w:r>
      <w:r w:rsidR="003E0B4B">
        <w:rPr>
          <w:rFonts w:ascii="Arial" w:eastAsia="Times New Roman" w:hAnsi="Arial" w:cs="Arial"/>
          <w:sz w:val="20"/>
          <w:szCs w:val="20"/>
          <w:lang w:val="en-GB"/>
        </w:rPr>
        <w:t>associated</w:t>
      </w:r>
      <w:r>
        <w:rPr>
          <w:rFonts w:ascii="Arial" w:eastAsia="Times New Roman" w:hAnsi="Arial" w:cs="Arial"/>
          <w:sz w:val="20"/>
          <w:szCs w:val="20"/>
          <w:lang w:val="en-GB"/>
        </w:rPr>
        <w:t xml:space="preserve">-party transactions, as this would require keeping books and records on a common basis and </w:t>
      </w:r>
      <w:proofErr w:type="gramStart"/>
      <w:r>
        <w:rPr>
          <w:rFonts w:ascii="Arial" w:eastAsia="Times New Roman" w:hAnsi="Arial" w:cs="Arial"/>
          <w:sz w:val="20"/>
          <w:szCs w:val="20"/>
          <w:lang w:val="en-GB"/>
        </w:rPr>
        <w:t>making adjustments</w:t>
      </w:r>
      <w:proofErr w:type="gramEnd"/>
      <w:r>
        <w:rPr>
          <w:rFonts w:ascii="Arial" w:eastAsia="Times New Roman" w:hAnsi="Arial" w:cs="Arial"/>
          <w:sz w:val="20"/>
          <w:szCs w:val="20"/>
          <w:lang w:val="en-GB"/>
        </w:rPr>
        <w:t xml:space="preserve"> in accounting and foreign currency practices. In addition, when the profit distribution method is applied to operating profit, it may be difficult to determine the eligible operating expenses associated with the transaction and to allocate costs to the transactions in question and other activities of associated enterprises. </w:t>
      </w:r>
    </w:p>
    <w:p w14:paraId="7D4BCB64" w14:textId="77777777" w:rsidR="00700A76" w:rsidRDefault="00700A76" w:rsidP="009553C8">
      <w:pPr>
        <w:spacing w:line="260" w:lineRule="atLeast"/>
        <w:jc w:val="both"/>
        <w:rPr>
          <w:rFonts w:ascii="Arial" w:eastAsia="Times New Roman" w:hAnsi="Arial" w:cs="Arial"/>
          <w:sz w:val="20"/>
          <w:szCs w:val="20"/>
        </w:rPr>
      </w:pPr>
    </w:p>
    <w:p w14:paraId="5FC6B6A9" w14:textId="77777777" w:rsidR="00666077" w:rsidRDefault="00666077" w:rsidP="009553C8">
      <w:pPr>
        <w:spacing w:line="260" w:lineRule="atLeast"/>
        <w:jc w:val="both"/>
        <w:rPr>
          <w:rFonts w:ascii="Arial" w:eastAsia="Times New Roman" w:hAnsi="Arial" w:cs="Arial"/>
          <w:sz w:val="20"/>
          <w:szCs w:val="20"/>
        </w:rPr>
      </w:pPr>
      <w:r>
        <w:rPr>
          <w:rFonts w:ascii="Arial" w:eastAsia="Times New Roman" w:hAnsi="Arial" w:cs="Arial"/>
          <w:sz w:val="20"/>
          <w:szCs w:val="20"/>
          <w:lang w:val="en-GB"/>
        </w:rPr>
        <w:t>The profit distribution method may be most appropriate in cases where:</w:t>
      </w:r>
    </w:p>
    <w:p w14:paraId="655A4AA2" w14:textId="77777777" w:rsidR="00666664" w:rsidRPr="004F2499" w:rsidRDefault="00666664" w:rsidP="009553C8">
      <w:pPr>
        <w:pStyle w:val="Brezrazmikov"/>
        <w:spacing w:line="260" w:lineRule="atLeast"/>
        <w:rPr>
          <w:sz w:val="10"/>
        </w:rPr>
      </w:pPr>
    </w:p>
    <w:p w14:paraId="53EE0F81" w14:textId="18165AB2" w:rsidR="00666077" w:rsidRPr="00904D3B" w:rsidRDefault="00666077" w:rsidP="009553C8">
      <w:pPr>
        <w:numPr>
          <w:ilvl w:val="0"/>
          <w:numId w:val="18"/>
        </w:numPr>
        <w:spacing w:line="260" w:lineRule="atLeast"/>
        <w:ind w:left="284" w:hanging="284"/>
        <w:contextualSpacing/>
        <w:jc w:val="both"/>
        <w:rPr>
          <w:rFonts w:ascii="Arial" w:eastAsia="Calibri" w:hAnsi="Arial" w:cs="Arial"/>
          <w:sz w:val="20"/>
          <w:szCs w:val="20"/>
        </w:rPr>
      </w:pPr>
      <w:r>
        <w:rPr>
          <w:rFonts w:ascii="Arial" w:eastAsia="Calibri" w:hAnsi="Arial" w:cs="Arial"/>
          <w:sz w:val="20"/>
          <w:szCs w:val="20"/>
          <w:lang w:val="en-GB"/>
        </w:rPr>
        <w:t>both parties to the transaction make unique and valuable contributions (</w:t>
      </w:r>
      <w:proofErr w:type="gramStart"/>
      <w:r>
        <w:rPr>
          <w:rFonts w:ascii="Arial" w:eastAsia="Calibri" w:hAnsi="Arial" w:cs="Arial"/>
          <w:sz w:val="20"/>
          <w:szCs w:val="20"/>
          <w:lang w:val="en-GB"/>
        </w:rPr>
        <w:t>i.e.</w:t>
      </w:r>
      <w:proofErr w:type="gramEnd"/>
      <w:r>
        <w:rPr>
          <w:rFonts w:ascii="Arial" w:eastAsia="Calibri" w:hAnsi="Arial" w:cs="Arial"/>
          <w:sz w:val="20"/>
          <w:szCs w:val="20"/>
          <w:lang w:val="en-GB"/>
        </w:rPr>
        <w:t xml:space="preserve"> they both use significant intangible assets and contribute significant added value to </w:t>
      </w:r>
      <w:proofErr w:type="spellStart"/>
      <w:r>
        <w:rPr>
          <w:rFonts w:ascii="Arial" w:eastAsia="Calibri" w:hAnsi="Arial" w:cs="Arial"/>
          <w:sz w:val="20"/>
          <w:szCs w:val="20"/>
          <w:lang w:val="en-GB"/>
        </w:rPr>
        <w:t>a</w:t>
      </w:r>
      <w:proofErr w:type="spellEnd"/>
      <w:r>
        <w:rPr>
          <w:rFonts w:ascii="Arial" w:eastAsia="Calibri" w:hAnsi="Arial" w:cs="Arial"/>
          <w:sz w:val="20"/>
          <w:szCs w:val="20"/>
          <w:lang w:val="en-GB"/>
        </w:rPr>
        <w:t xml:space="preserve"> </w:t>
      </w:r>
      <w:r w:rsidR="003E0B4B">
        <w:rPr>
          <w:rFonts w:ascii="Arial" w:eastAsia="Calibri" w:hAnsi="Arial" w:cs="Arial"/>
          <w:sz w:val="20"/>
          <w:szCs w:val="20"/>
          <w:lang w:val="en-GB"/>
        </w:rPr>
        <w:t>associated</w:t>
      </w:r>
      <w:r>
        <w:rPr>
          <w:rFonts w:ascii="Arial" w:eastAsia="Calibri" w:hAnsi="Arial" w:cs="Arial"/>
          <w:sz w:val="20"/>
          <w:szCs w:val="20"/>
          <w:lang w:val="en-GB"/>
        </w:rPr>
        <w:t>-party transaction);</w:t>
      </w:r>
    </w:p>
    <w:p w14:paraId="6ED59BDB" w14:textId="77777777" w:rsidR="00666077" w:rsidRPr="00227C1D" w:rsidRDefault="00666077" w:rsidP="009553C8">
      <w:pPr>
        <w:numPr>
          <w:ilvl w:val="0"/>
          <w:numId w:val="18"/>
        </w:numPr>
        <w:spacing w:line="260" w:lineRule="atLeast"/>
        <w:ind w:left="284" w:hanging="284"/>
        <w:contextualSpacing/>
        <w:jc w:val="both"/>
        <w:rPr>
          <w:rFonts w:ascii="Arial" w:eastAsia="Calibri" w:hAnsi="Arial" w:cs="Arial"/>
          <w:sz w:val="20"/>
          <w:szCs w:val="20"/>
        </w:rPr>
      </w:pPr>
      <w:r>
        <w:rPr>
          <w:rFonts w:ascii="Arial" w:eastAsia="Calibri" w:hAnsi="Arial" w:cs="Arial"/>
          <w:sz w:val="20"/>
          <w:szCs w:val="20"/>
          <w:lang w:val="en-GB"/>
        </w:rPr>
        <w:t>there is a high level of interaction between transactions in which both parties make important contributions and share many synergies and cannot be easily separated</w:t>
      </w:r>
      <w:r>
        <w:rPr>
          <w:rFonts w:ascii="Arial" w:eastAsia="Calibri" w:hAnsi="Arial" w:cs="Arial"/>
          <w:sz w:val="21"/>
          <w:szCs w:val="21"/>
          <w:lang w:val="en-GB"/>
        </w:rPr>
        <w:t xml:space="preserve"> </w:t>
      </w:r>
      <w:r>
        <w:rPr>
          <w:rFonts w:ascii="Arial" w:eastAsia="Calibri" w:hAnsi="Arial" w:cs="Arial"/>
          <w:sz w:val="20"/>
          <w:szCs w:val="20"/>
          <w:lang w:val="en-GB"/>
        </w:rPr>
        <w:t>(</w:t>
      </w:r>
      <w:proofErr w:type="gramStart"/>
      <w:r>
        <w:rPr>
          <w:rFonts w:ascii="Arial" w:eastAsia="Calibri" w:hAnsi="Arial" w:cs="Arial"/>
          <w:sz w:val="20"/>
          <w:szCs w:val="20"/>
          <w:lang w:val="en-GB"/>
        </w:rPr>
        <w:t>i.e.</w:t>
      </w:r>
      <w:proofErr w:type="gramEnd"/>
      <w:r>
        <w:rPr>
          <w:rFonts w:ascii="Arial" w:eastAsia="Calibri" w:hAnsi="Arial" w:cs="Arial"/>
          <w:sz w:val="20"/>
          <w:szCs w:val="20"/>
          <w:lang w:val="en-GB"/>
        </w:rPr>
        <w:t xml:space="preserve"> highly integrated activities);</w:t>
      </w:r>
    </w:p>
    <w:p w14:paraId="13C91227" w14:textId="2CA22506" w:rsidR="00666077" w:rsidRPr="00904D3B" w:rsidRDefault="00666077" w:rsidP="009553C8">
      <w:pPr>
        <w:numPr>
          <w:ilvl w:val="0"/>
          <w:numId w:val="18"/>
        </w:numPr>
        <w:spacing w:line="260" w:lineRule="atLeast"/>
        <w:ind w:left="284" w:hanging="284"/>
        <w:contextualSpacing/>
        <w:jc w:val="both"/>
        <w:rPr>
          <w:rFonts w:ascii="Arial" w:eastAsia="Calibri" w:hAnsi="Arial" w:cs="Arial"/>
          <w:sz w:val="20"/>
          <w:szCs w:val="20"/>
        </w:rPr>
      </w:pPr>
      <w:r>
        <w:rPr>
          <w:rFonts w:ascii="Arial" w:eastAsia="Calibri" w:hAnsi="Arial" w:cs="Arial"/>
          <w:sz w:val="20"/>
          <w:szCs w:val="20"/>
          <w:lang w:val="en-GB"/>
        </w:rPr>
        <w:t xml:space="preserve">both parties to </w:t>
      </w:r>
      <w:proofErr w:type="spellStart"/>
      <w:proofErr w:type="gramStart"/>
      <w:r>
        <w:rPr>
          <w:rFonts w:ascii="Arial" w:eastAsia="Calibri" w:hAnsi="Arial" w:cs="Arial"/>
          <w:sz w:val="20"/>
          <w:szCs w:val="20"/>
          <w:lang w:val="en-GB"/>
        </w:rPr>
        <w:t>a</w:t>
      </w:r>
      <w:proofErr w:type="spellEnd"/>
      <w:proofErr w:type="gramEnd"/>
      <w:r>
        <w:rPr>
          <w:rFonts w:ascii="Arial" w:eastAsia="Calibri" w:hAnsi="Arial" w:cs="Arial"/>
          <w:sz w:val="20"/>
          <w:szCs w:val="20"/>
          <w:lang w:val="en-GB"/>
        </w:rPr>
        <w:t xml:space="preserve"> </w:t>
      </w:r>
      <w:r w:rsidR="003E0B4B">
        <w:rPr>
          <w:rFonts w:ascii="Arial" w:eastAsia="Calibri" w:hAnsi="Arial" w:cs="Arial"/>
          <w:sz w:val="20"/>
          <w:szCs w:val="20"/>
          <w:lang w:val="en-GB"/>
        </w:rPr>
        <w:t>associated</w:t>
      </w:r>
      <w:r>
        <w:rPr>
          <w:rFonts w:ascii="Arial" w:eastAsia="Calibri" w:hAnsi="Arial" w:cs="Arial"/>
          <w:sz w:val="20"/>
          <w:szCs w:val="20"/>
          <w:lang w:val="en-GB"/>
        </w:rPr>
        <w:t xml:space="preserve">-party transaction share significant economic risks. </w:t>
      </w:r>
    </w:p>
    <w:p w14:paraId="23CA23BB" w14:textId="77777777" w:rsidR="0005289E" w:rsidRPr="00904D3B" w:rsidRDefault="0005289E" w:rsidP="009553C8">
      <w:pPr>
        <w:spacing w:line="260" w:lineRule="atLeast"/>
        <w:jc w:val="both"/>
        <w:rPr>
          <w:rFonts w:ascii="Arial" w:eastAsia="Times New Roman" w:hAnsi="Arial" w:cs="Arial"/>
          <w:sz w:val="20"/>
          <w:szCs w:val="20"/>
        </w:rPr>
      </w:pPr>
    </w:p>
    <w:p w14:paraId="1CC9944D" w14:textId="77777777" w:rsidR="00666077" w:rsidRDefault="00666077" w:rsidP="009553C8">
      <w:pPr>
        <w:spacing w:line="260" w:lineRule="atLeast"/>
        <w:jc w:val="both"/>
        <w:rPr>
          <w:rFonts w:ascii="Arial" w:eastAsia="Times New Roman" w:hAnsi="Arial" w:cs="Arial"/>
          <w:sz w:val="20"/>
          <w:szCs w:val="20"/>
        </w:rPr>
      </w:pPr>
      <w:r>
        <w:rPr>
          <w:rFonts w:ascii="Arial" w:eastAsia="Times New Roman" w:hAnsi="Arial" w:cs="Arial"/>
          <w:sz w:val="20"/>
          <w:szCs w:val="20"/>
          <w:lang w:val="en-GB"/>
        </w:rPr>
        <w:t>On the other hand, this method is highly unlikely to be the most appropriate one when:</w:t>
      </w:r>
    </w:p>
    <w:p w14:paraId="7C4B1FDE" w14:textId="77777777" w:rsidR="0005289E" w:rsidRPr="004F2499" w:rsidRDefault="0005289E" w:rsidP="009553C8">
      <w:pPr>
        <w:spacing w:line="260" w:lineRule="atLeast"/>
        <w:jc w:val="both"/>
        <w:rPr>
          <w:rFonts w:ascii="Arial" w:eastAsia="Times New Roman" w:hAnsi="Arial" w:cs="Arial"/>
          <w:sz w:val="10"/>
          <w:szCs w:val="10"/>
        </w:rPr>
      </w:pPr>
    </w:p>
    <w:p w14:paraId="691275F1" w14:textId="77777777" w:rsidR="000B344C" w:rsidRDefault="00666077" w:rsidP="009553C8">
      <w:pPr>
        <w:numPr>
          <w:ilvl w:val="0"/>
          <w:numId w:val="19"/>
        </w:numPr>
        <w:spacing w:line="260" w:lineRule="atLeast"/>
        <w:ind w:left="284" w:hanging="284"/>
        <w:contextualSpacing/>
        <w:jc w:val="both"/>
        <w:rPr>
          <w:rFonts w:ascii="Arial" w:hAnsi="Arial" w:cs="Arial"/>
          <w:sz w:val="20"/>
          <w:szCs w:val="20"/>
        </w:rPr>
      </w:pPr>
      <w:r>
        <w:rPr>
          <w:rFonts w:ascii="Arial" w:eastAsia="Calibri" w:hAnsi="Arial" w:cs="Arial"/>
          <w:sz w:val="20"/>
          <w:szCs w:val="20"/>
          <w:lang w:val="en-GB"/>
        </w:rPr>
        <w:t>one of the parties to the transaction performs simple functions and/or</w:t>
      </w:r>
    </w:p>
    <w:p w14:paraId="044386C8" w14:textId="77777777" w:rsidR="00412F52" w:rsidRDefault="000B344C" w:rsidP="009553C8">
      <w:pPr>
        <w:numPr>
          <w:ilvl w:val="0"/>
          <w:numId w:val="19"/>
        </w:numPr>
        <w:spacing w:line="260" w:lineRule="atLeast"/>
        <w:ind w:left="284" w:hanging="284"/>
        <w:contextualSpacing/>
        <w:jc w:val="both"/>
        <w:rPr>
          <w:rFonts w:ascii="Arial" w:hAnsi="Arial" w:cs="Arial"/>
          <w:sz w:val="20"/>
          <w:szCs w:val="20"/>
        </w:rPr>
      </w:pPr>
      <w:r>
        <w:rPr>
          <w:rFonts w:ascii="Arial" w:hAnsi="Arial" w:cs="Arial"/>
          <w:sz w:val="20"/>
          <w:szCs w:val="20"/>
          <w:lang w:val="en-GB"/>
        </w:rPr>
        <w:t xml:space="preserve">a comparative analysis can be performed (even if a well-defined transaction is quite complex) and reliable </w:t>
      </w:r>
      <w:proofErr w:type="spellStart"/>
      <w:r>
        <w:rPr>
          <w:rFonts w:ascii="Arial" w:hAnsi="Arial" w:cs="Arial"/>
          <w:sz w:val="20"/>
          <w:szCs w:val="20"/>
          <w:lang w:val="en-GB"/>
        </w:rPr>
        <w:t>comparables</w:t>
      </w:r>
      <w:proofErr w:type="spellEnd"/>
      <w:r>
        <w:rPr>
          <w:rFonts w:ascii="Arial" w:hAnsi="Arial" w:cs="Arial"/>
          <w:sz w:val="20"/>
          <w:szCs w:val="20"/>
          <w:lang w:val="en-GB"/>
        </w:rPr>
        <w:t xml:space="preserve"> are available.</w:t>
      </w:r>
    </w:p>
    <w:p w14:paraId="2D964D2C" w14:textId="77777777" w:rsidR="0005289E" w:rsidRPr="00666664" w:rsidRDefault="0005289E" w:rsidP="00756903">
      <w:pPr>
        <w:ind w:left="284"/>
        <w:contextualSpacing/>
        <w:jc w:val="both"/>
        <w:rPr>
          <w:rFonts w:ascii="Arial" w:hAnsi="Arial" w:cs="Arial"/>
          <w:sz w:val="20"/>
          <w:szCs w:val="20"/>
        </w:rPr>
      </w:pPr>
    </w:p>
    <w:tbl>
      <w:tblPr>
        <w:tblpPr w:leftFromText="141" w:rightFromText="141" w:vertAnchor="text" w:horzAnchor="margin" w:tblpY="143"/>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4"/>
      </w:tblGrid>
      <w:tr w:rsidR="000B344C" w:rsidRPr="00904D3B" w14:paraId="57FB5B2F" w14:textId="77777777" w:rsidTr="0000726E">
        <w:trPr>
          <w:trHeight w:val="6653"/>
        </w:trPr>
        <w:tc>
          <w:tcPr>
            <w:tcW w:w="8784" w:type="dxa"/>
            <w:shd w:val="clear" w:color="auto" w:fill="auto"/>
          </w:tcPr>
          <w:p w14:paraId="7A1B5265" w14:textId="77407FD8" w:rsidR="000B344C" w:rsidRPr="00AA2C04" w:rsidRDefault="000B344C" w:rsidP="00756903">
            <w:pPr>
              <w:pStyle w:val="Brezrazmikov"/>
              <w:spacing w:line="240" w:lineRule="atLeast"/>
              <w:ind w:left="284" w:hanging="284"/>
              <w:rPr>
                <w:rFonts w:cs="Arial"/>
              </w:rPr>
            </w:pPr>
            <w:r>
              <w:rPr>
                <w:rFonts w:cs="Arial"/>
                <w:noProof/>
                <w:szCs w:val="24"/>
                <w:lang w:eastAsia="sl-SI" w:bidi="ar-SA"/>
              </w:rPr>
              <mc:AlternateContent>
                <mc:Choice Requires="wps">
                  <w:drawing>
                    <wp:anchor distT="0" distB="0" distL="114300" distR="114300" simplePos="0" relativeHeight="251731968" behindDoc="0" locked="0" layoutInCell="1" allowOverlap="1" wp14:anchorId="7C9E65C4" wp14:editId="712A9A9B">
                      <wp:simplePos x="0" y="0"/>
                      <wp:positionH relativeFrom="column">
                        <wp:posOffset>3855085</wp:posOffset>
                      </wp:positionH>
                      <wp:positionV relativeFrom="paragraph">
                        <wp:posOffset>2759710</wp:posOffset>
                      </wp:positionV>
                      <wp:extent cx="1536700" cy="680720"/>
                      <wp:effectExtent l="0" t="0" r="25400" b="24130"/>
                      <wp:wrapNone/>
                      <wp:docPr id="62" name="Pravokotnik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6700" cy="680720"/>
                              </a:xfrm>
                              <a:prstGeom prst="rect">
                                <a:avLst/>
                              </a:prstGeom>
                              <a:solidFill>
                                <a:sysClr val="window" lastClr="FFFFFF"/>
                              </a:solidFill>
                              <a:ln w="12700" cap="flat" cmpd="sng" algn="ctr">
                                <a:solidFill>
                                  <a:srgbClr val="4472C4"/>
                                </a:solidFill>
                                <a:prstDash val="solid"/>
                                <a:miter lim="800000"/>
                              </a:ln>
                              <a:effectLst/>
                            </wps:spPr>
                            <wps:txbx>
                              <w:txbxContent>
                                <w:p w14:paraId="5BB1B628" w14:textId="77777777" w:rsidR="0018663B" w:rsidRDefault="0018663B" w:rsidP="000B344C">
                                  <w:pPr>
                                    <w:spacing w:line="240" w:lineRule="auto"/>
                                    <w:contextualSpacing/>
                                    <w:rPr>
                                      <w:rFonts w:eastAsia="+mn-ea" w:cs="Arial"/>
                                      <w:color w:val="000000"/>
                                      <w:sz w:val="18"/>
                                      <w:szCs w:val="18"/>
                                    </w:rPr>
                                  </w:pPr>
                                </w:p>
                                <w:p w14:paraId="4BA607E7" w14:textId="77777777" w:rsidR="0018663B" w:rsidRPr="000B737C" w:rsidRDefault="0018663B" w:rsidP="000B344C">
                                  <w:pPr>
                                    <w:spacing w:line="240" w:lineRule="auto"/>
                                    <w:contextualSpacing/>
                                    <w:jc w:val="center"/>
                                    <w:rPr>
                                      <w:rFonts w:ascii="Times New Roman" w:hAnsi="Times New Roman"/>
                                      <w:sz w:val="18"/>
                                    </w:rPr>
                                  </w:pPr>
                                  <w:r>
                                    <w:rPr>
                                      <w:rFonts w:eastAsia="+mn-ea" w:cs="Arial"/>
                                      <w:color w:val="000000"/>
                                      <w:sz w:val="18"/>
                                      <w:szCs w:val="18"/>
                                      <w:lang w:val="en-GB"/>
                                    </w:rPr>
                                    <w:t>Sharing of significant risks</w:t>
                                  </w:r>
                                </w:p>
                                <w:p w14:paraId="3B8A0DEC" w14:textId="77777777" w:rsidR="0018663B" w:rsidRDefault="0018663B" w:rsidP="000B344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C9E65C4" id="Pravokotnik 62" o:spid="_x0000_s1031" style="position:absolute;left:0;text-align:left;margin-left:303.55pt;margin-top:217.3pt;width:121pt;height:53.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" fillcolor="window" strokecolor="#4472c4" strokeweight="1pt">
                      <v:path arrowok="t"/>
                      <v:textbox>
                        <w:txbxContent>
                          <w:p w14:paraId="5BB1B628" w14:textId="77777777" w:rsidR="0018663B" w:rsidRDefault="0018663B" w:rsidP="000B344C">
                            <w:pPr>
                              <w:spacing w:line="240" w:lineRule="auto"/>
                              <w:contextualSpacing/>
                              <w:rPr>
                                <w:rFonts w:eastAsia="+mn-ea" w:cs="Arial"/>
                                <w:color w:val="000000"/>
                                <w:sz w:val="18"/>
                                <w:szCs w:val="18"/>
                              </w:rPr>
                            </w:pPr>
                          </w:p>
                          <w:p w14:paraId="4BA607E7" w14:textId="77777777" w:rsidR="0018663B" w:rsidRPr="000B737C" w:rsidRDefault="0018663B" w:rsidP="000B344C">
                            <w:pPr>
                              <w:spacing w:line="240" w:lineRule="auto"/>
                              <w:contextualSpacing/>
                              <w:jc w:val="center"/>
                              <w:rPr>
                                <w:rFonts w:ascii="Times New Roman" w:hAnsi="Times New Roman"/>
                                <w:sz w:val="18"/>
                              </w:rPr>
                            </w:pPr>
                            <w:r>
                              <w:rPr>
                                <w:rFonts w:eastAsia="+mn-ea" w:cs="Arial"/>
                                <w:color w:val="000000"/>
                                <w:sz w:val="18"/>
                                <w:szCs w:val="18"/>
                                <w:lang w:val="en-GB"/>
                              </w:rPr>
                              <w:t>Sharing of significant risks</w:t>
                            </w:r>
                          </w:p>
                          <w:p w14:paraId="3B8A0DEC" w14:textId="77777777" w:rsidR="0018663B" w:rsidRDefault="0018663B" w:rsidP="000B344C">
                            <w:pPr>
                              <w:jc w:val="center"/>
                            </w:pPr>
                          </w:p>
                        </w:txbxContent>
                      </v:textbox>
                    </v:rect>
                  </w:pict>
                </mc:Fallback>
              </mc:AlternateContent>
            </w:r>
            <w:r>
              <w:rPr>
                <w:rFonts w:cs="Arial"/>
                <w:noProof/>
                <w:szCs w:val="24"/>
                <w:lang w:eastAsia="sl-SI" w:bidi="ar-SA"/>
              </w:rPr>
              <mc:AlternateContent>
                <mc:Choice Requires="wps">
                  <w:drawing>
                    <wp:anchor distT="0" distB="0" distL="114300" distR="114300" simplePos="0" relativeHeight="251730944" behindDoc="0" locked="0" layoutInCell="1" allowOverlap="1" wp14:anchorId="65B4AC88" wp14:editId="5F4BCA5A">
                      <wp:simplePos x="0" y="0"/>
                      <wp:positionH relativeFrom="margin">
                        <wp:posOffset>1924685</wp:posOffset>
                      </wp:positionH>
                      <wp:positionV relativeFrom="paragraph">
                        <wp:posOffset>2713990</wp:posOffset>
                      </wp:positionV>
                      <wp:extent cx="1536700" cy="671195"/>
                      <wp:effectExtent l="0" t="0" r="25400" b="14605"/>
                      <wp:wrapNone/>
                      <wp:docPr id="63" name="Pravokotnik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6700" cy="671195"/>
                              </a:xfrm>
                              <a:prstGeom prst="rect">
                                <a:avLst/>
                              </a:prstGeom>
                              <a:solidFill>
                                <a:sysClr val="window" lastClr="FFFFFF"/>
                              </a:solidFill>
                              <a:ln w="12700" cap="flat" cmpd="sng" algn="ctr">
                                <a:solidFill>
                                  <a:srgbClr val="4472C4"/>
                                </a:solidFill>
                                <a:prstDash val="solid"/>
                                <a:miter lim="800000"/>
                              </a:ln>
                              <a:effectLst/>
                            </wps:spPr>
                            <wps:txbx>
                              <w:txbxContent>
                                <w:p w14:paraId="00F392E8" w14:textId="77777777" w:rsidR="0018663B" w:rsidRDefault="0018663B" w:rsidP="000B344C">
                                  <w:pPr>
                                    <w:spacing w:line="240" w:lineRule="auto"/>
                                    <w:contextualSpacing/>
                                    <w:jc w:val="center"/>
                                    <w:rPr>
                                      <w:rFonts w:eastAsia="+mn-ea" w:cs="Arial"/>
                                      <w:color w:val="000000"/>
                                      <w:sz w:val="18"/>
                                      <w:szCs w:val="18"/>
                                    </w:rPr>
                                  </w:pPr>
                                </w:p>
                                <w:p w14:paraId="1B57879B" w14:textId="77777777" w:rsidR="0018663B" w:rsidRPr="000B737C" w:rsidRDefault="0018663B" w:rsidP="000B344C">
                                  <w:pPr>
                                    <w:spacing w:line="240" w:lineRule="auto"/>
                                    <w:contextualSpacing/>
                                    <w:jc w:val="center"/>
                                    <w:rPr>
                                      <w:rFonts w:ascii="Times New Roman" w:hAnsi="Times New Roman"/>
                                      <w:sz w:val="18"/>
                                    </w:rPr>
                                  </w:pPr>
                                  <w:r>
                                    <w:rPr>
                                      <w:rFonts w:eastAsia="+mn-ea" w:cs="Arial"/>
                                      <w:color w:val="000000"/>
                                      <w:sz w:val="18"/>
                                      <w:szCs w:val="18"/>
                                      <w:lang w:val="en-GB"/>
                                    </w:rPr>
                                    <w:t>A high level of interaction of transactions</w:t>
                                  </w:r>
                                </w:p>
                                <w:p w14:paraId="07F9F711" w14:textId="77777777" w:rsidR="0018663B" w:rsidRDefault="0018663B" w:rsidP="000B344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5B4AC88" id="Pravokotnik 63" o:spid="_x0000_s1032" style="position:absolute;left:0;text-align:left;margin-left:151.55pt;margin-top:213.7pt;width:121pt;height:52.85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" fillcolor="window" strokecolor="#4472c4" strokeweight="1pt">
                      <v:path arrowok="t"/>
                      <v:textbox>
                        <w:txbxContent>
                          <w:p w14:paraId="00F392E8" w14:textId="77777777" w:rsidR="0018663B" w:rsidRDefault="0018663B" w:rsidP="000B344C">
                            <w:pPr>
                              <w:spacing w:line="240" w:lineRule="auto"/>
                              <w:contextualSpacing/>
                              <w:jc w:val="center"/>
                              <w:rPr>
                                <w:rFonts w:eastAsia="+mn-ea" w:cs="Arial"/>
                                <w:color w:val="000000"/>
                                <w:sz w:val="18"/>
                                <w:szCs w:val="18"/>
                              </w:rPr>
                            </w:pPr>
                          </w:p>
                          <w:p w14:paraId="1B57879B" w14:textId="77777777" w:rsidR="0018663B" w:rsidRPr="000B737C" w:rsidRDefault="0018663B" w:rsidP="000B344C">
                            <w:pPr>
                              <w:spacing w:line="240" w:lineRule="auto"/>
                              <w:contextualSpacing/>
                              <w:jc w:val="center"/>
                              <w:rPr>
                                <w:rFonts w:ascii="Times New Roman" w:hAnsi="Times New Roman"/>
                                <w:sz w:val="18"/>
                              </w:rPr>
                            </w:pPr>
                            <w:r>
                              <w:rPr>
                                <w:rFonts w:eastAsia="+mn-ea" w:cs="Arial"/>
                                <w:color w:val="000000"/>
                                <w:sz w:val="18"/>
                                <w:szCs w:val="18"/>
                                <w:lang w:val="en-GB"/>
                              </w:rPr>
                              <w:t>A high level of interaction of transactions</w:t>
                            </w:r>
                          </w:p>
                          <w:p w14:paraId="07F9F711" w14:textId="77777777" w:rsidR="0018663B" w:rsidRDefault="0018663B" w:rsidP="000B344C">
                            <w:pPr>
                              <w:jc w:val="center"/>
                            </w:pPr>
                          </w:p>
                        </w:txbxContent>
                      </v:textbox>
                      <w10:wrap anchorx="margin"/>
                    </v:rect>
                  </w:pict>
                </mc:Fallback>
              </mc:AlternateContent>
            </w:r>
            <w:r>
              <w:rPr>
                <w:rFonts w:cs="Arial"/>
                <w:noProof/>
                <w:szCs w:val="24"/>
                <w:lang w:eastAsia="sl-SI" w:bidi="ar-SA"/>
              </w:rPr>
              <mc:AlternateContent>
                <mc:Choice Requires="wps">
                  <w:drawing>
                    <wp:anchor distT="0" distB="0" distL="114300" distR="114300" simplePos="0" relativeHeight="251729920" behindDoc="0" locked="0" layoutInCell="1" allowOverlap="1" wp14:anchorId="799EBC94" wp14:editId="59B56A75">
                      <wp:simplePos x="0" y="0"/>
                      <wp:positionH relativeFrom="column">
                        <wp:posOffset>111760</wp:posOffset>
                      </wp:positionH>
                      <wp:positionV relativeFrom="paragraph">
                        <wp:posOffset>2713990</wp:posOffset>
                      </wp:positionV>
                      <wp:extent cx="1536700" cy="651510"/>
                      <wp:effectExtent l="0" t="0" r="25400" b="15240"/>
                      <wp:wrapNone/>
                      <wp:docPr id="64" name="Pravokotnik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6700" cy="651510"/>
                              </a:xfrm>
                              <a:prstGeom prst="rect">
                                <a:avLst/>
                              </a:prstGeom>
                              <a:solidFill>
                                <a:sysClr val="window" lastClr="FFFFFF"/>
                              </a:solidFill>
                              <a:ln w="12700" cap="flat" cmpd="sng" algn="ctr">
                                <a:solidFill>
                                  <a:srgbClr val="4472C4"/>
                                </a:solidFill>
                                <a:prstDash val="solid"/>
                                <a:miter lim="800000"/>
                              </a:ln>
                              <a:effectLst/>
                            </wps:spPr>
                            <wps:txbx>
                              <w:txbxContent>
                                <w:p w14:paraId="4A22005A" w14:textId="77777777" w:rsidR="0018663B" w:rsidRPr="000B737C" w:rsidRDefault="0018663B" w:rsidP="000B344C">
                                  <w:pPr>
                                    <w:spacing w:line="240" w:lineRule="auto"/>
                                    <w:contextualSpacing/>
                                    <w:jc w:val="center"/>
                                    <w:rPr>
                                      <w:rFonts w:ascii="Times New Roman" w:hAnsi="Times New Roman"/>
                                      <w:sz w:val="18"/>
                                    </w:rPr>
                                  </w:pPr>
                                  <w:r>
                                    <w:rPr>
                                      <w:rFonts w:eastAsia="+mn-ea" w:cs="Arial"/>
                                      <w:color w:val="000000"/>
                                      <w:sz w:val="18"/>
                                      <w:szCs w:val="18"/>
                                      <w:lang w:val="en-GB"/>
                                    </w:rPr>
                                    <w:t>Both parties to the transaction make unique and valuable contributions (intangible assets)</w:t>
                                  </w:r>
                                </w:p>
                                <w:p w14:paraId="15746915" w14:textId="77777777" w:rsidR="0018663B" w:rsidRDefault="0018663B" w:rsidP="000B344C">
                                  <w:pPr>
                                    <w:spacing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99EBC94" id="Pravokotnik 64" o:spid="_x0000_s1033" style="position:absolute;left:0;text-align:left;margin-left:8.8pt;margin-top:213.7pt;width:121pt;height:51.3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" fillcolor="window" strokecolor="#4472c4" strokeweight="1pt">
                      <v:path arrowok="t"/>
                      <v:textbox>
                        <w:txbxContent>
                          <w:p w14:paraId="4A22005A" w14:textId="77777777" w:rsidR="0018663B" w:rsidRPr="000B737C" w:rsidRDefault="0018663B" w:rsidP="000B344C">
                            <w:pPr>
                              <w:spacing w:line="240" w:lineRule="auto"/>
                              <w:contextualSpacing/>
                              <w:jc w:val="center"/>
                              <w:rPr>
                                <w:rFonts w:ascii="Times New Roman" w:hAnsi="Times New Roman"/>
                                <w:sz w:val="18"/>
                              </w:rPr>
                            </w:pPr>
                            <w:r>
                              <w:rPr>
                                <w:rFonts w:eastAsia="+mn-ea" w:cs="Arial"/>
                                <w:color w:val="000000"/>
                                <w:sz w:val="18"/>
                                <w:szCs w:val="18"/>
                                <w:lang w:val="en-GB"/>
                              </w:rPr>
                              <w:t>Both parties to the transaction make unique and valuable contributions (intangible assets)</w:t>
                            </w:r>
                          </w:p>
                          <w:p w14:paraId="15746915" w14:textId="77777777" w:rsidR="0018663B" w:rsidRDefault="0018663B" w:rsidP="000B344C">
                            <w:pPr>
                              <w:spacing w:line="240" w:lineRule="auto"/>
                              <w:jc w:val="center"/>
                            </w:pPr>
                          </w:p>
                        </w:txbxContent>
                      </v:textbox>
                    </v:rect>
                  </w:pict>
                </mc:Fallback>
              </mc:AlternateContent>
            </w:r>
            <w:r>
              <w:rPr>
                <w:rFonts w:cs="Arial"/>
                <w:noProof/>
                <w:szCs w:val="24"/>
                <w:lang w:eastAsia="sl-SI" w:bidi="ar-SA"/>
              </w:rPr>
              <mc:AlternateContent>
                <mc:Choice Requires="wps">
                  <w:drawing>
                    <wp:anchor distT="0" distB="0" distL="114300" distR="114300" simplePos="0" relativeHeight="251735040" behindDoc="0" locked="0" layoutInCell="1" allowOverlap="1" wp14:anchorId="1FC1EB8A" wp14:editId="6D75C939">
                      <wp:simplePos x="0" y="0"/>
                      <wp:positionH relativeFrom="column">
                        <wp:posOffset>2717165</wp:posOffset>
                      </wp:positionH>
                      <wp:positionV relativeFrom="paragraph">
                        <wp:posOffset>2315210</wp:posOffset>
                      </wp:positionV>
                      <wp:extent cx="1906905" cy="427990"/>
                      <wp:effectExtent l="0" t="0" r="74295" b="86360"/>
                      <wp:wrapNone/>
                      <wp:docPr id="65" name="Raven puščični povezovalnik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6905" cy="4279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149B2D5" id="Raven puščični povezovalnik 65" o:spid="_x0000_s1026" type="#_x0000_t32" style="position:absolute;margin-left:213.95pt;margin-top:182.3pt;width:150.15pt;height:33.7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" strokecolor="windowText" strokeweight=".5pt">
                      <v:stroke endarrow="block" joinstyle="miter"/>
                      <o:lock v:ext="edit" shapetype="f"/>
                    </v:shape>
                  </w:pict>
                </mc:Fallback>
              </mc:AlternateContent>
            </w:r>
            <w:r>
              <w:rPr>
                <w:rFonts w:cs="Arial"/>
                <w:noProof/>
                <w:szCs w:val="24"/>
                <w:lang w:eastAsia="sl-SI" w:bidi="ar-SA"/>
              </w:rPr>
              <mc:AlternateContent>
                <mc:Choice Requires="wps">
                  <w:drawing>
                    <wp:anchor distT="0" distB="0" distL="114299" distR="114299" simplePos="0" relativeHeight="251734016" behindDoc="0" locked="0" layoutInCell="1" allowOverlap="1" wp14:anchorId="5AB58378" wp14:editId="008184DD">
                      <wp:simplePos x="0" y="0"/>
                      <wp:positionH relativeFrom="column">
                        <wp:posOffset>2694939</wp:posOffset>
                      </wp:positionH>
                      <wp:positionV relativeFrom="paragraph">
                        <wp:posOffset>2305685</wp:posOffset>
                      </wp:positionV>
                      <wp:extent cx="0" cy="408305"/>
                      <wp:effectExtent l="76200" t="0" r="57150" b="48895"/>
                      <wp:wrapNone/>
                      <wp:docPr id="66" name="Raven puščični povezovalnik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0830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85D00B4" id="Raven puščični povezovalnik 66" o:spid="_x0000_s1026" type="#_x0000_t32" style="position:absolute;margin-left:212.2pt;margin-top:181.55pt;width:0;height:32.15pt;z-index:2517340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" strokecolor="windowText" strokeweight=".5pt">
                      <v:stroke endarrow="block" joinstyle="miter"/>
                      <o:lock v:ext="edit" shapetype="f"/>
                    </v:shape>
                  </w:pict>
                </mc:Fallback>
              </mc:AlternateContent>
            </w:r>
            <w:r>
              <w:rPr>
                <w:rFonts w:cs="Arial"/>
                <w:noProof/>
                <w:szCs w:val="24"/>
                <w:lang w:eastAsia="sl-SI" w:bidi="ar-SA"/>
              </w:rPr>
              <mc:AlternateContent>
                <mc:Choice Requires="wps">
                  <w:drawing>
                    <wp:anchor distT="0" distB="0" distL="114300" distR="114300" simplePos="0" relativeHeight="251732992" behindDoc="0" locked="0" layoutInCell="1" allowOverlap="1" wp14:anchorId="03D2C5D7" wp14:editId="47FC7B62">
                      <wp:simplePos x="0" y="0"/>
                      <wp:positionH relativeFrom="column">
                        <wp:posOffset>847090</wp:posOffset>
                      </wp:positionH>
                      <wp:positionV relativeFrom="paragraph">
                        <wp:posOffset>2305685</wp:posOffset>
                      </wp:positionV>
                      <wp:extent cx="1847850" cy="408305"/>
                      <wp:effectExtent l="38100" t="0" r="19050" b="86995"/>
                      <wp:wrapNone/>
                      <wp:docPr id="67" name="Raven puščični povezovalnik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847850" cy="40830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ECE28B9" id="Raven puščični povezovalnik 67" o:spid="_x0000_s1026" type="#_x0000_t32" style="position:absolute;margin-left:66.7pt;margin-top:181.55pt;width:145.5pt;height:32.15pt;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" strokecolor="windowText" strokeweight=".5pt">
                      <v:stroke endarrow="block" joinstyle="miter"/>
                      <o:lock v:ext="edit" shapetype="f"/>
                    </v:shape>
                  </w:pict>
                </mc:Fallback>
              </mc:AlternateContent>
            </w:r>
            <w:r>
              <w:rPr>
                <w:rFonts w:cs="Arial"/>
                <w:noProof/>
                <w:szCs w:val="24"/>
                <w:lang w:eastAsia="sl-SI" w:bidi="ar-SA"/>
              </w:rPr>
              <mc:AlternateContent>
                <mc:Choice Requires="wps">
                  <w:drawing>
                    <wp:anchor distT="0" distB="0" distL="114300" distR="114300" simplePos="0" relativeHeight="251742208" behindDoc="0" locked="0" layoutInCell="1" allowOverlap="1" wp14:anchorId="3B897730" wp14:editId="2F321E15">
                      <wp:simplePos x="0" y="0"/>
                      <wp:positionH relativeFrom="column">
                        <wp:posOffset>1891665</wp:posOffset>
                      </wp:positionH>
                      <wp:positionV relativeFrom="paragraph">
                        <wp:posOffset>232410</wp:posOffset>
                      </wp:positionV>
                      <wp:extent cx="1595120" cy="822325"/>
                      <wp:effectExtent l="0" t="0" r="24130" b="15875"/>
                      <wp:wrapNone/>
                      <wp:docPr id="72" name="Zaobljeni pravokotnik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5120" cy="822325"/>
                              </a:xfrm>
                              <a:prstGeom prst="roundRect">
                                <a:avLst/>
                              </a:prstGeom>
                              <a:solidFill>
                                <a:sysClr val="window" lastClr="FFFFFF"/>
                              </a:solidFill>
                              <a:ln w="12700" cap="flat" cmpd="sng" algn="ctr">
                                <a:solidFill>
                                  <a:srgbClr val="70AD47"/>
                                </a:solidFill>
                                <a:prstDash val="solid"/>
                                <a:miter lim="800000"/>
                              </a:ln>
                              <a:effectLst/>
                            </wps:spPr>
                            <wps:txbx>
                              <w:txbxContent>
                                <w:p w14:paraId="4E7A3C98" w14:textId="77777777" w:rsidR="0018663B" w:rsidRPr="000B737C" w:rsidRDefault="0018663B" w:rsidP="000B344C">
                                  <w:pPr>
                                    <w:spacing w:line="240" w:lineRule="auto"/>
                                    <w:jc w:val="center"/>
                                    <w:rPr>
                                      <w:rFonts w:cs="Arial"/>
                                      <w:sz w:val="18"/>
                                      <w:szCs w:val="18"/>
                                    </w:rPr>
                                  </w:pPr>
                                  <w:r>
                                    <w:rPr>
                                      <w:rFonts w:cs="Arial"/>
                                      <w:sz w:val="18"/>
                                      <w:szCs w:val="18"/>
                                      <w:lang w:val="en-GB"/>
                                    </w:rPr>
                                    <w:t xml:space="preserve">Functional analysis/Supply value analysis/Value-added chain analysis </w:t>
                                  </w:r>
                                  <w:r>
                                    <w:rPr>
                                      <w:rFonts w:cs="Arial"/>
                                      <w:sz w:val="18"/>
                                      <w:szCs w:val="18"/>
                                      <w:lang w:val="en-GB"/>
                                    </w:rPr>
                                    <w:cr/>
                                    <w:t>to define the transaction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3B897730" id="Zaobljeni pravokotnik 72" o:spid="_x0000_s1034" style="position:absolute;left:0;text-align:left;margin-left:148.95pt;margin-top:18.3pt;width:125.6pt;height:64.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" fillcolor="window" strokecolor="#70ad47" strokeweight="1pt">
                      <v:stroke joinstyle="miter"/>
                      <v:path arrowok="t"/>
                      <v:textbox>
                        <w:txbxContent>
                          <w:p w14:paraId="4E7A3C98" w14:textId="77777777" w:rsidR="0018663B" w:rsidRPr="000B737C" w:rsidRDefault="0018663B" w:rsidP="000B344C">
                            <w:pPr>
                              <w:spacing w:line="240" w:lineRule="auto"/>
                              <w:jc w:val="center"/>
                              <w:rPr>
                                <w:rFonts w:cs="Arial"/>
                                <w:sz w:val="18"/>
                                <w:szCs w:val="18"/>
                              </w:rPr>
                            </w:pPr>
                            <w:r>
                              <w:rPr>
                                <w:rFonts w:cs="Arial"/>
                                <w:sz w:val="18"/>
                                <w:szCs w:val="18"/>
                                <w:lang w:val="en-GB"/>
                              </w:rPr>
                              <w:t xml:space="preserve">Functional analysis/Supply value analysis/Value-added chain analysis </w:t>
                            </w:r>
                            <w:r>
                              <w:rPr>
                                <w:rFonts w:cs="Arial"/>
                                <w:sz w:val="18"/>
                                <w:szCs w:val="18"/>
                                <w:lang w:val="en-GB"/>
                              </w:rPr>
                              <w:cr/>
                              <w:t>to define the transaction</w:t>
                            </w:r>
                          </w:p>
                        </w:txbxContent>
                      </v:textbox>
                    </v:roundrect>
                  </w:pict>
                </mc:Fallback>
              </mc:AlternateContent>
            </w:r>
            <w:r>
              <w:rPr>
                <w:rFonts w:cs="Arial"/>
                <w:lang w:val="en-GB"/>
              </w:rPr>
              <w:t>Diagram: Choosing the profit split method</w:t>
            </w:r>
          </w:p>
          <w:p w14:paraId="0534DC7D" w14:textId="1C2E7760" w:rsidR="000B344C" w:rsidRPr="00A84C7D" w:rsidRDefault="00AE3F12" w:rsidP="00756903">
            <w:pPr>
              <w:pStyle w:val="Brezrazmikov"/>
              <w:spacing w:line="240" w:lineRule="atLeast"/>
              <w:ind w:left="284" w:hanging="284"/>
              <w:rPr>
                <w:rFonts w:cs="Arial"/>
              </w:rPr>
            </w:pPr>
            <w:r>
              <w:rPr>
                <w:rFonts w:cs="Arial"/>
                <w:noProof/>
                <w:szCs w:val="24"/>
                <w:lang w:eastAsia="sl-SI" w:bidi="ar-SA"/>
              </w:rPr>
              <mc:AlternateContent>
                <mc:Choice Requires="wps">
                  <w:drawing>
                    <wp:anchor distT="0" distB="0" distL="114300" distR="114300" simplePos="0" relativeHeight="251739136" behindDoc="0" locked="0" layoutInCell="1" allowOverlap="1" wp14:anchorId="4C81417A" wp14:editId="4D8E7B1D">
                      <wp:simplePos x="0" y="0"/>
                      <wp:positionH relativeFrom="column">
                        <wp:posOffset>3523579</wp:posOffset>
                      </wp:positionH>
                      <wp:positionV relativeFrom="paragraph">
                        <wp:posOffset>1233542</wp:posOffset>
                      </wp:positionV>
                      <wp:extent cx="560717" cy="495935"/>
                      <wp:effectExtent l="0" t="19050" r="29845" b="37465"/>
                      <wp:wrapNone/>
                      <wp:docPr id="69" name="Desna puščica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0717" cy="495935"/>
                              </a:xfrm>
                              <a:prstGeom prst="rightArrow">
                                <a:avLst/>
                              </a:prstGeom>
                              <a:solidFill>
                                <a:sysClr val="window" lastClr="FFFFFF"/>
                              </a:solidFill>
                              <a:ln w="12700" cap="flat" cmpd="sng" algn="ctr">
                                <a:solidFill>
                                  <a:srgbClr val="0070C0"/>
                                </a:solidFill>
                                <a:prstDash val="solid"/>
                                <a:miter lim="800000"/>
                              </a:ln>
                              <a:effectLst/>
                            </wps:spPr>
                            <wps:txbx>
                              <w:txbxContent>
                                <w:p w14:paraId="62EC15F2" w14:textId="77777777" w:rsidR="0018663B" w:rsidRPr="00B431F3" w:rsidRDefault="0018663B" w:rsidP="000B344C">
                                  <w:pPr>
                                    <w:spacing w:line="240" w:lineRule="auto"/>
                                    <w:jc w:val="center"/>
                                    <w:rPr>
                                      <w:rFonts w:cs="Arial"/>
                                      <w:b/>
                                      <w:sz w:val="18"/>
                                      <w:szCs w:val="18"/>
                                    </w:rPr>
                                  </w:pPr>
                                  <w:r>
                                    <w:rPr>
                                      <w:rFonts w:cs="Arial"/>
                                      <w:b/>
                                      <w:bCs/>
                                      <w:sz w:val="18"/>
                                      <w:szCs w:val="18"/>
                                      <w:lang w:val="en-GB"/>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81417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Desna puščica 69" o:spid="_x0000_s1035" type="#_x0000_t13" style="position:absolute;left:0;text-align:left;margin-left:277.45pt;margin-top:97.15pt;width:44.15pt;height:39.0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" adj="12048" fillcolor="window" strokecolor="#0070c0" strokeweight="1pt">
                      <v:path arrowok="t"/>
                      <v:textbox>
                        <w:txbxContent>
                          <w:p w14:paraId="62EC15F2" w14:textId="77777777" w:rsidR="0018663B" w:rsidRPr="00B431F3" w:rsidRDefault="0018663B" w:rsidP="000B344C">
                            <w:pPr>
                              <w:spacing w:line="240" w:lineRule="auto"/>
                              <w:jc w:val="center"/>
                              <w:rPr>
                                <w:rFonts w:cs="Arial"/>
                                <w:b/>
                                <w:sz w:val="18"/>
                                <w:szCs w:val="18"/>
                              </w:rPr>
                            </w:pPr>
                            <w:r>
                              <w:rPr>
                                <w:rFonts w:cs="Arial"/>
                                <w:b/>
                                <w:bCs/>
                                <w:sz w:val="18"/>
                                <w:szCs w:val="18"/>
                                <w:lang w:val="en-GB"/>
                              </w:rPr>
                              <w:t>YES</w:t>
                            </w:r>
                          </w:p>
                        </w:txbxContent>
                      </v:textbox>
                    </v:shape>
                  </w:pict>
                </mc:Fallback>
              </mc:AlternateContent>
            </w:r>
            <w:r w:rsidR="00E479C1">
              <w:rPr>
                <w:rFonts w:cs="Arial"/>
                <w:noProof/>
                <w:szCs w:val="24"/>
                <w:lang w:eastAsia="sl-SI" w:bidi="ar-SA"/>
              </w:rPr>
              <mc:AlternateContent>
                <mc:Choice Requires="wps">
                  <w:drawing>
                    <wp:anchor distT="0" distB="0" distL="114300" distR="114300" simplePos="0" relativeHeight="251741184" behindDoc="0" locked="0" layoutInCell="1" allowOverlap="1" wp14:anchorId="3080348B" wp14:editId="2931C4F7">
                      <wp:simplePos x="0" y="0"/>
                      <wp:positionH relativeFrom="column">
                        <wp:posOffset>2403583</wp:posOffset>
                      </wp:positionH>
                      <wp:positionV relativeFrom="paragraph">
                        <wp:posOffset>1879168</wp:posOffset>
                      </wp:positionV>
                      <wp:extent cx="583565" cy="491705"/>
                      <wp:effectExtent l="19050" t="0" r="45085" b="41910"/>
                      <wp:wrapNone/>
                      <wp:docPr id="60" name="Puščica dol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3565" cy="491705"/>
                              </a:xfrm>
                              <a:prstGeom prst="downArrow">
                                <a:avLst/>
                              </a:prstGeom>
                              <a:solidFill>
                                <a:sysClr val="window" lastClr="FFFFFF"/>
                              </a:solidFill>
                              <a:ln w="12700" cap="flat" cmpd="sng" algn="ctr">
                                <a:solidFill>
                                  <a:srgbClr val="0070C0"/>
                                </a:solidFill>
                                <a:prstDash val="solid"/>
                                <a:miter lim="800000"/>
                              </a:ln>
                              <a:effectLst/>
                            </wps:spPr>
                            <wps:txbx>
                              <w:txbxContent>
                                <w:p w14:paraId="72591FFB" w14:textId="77777777" w:rsidR="0018663B" w:rsidRPr="00E7709B" w:rsidRDefault="0018663B" w:rsidP="000B344C">
                                  <w:pPr>
                                    <w:spacing w:line="240" w:lineRule="auto"/>
                                    <w:jc w:val="center"/>
                                    <w:rPr>
                                      <w:rFonts w:cs="Arial"/>
                                      <w:b/>
                                      <w:sz w:val="18"/>
                                      <w:szCs w:val="18"/>
                                    </w:rPr>
                                  </w:pPr>
                                  <w:r>
                                    <w:rPr>
                                      <w:rFonts w:cs="Arial"/>
                                      <w:b/>
                                      <w:bCs/>
                                      <w:sz w:val="18"/>
                                      <w:szCs w:val="18"/>
                                      <w:lang w:val="en-GB"/>
                                    </w:rPr>
                                    <w:t>NO</w:t>
                                  </w:r>
                                </w:p>
                                <w:p w14:paraId="602CD7B1" w14:textId="77777777" w:rsidR="0018663B" w:rsidRDefault="0018663B" w:rsidP="000B344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080348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uščica dol 60" o:spid="_x0000_s1035" type="#_x0000_t67" style="position:absolute;left:0;text-align:left;margin-left:189.25pt;margin-top:147.95pt;width:45.95pt;height:38.7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" adj="10800" fillcolor="window" strokecolor="#0070c0" strokeweight="1pt">
                      <v:path arrowok="t"/>
                      <v:textbox>
                        <w:txbxContent>
                          <w:p w14:paraId="72591FFB" w14:textId="77777777" w:rsidR="0018663B" w:rsidRPr="00E7709B" w:rsidRDefault="0018663B" w:rsidP="000B344C">
                            <w:pPr>
                              <w:spacing w:line="240" w:lineRule="auto"/>
                              <w:jc w:val="center"/>
                              <w:rPr>
                                <w:rFonts w:cs="Arial"/>
                                <w:b/>
                                <w:sz w:val="18"/>
                                <w:szCs w:val="18"/>
                              </w:rPr>
                            </w:pPr>
                            <w:r>
                              <w:rPr>
                                <w:rFonts w:cs="Arial"/>
                                <w:b/>
                                <w:bCs/>
                                <w:sz w:val="18"/>
                                <w:szCs w:val="18"/>
                                <w:lang w:val="en-GB"/>
                              </w:rPr>
                              <w:t>NO</w:t>
                            </w:r>
                          </w:p>
                          <w:p w14:paraId="602CD7B1" w14:textId="77777777" w:rsidR="0018663B" w:rsidRDefault="0018663B" w:rsidP="000B344C">
                            <w:pPr>
                              <w:jc w:val="center"/>
                            </w:pPr>
                          </w:p>
                        </w:txbxContent>
                      </v:textbox>
                    </v:shape>
                  </w:pict>
                </mc:Fallback>
              </mc:AlternateContent>
            </w:r>
            <w:r w:rsidR="00E479C1">
              <w:rPr>
                <w:rFonts w:cs="Arial"/>
                <w:noProof/>
                <w:szCs w:val="24"/>
                <w:lang w:eastAsia="sl-SI" w:bidi="ar-SA"/>
              </w:rPr>
              <mc:AlternateContent>
                <mc:Choice Requires="wps">
                  <w:drawing>
                    <wp:anchor distT="0" distB="0" distL="114300" distR="114300" simplePos="0" relativeHeight="251743232" behindDoc="0" locked="0" layoutInCell="1" allowOverlap="1" wp14:anchorId="5C06368D" wp14:editId="1CE09EF0">
                      <wp:simplePos x="0" y="0"/>
                      <wp:positionH relativeFrom="column">
                        <wp:posOffset>2705195</wp:posOffset>
                      </wp:positionH>
                      <wp:positionV relativeFrom="paragraph">
                        <wp:posOffset>854758</wp:posOffset>
                      </wp:positionV>
                      <wp:extent cx="0" cy="295275"/>
                      <wp:effectExtent l="76200" t="0" r="57150" b="47625"/>
                      <wp:wrapNone/>
                      <wp:docPr id="75" name="Raven puščični povezovalnik 75"/>
                      <wp:cNvGraphicFramePr/>
                      <a:graphic xmlns:a="http://schemas.openxmlformats.org/drawingml/2006/main">
                        <a:graphicData uri="http://schemas.microsoft.com/office/word/2010/wordprocessingShape">
                          <wps:wsp>
                            <wps:cNvCnPr/>
                            <wps:spPr>
                              <a:xfrm>
                                <a:off x="0" y="0"/>
                                <a:ext cx="0" cy="2952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EA2B701" id="_x0000_t32" coordsize="21600,21600" o:spt="32" o:oned="t" path="m,l21600,21600e" filled="f">
                      <v:path arrowok="t" fillok="f" o:connecttype="none"/>
                      <o:lock v:ext="edit" shapetype="t"/>
                    </v:shapetype>
                    <v:shape id="Raven puščični povezovalnik 75" o:spid="_x0000_s1026" type="#_x0000_t32" style="position:absolute;margin-left:213pt;margin-top:67.3pt;width:0;height:23.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" strokecolor="black [3213]" strokeweight=".5pt">
                      <v:stroke endarrow="block" joinstyle="miter"/>
                    </v:shape>
                  </w:pict>
                </mc:Fallback>
              </mc:AlternateContent>
            </w:r>
            <w:r w:rsidR="00E479C1">
              <w:rPr>
                <w:rFonts w:cs="Arial"/>
                <w:noProof/>
                <w:szCs w:val="24"/>
                <w:lang w:eastAsia="sl-SI" w:bidi="ar-SA"/>
              </w:rPr>
              <mc:AlternateContent>
                <mc:Choice Requires="wps">
                  <w:drawing>
                    <wp:anchor distT="0" distB="0" distL="114300" distR="114300" simplePos="0" relativeHeight="251727872" behindDoc="0" locked="0" layoutInCell="1" allowOverlap="1" wp14:anchorId="0DCF0CD4" wp14:editId="0ECF8767">
                      <wp:simplePos x="0" y="0"/>
                      <wp:positionH relativeFrom="column">
                        <wp:posOffset>1941147</wp:posOffset>
                      </wp:positionH>
                      <wp:positionV relativeFrom="paragraph">
                        <wp:posOffset>1128491</wp:posOffset>
                      </wp:positionV>
                      <wp:extent cx="1536700" cy="733246"/>
                      <wp:effectExtent l="0" t="0" r="25400" b="10160"/>
                      <wp:wrapNone/>
                      <wp:docPr id="70" name="Zaobljeni pravokotnik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6700" cy="733246"/>
                              </a:xfrm>
                              <a:prstGeom prst="roundRect">
                                <a:avLst/>
                              </a:prstGeom>
                              <a:solidFill>
                                <a:sysClr val="window" lastClr="FFFFFF"/>
                              </a:solidFill>
                              <a:ln w="12700" cap="flat" cmpd="sng" algn="ctr">
                                <a:solidFill>
                                  <a:srgbClr val="70AD47"/>
                                </a:solidFill>
                                <a:prstDash val="solid"/>
                                <a:miter lim="800000"/>
                              </a:ln>
                              <a:effectLst/>
                            </wps:spPr>
                            <wps:txbx>
                              <w:txbxContent>
                                <w:p w14:paraId="45EE889B" w14:textId="77777777" w:rsidR="0018663B" w:rsidRPr="000B737C" w:rsidRDefault="0018663B" w:rsidP="000B344C">
                                  <w:pPr>
                                    <w:spacing w:line="240" w:lineRule="auto"/>
                                    <w:jc w:val="center"/>
                                    <w:rPr>
                                      <w:rFonts w:cs="Arial"/>
                                      <w:sz w:val="18"/>
                                      <w:szCs w:val="18"/>
                                    </w:rPr>
                                  </w:pPr>
                                  <w:r>
                                    <w:rPr>
                                      <w:rFonts w:cs="Arial"/>
                                      <w:sz w:val="18"/>
                                      <w:szCs w:val="18"/>
                                      <w:lang w:val="en-GB"/>
                                    </w:rPr>
                                    <w:t>The possibility of performing a comparative analysis/the availability of reliable comparables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0DCF0CD4" id="Zaobljeni pravokotnik 70" o:spid="_x0000_s1036" style="position:absolute;left:0;text-align:left;margin-left:152.85pt;margin-top:88.85pt;width:121pt;height:57.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" fillcolor="window" strokecolor="#70ad47" strokeweight="1pt">
                      <v:stroke joinstyle="miter"/>
                      <v:path arrowok="t"/>
                      <v:textbox>
                        <w:txbxContent>
                          <w:p w14:paraId="45EE889B" w14:textId="77777777" w:rsidR="0018663B" w:rsidRPr="000B737C" w:rsidRDefault="0018663B" w:rsidP="000B344C">
                            <w:pPr>
                              <w:spacing w:line="240" w:lineRule="auto"/>
                              <w:jc w:val="center"/>
                              <w:rPr>
                                <w:rFonts w:cs="Arial"/>
                                <w:sz w:val="18"/>
                                <w:szCs w:val="18"/>
                              </w:rPr>
                            </w:pPr>
                            <w:r>
                              <w:rPr>
                                <w:rFonts w:cs="Arial"/>
                                <w:sz w:val="18"/>
                                <w:szCs w:val="18"/>
                                <w:lang w:val="en-GB"/>
                              </w:rPr>
                              <w:t>The possibility of performing a comparative analysis/the availability of reliable comparables</w:t>
                            </w:r>
                          </w:p>
                        </w:txbxContent>
                      </v:textbox>
                    </v:roundrect>
                  </w:pict>
                </mc:Fallback>
              </mc:AlternateContent>
            </w:r>
            <w:r w:rsidR="00E479C1">
              <w:rPr>
                <w:rFonts w:cs="Arial"/>
                <w:noProof/>
                <w:szCs w:val="24"/>
                <w:lang w:eastAsia="sl-SI" w:bidi="ar-SA"/>
              </w:rPr>
              <mc:AlternateContent>
                <mc:Choice Requires="wps">
                  <w:drawing>
                    <wp:anchor distT="0" distB="0" distL="114300" distR="114300" simplePos="0" relativeHeight="251740160" behindDoc="0" locked="0" layoutInCell="1" allowOverlap="1" wp14:anchorId="3C163F5E" wp14:editId="5F7F4D5D">
                      <wp:simplePos x="0" y="0"/>
                      <wp:positionH relativeFrom="column">
                        <wp:posOffset>4084344</wp:posOffset>
                      </wp:positionH>
                      <wp:positionV relativeFrom="paragraph">
                        <wp:posOffset>1197850</wp:posOffset>
                      </wp:positionV>
                      <wp:extent cx="1343588" cy="595222"/>
                      <wp:effectExtent l="0" t="0" r="28575" b="14605"/>
                      <wp:wrapNone/>
                      <wp:docPr id="68" name="Zaobljeni pravokotnik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3588" cy="595222"/>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6C5B7350" w14:textId="77777777" w:rsidR="0018663B" w:rsidRPr="000B737C" w:rsidRDefault="0018663B" w:rsidP="000B344C">
                                  <w:pPr>
                                    <w:spacing w:line="240" w:lineRule="auto"/>
                                    <w:contextualSpacing/>
                                    <w:jc w:val="center"/>
                                    <w:rPr>
                                      <w:rFonts w:ascii="Times New Roman" w:hAnsi="Times New Roman"/>
                                      <w:sz w:val="18"/>
                                    </w:rPr>
                                  </w:pPr>
                                  <w:r>
                                    <w:rPr>
                                      <w:rFonts w:eastAsia="+mn-ea" w:cs="Arial"/>
                                      <w:color w:val="000000"/>
                                      <w:sz w:val="18"/>
                                      <w:szCs w:val="18"/>
                                      <w:lang w:val="en-GB"/>
                                    </w:rPr>
                                    <w:t>The profit split method is highly unlikely to be the most appropriate one</w:t>
                                  </w:r>
                                </w:p>
                                <w:p w14:paraId="0B63B369" w14:textId="77777777" w:rsidR="0018663B" w:rsidRDefault="0018663B" w:rsidP="000B344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3C163F5E" id="Zaobljeni pravokotnik 68" o:spid="_x0000_s1037" style="position:absolute;left:0;text-align:left;margin-left:321.6pt;margin-top:94.3pt;width:105.8pt;height:46.8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" fillcolor="#5b9bd5" strokecolor="#41719c" strokeweight="1pt">
                      <v:stroke joinstyle="miter"/>
                      <v:path arrowok="t"/>
                      <v:textbox>
                        <w:txbxContent>
                          <w:p w14:paraId="6C5B7350" w14:textId="77777777" w:rsidR="0018663B" w:rsidRPr="000B737C" w:rsidRDefault="0018663B" w:rsidP="000B344C">
                            <w:pPr>
                              <w:spacing w:line="240" w:lineRule="auto"/>
                              <w:contextualSpacing/>
                              <w:jc w:val="center"/>
                              <w:rPr>
                                <w:rFonts w:ascii="Times New Roman" w:hAnsi="Times New Roman"/>
                                <w:sz w:val="18"/>
                              </w:rPr>
                            </w:pPr>
                            <w:r>
                              <w:rPr>
                                <w:rFonts w:eastAsia="+mn-ea" w:cs="Arial"/>
                                <w:color w:val="000000"/>
                                <w:sz w:val="18"/>
                                <w:szCs w:val="18"/>
                                <w:lang w:val="en-GB"/>
                              </w:rPr>
                              <w:t>The profit split method is highly unlikely to be the most appropriate one</w:t>
                            </w:r>
                          </w:p>
                          <w:p w14:paraId="0B63B369" w14:textId="77777777" w:rsidR="0018663B" w:rsidRDefault="0018663B" w:rsidP="000B344C">
                            <w:pPr>
                              <w:jc w:val="center"/>
                            </w:pPr>
                          </w:p>
                        </w:txbxContent>
                      </v:textbox>
                    </v:roundrect>
                  </w:pict>
                </mc:Fallback>
              </mc:AlternateContent>
            </w:r>
            <w:r w:rsidR="00DA212F">
              <w:rPr>
                <w:rFonts w:cs="Arial"/>
                <w:noProof/>
                <w:szCs w:val="24"/>
                <w:lang w:eastAsia="sl-SI" w:bidi="ar-SA"/>
              </w:rPr>
              <mc:AlternateContent>
                <mc:Choice Requires="wps">
                  <w:drawing>
                    <wp:anchor distT="0" distB="0" distL="114300" distR="114300" simplePos="0" relativeHeight="251736064" behindDoc="0" locked="0" layoutInCell="1" allowOverlap="1" wp14:anchorId="26392084" wp14:editId="68C697CE">
                      <wp:simplePos x="0" y="0"/>
                      <wp:positionH relativeFrom="column">
                        <wp:posOffset>1970872</wp:posOffset>
                      </wp:positionH>
                      <wp:positionV relativeFrom="paragraph">
                        <wp:posOffset>3518355</wp:posOffset>
                      </wp:positionV>
                      <wp:extent cx="1507490" cy="569344"/>
                      <wp:effectExtent l="0" t="0" r="16510" b="21590"/>
                      <wp:wrapNone/>
                      <wp:docPr id="58" name="Zaobljeni pravokotnik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7490" cy="569344"/>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697FF486" w14:textId="77777777" w:rsidR="0018663B" w:rsidRPr="000B737C" w:rsidRDefault="0018663B" w:rsidP="000B344C">
                                  <w:pPr>
                                    <w:spacing w:line="240" w:lineRule="auto"/>
                                    <w:contextualSpacing/>
                                    <w:jc w:val="center"/>
                                    <w:rPr>
                                      <w:rFonts w:ascii="Times New Roman" w:hAnsi="Times New Roman"/>
                                      <w:sz w:val="18"/>
                                    </w:rPr>
                                  </w:pPr>
                                  <w:r>
                                    <w:rPr>
                                      <w:rFonts w:eastAsia="+mn-ea" w:cs="Arial"/>
                                      <w:color w:val="000000"/>
                                      <w:sz w:val="18"/>
                                      <w:szCs w:val="18"/>
                                      <w:lang w:val="en-GB"/>
                                    </w:rPr>
                                    <w:t>The profit split method may be the most appropriate method</w:t>
                                  </w:r>
                                </w:p>
                                <w:p w14:paraId="6CD49E81" w14:textId="77777777" w:rsidR="0018663B" w:rsidRDefault="0018663B" w:rsidP="000B344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6392084" id="Zaobljeni pravokotnik 58" o:spid="_x0000_s1039" style="position:absolute;left:0;text-align:left;margin-left:155.2pt;margin-top:277.05pt;width:118.7pt;height:44.8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" fillcolor="#5b9bd5" strokecolor="#41719c" strokeweight="1pt">
                      <v:stroke joinstyle="miter"/>
                      <v:path arrowok="t"/>
                      <v:textbox>
                        <w:txbxContent>
                          <w:p w14:paraId="697FF486" w14:textId="77777777" w:rsidR="0018663B" w:rsidRPr="000B737C" w:rsidRDefault="0018663B" w:rsidP="000B344C">
                            <w:pPr>
                              <w:spacing w:line="240" w:lineRule="auto"/>
                              <w:contextualSpacing/>
                              <w:jc w:val="center"/>
                              <w:rPr>
                                <w:rFonts w:ascii="Times New Roman" w:hAnsi="Times New Roman"/>
                                <w:sz w:val="18"/>
                              </w:rPr>
                            </w:pPr>
                            <w:r>
                              <w:rPr>
                                <w:rFonts w:eastAsia="+mn-ea" w:cs="Arial"/>
                                <w:color w:val="000000"/>
                                <w:sz w:val="18"/>
                                <w:szCs w:val="18"/>
                                <w:lang w:val="en-GB"/>
                              </w:rPr>
                              <w:t>The profit split method may be the most appropriate method</w:t>
                            </w:r>
                          </w:p>
                          <w:p w14:paraId="6CD49E81" w14:textId="77777777" w:rsidR="0018663B" w:rsidRDefault="0018663B" w:rsidP="000B344C">
                            <w:pPr>
                              <w:jc w:val="center"/>
                            </w:pPr>
                          </w:p>
                        </w:txbxContent>
                      </v:textbox>
                    </v:roundrect>
                  </w:pict>
                </mc:Fallback>
              </mc:AlternateContent>
            </w:r>
            <w:r w:rsidR="0000726E">
              <w:rPr>
                <w:rFonts w:cs="Arial"/>
                <w:noProof/>
                <w:szCs w:val="24"/>
                <w:lang w:eastAsia="sl-SI" w:bidi="ar-SA"/>
              </w:rPr>
              <mc:AlternateContent>
                <mc:Choice Requires="wps">
                  <w:drawing>
                    <wp:anchor distT="0" distB="0" distL="114300" distR="114300" simplePos="0" relativeHeight="251737088" behindDoc="0" locked="0" layoutInCell="1" allowOverlap="1" wp14:anchorId="6E7D7277" wp14:editId="5D9D2A4D">
                      <wp:simplePos x="0" y="0"/>
                      <wp:positionH relativeFrom="column">
                        <wp:posOffset>819620</wp:posOffset>
                      </wp:positionH>
                      <wp:positionV relativeFrom="paragraph">
                        <wp:posOffset>3227070</wp:posOffset>
                      </wp:positionV>
                      <wp:extent cx="1104680" cy="565917"/>
                      <wp:effectExtent l="0" t="0" r="76835" b="62865"/>
                      <wp:wrapNone/>
                      <wp:docPr id="61" name="Raven puščični povezovalnik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04680" cy="565917"/>
                              </a:xfrm>
                              <a:prstGeom prst="straightConnector1">
                                <a:avLst/>
                              </a:prstGeom>
                              <a:noFill/>
                              <a:ln w="6350" cap="flat" cmpd="sng" algn="ctr">
                                <a:solidFill>
                                  <a:sysClr val="windowText" lastClr="000000"/>
                                </a:solidFill>
                                <a:prstDash val="dash"/>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E59E961" id="Raven puščični povezovalnik 61" o:spid="_x0000_s1026" type="#_x0000_t32" style="position:absolute;margin-left:64.55pt;margin-top:254.1pt;width:87pt;height:44.5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" strokecolor="windowText" strokeweight=".5pt">
                      <v:stroke dashstyle="dash" endarrow="block" joinstyle="miter"/>
                      <o:lock v:ext="edit" shapetype="f"/>
                    </v:shape>
                  </w:pict>
                </mc:Fallback>
              </mc:AlternateContent>
            </w:r>
            <w:r w:rsidR="0000726E">
              <w:rPr>
                <w:rFonts w:cs="Arial"/>
                <w:noProof/>
                <w:szCs w:val="24"/>
                <w:lang w:eastAsia="sl-SI" w:bidi="ar-SA"/>
              </w:rPr>
              <mc:AlternateContent>
                <mc:Choice Requires="wps">
                  <w:drawing>
                    <wp:anchor distT="0" distB="0" distL="114300" distR="114300" simplePos="0" relativeHeight="251738112" behindDoc="0" locked="0" layoutInCell="1" allowOverlap="1" wp14:anchorId="716CBB8A" wp14:editId="18A8FBF4">
                      <wp:simplePos x="0" y="0"/>
                      <wp:positionH relativeFrom="column">
                        <wp:posOffset>3509964</wp:posOffset>
                      </wp:positionH>
                      <wp:positionV relativeFrom="paragraph">
                        <wp:posOffset>3295782</wp:posOffset>
                      </wp:positionV>
                      <wp:extent cx="1152250" cy="497803"/>
                      <wp:effectExtent l="38100" t="0" r="29210" b="55245"/>
                      <wp:wrapNone/>
                      <wp:docPr id="57" name="Raven puščični povezovalnik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152250" cy="497803"/>
                              </a:xfrm>
                              <a:prstGeom prst="straightConnector1">
                                <a:avLst/>
                              </a:prstGeom>
                              <a:noFill/>
                              <a:ln w="6350" cap="flat" cmpd="sng" algn="ctr">
                                <a:solidFill>
                                  <a:sysClr val="windowText" lastClr="000000"/>
                                </a:solidFill>
                                <a:prstDash val="dash"/>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E2A4EC1" id="Raven puščični povezovalnik 57" o:spid="_x0000_s1026" type="#_x0000_t32" style="position:absolute;margin-left:276.4pt;margin-top:259.5pt;width:90.75pt;height:39.2pt;flip:x;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" strokecolor="windowText" strokeweight=".5pt">
                      <v:stroke dashstyle="dash" endarrow="block" joinstyle="miter"/>
                      <o:lock v:ext="edit" shapetype="f"/>
                    </v:shape>
                  </w:pict>
                </mc:Fallback>
              </mc:AlternateContent>
            </w:r>
            <w:r w:rsidR="0000726E">
              <w:rPr>
                <w:rFonts w:cs="Arial"/>
                <w:noProof/>
                <w:szCs w:val="24"/>
                <w:lang w:eastAsia="sl-SI" w:bidi="ar-SA"/>
              </w:rPr>
              <mc:AlternateContent>
                <mc:Choice Requires="wps">
                  <w:drawing>
                    <wp:anchor distT="0" distB="0" distL="114300" distR="114300" simplePos="0" relativeHeight="251744256" behindDoc="0" locked="0" layoutInCell="1" allowOverlap="1" wp14:anchorId="14F53665" wp14:editId="75886420">
                      <wp:simplePos x="0" y="0"/>
                      <wp:positionH relativeFrom="column">
                        <wp:posOffset>2696210</wp:posOffset>
                      </wp:positionH>
                      <wp:positionV relativeFrom="paragraph">
                        <wp:posOffset>3244215</wp:posOffset>
                      </wp:positionV>
                      <wp:extent cx="0" cy="266700"/>
                      <wp:effectExtent l="76200" t="0" r="57150" b="57150"/>
                      <wp:wrapNone/>
                      <wp:docPr id="76" name="Raven puščični povezovalnik 76"/>
                      <wp:cNvGraphicFramePr/>
                      <a:graphic xmlns:a="http://schemas.openxmlformats.org/drawingml/2006/main">
                        <a:graphicData uri="http://schemas.microsoft.com/office/word/2010/wordprocessingShape">
                          <wps:wsp>
                            <wps:cNvCnPr/>
                            <wps:spPr>
                              <a:xfrm>
                                <a:off x="0" y="0"/>
                                <a:ext cx="0" cy="26670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3335E65" id="Raven puščični povezovalnik 76" o:spid="_x0000_s1026" type="#_x0000_t32" style="position:absolute;margin-left:212.3pt;margin-top:255.45pt;width:0;height:21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" strokecolor="black [3213]" strokeweight=".5pt">
                      <v:stroke dashstyle="dash" endarrow="block" joinstyle="miter"/>
                    </v:shape>
                  </w:pict>
                </mc:Fallback>
              </mc:AlternateContent>
            </w:r>
          </w:p>
        </w:tc>
      </w:tr>
    </w:tbl>
    <w:p w14:paraId="60E6079E" w14:textId="4FEA118A" w:rsidR="009553C8" w:rsidRDefault="009553C8" w:rsidP="00756903"/>
    <w:p w14:paraId="73BF27AA" w14:textId="649AFCB5" w:rsidR="0000726E" w:rsidRPr="004F2499" w:rsidRDefault="0000726E" w:rsidP="00756903"/>
    <w:p w14:paraId="07619AD9" w14:textId="77777777" w:rsidR="00666077" w:rsidRPr="00C761FB" w:rsidRDefault="00B86D81" w:rsidP="00756903">
      <w:pPr>
        <w:pStyle w:val="Naslov3"/>
        <w:spacing w:before="0" w:after="0" w:line="240" w:lineRule="atLeast"/>
        <w:rPr>
          <w:rFonts w:cs="Arial"/>
          <w:b w:val="0"/>
          <w:bCs w:val="0"/>
        </w:rPr>
      </w:pPr>
      <w:bookmarkStart w:id="23" w:name="_Toc103257434"/>
      <w:r>
        <w:rPr>
          <w:rFonts w:cs="Arial"/>
          <w:lang w:val="en-GB"/>
        </w:rPr>
        <w:t>2.2.6 CHOOSING THE MOST APPROPRIATE TRANSFER PRICING METHOD</w:t>
      </w:r>
      <w:bookmarkEnd w:id="23"/>
    </w:p>
    <w:p w14:paraId="467E347F" w14:textId="77777777" w:rsidR="00666077" w:rsidRPr="00904D3B" w:rsidRDefault="00666077" w:rsidP="00756903">
      <w:pPr>
        <w:jc w:val="both"/>
        <w:rPr>
          <w:rFonts w:ascii="Arial" w:eastAsia="Times New Roman" w:hAnsi="Arial" w:cs="Arial"/>
          <w:bCs/>
          <w:sz w:val="20"/>
          <w:szCs w:val="20"/>
        </w:rPr>
      </w:pPr>
    </w:p>
    <w:p w14:paraId="72B0D8C8" w14:textId="24BD775C" w:rsidR="00666077" w:rsidRPr="00904D3B" w:rsidRDefault="00666077" w:rsidP="009553C8">
      <w:pPr>
        <w:spacing w:line="260" w:lineRule="atLeast"/>
        <w:jc w:val="both"/>
        <w:rPr>
          <w:rFonts w:ascii="Arial" w:eastAsia="Times New Roman" w:hAnsi="Arial" w:cs="Arial"/>
          <w:bCs/>
          <w:sz w:val="20"/>
          <w:szCs w:val="20"/>
        </w:rPr>
      </w:pPr>
      <w:r>
        <w:rPr>
          <w:rFonts w:ascii="Arial" w:eastAsia="Times New Roman" w:hAnsi="Arial" w:cs="Arial"/>
          <w:sz w:val="20"/>
          <w:szCs w:val="20"/>
          <w:lang w:val="en-GB"/>
        </w:rPr>
        <w:t xml:space="preserve">The choice of the most appropriate transfer pricing method depends on the circumstances of the individual case. When using the </w:t>
      </w:r>
      <w:proofErr w:type="gramStart"/>
      <w:r>
        <w:rPr>
          <w:rFonts w:ascii="Arial" w:eastAsia="Times New Roman" w:hAnsi="Arial" w:cs="Arial"/>
          <w:sz w:val="20"/>
          <w:szCs w:val="20"/>
          <w:lang w:val="en-GB"/>
        </w:rPr>
        <w:t>cost plus</w:t>
      </w:r>
      <w:proofErr w:type="gramEnd"/>
      <w:r>
        <w:rPr>
          <w:rFonts w:ascii="Arial" w:eastAsia="Times New Roman" w:hAnsi="Arial" w:cs="Arial"/>
          <w:sz w:val="20"/>
          <w:szCs w:val="20"/>
          <w:lang w:val="en-GB"/>
        </w:rPr>
        <w:t xml:space="preserve"> method, the resale price method or the transactional net margin method, the party to the transaction for which a financial ratio is being tested (cost mark-up, gross margin or net profit margin) must be selected. The choice of the test party must be made in compliance with the functional analysis of the transaction. The general rule is that a test party is the one for which the functional analysis is less complex (i.e. it performs fewer functions and assumes fewer risks).</w:t>
      </w:r>
    </w:p>
    <w:p w14:paraId="05795909" w14:textId="77777777" w:rsidR="00B67A80" w:rsidRDefault="00B67A80" w:rsidP="009553C8">
      <w:pPr>
        <w:spacing w:line="260" w:lineRule="atLeast"/>
        <w:jc w:val="both"/>
        <w:rPr>
          <w:rFonts w:ascii="Arial" w:eastAsia="Times New Roman" w:hAnsi="Arial" w:cs="Arial"/>
          <w:bCs/>
          <w:sz w:val="20"/>
          <w:szCs w:val="20"/>
        </w:rPr>
      </w:pPr>
    </w:p>
    <w:p w14:paraId="1B5962CC" w14:textId="77777777" w:rsidR="00666077" w:rsidRDefault="00666077" w:rsidP="009553C8">
      <w:pPr>
        <w:tabs>
          <w:tab w:val="left" w:pos="3402"/>
        </w:tabs>
        <w:spacing w:line="260" w:lineRule="atLeast"/>
        <w:jc w:val="both"/>
        <w:rPr>
          <w:rFonts w:ascii="Arial" w:eastAsia="Times New Roman" w:hAnsi="Arial" w:cs="Arial"/>
          <w:b/>
          <w:sz w:val="20"/>
          <w:szCs w:val="20"/>
        </w:rPr>
      </w:pPr>
      <w:r>
        <w:rPr>
          <w:rFonts w:ascii="Arial" w:eastAsia="Times New Roman" w:hAnsi="Arial" w:cs="Arial"/>
          <w:b/>
          <w:bCs/>
          <w:sz w:val="20"/>
          <w:szCs w:val="20"/>
          <w:lang w:val="en-GB"/>
        </w:rPr>
        <w:t>The choice must be made in accordance with the following criteria:</w:t>
      </w:r>
    </w:p>
    <w:p w14:paraId="4F2FEC3F" w14:textId="77777777" w:rsidR="00024173" w:rsidRDefault="00024173" w:rsidP="009553C8">
      <w:pPr>
        <w:tabs>
          <w:tab w:val="left" w:pos="3402"/>
        </w:tabs>
        <w:spacing w:line="260" w:lineRule="atLeast"/>
        <w:jc w:val="both"/>
        <w:rPr>
          <w:rFonts w:ascii="Arial" w:eastAsia="Times New Roman" w:hAnsi="Arial" w:cs="Arial"/>
          <w:b/>
          <w:sz w:val="20"/>
          <w:szCs w:val="20"/>
        </w:rPr>
      </w:pPr>
    </w:p>
    <w:p w14:paraId="7C87194E" w14:textId="60AB60AE" w:rsidR="00666077" w:rsidRPr="00227C1D" w:rsidRDefault="00666077" w:rsidP="009553C8">
      <w:pPr>
        <w:numPr>
          <w:ilvl w:val="0"/>
          <w:numId w:val="5"/>
        </w:numPr>
        <w:spacing w:line="260" w:lineRule="atLeast"/>
        <w:ind w:left="284" w:hanging="284"/>
        <w:jc w:val="both"/>
        <w:rPr>
          <w:rFonts w:ascii="Arial" w:eastAsia="Times New Roman" w:hAnsi="Arial" w:cs="Arial"/>
          <w:sz w:val="20"/>
          <w:szCs w:val="24"/>
        </w:rPr>
      </w:pPr>
      <w:r>
        <w:rPr>
          <w:rFonts w:ascii="Arial" w:eastAsia="Times New Roman" w:hAnsi="Arial" w:cs="Arial"/>
          <w:sz w:val="20"/>
          <w:szCs w:val="24"/>
          <w:lang w:val="en-GB"/>
        </w:rPr>
        <w:t xml:space="preserve">the strengths and weaknesses of each </w:t>
      </w:r>
      <w:proofErr w:type="gramStart"/>
      <w:r>
        <w:rPr>
          <w:rFonts w:ascii="Arial" w:eastAsia="Times New Roman" w:hAnsi="Arial" w:cs="Arial"/>
          <w:sz w:val="20"/>
          <w:szCs w:val="24"/>
          <w:lang w:val="en-GB"/>
        </w:rPr>
        <w:t>method;</w:t>
      </w:r>
      <w:proofErr w:type="gramEnd"/>
    </w:p>
    <w:p w14:paraId="65E2BF2B" w14:textId="52A59B96" w:rsidR="00666077" w:rsidRPr="00904D3B" w:rsidRDefault="00666077" w:rsidP="009553C8">
      <w:pPr>
        <w:numPr>
          <w:ilvl w:val="0"/>
          <w:numId w:val="5"/>
        </w:numPr>
        <w:spacing w:line="260" w:lineRule="atLeast"/>
        <w:ind w:left="284" w:hanging="284"/>
        <w:jc w:val="both"/>
        <w:rPr>
          <w:rFonts w:ascii="Arial" w:eastAsia="Times New Roman" w:hAnsi="Arial" w:cs="Arial"/>
          <w:sz w:val="20"/>
          <w:szCs w:val="24"/>
        </w:rPr>
      </w:pPr>
      <w:r>
        <w:rPr>
          <w:rFonts w:ascii="Arial" w:eastAsia="Times New Roman" w:hAnsi="Arial" w:cs="Arial"/>
          <w:sz w:val="20"/>
          <w:szCs w:val="24"/>
          <w:lang w:val="en-GB"/>
        </w:rPr>
        <w:t xml:space="preserve">the suitability of each method according to the nature of the </w:t>
      </w:r>
      <w:r w:rsidR="003E0B4B">
        <w:rPr>
          <w:rFonts w:ascii="Arial" w:eastAsia="Times New Roman" w:hAnsi="Arial" w:cs="Arial"/>
          <w:sz w:val="20"/>
          <w:szCs w:val="24"/>
          <w:lang w:val="en-GB"/>
        </w:rPr>
        <w:t>associated</w:t>
      </w:r>
      <w:r>
        <w:rPr>
          <w:rFonts w:ascii="Arial" w:eastAsia="Times New Roman" w:hAnsi="Arial" w:cs="Arial"/>
          <w:sz w:val="20"/>
          <w:szCs w:val="24"/>
          <w:lang w:val="en-GB"/>
        </w:rPr>
        <w:t xml:space="preserve"> transactions, which is determined on the basis of an analysis of the functions performed by each party to the </w:t>
      </w:r>
      <w:r w:rsidR="003E0B4B">
        <w:rPr>
          <w:rFonts w:ascii="Arial" w:eastAsia="Times New Roman" w:hAnsi="Arial" w:cs="Arial"/>
          <w:sz w:val="20"/>
          <w:szCs w:val="24"/>
          <w:lang w:val="en-GB"/>
        </w:rPr>
        <w:t>associated</w:t>
      </w:r>
      <w:r>
        <w:rPr>
          <w:rFonts w:ascii="Arial" w:eastAsia="Times New Roman" w:hAnsi="Arial" w:cs="Arial"/>
          <w:sz w:val="20"/>
          <w:szCs w:val="24"/>
          <w:lang w:val="en-GB"/>
        </w:rPr>
        <w:t xml:space="preserve"> transaction (taking into account the resources used and the risks assumed);</w:t>
      </w:r>
    </w:p>
    <w:p w14:paraId="46CCBBF2" w14:textId="5DFC662B" w:rsidR="00666077" w:rsidRPr="00904D3B" w:rsidRDefault="00666077" w:rsidP="009553C8">
      <w:pPr>
        <w:numPr>
          <w:ilvl w:val="0"/>
          <w:numId w:val="5"/>
        </w:numPr>
        <w:spacing w:line="260" w:lineRule="atLeast"/>
        <w:ind w:left="284" w:hanging="284"/>
        <w:jc w:val="both"/>
        <w:rPr>
          <w:rFonts w:ascii="Arial" w:eastAsia="Times New Roman" w:hAnsi="Arial" w:cs="Arial"/>
          <w:sz w:val="20"/>
          <w:szCs w:val="24"/>
        </w:rPr>
      </w:pPr>
      <w:r>
        <w:rPr>
          <w:rFonts w:ascii="Arial" w:eastAsia="Times New Roman" w:hAnsi="Arial" w:cs="Arial"/>
          <w:sz w:val="20"/>
          <w:szCs w:val="24"/>
          <w:lang w:val="en-GB"/>
        </w:rPr>
        <w:t xml:space="preserve">the availability of reliable data (internal or external </w:t>
      </w:r>
      <w:proofErr w:type="spellStart"/>
      <w:r>
        <w:rPr>
          <w:rFonts w:ascii="Arial" w:eastAsia="Times New Roman" w:hAnsi="Arial" w:cs="Arial"/>
          <w:sz w:val="20"/>
          <w:szCs w:val="24"/>
          <w:lang w:val="en-GB"/>
        </w:rPr>
        <w:t>comparables</w:t>
      </w:r>
      <w:proofErr w:type="spellEnd"/>
      <w:r>
        <w:rPr>
          <w:rFonts w:ascii="Arial" w:eastAsia="Times New Roman" w:hAnsi="Arial" w:cs="Arial"/>
          <w:sz w:val="20"/>
          <w:szCs w:val="24"/>
          <w:lang w:val="en-GB"/>
        </w:rPr>
        <w:t>) required to use the selected transfer pricing method; and</w:t>
      </w:r>
    </w:p>
    <w:p w14:paraId="37531F43" w14:textId="71DB0CC1" w:rsidR="00666077" w:rsidRPr="00904D3B" w:rsidRDefault="00666077" w:rsidP="009553C8">
      <w:pPr>
        <w:numPr>
          <w:ilvl w:val="0"/>
          <w:numId w:val="5"/>
        </w:numPr>
        <w:spacing w:line="260" w:lineRule="atLeast"/>
        <w:ind w:left="284" w:hanging="284"/>
        <w:jc w:val="both"/>
        <w:rPr>
          <w:rFonts w:ascii="Arial" w:eastAsia="Times New Roman" w:hAnsi="Arial" w:cs="Arial"/>
          <w:sz w:val="20"/>
          <w:szCs w:val="24"/>
        </w:rPr>
      </w:pPr>
      <w:r>
        <w:rPr>
          <w:rFonts w:ascii="Arial" w:eastAsia="Times New Roman" w:hAnsi="Arial" w:cs="Arial"/>
          <w:sz w:val="20"/>
          <w:szCs w:val="24"/>
          <w:lang w:val="en-GB"/>
        </w:rPr>
        <w:t xml:space="preserve">the degree of comparability between </w:t>
      </w:r>
      <w:r w:rsidR="003E0B4B">
        <w:rPr>
          <w:rFonts w:ascii="Arial" w:eastAsia="Times New Roman" w:hAnsi="Arial" w:cs="Arial"/>
          <w:sz w:val="20"/>
          <w:szCs w:val="24"/>
          <w:lang w:val="en-GB"/>
        </w:rPr>
        <w:t>associated</w:t>
      </w:r>
      <w:r>
        <w:rPr>
          <w:rFonts w:ascii="Arial" w:eastAsia="Times New Roman" w:hAnsi="Arial" w:cs="Arial"/>
          <w:sz w:val="20"/>
          <w:szCs w:val="24"/>
          <w:lang w:val="en-GB"/>
        </w:rPr>
        <w:t xml:space="preserve">-party and </w:t>
      </w:r>
      <w:proofErr w:type="spellStart"/>
      <w:r>
        <w:rPr>
          <w:rFonts w:ascii="Arial" w:eastAsia="Times New Roman" w:hAnsi="Arial" w:cs="Arial"/>
          <w:sz w:val="20"/>
          <w:szCs w:val="24"/>
          <w:lang w:val="en-GB"/>
        </w:rPr>
        <w:t>un</w:t>
      </w:r>
      <w:r w:rsidR="003E0B4B">
        <w:rPr>
          <w:rFonts w:ascii="Arial" w:eastAsia="Times New Roman" w:hAnsi="Arial" w:cs="Arial"/>
          <w:sz w:val="20"/>
          <w:szCs w:val="24"/>
          <w:lang w:val="en-GB"/>
        </w:rPr>
        <w:t>associated</w:t>
      </w:r>
      <w:proofErr w:type="spellEnd"/>
      <w:r>
        <w:rPr>
          <w:rFonts w:ascii="Arial" w:eastAsia="Times New Roman" w:hAnsi="Arial" w:cs="Arial"/>
          <w:sz w:val="20"/>
          <w:szCs w:val="24"/>
          <w:lang w:val="en-GB"/>
        </w:rPr>
        <w:t xml:space="preserve">-party transactions and the reliability of any adjustments made to comparable </w:t>
      </w:r>
      <w:proofErr w:type="spellStart"/>
      <w:r>
        <w:rPr>
          <w:rFonts w:ascii="Arial" w:eastAsia="Times New Roman" w:hAnsi="Arial" w:cs="Arial"/>
          <w:sz w:val="20"/>
          <w:szCs w:val="24"/>
          <w:lang w:val="en-GB"/>
        </w:rPr>
        <w:t>un</w:t>
      </w:r>
      <w:r w:rsidR="003E0B4B">
        <w:rPr>
          <w:rFonts w:ascii="Arial" w:eastAsia="Times New Roman" w:hAnsi="Arial" w:cs="Arial"/>
          <w:sz w:val="20"/>
          <w:szCs w:val="24"/>
          <w:lang w:val="en-GB"/>
        </w:rPr>
        <w:t>associated</w:t>
      </w:r>
      <w:proofErr w:type="spellEnd"/>
      <w:r>
        <w:rPr>
          <w:rFonts w:ascii="Arial" w:eastAsia="Times New Roman" w:hAnsi="Arial" w:cs="Arial"/>
          <w:sz w:val="20"/>
          <w:szCs w:val="24"/>
          <w:lang w:val="en-GB"/>
        </w:rPr>
        <w:t>-party transactions needed to eliminate the differences between them.</w:t>
      </w:r>
    </w:p>
    <w:p w14:paraId="0AE319D8" w14:textId="7B66258A" w:rsidR="00936F17" w:rsidRPr="00904D3B" w:rsidRDefault="00936F17" w:rsidP="009553C8">
      <w:pPr>
        <w:spacing w:line="260" w:lineRule="atLeast"/>
        <w:jc w:val="both"/>
        <w:rPr>
          <w:rFonts w:ascii="Arial" w:eastAsia="Times New Roman" w:hAnsi="Arial" w:cs="Arial"/>
          <w:sz w:val="20"/>
          <w:szCs w:val="24"/>
        </w:rPr>
      </w:pPr>
    </w:p>
    <w:p w14:paraId="45633867" w14:textId="06B45357" w:rsidR="00936F17" w:rsidRPr="00904D3B" w:rsidRDefault="00936F17" w:rsidP="009553C8">
      <w:pPr>
        <w:spacing w:line="260" w:lineRule="atLeast"/>
        <w:jc w:val="both"/>
        <w:rPr>
          <w:rFonts w:ascii="Arial" w:eastAsia="Times New Roman" w:hAnsi="Arial" w:cs="Arial"/>
          <w:sz w:val="20"/>
          <w:szCs w:val="24"/>
        </w:rPr>
      </w:pPr>
      <w:r>
        <w:rPr>
          <w:rFonts w:ascii="Arial" w:eastAsia="Times New Roman" w:hAnsi="Arial" w:cs="Arial"/>
          <w:sz w:val="20"/>
          <w:szCs w:val="24"/>
          <w:lang w:val="en-GB"/>
        </w:rPr>
        <w:t xml:space="preserve">The price and other conditions in </w:t>
      </w:r>
      <w:proofErr w:type="spellStart"/>
      <w:proofErr w:type="gramStart"/>
      <w:r>
        <w:rPr>
          <w:rFonts w:ascii="Arial" w:eastAsia="Times New Roman" w:hAnsi="Arial" w:cs="Arial"/>
          <w:sz w:val="20"/>
          <w:szCs w:val="24"/>
          <w:lang w:val="en-GB"/>
        </w:rPr>
        <w:t>a</w:t>
      </w:r>
      <w:proofErr w:type="spellEnd"/>
      <w:proofErr w:type="gramEnd"/>
      <w:r>
        <w:rPr>
          <w:rFonts w:ascii="Arial" w:eastAsia="Times New Roman" w:hAnsi="Arial" w:cs="Arial"/>
          <w:sz w:val="20"/>
          <w:szCs w:val="24"/>
          <w:lang w:val="en-GB"/>
        </w:rPr>
        <w:t xml:space="preserve"> </w:t>
      </w:r>
      <w:r w:rsidR="003E0B4B">
        <w:rPr>
          <w:rFonts w:ascii="Arial" w:eastAsia="Times New Roman" w:hAnsi="Arial" w:cs="Arial"/>
          <w:sz w:val="20"/>
          <w:szCs w:val="24"/>
          <w:lang w:val="en-GB"/>
        </w:rPr>
        <w:t>associated</w:t>
      </w:r>
      <w:r>
        <w:rPr>
          <w:rFonts w:ascii="Arial" w:eastAsia="Times New Roman" w:hAnsi="Arial" w:cs="Arial"/>
          <w:sz w:val="20"/>
          <w:szCs w:val="24"/>
          <w:lang w:val="en-GB"/>
        </w:rPr>
        <w:t xml:space="preserve">-party transaction should be compared with the price and conditions in a comparable </w:t>
      </w:r>
      <w:proofErr w:type="spellStart"/>
      <w:r>
        <w:rPr>
          <w:rFonts w:ascii="Arial" w:eastAsia="Times New Roman" w:hAnsi="Arial" w:cs="Arial"/>
          <w:sz w:val="20"/>
          <w:szCs w:val="24"/>
          <w:lang w:val="en-GB"/>
        </w:rPr>
        <w:t>un</w:t>
      </w:r>
      <w:r w:rsidR="003E0B4B">
        <w:rPr>
          <w:rFonts w:ascii="Arial" w:eastAsia="Times New Roman" w:hAnsi="Arial" w:cs="Arial"/>
          <w:sz w:val="20"/>
          <w:szCs w:val="24"/>
          <w:lang w:val="en-GB"/>
        </w:rPr>
        <w:t>associated</w:t>
      </w:r>
      <w:proofErr w:type="spellEnd"/>
      <w:r>
        <w:rPr>
          <w:rFonts w:ascii="Arial" w:eastAsia="Times New Roman" w:hAnsi="Arial" w:cs="Arial"/>
          <w:sz w:val="20"/>
          <w:szCs w:val="24"/>
          <w:lang w:val="en-GB"/>
        </w:rPr>
        <w:t xml:space="preserve">-party transaction. A comparable </w:t>
      </w:r>
      <w:proofErr w:type="spellStart"/>
      <w:r>
        <w:rPr>
          <w:rFonts w:ascii="Arial" w:eastAsia="Times New Roman" w:hAnsi="Arial" w:cs="Arial"/>
          <w:sz w:val="20"/>
          <w:szCs w:val="24"/>
          <w:lang w:val="en-GB"/>
        </w:rPr>
        <w:t>un</w:t>
      </w:r>
      <w:r w:rsidR="003E0B4B">
        <w:rPr>
          <w:rFonts w:ascii="Arial" w:eastAsia="Times New Roman" w:hAnsi="Arial" w:cs="Arial"/>
          <w:sz w:val="20"/>
          <w:szCs w:val="24"/>
          <w:lang w:val="en-GB"/>
        </w:rPr>
        <w:t>associated</w:t>
      </w:r>
      <w:proofErr w:type="spellEnd"/>
      <w:r>
        <w:rPr>
          <w:rFonts w:ascii="Arial" w:eastAsia="Times New Roman" w:hAnsi="Arial" w:cs="Arial"/>
          <w:sz w:val="20"/>
          <w:szCs w:val="24"/>
          <w:lang w:val="en-GB"/>
        </w:rPr>
        <w:t xml:space="preserve">-party transaction is a transaction between two </w:t>
      </w:r>
      <w:proofErr w:type="spellStart"/>
      <w:r>
        <w:rPr>
          <w:rFonts w:ascii="Arial" w:eastAsia="Times New Roman" w:hAnsi="Arial" w:cs="Arial"/>
          <w:sz w:val="20"/>
          <w:szCs w:val="24"/>
          <w:lang w:val="en-GB"/>
        </w:rPr>
        <w:t>un</w:t>
      </w:r>
      <w:r w:rsidR="003E0B4B">
        <w:rPr>
          <w:rFonts w:ascii="Arial" w:eastAsia="Times New Roman" w:hAnsi="Arial" w:cs="Arial"/>
          <w:sz w:val="20"/>
          <w:szCs w:val="24"/>
          <w:lang w:val="en-GB"/>
        </w:rPr>
        <w:t>associated</w:t>
      </w:r>
      <w:proofErr w:type="spellEnd"/>
      <w:r>
        <w:rPr>
          <w:rFonts w:ascii="Arial" w:eastAsia="Times New Roman" w:hAnsi="Arial" w:cs="Arial"/>
          <w:sz w:val="20"/>
          <w:szCs w:val="24"/>
          <w:lang w:val="en-GB"/>
        </w:rPr>
        <w:t xml:space="preserve"> parties that is comparable to a compared </w:t>
      </w:r>
      <w:r w:rsidR="003E0B4B">
        <w:rPr>
          <w:rFonts w:ascii="Arial" w:eastAsia="Times New Roman" w:hAnsi="Arial" w:cs="Arial"/>
          <w:sz w:val="20"/>
          <w:szCs w:val="24"/>
          <w:lang w:val="en-GB"/>
        </w:rPr>
        <w:t>associated</w:t>
      </w:r>
      <w:r>
        <w:rPr>
          <w:rFonts w:ascii="Arial" w:eastAsia="Times New Roman" w:hAnsi="Arial" w:cs="Arial"/>
          <w:sz w:val="20"/>
          <w:szCs w:val="24"/>
          <w:lang w:val="en-GB"/>
        </w:rPr>
        <w:t xml:space="preserve">-party transaction. This can be a comparable transaction between a taxable person and an </w:t>
      </w:r>
      <w:proofErr w:type="spellStart"/>
      <w:r>
        <w:rPr>
          <w:rFonts w:ascii="Arial" w:eastAsia="Times New Roman" w:hAnsi="Arial" w:cs="Arial"/>
          <w:sz w:val="20"/>
          <w:szCs w:val="24"/>
          <w:lang w:val="en-GB"/>
        </w:rPr>
        <w:t>un</w:t>
      </w:r>
      <w:r w:rsidR="003E0B4B">
        <w:rPr>
          <w:rFonts w:ascii="Arial" w:eastAsia="Times New Roman" w:hAnsi="Arial" w:cs="Arial"/>
          <w:sz w:val="20"/>
          <w:szCs w:val="24"/>
          <w:lang w:val="en-GB"/>
        </w:rPr>
        <w:t>associated</w:t>
      </w:r>
      <w:proofErr w:type="spellEnd"/>
      <w:r>
        <w:rPr>
          <w:rFonts w:ascii="Arial" w:eastAsia="Times New Roman" w:hAnsi="Arial" w:cs="Arial"/>
          <w:sz w:val="20"/>
          <w:szCs w:val="24"/>
          <w:lang w:val="en-GB"/>
        </w:rPr>
        <w:t xml:space="preserve"> person (an internal comparable) or a transaction between </w:t>
      </w:r>
      <w:proofErr w:type="spellStart"/>
      <w:r>
        <w:rPr>
          <w:rFonts w:ascii="Arial" w:eastAsia="Times New Roman" w:hAnsi="Arial" w:cs="Arial"/>
          <w:sz w:val="20"/>
          <w:szCs w:val="24"/>
          <w:lang w:val="en-GB"/>
        </w:rPr>
        <w:t>un</w:t>
      </w:r>
      <w:r w:rsidR="003E0B4B">
        <w:rPr>
          <w:rFonts w:ascii="Arial" w:eastAsia="Times New Roman" w:hAnsi="Arial" w:cs="Arial"/>
          <w:sz w:val="20"/>
          <w:szCs w:val="24"/>
          <w:lang w:val="en-GB"/>
        </w:rPr>
        <w:t>associated</w:t>
      </w:r>
      <w:proofErr w:type="spellEnd"/>
      <w:r>
        <w:rPr>
          <w:rFonts w:ascii="Arial" w:eastAsia="Times New Roman" w:hAnsi="Arial" w:cs="Arial"/>
          <w:sz w:val="20"/>
          <w:szCs w:val="24"/>
          <w:lang w:val="en-GB"/>
        </w:rPr>
        <w:t xml:space="preserve"> persons (an external comparable). The key element in choosing the transfer pricing method is the availability of internal or external </w:t>
      </w:r>
      <w:proofErr w:type="spellStart"/>
      <w:r>
        <w:rPr>
          <w:rFonts w:ascii="Arial" w:eastAsia="Times New Roman" w:hAnsi="Arial" w:cs="Arial"/>
          <w:sz w:val="20"/>
          <w:szCs w:val="24"/>
          <w:lang w:val="en-GB"/>
        </w:rPr>
        <w:t>comparables</w:t>
      </w:r>
      <w:proofErr w:type="spellEnd"/>
      <w:r>
        <w:rPr>
          <w:rFonts w:ascii="Arial" w:eastAsia="Times New Roman" w:hAnsi="Arial" w:cs="Arial"/>
          <w:sz w:val="20"/>
          <w:szCs w:val="24"/>
          <w:lang w:val="en-GB"/>
        </w:rPr>
        <w:t xml:space="preserve">. Internal </w:t>
      </w:r>
      <w:proofErr w:type="spellStart"/>
      <w:r>
        <w:rPr>
          <w:rFonts w:ascii="Arial" w:eastAsia="Times New Roman" w:hAnsi="Arial" w:cs="Arial"/>
          <w:sz w:val="20"/>
          <w:szCs w:val="24"/>
          <w:lang w:val="en-GB"/>
        </w:rPr>
        <w:t>comparables</w:t>
      </w:r>
      <w:proofErr w:type="spellEnd"/>
      <w:r>
        <w:rPr>
          <w:rFonts w:ascii="Arial" w:eastAsia="Times New Roman" w:hAnsi="Arial" w:cs="Arial"/>
          <w:sz w:val="20"/>
          <w:szCs w:val="24"/>
          <w:lang w:val="en-GB"/>
        </w:rPr>
        <w:t xml:space="preserve"> are more appropriate than external ones for applying the selected transfer pricing method.</w:t>
      </w:r>
    </w:p>
    <w:p w14:paraId="0A77A575" w14:textId="77777777" w:rsidR="00936F17" w:rsidRPr="00904D3B" w:rsidRDefault="00936F17" w:rsidP="009553C8">
      <w:pPr>
        <w:spacing w:line="260" w:lineRule="atLeast"/>
        <w:jc w:val="both"/>
        <w:rPr>
          <w:rFonts w:ascii="Arial" w:eastAsia="Times New Roman" w:hAnsi="Arial" w:cs="Arial"/>
          <w:sz w:val="20"/>
          <w:szCs w:val="24"/>
        </w:rPr>
      </w:pPr>
    </w:p>
    <w:p w14:paraId="2B132B68" w14:textId="77777777" w:rsidR="00936F17" w:rsidRPr="00F27413" w:rsidRDefault="00936F17" w:rsidP="009553C8">
      <w:pPr>
        <w:spacing w:line="260" w:lineRule="atLeast"/>
        <w:jc w:val="both"/>
        <w:rPr>
          <w:rFonts w:ascii="Arial" w:eastAsia="Times New Roman" w:hAnsi="Arial" w:cs="Arial"/>
          <w:snapToGrid w:val="0"/>
          <w:kern w:val="24"/>
          <w:sz w:val="20"/>
          <w:szCs w:val="20"/>
        </w:rPr>
      </w:pPr>
      <w:r>
        <w:rPr>
          <w:rFonts w:ascii="Arial" w:eastAsia="Times New Roman" w:hAnsi="Arial" w:cs="Arial"/>
          <w:snapToGrid w:val="0"/>
          <w:kern w:val="24"/>
          <w:sz w:val="20"/>
          <w:szCs w:val="20"/>
          <w:lang w:val="en-GB"/>
        </w:rPr>
        <w:t xml:space="preserve">Notwithstanding the strengths and weaknesses of each transfer pricing method, the comparable uncontrolled price method, the resale price method and the cost plus method should be used wherever possible, as their use is the most direct way to determine whether the conditions in commercial and financial transactions are in line with the arm’s length principle. </w:t>
      </w:r>
    </w:p>
    <w:p w14:paraId="19750D93" w14:textId="77777777" w:rsidR="00936F17" w:rsidRPr="00C91A50" w:rsidRDefault="00936F17" w:rsidP="009553C8">
      <w:pPr>
        <w:spacing w:line="260" w:lineRule="atLeast"/>
        <w:jc w:val="both"/>
        <w:rPr>
          <w:rFonts w:ascii="Arial" w:eastAsia="Times New Roman" w:hAnsi="Arial" w:cs="Arial"/>
          <w:snapToGrid w:val="0"/>
          <w:kern w:val="24"/>
          <w:sz w:val="20"/>
          <w:szCs w:val="20"/>
        </w:rPr>
      </w:pPr>
    </w:p>
    <w:p w14:paraId="3A967D3F" w14:textId="14D887E2" w:rsidR="00936F17" w:rsidRPr="00AA2C04" w:rsidRDefault="00936F17" w:rsidP="009553C8">
      <w:pPr>
        <w:spacing w:line="260" w:lineRule="atLeast"/>
        <w:jc w:val="both"/>
        <w:rPr>
          <w:rFonts w:ascii="Arial" w:eastAsia="Times New Roman" w:hAnsi="Arial" w:cs="Arial"/>
          <w:snapToGrid w:val="0"/>
          <w:kern w:val="24"/>
          <w:sz w:val="20"/>
          <w:szCs w:val="20"/>
        </w:rPr>
      </w:pPr>
      <w:r>
        <w:rPr>
          <w:rFonts w:ascii="Arial" w:eastAsia="Times New Roman" w:hAnsi="Arial" w:cs="Arial"/>
          <w:snapToGrid w:val="0"/>
          <w:kern w:val="24"/>
          <w:sz w:val="20"/>
          <w:szCs w:val="20"/>
          <w:lang w:val="en-GB"/>
        </w:rPr>
        <w:t>In some cases, the use of the transactional net margin method and the profit split method is more appropriate. The use of these methods relates</w:t>
      </w:r>
      <w:proofErr w:type="gramStart"/>
      <w:r>
        <w:rPr>
          <w:rFonts w:ascii="Arial" w:eastAsia="Times New Roman" w:hAnsi="Arial" w:cs="Arial"/>
          <w:snapToGrid w:val="0"/>
          <w:kern w:val="24"/>
          <w:sz w:val="20"/>
          <w:szCs w:val="20"/>
          <w:lang w:val="en-GB"/>
        </w:rPr>
        <w:t>, in particular, to</w:t>
      </w:r>
      <w:proofErr w:type="gramEnd"/>
      <w:r>
        <w:rPr>
          <w:rFonts w:ascii="Arial" w:eastAsia="Times New Roman" w:hAnsi="Arial" w:cs="Arial"/>
          <w:snapToGrid w:val="0"/>
          <w:kern w:val="24"/>
          <w:sz w:val="20"/>
          <w:szCs w:val="20"/>
          <w:lang w:val="en-GB"/>
        </w:rPr>
        <w:t xml:space="preserve"> any </w:t>
      </w:r>
      <w:r w:rsidR="003E0B4B">
        <w:rPr>
          <w:rFonts w:ascii="Arial" w:eastAsia="Times New Roman" w:hAnsi="Arial" w:cs="Arial"/>
          <w:snapToGrid w:val="0"/>
          <w:kern w:val="24"/>
          <w:sz w:val="20"/>
          <w:szCs w:val="20"/>
          <w:lang w:val="en-GB"/>
        </w:rPr>
        <w:t>associated</w:t>
      </w:r>
      <w:r>
        <w:rPr>
          <w:rFonts w:ascii="Arial" w:eastAsia="Times New Roman" w:hAnsi="Arial" w:cs="Arial"/>
          <w:snapToGrid w:val="0"/>
          <w:kern w:val="24"/>
          <w:sz w:val="20"/>
          <w:szCs w:val="20"/>
          <w:lang w:val="en-GB"/>
        </w:rPr>
        <w:t xml:space="preserve">-party transaction to which each party contributes significant added value (in such cases, the profit split method is used). It is also more appropriate to use the two methods when internal </w:t>
      </w:r>
      <w:proofErr w:type="spellStart"/>
      <w:r>
        <w:rPr>
          <w:rFonts w:ascii="Arial" w:eastAsia="Times New Roman" w:hAnsi="Arial" w:cs="Arial"/>
          <w:snapToGrid w:val="0"/>
          <w:kern w:val="24"/>
          <w:sz w:val="20"/>
          <w:szCs w:val="20"/>
          <w:lang w:val="en-GB"/>
        </w:rPr>
        <w:t>comparables</w:t>
      </w:r>
      <w:proofErr w:type="spellEnd"/>
      <w:r>
        <w:rPr>
          <w:rFonts w:ascii="Arial" w:eastAsia="Times New Roman" w:hAnsi="Arial" w:cs="Arial"/>
          <w:snapToGrid w:val="0"/>
          <w:kern w:val="24"/>
          <w:sz w:val="20"/>
          <w:szCs w:val="20"/>
          <w:lang w:val="en-GB"/>
        </w:rPr>
        <w:t xml:space="preserve"> are not available or when no information can be obtained or where publicly available information on the gross margins of </w:t>
      </w:r>
      <w:proofErr w:type="spellStart"/>
      <w:r>
        <w:rPr>
          <w:rFonts w:ascii="Arial" w:eastAsia="Times New Roman" w:hAnsi="Arial" w:cs="Arial"/>
          <w:snapToGrid w:val="0"/>
          <w:kern w:val="24"/>
          <w:sz w:val="20"/>
          <w:szCs w:val="20"/>
          <w:lang w:val="en-GB"/>
        </w:rPr>
        <w:t>un</w:t>
      </w:r>
      <w:r w:rsidR="003E0B4B">
        <w:rPr>
          <w:rFonts w:ascii="Arial" w:eastAsia="Times New Roman" w:hAnsi="Arial" w:cs="Arial"/>
          <w:snapToGrid w:val="0"/>
          <w:kern w:val="24"/>
          <w:sz w:val="20"/>
          <w:szCs w:val="20"/>
          <w:lang w:val="en-GB"/>
        </w:rPr>
        <w:t>associated</w:t>
      </w:r>
      <w:proofErr w:type="spellEnd"/>
      <w:r>
        <w:rPr>
          <w:rFonts w:ascii="Arial" w:eastAsia="Times New Roman" w:hAnsi="Arial" w:cs="Arial"/>
          <w:snapToGrid w:val="0"/>
          <w:kern w:val="24"/>
          <w:sz w:val="20"/>
          <w:szCs w:val="20"/>
          <w:lang w:val="en-GB"/>
        </w:rPr>
        <w:t xml:space="preserve"> parties is unreliable.</w:t>
      </w:r>
    </w:p>
    <w:p w14:paraId="3A4FA03F" w14:textId="77777777" w:rsidR="00936F17" w:rsidRPr="00AA2C04" w:rsidRDefault="00936F17" w:rsidP="009553C8">
      <w:pPr>
        <w:spacing w:line="260" w:lineRule="atLeast"/>
        <w:jc w:val="both"/>
        <w:rPr>
          <w:rFonts w:ascii="Arial" w:eastAsia="Times New Roman" w:hAnsi="Arial" w:cs="Arial"/>
          <w:snapToGrid w:val="0"/>
          <w:kern w:val="24"/>
          <w:sz w:val="20"/>
          <w:szCs w:val="20"/>
        </w:rPr>
      </w:pPr>
    </w:p>
    <w:p w14:paraId="1BC359DF" w14:textId="77777777" w:rsidR="00936F17" w:rsidRPr="00AA2C04" w:rsidRDefault="00936F17" w:rsidP="009553C8">
      <w:pPr>
        <w:spacing w:line="260" w:lineRule="atLeast"/>
        <w:jc w:val="both"/>
        <w:rPr>
          <w:rFonts w:ascii="Arial" w:eastAsia="Times New Roman" w:hAnsi="Arial" w:cs="Arial"/>
          <w:snapToGrid w:val="0"/>
          <w:kern w:val="24"/>
          <w:sz w:val="20"/>
          <w:szCs w:val="20"/>
        </w:rPr>
      </w:pPr>
      <w:r>
        <w:rPr>
          <w:rFonts w:ascii="Arial" w:eastAsia="Times New Roman" w:hAnsi="Arial" w:cs="Arial"/>
          <w:snapToGrid w:val="0"/>
          <w:kern w:val="24"/>
          <w:sz w:val="20"/>
          <w:szCs w:val="20"/>
          <w:lang w:val="en-GB"/>
        </w:rPr>
        <w:t>Under the OECD Guidelines, multinational companies also have the right to use other valuation methods that are not among the five recognised OECD methods, but only if this ensures compliance with the arm’s length principle. When using other methods, taxable persons must specify why they did not use the transfer pricing methods recognised by the OECD and submit transfer pricing documents. In this regard, it should be emphasised that Article 16 of the ZDDPO-2 does not provide for the use of other methods, but only for the use of the five recognised OECD methods.</w:t>
      </w:r>
    </w:p>
    <w:p w14:paraId="305B7057" w14:textId="77777777" w:rsidR="00BB69BB" w:rsidRDefault="00BB69BB" w:rsidP="009553C8">
      <w:pPr>
        <w:spacing w:line="260" w:lineRule="atLeast"/>
        <w:jc w:val="both"/>
        <w:rPr>
          <w:rFonts w:ascii="Arial" w:eastAsia="Times New Roman" w:hAnsi="Arial" w:cs="Arial"/>
          <w:snapToGrid w:val="0"/>
          <w:kern w:val="24"/>
          <w:sz w:val="20"/>
          <w:szCs w:val="20"/>
        </w:rPr>
      </w:pPr>
    </w:p>
    <w:p w14:paraId="3EF19984" w14:textId="77777777" w:rsidR="00914F67" w:rsidRDefault="00BB69BB" w:rsidP="009553C8">
      <w:pPr>
        <w:spacing w:line="260" w:lineRule="atLeast"/>
        <w:jc w:val="both"/>
        <w:rPr>
          <w:rFonts w:ascii="Arial" w:eastAsia="Times New Roman" w:hAnsi="Arial" w:cs="Arial"/>
          <w:snapToGrid w:val="0"/>
          <w:kern w:val="24"/>
          <w:sz w:val="20"/>
          <w:szCs w:val="20"/>
        </w:rPr>
      </w:pPr>
      <w:r>
        <w:rPr>
          <w:rFonts w:ascii="Arial" w:eastAsia="Times New Roman" w:hAnsi="Arial" w:cs="Arial"/>
          <w:snapToGrid w:val="0"/>
          <w:kern w:val="24"/>
          <w:sz w:val="20"/>
          <w:szCs w:val="20"/>
          <w:lang w:val="en-GB"/>
        </w:rPr>
        <w:t>A simplified presentation of the use of transfer pricing methods:</w:t>
      </w:r>
    </w:p>
    <w:p w14:paraId="559B239C" w14:textId="77777777" w:rsidR="00936F17" w:rsidRDefault="00936F17" w:rsidP="00BB69BB">
      <w:pPr>
        <w:jc w:val="both"/>
        <w:rPr>
          <w:rFonts w:ascii="Arial" w:eastAsia="Times New Roman" w:hAnsi="Arial" w:cs="Arial"/>
          <w:snapToGrid w:val="0"/>
          <w:kern w:val="24"/>
          <w:sz w:val="20"/>
          <w:szCs w:val="20"/>
        </w:rPr>
      </w:pPr>
    </w:p>
    <w:tbl>
      <w:tblPr>
        <w:tblpPr w:leftFromText="141" w:rightFromText="141" w:vertAnchor="text" w:horzAnchor="margin" w:tblpX="-10" w:tblpYSpec="bottom"/>
        <w:tblOverlap w:val="never"/>
        <w:tblW w:w="509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9"/>
        <w:gridCol w:w="2116"/>
        <w:gridCol w:w="2140"/>
        <w:gridCol w:w="2397"/>
      </w:tblGrid>
      <w:tr w:rsidR="00024173" w:rsidRPr="006626F1" w14:paraId="7D01DAE3" w14:textId="77777777" w:rsidTr="00FC3334">
        <w:trPr>
          <w:trHeight w:val="739"/>
        </w:trPr>
        <w:tc>
          <w:tcPr>
            <w:tcW w:w="1151" w:type="pct"/>
            <w:tcBorders>
              <w:top w:val="single" w:sz="4" w:space="0" w:color="auto"/>
              <w:left w:val="single" w:sz="4" w:space="0" w:color="auto"/>
              <w:bottom w:val="single" w:sz="4" w:space="0" w:color="auto"/>
              <w:right w:val="single" w:sz="4" w:space="0" w:color="auto"/>
            </w:tcBorders>
            <w:shd w:val="clear" w:color="auto" w:fill="DBDBDB"/>
            <w:vAlign w:val="center"/>
          </w:tcPr>
          <w:p w14:paraId="3BB1FC87" w14:textId="6815AEBD" w:rsidR="006626F1" w:rsidRPr="00FC3334" w:rsidRDefault="006626F1" w:rsidP="00024173">
            <w:pPr>
              <w:keepNext/>
              <w:suppressAutoHyphens/>
              <w:jc w:val="center"/>
              <w:rPr>
                <w:rFonts w:ascii="Arial" w:eastAsia="Times New Roman" w:hAnsi="Arial" w:cs="Times New Roman"/>
                <w:b/>
                <w:kern w:val="24"/>
                <w:sz w:val="16"/>
                <w:szCs w:val="16"/>
              </w:rPr>
            </w:pPr>
            <w:r w:rsidRPr="00FC3334">
              <w:rPr>
                <w:rFonts w:ascii="Arial" w:eastAsia="Times New Roman" w:hAnsi="Arial" w:cs="Arial"/>
                <w:b/>
                <w:bCs/>
                <w:kern w:val="24"/>
                <w:sz w:val="16"/>
                <w:szCs w:val="16"/>
                <w:lang w:val="en-GB"/>
              </w:rPr>
              <w:t>TRANSFER PRICING METHODS</w:t>
            </w:r>
          </w:p>
        </w:tc>
        <w:tc>
          <w:tcPr>
            <w:tcW w:w="1224" w:type="pct"/>
            <w:tcBorders>
              <w:top w:val="single" w:sz="4" w:space="0" w:color="auto"/>
              <w:left w:val="single" w:sz="4" w:space="0" w:color="auto"/>
              <w:bottom w:val="single" w:sz="4" w:space="0" w:color="auto"/>
              <w:right w:val="single" w:sz="4" w:space="0" w:color="auto"/>
            </w:tcBorders>
            <w:shd w:val="clear" w:color="auto" w:fill="DBDBDB"/>
            <w:vAlign w:val="center"/>
          </w:tcPr>
          <w:p w14:paraId="36318D40" w14:textId="77777777" w:rsidR="006626F1" w:rsidRPr="00FC3334" w:rsidRDefault="006626F1" w:rsidP="00024173">
            <w:pPr>
              <w:keepNext/>
              <w:suppressAutoHyphens/>
              <w:jc w:val="center"/>
              <w:rPr>
                <w:rFonts w:ascii="Arial" w:eastAsia="Times New Roman" w:hAnsi="Arial" w:cs="Times New Roman"/>
                <w:b/>
                <w:kern w:val="24"/>
                <w:sz w:val="16"/>
                <w:szCs w:val="16"/>
              </w:rPr>
            </w:pPr>
            <w:r w:rsidRPr="00FC3334">
              <w:rPr>
                <w:rFonts w:ascii="Arial" w:eastAsia="Times New Roman" w:hAnsi="Arial" w:cs="Arial"/>
                <w:b/>
                <w:bCs/>
                <w:kern w:val="24"/>
                <w:sz w:val="16"/>
                <w:szCs w:val="16"/>
                <w:lang w:val="en-GB"/>
              </w:rPr>
              <w:t>CRITERION</w:t>
            </w:r>
          </w:p>
        </w:tc>
        <w:tc>
          <w:tcPr>
            <w:tcW w:w="1238" w:type="pct"/>
            <w:tcBorders>
              <w:top w:val="single" w:sz="4" w:space="0" w:color="auto"/>
              <w:left w:val="single" w:sz="4" w:space="0" w:color="auto"/>
              <w:bottom w:val="single" w:sz="4" w:space="0" w:color="auto"/>
              <w:right w:val="single" w:sz="4" w:space="0" w:color="auto"/>
            </w:tcBorders>
            <w:shd w:val="clear" w:color="auto" w:fill="DBDBDB"/>
            <w:vAlign w:val="center"/>
          </w:tcPr>
          <w:p w14:paraId="2604B1A9" w14:textId="557BDE52" w:rsidR="006626F1" w:rsidRPr="00FC3334" w:rsidRDefault="006626F1" w:rsidP="00024173">
            <w:pPr>
              <w:keepNext/>
              <w:suppressAutoHyphens/>
              <w:jc w:val="center"/>
              <w:rPr>
                <w:rFonts w:ascii="Arial" w:eastAsia="Times New Roman" w:hAnsi="Arial" w:cs="Times New Roman"/>
                <w:b/>
                <w:kern w:val="24"/>
                <w:sz w:val="16"/>
                <w:szCs w:val="16"/>
              </w:rPr>
            </w:pPr>
            <w:r w:rsidRPr="00FC3334">
              <w:rPr>
                <w:rFonts w:ascii="Arial" w:eastAsia="Times New Roman" w:hAnsi="Arial" w:cs="Arial"/>
                <w:b/>
                <w:bCs/>
                <w:kern w:val="24"/>
                <w:sz w:val="16"/>
                <w:szCs w:val="16"/>
                <w:lang w:val="en-GB"/>
              </w:rPr>
              <w:t xml:space="preserve">BASIS FOR CALCULATION </w:t>
            </w:r>
          </w:p>
        </w:tc>
        <w:tc>
          <w:tcPr>
            <w:tcW w:w="1387" w:type="pct"/>
            <w:tcBorders>
              <w:top w:val="single" w:sz="4" w:space="0" w:color="auto"/>
              <w:left w:val="single" w:sz="4" w:space="0" w:color="auto"/>
              <w:bottom w:val="single" w:sz="4" w:space="0" w:color="auto"/>
              <w:right w:val="single" w:sz="4" w:space="0" w:color="auto"/>
            </w:tcBorders>
            <w:shd w:val="clear" w:color="auto" w:fill="DBDBDB"/>
            <w:vAlign w:val="center"/>
          </w:tcPr>
          <w:p w14:paraId="1D2058F8" w14:textId="77777777" w:rsidR="006626F1" w:rsidRPr="00FC3334" w:rsidRDefault="006626F1" w:rsidP="00024173">
            <w:pPr>
              <w:keepNext/>
              <w:suppressAutoHyphens/>
              <w:jc w:val="center"/>
              <w:rPr>
                <w:rFonts w:ascii="Arial" w:eastAsia="Times New Roman" w:hAnsi="Arial" w:cs="Arial"/>
                <w:b/>
                <w:kern w:val="24"/>
                <w:sz w:val="16"/>
                <w:szCs w:val="16"/>
              </w:rPr>
            </w:pPr>
            <w:r w:rsidRPr="00FC3334">
              <w:rPr>
                <w:rFonts w:ascii="Arial" w:eastAsia="Times New Roman" w:hAnsi="Arial" w:cs="Arial"/>
                <w:b/>
                <w:bCs/>
                <w:kern w:val="24"/>
                <w:sz w:val="16"/>
                <w:szCs w:val="16"/>
                <w:lang w:val="en-GB"/>
              </w:rPr>
              <w:t xml:space="preserve">APPLICATION OF THE </w:t>
            </w:r>
            <w:r w:rsidRPr="00FC3334">
              <w:rPr>
                <w:rFonts w:ascii="Arial" w:eastAsia="Times New Roman" w:hAnsi="Arial" w:cs="Arial"/>
                <w:kern w:val="24"/>
                <w:sz w:val="16"/>
                <w:szCs w:val="16"/>
                <w:lang w:val="en-GB"/>
              </w:rPr>
              <w:br/>
            </w:r>
            <w:r w:rsidRPr="00FC3334">
              <w:rPr>
                <w:rFonts w:ascii="Arial" w:eastAsia="Times New Roman" w:hAnsi="Arial" w:cs="Arial"/>
                <w:b/>
                <w:bCs/>
                <w:kern w:val="24"/>
                <w:sz w:val="16"/>
                <w:szCs w:val="16"/>
                <w:lang w:val="en-GB"/>
              </w:rPr>
              <w:t>METHOD</w:t>
            </w:r>
          </w:p>
        </w:tc>
      </w:tr>
      <w:tr w:rsidR="00024173" w:rsidRPr="006626F1" w14:paraId="54C685B5" w14:textId="77777777" w:rsidTr="00FC3334">
        <w:tc>
          <w:tcPr>
            <w:tcW w:w="1151" w:type="pct"/>
            <w:tcBorders>
              <w:top w:val="single" w:sz="4" w:space="0" w:color="auto"/>
              <w:left w:val="single" w:sz="4" w:space="0" w:color="auto"/>
              <w:bottom w:val="single" w:sz="4" w:space="0" w:color="auto"/>
              <w:right w:val="single" w:sz="4" w:space="0" w:color="auto"/>
            </w:tcBorders>
            <w:shd w:val="clear" w:color="auto" w:fill="auto"/>
            <w:vAlign w:val="center"/>
          </w:tcPr>
          <w:p w14:paraId="1A99D1D1" w14:textId="1A12ECC9" w:rsidR="006626F1" w:rsidRDefault="006626F1" w:rsidP="00024173">
            <w:pPr>
              <w:keepNext/>
              <w:suppressAutoHyphens/>
              <w:jc w:val="center"/>
              <w:rPr>
                <w:rFonts w:ascii="Arial" w:eastAsia="Times New Roman" w:hAnsi="Arial" w:cs="Arial"/>
                <w:b/>
                <w:bCs/>
                <w:kern w:val="24"/>
                <w:sz w:val="16"/>
                <w:szCs w:val="16"/>
                <w:lang w:val="en-GB"/>
              </w:rPr>
            </w:pPr>
            <w:r w:rsidRPr="00FC3334">
              <w:rPr>
                <w:rFonts w:ascii="Arial" w:eastAsia="Times New Roman" w:hAnsi="Arial" w:cs="Arial"/>
                <w:b/>
                <w:bCs/>
                <w:kern w:val="24"/>
                <w:sz w:val="16"/>
                <w:szCs w:val="16"/>
                <w:lang w:val="en-GB"/>
              </w:rPr>
              <w:t>THE COMPARABLE UNCONTROLLED PRICE METHOD</w:t>
            </w:r>
          </w:p>
          <w:p w14:paraId="4B372A87" w14:textId="1C66460B" w:rsidR="00FC3334" w:rsidRPr="00FC3334" w:rsidRDefault="00FC3334" w:rsidP="00024173">
            <w:pPr>
              <w:keepNext/>
              <w:suppressAutoHyphens/>
              <w:jc w:val="center"/>
              <w:rPr>
                <w:rFonts w:ascii="Arial" w:eastAsia="Times New Roman" w:hAnsi="Arial" w:cs="Times New Roman"/>
                <w:b/>
                <w:kern w:val="24"/>
                <w:sz w:val="16"/>
                <w:szCs w:val="16"/>
              </w:rPr>
            </w:pPr>
          </w:p>
        </w:tc>
        <w:tc>
          <w:tcPr>
            <w:tcW w:w="1224" w:type="pct"/>
            <w:tcBorders>
              <w:top w:val="single" w:sz="4" w:space="0" w:color="auto"/>
              <w:left w:val="single" w:sz="4" w:space="0" w:color="auto"/>
              <w:bottom w:val="single" w:sz="4" w:space="0" w:color="auto"/>
              <w:right w:val="single" w:sz="4" w:space="0" w:color="auto"/>
            </w:tcBorders>
            <w:shd w:val="clear" w:color="auto" w:fill="auto"/>
            <w:vAlign w:val="center"/>
          </w:tcPr>
          <w:p w14:paraId="1E6764D2" w14:textId="77777777" w:rsidR="006626F1" w:rsidRPr="006626F1" w:rsidRDefault="006626F1" w:rsidP="00024173">
            <w:pPr>
              <w:keepNext/>
              <w:suppressAutoHyphens/>
              <w:jc w:val="center"/>
              <w:rPr>
                <w:rFonts w:ascii="Arial" w:eastAsia="Times New Roman" w:hAnsi="Arial" w:cs="Arial"/>
                <w:kern w:val="24"/>
                <w:sz w:val="16"/>
                <w:szCs w:val="16"/>
              </w:rPr>
            </w:pPr>
            <w:r>
              <w:rPr>
                <w:rFonts w:ascii="Arial" w:eastAsia="Times New Roman" w:hAnsi="Arial" w:cs="Arial"/>
                <w:kern w:val="24"/>
                <w:sz w:val="16"/>
                <w:szCs w:val="16"/>
                <w:lang w:val="en-GB"/>
              </w:rPr>
              <w:t>Comparable market price</w:t>
            </w:r>
          </w:p>
          <w:p w14:paraId="7F9395B7" w14:textId="77777777" w:rsidR="006626F1" w:rsidRPr="006626F1" w:rsidRDefault="006626F1" w:rsidP="00024173">
            <w:pPr>
              <w:keepNext/>
              <w:suppressAutoHyphens/>
              <w:jc w:val="center"/>
              <w:rPr>
                <w:rFonts w:ascii="Arial" w:eastAsia="Times New Roman" w:hAnsi="Arial" w:cs="Times New Roman"/>
                <w:kern w:val="24"/>
                <w:sz w:val="16"/>
                <w:szCs w:val="16"/>
              </w:rPr>
            </w:pPr>
          </w:p>
        </w:tc>
        <w:tc>
          <w:tcPr>
            <w:tcW w:w="1238" w:type="pct"/>
            <w:tcBorders>
              <w:top w:val="single" w:sz="4" w:space="0" w:color="auto"/>
              <w:left w:val="single" w:sz="4" w:space="0" w:color="auto"/>
              <w:bottom w:val="single" w:sz="4" w:space="0" w:color="auto"/>
              <w:right w:val="single" w:sz="4" w:space="0" w:color="auto"/>
            </w:tcBorders>
            <w:shd w:val="clear" w:color="auto" w:fill="auto"/>
            <w:vAlign w:val="center"/>
          </w:tcPr>
          <w:p w14:paraId="5BE38DFB" w14:textId="77777777" w:rsidR="006626F1" w:rsidRPr="006626F1" w:rsidRDefault="006626F1" w:rsidP="00024173">
            <w:pPr>
              <w:keepNext/>
              <w:suppressAutoHyphens/>
              <w:jc w:val="center"/>
              <w:rPr>
                <w:rFonts w:ascii="Arial" w:eastAsia="Times New Roman" w:hAnsi="Arial" w:cs="Times New Roman"/>
                <w:kern w:val="24"/>
                <w:sz w:val="16"/>
                <w:szCs w:val="16"/>
              </w:rPr>
            </w:pPr>
            <w:r>
              <w:rPr>
                <w:rFonts w:ascii="Arial" w:eastAsia="Times New Roman" w:hAnsi="Arial" w:cs="Arial"/>
                <w:kern w:val="24"/>
                <w:sz w:val="16"/>
                <w:szCs w:val="16"/>
                <w:lang w:val="en-GB"/>
              </w:rPr>
              <w:t>Direct application of the comparable market price</w:t>
            </w:r>
          </w:p>
        </w:tc>
        <w:tc>
          <w:tcPr>
            <w:tcW w:w="1387" w:type="pct"/>
            <w:tcBorders>
              <w:top w:val="single" w:sz="4" w:space="0" w:color="auto"/>
              <w:left w:val="single" w:sz="4" w:space="0" w:color="auto"/>
              <w:bottom w:val="single" w:sz="4" w:space="0" w:color="auto"/>
              <w:right w:val="single" w:sz="4" w:space="0" w:color="auto"/>
            </w:tcBorders>
            <w:shd w:val="clear" w:color="auto" w:fill="auto"/>
            <w:vAlign w:val="center"/>
          </w:tcPr>
          <w:p w14:paraId="43CAC3CE" w14:textId="77777777" w:rsidR="006626F1" w:rsidRPr="006626F1" w:rsidRDefault="006626F1" w:rsidP="00024173">
            <w:pPr>
              <w:keepNext/>
              <w:suppressAutoHyphens/>
              <w:jc w:val="center"/>
              <w:rPr>
                <w:rFonts w:ascii="Arial" w:eastAsia="Times New Roman" w:hAnsi="Arial" w:cs="Times New Roman"/>
                <w:kern w:val="24"/>
                <w:sz w:val="16"/>
                <w:szCs w:val="16"/>
              </w:rPr>
            </w:pPr>
            <w:r>
              <w:rPr>
                <w:rFonts w:ascii="Arial" w:eastAsia="Times New Roman" w:hAnsi="Arial" w:cs="Times New Roman"/>
                <w:kern w:val="24"/>
                <w:sz w:val="16"/>
                <w:szCs w:val="16"/>
                <w:lang w:val="en-GB"/>
              </w:rPr>
              <w:t>To all transactions (products, goods, services, interest rates, etc.)</w:t>
            </w:r>
          </w:p>
        </w:tc>
      </w:tr>
      <w:tr w:rsidR="00024173" w:rsidRPr="006626F1" w14:paraId="7D78569A" w14:textId="77777777" w:rsidTr="00FC3334">
        <w:tc>
          <w:tcPr>
            <w:tcW w:w="1151" w:type="pct"/>
            <w:tcBorders>
              <w:top w:val="single" w:sz="4" w:space="0" w:color="auto"/>
              <w:left w:val="single" w:sz="4" w:space="0" w:color="auto"/>
              <w:bottom w:val="single" w:sz="4" w:space="0" w:color="auto"/>
              <w:right w:val="single" w:sz="4" w:space="0" w:color="auto"/>
            </w:tcBorders>
            <w:shd w:val="clear" w:color="auto" w:fill="auto"/>
            <w:vAlign w:val="center"/>
          </w:tcPr>
          <w:p w14:paraId="5F0462B8" w14:textId="77777777" w:rsidR="006626F1" w:rsidRPr="00FC3334" w:rsidRDefault="006626F1" w:rsidP="00024173">
            <w:pPr>
              <w:jc w:val="center"/>
              <w:rPr>
                <w:rFonts w:ascii="Arial" w:eastAsia="Times New Roman" w:hAnsi="Arial" w:cs="Arial"/>
                <w:b/>
                <w:sz w:val="16"/>
                <w:szCs w:val="16"/>
              </w:rPr>
            </w:pPr>
            <w:r w:rsidRPr="00FC3334">
              <w:rPr>
                <w:rFonts w:ascii="Arial" w:eastAsia="Times New Roman" w:hAnsi="Arial" w:cs="Arial"/>
                <w:b/>
                <w:bCs/>
                <w:sz w:val="16"/>
                <w:szCs w:val="16"/>
                <w:lang w:val="en-GB"/>
              </w:rPr>
              <w:t>THE RESALE PRICE            METHOD</w:t>
            </w:r>
          </w:p>
          <w:p w14:paraId="464C113F" w14:textId="77777777" w:rsidR="006626F1" w:rsidRPr="00FC3334" w:rsidRDefault="006626F1" w:rsidP="00024173">
            <w:pPr>
              <w:keepNext/>
              <w:suppressAutoHyphens/>
              <w:jc w:val="both"/>
              <w:rPr>
                <w:rFonts w:ascii="Arial" w:eastAsia="Times New Roman" w:hAnsi="Arial" w:cs="Times New Roman"/>
                <w:b/>
                <w:kern w:val="24"/>
                <w:sz w:val="16"/>
                <w:szCs w:val="16"/>
              </w:rPr>
            </w:pPr>
          </w:p>
        </w:tc>
        <w:tc>
          <w:tcPr>
            <w:tcW w:w="1224" w:type="pct"/>
            <w:tcBorders>
              <w:top w:val="single" w:sz="4" w:space="0" w:color="auto"/>
              <w:left w:val="single" w:sz="4" w:space="0" w:color="auto"/>
              <w:bottom w:val="single" w:sz="4" w:space="0" w:color="auto"/>
              <w:right w:val="single" w:sz="4" w:space="0" w:color="auto"/>
            </w:tcBorders>
            <w:shd w:val="clear" w:color="auto" w:fill="auto"/>
            <w:vAlign w:val="center"/>
          </w:tcPr>
          <w:p w14:paraId="6F3E8702" w14:textId="77777777" w:rsidR="006626F1" w:rsidRPr="006626F1" w:rsidRDefault="006626F1" w:rsidP="00024173">
            <w:pPr>
              <w:keepNext/>
              <w:suppressAutoHyphens/>
              <w:jc w:val="center"/>
              <w:rPr>
                <w:rFonts w:ascii="Arial" w:eastAsia="Times New Roman" w:hAnsi="Arial" w:cs="Arial"/>
                <w:kern w:val="24"/>
                <w:sz w:val="16"/>
                <w:szCs w:val="16"/>
              </w:rPr>
            </w:pPr>
            <w:r>
              <w:rPr>
                <w:rFonts w:ascii="Arial" w:eastAsia="Times New Roman" w:hAnsi="Arial" w:cs="Arial"/>
                <w:kern w:val="24"/>
                <w:sz w:val="16"/>
                <w:szCs w:val="16"/>
                <w:lang w:val="en-GB"/>
              </w:rPr>
              <w:t xml:space="preserve">Comparable gross margin </w:t>
            </w:r>
          </w:p>
          <w:p w14:paraId="4CCE51DC" w14:textId="77777777" w:rsidR="006626F1" w:rsidRPr="006626F1" w:rsidRDefault="006626F1" w:rsidP="00024173">
            <w:pPr>
              <w:keepNext/>
              <w:suppressAutoHyphens/>
              <w:jc w:val="center"/>
              <w:rPr>
                <w:rFonts w:ascii="Arial" w:eastAsia="Times New Roman" w:hAnsi="Arial" w:cs="Times New Roman"/>
                <w:kern w:val="24"/>
                <w:sz w:val="16"/>
                <w:szCs w:val="16"/>
              </w:rPr>
            </w:pPr>
            <w:r>
              <w:rPr>
                <w:rFonts w:ascii="Arial" w:eastAsia="Times New Roman" w:hAnsi="Arial" w:cs="Arial"/>
                <w:kern w:val="24"/>
                <w:sz w:val="16"/>
                <w:szCs w:val="16"/>
                <w:lang w:val="en-GB"/>
              </w:rPr>
              <w:t>(the test party is the customer)</w:t>
            </w:r>
          </w:p>
        </w:tc>
        <w:tc>
          <w:tcPr>
            <w:tcW w:w="1238" w:type="pct"/>
            <w:tcBorders>
              <w:top w:val="single" w:sz="4" w:space="0" w:color="auto"/>
              <w:left w:val="single" w:sz="4" w:space="0" w:color="auto"/>
              <w:bottom w:val="single" w:sz="4" w:space="0" w:color="auto"/>
              <w:right w:val="single" w:sz="4" w:space="0" w:color="auto"/>
            </w:tcBorders>
            <w:shd w:val="clear" w:color="auto" w:fill="auto"/>
            <w:vAlign w:val="center"/>
          </w:tcPr>
          <w:p w14:paraId="4D75F067" w14:textId="40948D1D" w:rsidR="006626F1" w:rsidRDefault="006626F1" w:rsidP="00024173">
            <w:pPr>
              <w:keepNext/>
              <w:suppressAutoHyphens/>
              <w:jc w:val="center"/>
              <w:rPr>
                <w:rFonts w:ascii="Arial" w:eastAsia="Times New Roman" w:hAnsi="Arial" w:cs="Times New Roman"/>
                <w:kern w:val="24"/>
                <w:sz w:val="16"/>
                <w:szCs w:val="16"/>
                <w:lang w:val="en-GB"/>
              </w:rPr>
            </w:pPr>
            <w:r>
              <w:rPr>
                <w:rFonts w:ascii="Arial" w:eastAsia="Times New Roman" w:hAnsi="Arial" w:cs="Times New Roman"/>
                <w:kern w:val="24"/>
                <w:sz w:val="16"/>
                <w:szCs w:val="16"/>
                <w:lang w:val="en-GB"/>
              </w:rPr>
              <w:t xml:space="preserve">The market selling price that the tested party achieves when selling to an </w:t>
            </w:r>
            <w:proofErr w:type="spellStart"/>
            <w:r>
              <w:rPr>
                <w:rFonts w:ascii="Arial" w:eastAsia="Times New Roman" w:hAnsi="Arial" w:cs="Times New Roman"/>
                <w:kern w:val="24"/>
                <w:sz w:val="16"/>
                <w:szCs w:val="16"/>
                <w:lang w:val="en-GB"/>
              </w:rPr>
              <w:t>un</w:t>
            </w:r>
            <w:r w:rsidR="003E0B4B">
              <w:rPr>
                <w:rFonts w:ascii="Arial" w:eastAsia="Times New Roman" w:hAnsi="Arial" w:cs="Times New Roman"/>
                <w:kern w:val="24"/>
                <w:sz w:val="16"/>
                <w:szCs w:val="16"/>
                <w:lang w:val="en-GB"/>
              </w:rPr>
              <w:t>associated</w:t>
            </w:r>
            <w:proofErr w:type="spellEnd"/>
            <w:r>
              <w:rPr>
                <w:rFonts w:ascii="Arial" w:eastAsia="Times New Roman" w:hAnsi="Arial" w:cs="Times New Roman"/>
                <w:kern w:val="24"/>
                <w:sz w:val="16"/>
                <w:szCs w:val="16"/>
                <w:lang w:val="en-GB"/>
              </w:rPr>
              <w:t xml:space="preserve"> customer</w:t>
            </w:r>
          </w:p>
          <w:p w14:paraId="222741C3" w14:textId="5AE2E4F2" w:rsidR="00FC3334" w:rsidRPr="006626F1" w:rsidRDefault="00FC3334" w:rsidP="00024173">
            <w:pPr>
              <w:keepNext/>
              <w:suppressAutoHyphens/>
              <w:jc w:val="center"/>
              <w:rPr>
                <w:rFonts w:ascii="Arial" w:eastAsia="Times New Roman" w:hAnsi="Arial" w:cs="Times New Roman"/>
                <w:kern w:val="24"/>
                <w:sz w:val="16"/>
                <w:szCs w:val="16"/>
              </w:rPr>
            </w:pPr>
          </w:p>
        </w:tc>
        <w:tc>
          <w:tcPr>
            <w:tcW w:w="1387" w:type="pct"/>
            <w:tcBorders>
              <w:top w:val="single" w:sz="4" w:space="0" w:color="auto"/>
              <w:left w:val="single" w:sz="4" w:space="0" w:color="auto"/>
              <w:bottom w:val="single" w:sz="4" w:space="0" w:color="auto"/>
              <w:right w:val="single" w:sz="4" w:space="0" w:color="auto"/>
            </w:tcBorders>
            <w:shd w:val="clear" w:color="auto" w:fill="auto"/>
            <w:vAlign w:val="center"/>
          </w:tcPr>
          <w:p w14:paraId="57128B56" w14:textId="77777777" w:rsidR="006626F1" w:rsidRPr="006626F1" w:rsidRDefault="006626F1" w:rsidP="00024173">
            <w:pPr>
              <w:keepNext/>
              <w:suppressAutoHyphens/>
              <w:jc w:val="center"/>
              <w:rPr>
                <w:rFonts w:ascii="Arial" w:eastAsia="Times New Roman" w:hAnsi="Arial" w:cs="Times New Roman"/>
                <w:kern w:val="24"/>
                <w:sz w:val="16"/>
                <w:szCs w:val="16"/>
              </w:rPr>
            </w:pPr>
            <w:r>
              <w:rPr>
                <w:rFonts w:ascii="Arial" w:eastAsia="Times New Roman" w:hAnsi="Arial" w:cs="Times New Roman"/>
                <w:kern w:val="24"/>
                <w:sz w:val="16"/>
                <w:szCs w:val="16"/>
                <w:lang w:val="en-GB"/>
              </w:rPr>
              <w:t>To a reseller not contributing significant added value to the goods</w:t>
            </w:r>
          </w:p>
        </w:tc>
      </w:tr>
      <w:tr w:rsidR="00024173" w:rsidRPr="006626F1" w14:paraId="7284B4E8" w14:textId="77777777" w:rsidTr="00FC3334">
        <w:tc>
          <w:tcPr>
            <w:tcW w:w="1151" w:type="pct"/>
            <w:tcBorders>
              <w:top w:val="single" w:sz="4" w:space="0" w:color="auto"/>
              <w:left w:val="single" w:sz="4" w:space="0" w:color="auto"/>
              <w:bottom w:val="single" w:sz="4" w:space="0" w:color="auto"/>
              <w:right w:val="single" w:sz="4" w:space="0" w:color="auto"/>
            </w:tcBorders>
            <w:shd w:val="clear" w:color="auto" w:fill="auto"/>
            <w:vAlign w:val="center"/>
          </w:tcPr>
          <w:p w14:paraId="0C9F5586" w14:textId="77777777" w:rsidR="006626F1" w:rsidRPr="00FC3334" w:rsidRDefault="006626F1" w:rsidP="00024173">
            <w:pPr>
              <w:keepNext/>
              <w:suppressAutoHyphens/>
              <w:jc w:val="center"/>
              <w:rPr>
                <w:rFonts w:ascii="Arial" w:eastAsia="Times New Roman" w:hAnsi="Arial" w:cs="Arial"/>
                <w:b/>
                <w:kern w:val="24"/>
                <w:sz w:val="16"/>
                <w:szCs w:val="16"/>
              </w:rPr>
            </w:pPr>
            <w:r w:rsidRPr="00FC3334">
              <w:rPr>
                <w:rFonts w:ascii="Arial" w:eastAsia="Times New Roman" w:hAnsi="Arial" w:cs="Arial"/>
                <w:b/>
                <w:bCs/>
                <w:kern w:val="24"/>
                <w:sz w:val="16"/>
                <w:szCs w:val="16"/>
                <w:lang w:val="en-GB"/>
              </w:rPr>
              <w:t xml:space="preserve">THE COST PLUS METHOD </w:t>
            </w:r>
            <w:r w:rsidRPr="00FC3334">
              <w:rPr>
                <w:rFonts w:ascii="Arial" w:eastAsia="Times New Roman" w:hAnsi="Arial" w:cs="Arial"/>
                <w:kern w:val="24"/>
                <w:sz w:val="16"/>
                <w:szCs w:val="16"/>
                <w:lang w:val="en-GB"/>
              </w:rPr>
              <w:br/>
            </w:r>
            <w:r w:rsidRPr="00FC3334">
              <w:rPr>
                <w:rFonts w:ascii="Arial" w:eastAsia="Times New Roman" w:hAnsi="Arial" w:cs="Arial"/>
                <w:b/>
                <w:bCs/>
                <w:kern w:val="24"/>
                <w:sz w:val="16"/>
                <w:szCs w:val="16"/>
                <w:lang w:val="en-GB"/>
              </w:rPr>
              <w:t xml:space="preserve"> </w:t>
            </w:r>
          </w:p>
          <w:p w14:paraId="57A0A7A8" w14:textId="77777777" w:rsidR="006626F1" w:rsidRPr="00FC3334" w:rsidRDefault="006626F1" w:rsidP="00024173">
            <w:pPr>
              <w:keepNext/>
              <w:suppressAutoHyphens/>
              <w:jc w:val="center"/>
              <w:rPr>
                <w:rFonts w:ascii="Arial" w:eastAsia="Times New Roman" w:hAnsi="Arial" w:cs="Times New Roman"/>
                <w:b/>
                <w:kern w:val="24"/>
                <w:sz w:val="16"/>
                <w:szCs w:val="16"/>
              </w:rPr>
            </w:pPr>
          </w:p>
        </w:tc>
        <w:tc>
          <w:tcPr>
            <w:tcW w:w="1224" w:type="pct"/>
            <w:tcBorders>
              <w:top w:val="single" w:sz="4" w:space="0" w:color="auto"/>
              <w:left w:val="single" w:sz="4" w:space="0" w:color="auto"/>
              <w:bottom w:val="single" w:sz="4" w:space="0" w:color="auto"/>
              <w:right w:val="single" w:sz="4" w:space="0" w:color="auto"/>
            </w:tcBorders>
            <w:shd w:val="clear" w:color="auto" w:fill="auto"/>
            <w:vAlign w:val="center"/>
          </w:tcPr>
          <w:p w14:paraId="494CB7CA" w14:textId="110F18B9" w:rsidR="006626F1" w:rsidRPr="006626F1" w:rsidRDefault="006626F1" w:rsidP="00024173">
            <w:pPr>
              <w:jc w:val="center"/>
              <w:rPr>
                <w:rFonts w:ascii="Arial" w:eastAsia="Times New Roman" w:hAnsi="Arial" w:cs="Arial"/>
                <w:b/>
                <w:sz w:val="16"/>
                <w:szCs w:val="16"/>
              </w:rPr>
            </w:pPr>
            <w:r>
              <w:rPr>
                <w:rFonts w:ascii="Arial" w:eastAsia="Times New Roman" w:hAnsi="Arial" w:cs="Arial"/>
                <w:sz w:val="16"/>
                <w:szCs w:val="16"/>
                <w:lang w:val="en-GB"/>
              </w:rPr>
              <w:t xml:space="preserve">A comparable cost mark-up </w:t>
            </w:r>
            <w:r>
              <w:rPr>
                <w:rFonts w:ascii="Arial" w:eastAsia="Times New Roman" w:hAnsi="Arial" w:cs="Arial"/>
                <w:b/>
                <w:bCs/>
                <w:sz w:val="16"/>
                <w:szCs w:val="16"/>
                <w:lang w:val="en-GB"/>
              </w:rPr>
              <w:t xml:space="preserve"> </w:t>
            </w:r>
          </w:p>
          <w:p w14:paraId="4E93F150" w14:textId="77777777" w:rsidR="006626F1" w:rsidRDefault="006626F1" w:rsidP="00024173">
            <w:pPr>
              <w:jc w:val="center"/>
              <w:rPr>
                <w:rFonts w:ascii="Arial" w:eastAsia="Times New Roman" w:hAnsi="Arial" w:cs="Arial"/>
                <w:sz w:val="16"/>
                <w:szCs w:val="16"/>
                <w:lang w:val="en-GB"/>
              </w:rPr>
            </w:pPr>
            <w:r>
              <w:rPr>
                <w:rFonts w:ascii="Arial" w:eastAsia="Times New Roman" w:hAnsi="Arial" w:cs="Arial"/>
                <w:sz w:val="16"/>
                <w:szCs w:val="16"/>
                <w:lang w:val="en-GB"/>
              </w:rPr>
              <w:t>(the test party is a seller or a contract manufacturer or service provider)</w:t>
            </w:r>
          </w:p>
          <w:p w14:paraId="1F339F78" w14:textId="6C13CC5D" w:rsidR="00FC3334" w:rsidRPr="006626F1" w:rsidRDefault="00FC3334" w:rsidP="00024173">
            <w:pPr>
              <w:jc w:val="center"/>
              <w:rPr>
                <w:rFonts w:ascii="Arial" w:eastAsia="Times New Roman" w:hAnsi="Arial" w:cs="Arial"/>
                <w:sz w:val="16"/>
                <w:szCs w:val="16"/>
              </w:rPr>
            </w:pPr>
          </w:p>
        </w:tc>
        <w:tc>
          <w:tcPr>
            <w:tcW w:w="1238" w:type="pct"/>
            <w:tcBorders>
              <w:top w:val="single" w:sz="4" w:space="0" w:color="auto"/>
              <w:left w:val="single" w:sz="4" w:space="0" w:color="auto"/>
              <w:bottom w:val="single" w:sz="4" w:space="0" w:color="auto"/>
              <w:right w:val="single" w:sz="4" w:space="0" w:color="auto"/>
            </w:tcBorders>
            <w:shd w:val="clear" w:color="auto" w:fill="auto"/>
            <w:vAlign w:val="center"/>
          </w:tcPr>
          <w:p w14:paraId="1A798554" w14:textId="77777777" w:rsidR="006626F1" w:rsidRPr="006626F1" w:rsidRDefault="006626F1" w:rsidP="00024173">
            <w:pPr>
              <w:jc w:val="center"/>
              <w:rPr>
                <w:rFonts w:ascii="Arial" w:eastAsia="Times New Roman" w:hAnsi="Arial" w:cs="Arial"/>
                <w:sz w:val="16"/>
                <w:szCs w:val="16"/>
              </w:rPr>
            </w:pPr>
            <w:r>
              <w:rPr>
                <w:rFonts w:ascii="Arial" w:eastAsia="Times New Roman" w:hAnsi="Arial" w:cs="Times New Roman"/>
                <w:kern w:val="24"/>
                <w:sz w:val="16"/>
                <w:szCs w:val="16"/>
                <w:lang w:val="en-GB"/>
              </w:rPr>
              <w:t>The production costs/costs of services incurred by the test party</w:t>
            </w:r>
          </w:p>
        </w:tc>
        <w:tc>
          <w:tcPr>
            <w:tcW w:w="1387" w:type="pct"/>
            <w:tcBorders>
              <w:top w:val="single" w:sz="4" w:space="0" w:color="auto"/>
              <w:left w:val="single" w:sz="4" w:space="0" w:color="auto"/>
              <w:bottom w:val="single" w:sz="4" w:space="0" w:color="auto"/>
              <w:right w:val="single" w:sz="4" w:space="0" w:color="auto"/>
            </w:tcBorders>
            <w:shd w:val="clear" w:color="auto" w:fill="auto"/>
            <w:vAlign w:val="center"/>
          </w:tcPr>
          <w:p w14:paraId="42FCACF9" w14:textId="77777777" w:rsidR="006626F1" w:rsidRPr="006626F1" w:rsidRDefault="006626F1" w:rsidP="00024173">
            <w:pPr>
              <w:jc w:val="center"/>
              <w:rPr>
                <w:rFonts w:ascii="Arial" w:eastAsia="Times New Roman" w:hAnsi="Arial" w:cs="Arial"/>
                <w:sz w:val="16"/>
                <w:szCs w:val="16"/>
              </w:rPr>
            </w:pPr>
            <w:r>
              <w:rPr>
                <w:rFonts w:ascii="Arial" w:eastAsia="Times New Roman" w:hAnsi="Arial" w:cs="Arial"/>
                <w:sz w:val="16"/>
                <w:szCs w:val="16"/>
                <w:lang w:val="en-GB"/>
              </w:rPr>
              <w:t>To a contract manufacturer or service provider not using significant intangible assets</w:t>
            </w:r>
          </w:p>
        </w:tc>
      </w:tr>
    </w:tbl>
    <w:p w14:paraId="681D0A10" w14:textId="77777777" w:rsidR="00756903" w:rsidRDefault="00756903" w:rsidP="00756903"/>
    <w:tbl>
      <w:tblPr>
        <w:tblpPr w:leftFromText="141" w:rightFromText="141" w:vertAnchor="text" w:horzAnchor="margin" w:tblpYSpec="bottom"/>
        <w:tblOverlap w:val="never"/>
        <w:tblW w:w="509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78"/>
        <w:gridCol w:w="2140"/>
        <w:gridCol w:w="2064"/>
        <w:gridCol w:w="2460"/>
      </w:tblGrid>
      <w:tr w:rsidR="006626F1" w:rsidRPr="006626F1" w14:paraId="4161157D" w14:textId="77777777" w:rsidTr="00024173">
        <w:tc>
          <w:tcPr>
            <w:tcW w:w="114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D17E34D" w14:textId="77777777" w:rsidR="006626F1" w:rsidRPr="00FC3334" w:rsidRDefault="006626F1" w:rsidP="00756903">
            <w:pPr>
              <w:keepNext/>
              <w:suppressAutoHyphens/>
              <w:jc w:val="center"/>
              <w:rPr>
                <w:rFonts w:ascii="Arial" w:eastAsia="Times New Roman" w:hAnsi="Arial" w:cs="Arial"/>
                <w:b/>
                <w:kern w:val="24"/>
                <w:sz w:val="16"/>
                <w:szCs w:val="16"/>
              </w:rPr>
            </w:pPr>
            <w:r w:rsidRPr="00FC3334">
              <w:rPr>
                <w:rFonts w:ascii="Arial" w:eastAsia="Times New Roman" w:hAnsi="Arial" w:cs="Arial"/>
                <w:b/>
                <w:bCs/>
                <w:kern w:val="24"/>
                <w:sz w:val="16"/>
                <w:szCs w:val="16"/>
                <w:lang w:val="en-GB"/>
              </w:rPr>
              <w:t xml:space="preserve">THE TRANSACTIONAL NET MARGIN METHOD </w:t>
            </w:r>
          </w:p>
          <w:p w14:paraId="5877D27E" w14:textId="77777777" w:rsidR="006626F1" w:rsidRPr="006626F1" w:rsidRDefault="006626F1" w:rsidP="00756903">
            <w:pPr>
              <w:keepNext/>
              <w:suppressAutoHyphens/>
              <w:jc w:val="center"/>
              <w:rPr>
                <w:rFonts w:ascii="Arial" w:eastAsia="Times New Roman" w:hAnsi="Arial" w:cs="Arial"/>
                <w:b/>
                <w:kern w:val="24"/>
                <w:sz w:val="18"/>
                <w:szCs w:val="18"/>
              </w:rPr>
            </w:pPr>
          </w:p>
        </w:tc>
        <w:tc>
          <w:tcPr>
            <w:tcW w:w="1238" w:type="pct"/>
            <w:tcBorders>
              <w:top w:val="single" w:sz="4" w:space="0" w:color="auto"/>
              <w:left w:val="single" w:sz="4" w:space="0" w:color="auto"/>
              <w:bottom w:val="single" w:sz="4" w:space="0" w:color="auto"/>
              <w:right w:val="single" w:sz="4" w:space="0" w:color="auto"/>
            </w:tcBorders>
            <w:shd w:val="clear" w:color="auto" w:fill="auto"/>
            <w:vAlign w:val="center"/>
          </w:tcPr>
          <w:p w14:paraId="07D31D98" w14:textId="77777777" w:rsidR="006626F1" w:rsidRPr="006626F1" w:rsidRDefault="006626F1" w:rsidP="00756903">
            <w:pPr>
              <w:keepNext/>
              <w:suppressAutoHyphens/>
              <w:jc w:val="center"/>
              <w:rPr>
                <w:rFonts w:ascii="Arial" w:eastAsia="Times New Roman" w:hAnsi="Arial" w:cs="Arial"/>
                <w:kern w:val="24"/>
                <w:sz w:val="16"/>
                <w:szCs w:val="16"/>
              </w:rPr>
            </w:pPr>
            <w:r>
              <w:rPr>
                <w:rFonts w:ascii="Arial" w:eastAsia="Times New Roman" w:hAnsi="Arial" w:cs="Arial"/>
                <w:kern w:val="24"/>
                <w:sz w:val="16"/>
                <w:szCs w:val="16"/>
                <w:lang w:val="en-GB"/>
              </w:rPr>
              <w:t xml:space="preserve">Comparable net margin </w:t>
            </w:r>
            <w:r>
              <w:rPr>
                <w:rFonts w:ascii="Arial" w:eastAsia="Times New Roman" w:hAnsi="Arial" w:cs="Arial"/>
                <w:kern w:val="24"/>
                <w:sz w:val="16"/>
                <w:szCs w:val="16"/>
                <w:lang w:val="en-GB"/>
              </w:rPr>
              <w:br/>
              <w:t>in terms of costs</w:t>
            </w:r>
          </w:p>
          <w:p w14:paraId="49230053" w14:textId="77777777" w:rsidR="006626F1" w:rsidRPr="006626F1" w:rsidRDefault="006626F1" w:rsidP="00756903">
            <w:pPr>
              <w:keepNext/>
              <w:suppressAutoHyphens/>
              <w:jc w:val="center"/>
              <w:rPr>
                <w:rFonts w:ascii="Arial" w:eastAsia="Times New Roman" w:hAnsi="Arial" w:cs="Arial"/>
                <w:kern w:val="24"/>
                <w:sz w:val="16"/>
                <w:szCs w:val="16"/>
              </w:rPr>
            </w:pPr>
            <w:r>
              <w:rPr>
                <w:rFonts w:ascii="Arial" w:eastAsia="Times New Roman" w:hAnsi="Arial" w:cs="Arial"/>
                <w:kern w:val="24"/>
                <w:sz w:val="16"/>
                <w:szCs w:val="16"/>
                <w:lang w:val="en-GB"/>
              </w:rPr>
              <w:t>(the test party is a seller or contract manufacturer or service provider)</w:t>
            </w:r>
          </w:p>
        </w:tc>
        <w:tc>
          <w:tcPr>
            <w:tcW w:w="1194" w:type="pct"/>
            <w:tcBorders>
              <w:top w:val="single" w:sz="4" w:space="0" w:color="auto"/>
              <w:left w:val="single" w:sz="4" w:space="0" w:color="auto"/>
              <w:bottom w:val="single" w:sz="4" w:space="0" w:color="auto"/>
              <w:right w:val="single" w:sz="4" w:space="0" w:color="auto"/>
            </w:tcBorders>
            <w:shd w:val="clear" w:color="auto" w:fill="auto"/>
            <w:vAlign w:val="center"/>
          </w:tcPr>
          <w:p w14:paraId="5ED03B27" w14:textId="77777777" w:rsidR="006626F1" w:rsidRPr="006626F1" w:rsidRDefault="006626F1" w:rsidP="00756903">
            <w:pPr>
              <w:keepNext/>
              <w:suppressAutoHyphens/>
              <w:jc w:val="center"/>
              <w:rPr>
                <w:rFonts w:ascii="Arial" w:eastAsia="Times New Roman" w:hAnsi="Arial" w:cs="Arial"/>
                <w:kern w:val="24"/>
                <w:sz w:val="16"/>
                <w:szCs w:val="16"/>
              </w:rPr>
            </w:pPr>
            <w:r>
              <w:rPr>
                <w:rFonts w:ascii="Arial" w:eastAsia="Times New Roman" w:hAnsi="Arial" w:cs="Arial"/>
                <w:kern w:val="24"/>
                <w:sz w:val="16"/>
                <w:szCs w:val="16"/>
                <w:lang w:val="en-GB"/>
              </w:rPr>
              <w:t>Production costs/the costs of services incurred by the test party</w:t>
            </w:r>
          </w:p>
          <w:p w14:paraId="757A408D" w14:textId="77777777" w:rsidR="006626F1" w:rsidRPr="006626F1" w:rsidRDefault="006626F1" w:rsidP="00756903">
            <w:pPr>
              <w:jc w:val="center"/>
              <w:rPr>
                <w:rFonts w:ascii="Arial" w:eastAsia="Times New Roman" w:hAnsi="Arial" w:cs="Arial"/>
                <w:sz w:val="16"/>
                <w:szCs w:val="16"/>
              </w:rPr>
            </w:pPr>
          </w:p>
        </w:tc>
        <w:tc>
          <w:tcPr>
            <w:tcW w:w="1423" w:type="pct"/>
            <w:tcBorders>
              <w:top w:val="single" w:sz="4" w:space="0" w:color="auto"/>
              <w:left w:val="single" w:sz="4" w:space="0" w:color="auto"/>
              <w:bottom w:val="single" w:sz="4" w:space="0" w:color="auto"/>
              <w:right w:val="single" w:sz="4" w:space="0" w:color="auto"/>
            </w:tcBorders>
            <w:shd w:val="clear" w:color="auto" w:fill="auto"/>
            <w:vAlign w:val="center"/>
          </w:tcPr>
          <w:p w14:paraId="6E0B44F3" w14:textId="77777777" w:rsidR="006626F1" w:rsidRPr="006626F1" w:rsidRDefault="006626F1" w:rsidP="00756903">
            <w:pPr>
              <w:keepNext/>
              <w:suppressAutoHyphens/>
              <w:jc w:val="center"/>
              <w:rPr>
                <w:rFonts w:ascii="Arial" w:eastAsia="Times New Roman" w:hAnsi="Arial" w:cs="Arial"/>
                <w:b/>
                <w:kern w:val="24"/>
                <w:sz w:val="16"/>
                <w:szCs w:val="16"/>
              </w:rPr>
            </w:pPr>
            <w:r>
              <w:rPr>
                <w:rFonts w:ascii="Arial" w:eastAsia="Times New Roman" w:hAnsi="Arial" w:cs="Times New Roman"/>
                <w:kern w:val="24"/>
                <w:sz w:val="16"/>
                <w:szCs w:val="16"/>
                <w:lang w:val="en-GB"/>
              </w:rPr>
              <w:t>To a contract manufacturer/service provider not contributing significant added value to products/services by using intangible assets.</w:t>
            </w:r>
          </w:p>
        </w:tc>
      </w:tr>
      <w:tr w:rsidR="006626F1" w:rsidRPr="006626F1" w14:paraId="6B8B53E0" w14:textId="77777777" w:rsidTr="00024173">
        <w:tc>
          <w:tcPr>
            <w:tcW w:w="114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48235F3" w14:textId="77777777" w:rsidR="006626F1" w:rsidRPr="006626F1" w:rsidRDefault="006626F1" w:rsidP="00756903">
            <w:pPr>
              <w:keepNext/>
              <w:suppressAutoHyphens/>
              <w:jc w:val="center"/>
              <w:rPr>
                <w:rFonts w:ascii="Arial" w:eastAsia="Times New Roman" w:hAnsi="Arial" w:cs="Arial"/>
                <w:b/>
                <w:kern w:val="24"/>
                <w:sz w:val="18"/>
                <w:szCs w:val="18"/>
              </w:rPr>
            </w:pPr>
          </w:p>
        </w:tc>
        <w:tc>
          <w:tcPr>
            <w:tcW w:w="1238" w:type="pct"/>
            <w:tcBorders>
              <w:top w:val="single" w:sz="4" w:space="0" w:color="auto"/>
              <w:left w:val="single" w:sz="4" w:space="0" w:color="auto"/>
              <w:bottom w:val="single" w:sz="4" w:space="0" w:color="auto"/>
              <w:right w:val="single" w:sz="4" w:space="0" w:color="auto"/>
            </w:tcBorders>
            <w:shd w:val="clear" w:color="auto" w:fill="auto"/>
            <w:vAlign w:val="center"/>
          </w:tcPr>
          <w:p w14:paraId="525C8770" w14:textId="77777777" w:rsidR="006626F1" w:rsidRPr="006626F1" w:rsidRDefault="006626F1" w:rsidP="00756903">
            <w:pPr>
              <w:jc w:val="center"/>
              <w:rPr>
                <w:rFonts w:ascii="Arial" w:eastAsia="Times New Roman" w:hAnsi="Arial" w:cs="Arial"/>
                <w:kern w:val="24"/>
                <w:sz w:val="16"/>
                <w:szCs w:val="16"/>
              </w:rPr>
            </w:pPr>
            <w:r>
              <w:rPr>
                <w:rFonts w:ascii="Arial" w:eastAsia="Times New Roman" w:hAnsi="Arial"/>
                <w:sz w:val="16"/>
                <w:szCs w:val="16"/>
                <w:lang w:val="en-GB"/>
              </w:rPr>
              <w:t xml:space="preserve">Comparable gross margin </w:t>
            </w:r>
            <w:r>
              <w:rPr>
                <w:rFonts w:ascii="Arial" w:eastAsia="Times New Roman" w:hAnsi="Arial"/>
                <w:sz w:val="16"/>
                <w:szCs w:val="16"/>
                <w:lang w:val="en-GB"/>
              </w:rPr>
              <w:br/>
              <w:t>in terms of sales revenues/</w:t>
            </w:r>
            <w:r>
              <w:rPr>
                <w:rFonts w:ascii="Arial" w:eastAsia="Times New Roman" w:hAnsi="Arial"/>
                <w:kern w:val="24"/>
                <w:sz w:val="16"/>
                <w:szCs w:val="16"/>
                <w:lang w:val="en-GB"/>
              </w:rPr>
              <w:t>EBIT margin</w:t>
            </w:r>
            <w:r>
              <w:rPr>
                <w:rFonts w:ascii="Arial" w:eastAsia="Times New Roman" w:hAnsi="Arial"/>
                <w:kern w:val="24"/>
                <w:sz w:val="20"/>
                <w:szCs w:val="16"/>
                <w:vertAlign w:val="superscript"/>
                <w:lang w:val="en-GB"/>
              </w:rPr>
              <w:footnoteReference w:id="6"/>
            </w:r>
          </w:p>
          <w:p w14:paraId="42C4BD90" w14:textId="77777777" w:rsidR="006626F1" w:rsidRPr="006626F1" w:rsidRDefault="006626F1" w:rsidP="00756903">
            <w:pPr>
              <w:jc w:val="center"/>
              <w:rPr>
                <w:rFonts w:ascii="Arial" w:eastAsia="Times New Roman" w:hAnsi="Arial" w:cs="Arial"/>
                <w:sz w:val="16"/>
                <w:szCs w:val="16"/>
              </w:rPr>
            </w:pPr>
            <w:r>
              <w:rPr>
                <w:rFonts w:ascii="Arial" w:eastAsia="Times New Roman" w:hAnsi="Arial" w:cs="Arial"/>
                <w:sz w:val="16"/>
                <w:szCs w:val="16"/>
                <w:lang w:val="en-GB"/>
              </w:rPr>
              <w:t>(The test party is the customer)</w:t>
            </w:r>
          </w:p>
        </w:tc>
        <w:tc>
          <w:tcPr>
            <w:tcW w:w="1194" w:type="pct"/>
            <w:tcBorders>
              <w:top w:val="single" w:sz="4" w:space="0" w:color="auto"/>
              <w:left w:val="single" w:sz="4" w:space="0" w:color="auto"/>
              <w:bottom w:val="single" w:sz="4" w:space="0" w:color="auto"/>
              <w:right w:val="single" w:sz="4" w:space="0" w:color="auto"/>
            </w:tcBorders>
            <w:shd w:val="clear" w:color="auto" w:fill="auto"/>
            <w:vAlign w:val="center"/>
          </w:tcPr>
          <w:p w14:paraId="10A90A0B" w14:textId="5B70DB33" w:rsidR="006626F1" w:rsidRPr="006626F1" w:rsidRDefault="006626F1" w:rsidP="00756903">
            <w:pPr>
              <w:keepNext/>
              <w:suppressAutoHyphens/>
              <w:jc w:val="center"/>
              <w:rPr>
                <w:rFonts w:ascii="Arial" w:eastAsia="Times New Roman" w:hAnsi="Arial" w:cs="Arial"/>
                <w:kern w:val="24"/>
                <w:sz w:val="16"/>
                <w:szCs w:val="16"/>
              </w:rPr>
            </w:pPr>
            <w:r>
              <w:rPr>
                <w:rFonts w:ascii="Arial" w:eastAsia="Times New Roman" w:hAnsi="Arial" w:cs="Arial"/>
                <w:kern w:val="24"/>
                <w:sz w:val="16"/>
                <w:szCs w:val="16"/>
                <w:lang w:val="en-GB"/>
              </w:rPr>
              <w:t xml:space="preserve">The market selling price that the tested party achieves when selling to an </w:t>
            </w:r>
            <w:proofErr w:type="spellStart"/>
            <w:r>
              <w:rPr>
                <w:rFonts w:ascii="Arial" w:eastAsia="Times New Roman" w:hAnsi="Arial" w:cs="Arial"/>
                <w:kern w:val="24"/>
                <w:sz w:val="16"/>
                <w:szCs w:val="16"/>
                <w:lang w:val="en-GB"/>
              </w:rPr>
              <w:t>un</w:t>
            </w:r>
            <w:r w:rsidR="003E0B4B">
              <w:rPr>
                <w:rFonts w:ascii="Arial" w:eastAsia="Times New Roman" w:hAnsi="Arial" w:cs="Arial"/>
                <w:kern w:val="24"/>
                <w:sz w:val="16"/>
                <w:szCs w:val="16"/>
                <w:lang w:val="en-GB"/>
              </w:rPr>
              <w:t>associated</w:t>
            </w:r>
            <w:proofErr w:type="spellEnd"/>
            <w:r>
              <w:rPr>
                <w:rFonts w:ascii="Arial" w:eastAsia="Times New Roman" w:hAnsi="Arial" w:cs="Arial"/>
                <w:kern w:val="24"/>
                <w:sz w:val="16"/>
                <w:szCs w:val="16"/>
                <w:lang w:val="en-GB"/>
              </w:rPr>
              <w:t xml:space="preserve"> customer </w:t>
            </w:r>
            <w:r>
              <w:rPr>
                <w:rFonts w:ascii="Arial" w:eastAsia="Times New Roman" w:hAnsi="Arial" w:cs="Arial"/>
                <w:kern w:val="24"/>
                <w:sz w:val="16"/>
                <w:szCs w:val="16"/>
                <w:lang w:val="en-GB"/>
              </w:rPr>
              <w:br/>
            </w:r>
          </w:p>
          <w:p w14:paraId="3FF2FB79" w14:textId="77777777" w:rsidR="006626F1" w:rsidRPr="006626F1" w:rsidRDefault="006626F1" w:rsidP="00756903">
            <w:pPr>
              <w:jc w:val="center"/>
              <w:rPr>
                <w:rFonts w:ascii="Arial" w:eastAsia="Times New Roman" w:hAnsi="Arial" w:cs="Arial"/>
                <w:sz w:val="16"/>
                <w:szCs w:val="16"/>
              </w:rPr>
            </w:pPr>
          </w:p>
        </w:tc>
        <w:tc>
          <w:tcPr>
            <w:tcW w:w="1423" w:type="pct"/>
            <w:tcBorders>
              <w:top w:val="single" w:sz="4" w:space="0" w:color="auto"/>
              <w:left w:val="single" w:sz="4" w:space="0" w:color="auto"/>
              <w:bottom w:val="single" w:sz="4" w:space="0" w:color="auto"/>
              <w:right w:val="single" w:sz="4" w:space="0" w:color="auto"/>
            </w:tcBorders>
            <w:shd w:val="clear" w:color="auto" w:fill="auto"/>
            <w:vAlign w:val="center"/>
          </w:tcPr>
          <w:p w14:paraId="67A622A0" w14:textId="77777777" w:rsidR="006626F1" w:rsidRPr="006626F1" w:rsidRDefault="006626F1" w:rsidP="00756903">
            <w:pPr>
              <w:jc w:val="center"/>
              <w:rPr>
                <w:rFonts w:ascii="Arial" w:eastAsia="Times New Roman" w:hAnsi="Arial" w:cs="Arial"/>
                <w:sz w:val="16"/>
                <w:szCs w:val="16"/>
              </w:rPr>
            </w:pPr>
            <w:r>
              <w:rPr>
                <w:rFonts w:ascii="Arial" w:eastAsia="Times New Roman" w:hAnsi="Arial" w:cs="Times New Roman"/>
                <w:sz w:val="16"/>
                <w:szCs w:val="16"/>
                <w:lang w:val="en-GB"/>
              </w:rPr>
              <w:t>To a reseller not contributing significant added value to the goods</w:t>
            </w:r>
          </w:p>
        </w:tc>
      </w:tr>
      <w:tr w:rsidR="006626F1" w:rsidRPr="006626F1" w14:paraId="0AD84A78" w14:textId="77777777" w:rsidTr="00024173">
        <w:trPr>
          <w:trHeight w:val="1975"/>
        </w:trPr>
        <w:tc>
          <w:tcPr>
            <w:tcW w:w="114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B1DACF6" w14:textId="77777777" w:rsidR="006626F1" w:rsidRPr="006626F1" w:rsidRDefault="006626F1" w:rsidP="00756903">
            <w:pPr>
              <w:keepNext/>
              <w:suppressAutoHyphens/>
              <w:jc w:val="center"/>
              <w:rPr>
                <w:rFonts w:ascii="Arial" w:eastAsia="Times New Roman" w:hAnsi="Arial" w:cs="Arial"/>
                <w:b/>
                <w:kern w:val="24"/>
                <w:sz w:val="18"/>
                <w:szCs w:val="18"/>
              </w:rPr>
            </w:pPr>
          </w:p>
        </w:tc>
        <w:tc>
          <w:tcPr>
            <w:tcW w:w="1238" w:type="pct"/>
            <w:tcBorders>
              <w:top w:val="single" w:sz="4" w:space="0" w:color="auto"/>
              <w:left w:val="single" w:sz="4" w:space="0" w:color="auto"/>
              <w:bottom w:val="single" w:sz="4" w:space="0" w:color="auto"/>
              <w:right w:val="single" w:sz="4" w:space="0" w:color="auto"/>
            </w:tcBorders>
            <w:shd w:val="clear" w:color="auto" w:fill="auto"/>
            <w:vAlign w:val="center"/>
          </w:tcPr>
          <w:p w14:paraId="1C814B7C" w14:textId="77777777" w:rsidR="006626F1" w:rsidRPr="006626F1" w:rsidRDefault="006626F1" w:rsidP="00756903">
            <w:pPr>
              <w:jc w:val="center"/>
              <w:rPr>
                <w:rFonts w:ascii="Arial" w:eastAsia="Times New Roman" w:hAnsi="Arial" w:cs="Arial"/>
                <w:sz w:val="16"/>
                <w:szCs w:val="16"/>
              </w:rPr>
            </w:pPr>
            <w:r w:rsidRPr="00A74126">
              <w:rPr>
                <w:rFonts w:ascii="Arial" w:eastAsia="Times New Roman" w:hAnsi="Arial" w:cs="Arial"/>
                <w:sz w:val="16"/>
                <w:szCs w:val="16"/>
                <w:lang w:val="fr-FR"/>
              </w:rPr>
              <w:t>Comparable net profit ratios</w:t>
            </w:r>
          </w:p>
          <w:p w14:paraId="2739A007" w14:textId="77777777" w:rsidR="006626F1" w:rsidRPr="006626F1" w:rsidRDefault="006626F1" w:rsidP="00756903">
            <w:pPr>
              <w:jc w:val="center"/>
              <w:rPr>
                <w:rFonts w:ascii="Arial" w:eastAsia="Times New Roman" w:hAnsi="Arial" w:cs="Arial"/>
                <w:sz w:val="16"/>
                <w:szCs w:val="16"/>
              </w:rPr>
            </w:pPr>
            <w:r w:rsidRPr="00A74126">
              <w:rPr>
                <w:rFonts w:ascii="Arial" w:eastAsia="Times New Roman" w:hAnsi="Arial"/>
                <w:sz w:val="16"/>
                <w:szCs w:val="16"/>
                <w:lang w:val="fr-FR"/>
              </w:rPr>
              <w:t>(ROA, ROI, ROCE, etc.)</w:t>
            </w:r>
            <w:r>
              <w:rPr>
                <w:rFonts w:ascii="Arial" w:eastAsia="Times New Roman" w:hAnsi="Arial"/>
                <w:sz w:val="20"/>
                <w:szCs w:val="16"/>
                <w:vertAlign w:val="superscript"/>
                <w:lang w:val="en-GB"/>
              </w:rPr>
              <w:footnoteReference w:id="7"/>
            </w:r>
          </w:p>
          <w:p w14:paraId="68BCE70F" w14:textId="77777777" w:rsidR="006626F1" w:rsidRPr="006626F1" w:rsidRDefault="006626F1" w:rsidP="00756903">
            <w:pPr>
              <w:jc w:val="center"/>
              <w:rPr>
                <w:rFonts w:ascii="Arial" w:eastAsia="Times New Roman" w:hAnsi="Arial" w:cs="Arial"/>
                <w:sz w:val="16"/>
                <w:szCs w:val="16"/>
              </w:rPr>
            </w:pPr>
            <w:r>
              <w:rPr>
                <w:rFonts w:ascii="Arial" w:eastAsia="Times New Roman" w:hAnsi="Arial" w:cs="Arial"/>
                <w:sz w:val="16"/>
                <w:szCs w:val="16"/>
                <w:lang w:val="en-GB"/>
              </w:rPr>
              <w:t>(the test party is a seller, contract manufacturer or service provider)</w:t>
            </w:r>
          </w:p>
        </w:tc>
        <w:tc>
          <w:tcPr>
            <w:tcW w:w="1194" w:type="pct"/>
            <w:tcBorders>
              <w:top w:val="single" w:sz="4" w:space="0" w:color="auto"/>
              <w:left w:val="single" w:sz="4" w:space="0" w:color="auto"/>
              <w:bottom w:val="single" w:sz="4" w:space="0" w:color="auto"/>
              <w:right w:val="single" w:sz="4" w:space="0" w:color="auto"/>
            </w:tcBorders>
            <w:shd w:val="clear" w:color="auto" w:fill="auto"/>
            <w:vAlign w:val="center"/>
          </w:tcPr>
          <w:p w14:paraId="31F92555" w14:textId="77777777" w:rsidR="006626F1" w:rsidRPr="006626F1" w:rsidRDefault="006626F1" w:rsidP="00756903">
            <w:pPr>
              <w:jc w:val="center"/>
              <w:rPr>
                <w:rFonts w:ascii="Arial" w:eastAsia="Times New Roman" w:hAnsi="Arial" w:cs="Arial"/>
                <w:sz w:val="16"/>
                <w:szCs w:val="16"/>
              </w:rPr>
            </w:pPr>
            <w:r>
              <w:rPr>
                <w:rFonts w:ascii="Arial" w:eastAsia="Times New Roman" w:hAnsi="Arial" w:cs="Arial"/>
                <w:color w:val="000000"/>
                <w:sz w:val="16"/>
                <w:szCs w:val="16"/>
                <w:lang w:val="en-GB"/>
              </w:rPr>
              <w:t>Operating assets/capital invested by the test party</w:t>
            </w:r>
          </w:p>
        </w:tc>
        <w:tc>
          <w:tcPr>
            <w:tcW w:w="1423" w:type="pct"/>
            <w:tcBorders>
              <w:top w:val="single" w:sz="4" w:space="0" w:color="auto"/>
              <w:left w:val="single" w:sz="4" w:space="0" w:color="auto"/>
              <w:bottom w:val="single" w:sz="4" w:space="0" w:color="auto"/>
              <w:right w:val="single" w:sz="4" w:space="0" w:color="auto"/>
            </w:tcBorders>
            <w:shd w:val="clear" w:color="auto" w:fill="auto"/>
            <w:vAlign w:val="center"/>
          </w:tcPr>
          <w:p w14:paraId="3E1A0386" w14:textId="77777777" w:rsidR="006626F1" w:rsidRPr="006626F1" w:rsidRDefault="006626F1" w:rsidP="00756903">
            <w:pPr>
              <w:ind w:right="142"/>
              <w:jc w:val="center"/>
              <w:rPr>
                <w:rFonts w:ascii="Arial" w:eastAsia="Times New Roman" w:hAnsi="Arial" w:cs="Arial"/>
                <w:sz w:val="16"/>
                <w:szCs w:val="16"/>
              </w:rPr>
            </w:pPr>
            <w:r>
              <w:rPr>
                <w:rFonts w:ascii="Arial" w:eastAsia="Times New Roman" w:hAnsi="Arial" w:cs="Arial"/>
                <w:sz w:val="16"/>
                <w:szCs w:val="16"/>
                <w:lang w:val="en-GB"/>
              </w:rPr>
              <w:t xml:space="preserve">To a manufacturer, particularly when there are no reliable </w:t>
            </w:r>
            <w:proofErr w:type="spellStart"/>
            <w:r>
              <w:rPr>
                <w:rFonts w:ascii="Arial" w:eastAsia="Times New Roman" w:hAnsi="Arial" w:cs="Arial"/>
                <w:sz w:val="16"/>
                <w:szCs w:val="16"/>
                <w:lang w:val="en-GB"/>
              </w:rPr>
              <w:t>comparables</w:t>
            </w:r>
            <w:proofErr w:type="spellEnd"/>
            <w:r>
              <w:rPr>
                <w:rFonts w:ascii="Arial" w:eastAsia="Times New Roman" w:hAnsi="Arial" w:cs="Arial"/>
                <w:sz w:val="16"/>
                <w:szCs w:val="16"/>
                <w:lang w:val="en-GB"/>
              </w:rPr>
              <w:t xml:space="preserve"> available in terms of cost mark-up or data on the net profit to costs ratio.</w:t>
            </w:r>
          </w:p>
          <w:p w14:paraId="0705F6C3" w14:textId="77777777" w:rsidR="006626F1" w:rsidRPr="006626F1" w:rsidRDefault="006626F1" w:rsidP="00756903">
            <w:pPr>
              <w:jc w:val="center"/>
              <w:rPr>
                <w:rFonts w:ascii="Arial" w:eastAsia="Times New Roman" w:hAnsi="Arial" w:cs="Arial"/>
                <w:sz w:val="16"/>
                <w:szCs w:val="16"/>
              </w:rPr>
            </w:pPr>
          </w:p>
        </w:tc>
      </w:tr>
      <w:tr w:rsidR="006626F1" w:rsidRPr="006626F1" w14:paraId="21EA53B4" w14:textId="77777777" w:rsidTr="00024173">
        <w:tc>
          <w:tcPr>
            <w:tcW w:w="114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6AD96D7" w14:textId="77777777" w:rsidR="006626F1" w:rsidRPr="00FC3334" w:rsidRDefault="006626F1" w:rsidP="00756903">
            <w:pPr>
              <w:keepNext/>
              <w:suppressAutoHyphens/>
              <w:jc w:val="center"/>
              <w:rPr>
                <w:rFonts w:ascii="Arial" w:eastAsia="Times New Roman" w:hAnsi="Arial" w:cs="Times New Roman"/>
                <w:b/>
                <w:kern w:val="24"/>
                <w:sz w:val="16"/>
                <w:szCs w:val="16"/>
              </w:rPr>
            </w:pPr>
            <w:r w:rsidRPr="00FC3334">
              <w:rPr>
                <w:rFonts w:ascii="Arial" w:eastAsia="Times New Roman" w:hAnsi="Arial" w:cs="Arial"/>
                <w:b/>
                <w:bCs/>
                <w:kern w:val="24"/>
                <w:sz w:val="16"/>
                <w:szCs w:val="16"/>
                <w:lang w:val="en-GB"/>
              </w:rPr>
              <w:t>THE PROFIT SPLIT METHOD</w:t>
            </w:r>
          </w:p>
        </w:tc>
        <w:tc>
          <w:tcPr>
            <w:tcW w:w="1238" w:type="pct"/>
            <w:tcBorders>
              <w:top w:val="single" w:sz="4" w:space="0" w:color="auto"/>
              <w:left w:val="single" w:sz="4" w:space="0" w:color="auto"/>
              <w:bottom w:val="single" w:sz="4" w:space="0" w:color="auto"/>
              <w:right w:val="single" w:sz="4" w:space="0" w:color="auto"/>
            </w:tcBorders>
            <w:shd w:val="clear" w:color="auto" w:fill="auto"/>
            <w:vAlign w:val="center"/>
          </w:tcPr>
          <w:p w14:paraId="6C808740" w14:textId="0C0CE654" w:rsidR="006626F1" w:rsidRPr="006626F1" w:rsidRDefault="006626F1" w:rsidP="00756903">
            <w:pPr>
              <w:keepNext/>
              <w:suppressAutoHyphens/>
              <w:jc w:val="center"/>
              <w:rPr>
                <w:rFonts w:ascii="Arial" w:eastAsia="Times New Roman" w:hAnsi="Arial" w:cs="Times New Roman"/>
                <w:kern w:val="24"/>
                <w:sz w:val="16"/>
                <w:szCs w:val="16"/>
              </w:rPr>
            </w:pPr>
            <w:r>
              <w:rPr>
                <w:rFonts w:ascii="Arial" w:eastAsia="Times New Roman" w:hAnsi="Arial" w:cs="Arial"/>
                <w:b/>
                <w:bCs/>
                <w:kern w:val="24"/>
                <w:sz w:val="16"/>
                <w:szCs w:val="16"/>
                <w:lang w:val="en-GB"/>
              </w:rPr>
              <w:t xml:space="preserve">The distribution  </w:t>
            </w:r>
            <w:r>
              <w:rPr>
                <w:rFonts w:ascii="Arial" w:eastAsia="Times New Roman" w:hAnsi="Arial" w:cs="Arial"/>
                <w:kern w:val="24"/>
                <w:sz w:val="16"/>
                <w:szCs w:val="16"/>
                <w:lang w:val="en-GB"/>
              </w:rPr>
              <w:br/>
            </w:r>
            <w:r>
              <w:rPr>
                <w:rFonts w:ascii="Arial" w:eastAsia="Times New Roman" w:hAnsi="Arial" w:cs="Arial"/>
                <w:b/>
                <w:bCs/>
                <w:kern w:val="24"/>
                <w:sz w:val="16"/>
                <w:szCs w:val="16"/>
                <w:lang w:val="en-GB"/>
              </w:rPr>
              <w:t>of the residual profit of a transaction</w:t>
            </w:r>
            <w:r>
              <w:rPr>
                <w:rFonts w:ascii="Arial" w:eastAsia="Times New Roman" w:hAnsi="Arial" w:cs="Arial"/>
                <w:kern w:val="24"/>
                <w:sz w:val="16"/>
                <w:szCs w:val="16"/>
                <w:lang w:val="en-GB"/>
              </w:rPr>
              <w:br/>
              <w:t xml:space="preserve">(residual profit analysis) </w:t>
            </w:r>
            <w:r>
              <w:rPr>
                <w:rFonts w:ascii="Arial" w:eastAsia="Times New Roman" w:hAnsi="Arial" w:cs="Arial"/>
                <w:kern w:val="24"/>
                <w:sz w:val="16"/>
                <w:szCs w:val="16"/>
                <w:lang w:val="en-GB"/>
              </w:rPr>
              <w:br/>
            </w:r>
          </w:p>
        </w:tc>
        <w:tc>
          <w:tcPr>
            <w:tcW w:w="1194" w:type="pct"/>
            <w:tcBorders>
              <w:top w:val="single" w:sz="4" w:space="0" w:color="auto"/>
              <w:left w:val="single" w:sz="4" w:space="0" w:color="auto"/>
              <w:bottom w:val="single" w:sz="4" w:space="0" w:color="auto"/>
              <w:right w:val="single" w:sz="4" w:space="0" w:color="auto"/>
            </w:tcBorders>
            <w:shd w:val="clear" w:color="auto" w:fill="auto"/>
            <w:vAlign w:val="center"/>
          </w:tcPr>
          <w:p w14:paraId="19D19797" w14:textId="77777777" w:rsidR="006626F1" w:rsidRPr="006626F1" w:rsidRDefault="006626F1" w:rsidP="00756903">
            <w:pPr>
              <w:keepNext/>
              <w:suppressAutoHyphens/>
              <w:jc w:val="center"/>
              <w:rPr>
                <w:rFonts w:ascii="Arial" w:eastAsia="Times New Roman" w:hAnsi="Arial" w:cs="Arial"/>
                <w:kern w:val="24"/>
                <w:sz w:val="16"/>
                <w:szCs w:val="16"/>
              </w:rPr>
            </w:pPr>
            <w:r>
              <w:rPr>
                <w:rFonts w:ascii="Arial" w:eastAsia="Times New Roman" w:hAnsi="Arial" w:cs="Arial"/>
                <w:kern w:val="24"/>
                <w:sz w:val="16"/>
                <w:szCs w:val="16"/>
                <w:lang w:val="en-GB"/>
              </w:rPr>
              <w:t xml:space="preserve">1. Compensation for the performance of routine functions (use of the </w:t>
            </w:r>
            <w:proofErr w:type="gramStart"/>
            <w:r>
              <w:rPr>
                <w:rFonts w:ascii="Arial" w:eastAsia="Times New Roman" w:hAnsi="Arial" w:cs="Arial"/>
                <w:kern w:val="24"/>
                <w:sz w:val="16"/>
                <w:szCs w:val="16"/>
                <w:lang w:val="en-GB"/>
              </w:rPr>
              <w:t>cost plus</w:t>
            </w:r>
            <w:proofErr w:type="gramEnd"/>
            <w:r>
              <w:rPr>
                <w:rFonts w:ascii="Arial" w:eastAsia="Times New Roman" w:hAnsi="Arial" w:cs="Arial"/>
                <w:kern w:val="24"/>
                <w:sz w:val="16"/>
                <w:szCs w:val="16"/>
                <w:lang w:val="en-GB"/>
              </w:rPr>
              <w:t xml:space="preserve"> method, the resale price method or the transactional net margin method).</w:t>
            </w:r>
          </w:p>
          <w:p w14:paraId="630C838C" w14:textId="77777777" w:rsidR="006626F1" w:rsidRPr="006626F1" w:rsidRDefault="006626F1" w:rsidP="00756903">
            <w:pPr>
              <w:keepNext/>
              <w:suppressAutoHyphens/>
              <w:jc w:val="center"/>
              <w:rPr>
                <w:rFonts w:ascii="Arial" w:eastAsia="Times New Roman" w:hAnsi="Arial" w:cs="Arial"/>
                <w:kern w:val="24"/>
                <w:sz w:val="16"/>
                <w:szCs w:val="16"/>
              </w:rPr>
            </w:pPr>
          </w:p>
          <w:p w14:paraId="721F6E3E" w14:textId="589B8D8D" w:rsidR="006626F1" w:rsidRPr="006626F1" w:rsidRDefault="006216F4" w:rsidP="00756903">
            <w:pPr>
              <w:keepNext/>
              <w:suppressAutoHyphens/>
              <w:jc w:val="center"/>
              <w:rPr>
                <w:rFonts w:ascii="Arial" w:eastAsia="Times New Roman" w:hAnsi="Arial" w:cs="Arial"/>
                <w:kern w:val="24"/>
                <w:sz w:val="16"/>
                <w:szCs w:val="16"/>
              </w:rPr>
            </w:pPr>
            <w:r>
              <w:rPr>
                <w:rFonts w:ascii="Arial" w:eastAsia="Times New Roman" w:hAnsi="Arial" w:cs="Arial"/>
                <w:kern w:val="24"/>
                <w:sz w:val="16"/>
                <w:szCs w:val="16"/>
                <w:lang w:val="en-GB"/>
              </w:rPr>
              <w:t>2. The</w:t>
            </w:r>
            <w:r w:rsidR="006626F1">
              <w:rPr>
                <w:rFonts w:ascii="Arial" w:eastAsia="Times New Roman" w:hAnsi="Arial" w:cs="Arial"/>
                <w:kern w:val="24"/>
                <w:sz w:val="16"/>
                <w:szCs w:val="16"/>
                <w:lang w:val="en-GB"/>
              </w:rPr>
              <w:t xml:space="preserve"> reasonable distribution </w:t>
            </w:r>
            <w:r w:rsidR="006626F1">
              <w:rPr>
                <w:rFonts w:ascii="Arial" w:eastAsia="Times New Roman" w:hAnsi="Arial" w:cs="Arial"/>
                <w:kern w:val="24"/>
                <w:sz w:val="16"/>
                <w:szCs w:val="16"/>
                <w:lang w:val="en-GB"/>
              </w:rPr>
              <w:br/>
              <w:t>of residual profits based on market information or internal profit distribution criteria.</w:t>
            </w:r>
          </w:p>
        </w:tc>
        <w:tc>
          <w:tcPr>
            <w:tcW w:w="142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AD53F4E" w14:textId="1D14F07F" w:rsidR="006626F1" w:rsidRPr="006626F1" w:rsidRDefault="006626F1" w:rsidP="00756903">
            <w:pPr>
              <w:keepNext/>
              <w:suppressAutoHyphens/>
              <w:jc w:val="center"/>
              <w:rPr>
                <w:rFonts w:ascii="Arial" w:eastAsia="Times New Roman" w:hAnsi="Arial" w:cs="Times New Roman"/>
                <w:kern w:val="24"/>
                <w:sz w:val="16"/>
                <w:szCs w:val="16"/>
              </w:rPr>
            </w:pPr>
            <w:r>
              <w:rPr>
                <w:rFonts w:ascii="Arial" w:eastAsia="Times New Roman" w:hAnsi="Arial" w:cs="Arial"/>
                <w:kern w:val="24"/>
                <w:sz w:val="16"/>
                <w:szCs w:val="16"/>
                <w:lang w:val="en-GB"/>
              </w:rPr>
              <w:t xml:space="preserve">To </w:t>
            </w:r>
            <w:r w:rsidR="00F20CD0">
              <w:rPr>
                <w:rFonts w:ascii="Arial" w:eastAsia="Times New Roman" w:hAnsi="Arial" w:cs="Arial"/>
                <w:kern w:val="24"/>
                <w:sz w:val="16"/>
                <w:szCs w:val="16"/>
                <w:lang w:val="en-GB"/>
              </w:rPr>
              <w:t>highly integrated</w:t>
            </w:r>
            <w:r>
              <w:rPr>
                <w:rFonts w:ascii="Arial" w:eastAsia="Times New Roman" w:hAnsi="Arial" w:cs="Arial"/>
                <w:kern w:val="24"/>
                <w:sz w:val="16"/>
                <w:szCs w:val="16"/>
                <w:lang w:val="en-GB"/>
              </w:rPr>
              <w:t xml:space="preserve"> transactions</w:t>
            </w:r>
            <w:r>
              <w:rPr>
                <w:rFonts w:ascii="Arial" w:eastAsia="Times New Roman" w:hAnsi="Arial" w:cs="Arial"/>
                <w:kern w:val="24"/>
                <w:sz w:val="16"/>
                <w:szCs w:val="16"/>
                <w:lang w:val="en-GB"/>
              </w:rPr>
              <w:br/>
              <w:t>and in transactions with significant and unique intangible assets contributed by the parties</w:t>
            </w:r>
            <w:r>
              <w:rPr>
                <w:rFonts w:ascii="Arial" w:eastAsia="Times New Roman" w:hAnsi="Arial" w:cs="Arial"/>
                <w:kern w:val="24"/>
                <w:sz w:val="16"/>
                <w:szCs w:val="16"/>
                <w:lang w:val="en-GB"/>
              </w:rPr>
              <w:br/>
              <w:t>to the transaction.</w:t>
            </w:r>
          </w:p>
        </w:tc>
      </w:tr>
      <w:tr w:rsidR="006626F1" w:rsidRPr="006626F1" w14:paraId="65553779" w14:textId="77777777" w:rsidTr="00024173">
        <w:trPr>
          <w:trHeight w:val="838"/>
        </w:trPr>
        <w:tc>
          <w:tcPr>
            <w:tcW w:w="114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599D4FE" w14:textId="77777777" w:rsidR="006626F1" w:rsidRPr="006626F1" w:rsidRDefault="006626F1" w:rsidP="00756903">
            <w:pPr>
              <w:keepNext/>
              <w:suppressAutoHyphens/>
              <w:jc w:val="center"/>
              <w:rPr>
                <w:rFonts w:ascii="Arial" w:eastAsia="Times New Roman" w:hAnsi="Arial" w:cs="Times New Roman"/>
                <w:b/>
                <w:kern w:val="24"/>
                <w:sz w:val="18"/>
                <w:szCs w:val="18"/>
              </w:rPr>
            </w:pPr>
          </w:p>
        </w:tc>
        <w:tc>
          <w:tcPr>
            <w:tcW w:w="1238" w:type="pct"/>
            <w:tcBorders>
              <w:top w:val="single" w:sz="4" w:space="0" w:color="auto"/>
              <w:left w:val="single" w:sz="4" w:space="0" w:color="auto"/>
              <w:bottom w:val="single" w:sz="4" w:space="0" w:color="auto"/>
              <w:right w:val="single" w:sz="4" w:space="0" w:color="auto"/>
            </w:tcBorders>
            <w:shd w:val="clear" w:color="auto" w:fill="auto"/>
            <w:vAlign w:val="center"/>
          </w:tcPr>
          <w:p w14:paraId="698CDB61" w14:textId="4C322568" w:rsidR="006626F1" w:rsidRPr="006626F1" w:rsidRDefault="006626F1" w:rsidP="00756903">
            <w:pPr>
              <w:keepNext/>
              <w:suppressAutoHyphens/>
              <w:jc w:val="center"/>
              <w:rPr>
                <w:rFonts w:ascii="Arial" w:eastAsia="Times New Roman" w:hAnsi="Arial" w:cs="Times New Roman"/>
                <w:kern w:val="24"/>
                <w:sz w:val="16"/>
                <w:szCs w:val="16"/>
              </w:rPr>
            </w:pPr>
            <w:r>
              <w:rPr>
                <w:rFonts w:ascii="Arial" w:eastAsia="Times New Roman" w:hAnsi="Arial" w:cs="Arial"/>
                <w:b/>
                <w:bCs/>
                <w:kern w:val="24"/>
                <w:sz w:val="16"/>
                <w:szCs w:val="16"/>
                <w:lang w:val="en-GB"/>
              </w:rPr>
              <w:t xml:space="preserve">Distribution  </w:t>
            </w:r>
            <w:r>
              <w:rPr>
                <w:rFonts w:ascii="Arial" w:eastAsia="Times New Roman" w:hAnsi="Arial" w:cs="Arial"/>
                <w:kern w:val="24"/>
                <w:sz w:val="16"/>
                <w:szCs w:val="16"/>
                <w:lang w:val="en-GB"/>
              </w:rPr>
              <w:br/>
            </w:r>
            <w:r>
              <w:rPr>
                <w:rFonts w:ascii="Arial" w:eastAsia="Times New Roman" w:hAnsi="Arial" w:cs="Arial"/>
                <w:b/>
                <w:bCs/>
                <w:kern w:val="24"/>
                <w:sz w:val="16"/>
                <w:szCs w:val="16"/>
                <w:lang w:val="en-GB"/>
              </w:rPr>
              <w:t>of the overall (total) profit of the transaction</w:t>
            </w:r>
            <w:r>
              <w:rPr>
                <w:rFonts w:ascii="Arial" w:eastAsia="Times New Roman" w:hAnsi="Arial" w:cs="Arial"/>
                <w:kern w:val="24"/>
                <w:sz w:val="16"/>
                <w:szCs w:val="16"/>
                <w:lang w:val="en-GB"/>
              </w:rPr>
              <w:br/>
              <w:t xml:space="preserve">Contribution analysis </w:t>
            </w:r>
            <w:r>
              <w:rPr>
                <w:rFonts w:ascii="Arial" w:eastAsia="Times New Roman" w:hAnsi="Arial" w:cs="Arial"/>
                <w:kern w:val="24"/>
                <w:sz w:val="16"/>
                <w:szCs w:val="16"/>
                <w:lang w:val="en-GB"/>
              </w:rPr>
              <w:br/>
            </w:r>
          </w:p>
        </w:tc>
        <w:tc>
          <w:tcPr>
            <w:tcW w:w="1194" w:type="pct"/>
            <w:tcBorders>
              <w:top w:val="single" w:sz="4" w:space="0" w:color="auto"/>
              <w:left w:val="single" w:sz="4" w:space="0" w:color="auto"/>
              <w:bottom w:val="single" w:sz="4" w:space="0" w:color="auto"/>
              <w:right w:val="single" w:sz="4" w:space="0" w:color="auto"/>
            </w:tcBorders>
            <w:shd w:val="clear" w:color="auto" w:fill="auto"/>
            <w:vAlign w:val="center"/>
          </w:tcPr>
          <w:p w14:paraId="5BC90089" w14:textId="2326E877" w:rsidR="006626F1" w:rsidRPr="006626F1" w:rsidRDefault="006626F1" w:rsidP="00756903">
            <w:pPr>
              <w:keepNext/>
              <w:suppressAutoHyphens/>
              <w:jc w:val="center"/>
              <w:rPr>
                <w:rFonts w:ascii="Arial" w:eastAsia="Times New Roman" w:hAnsi="Arial" w:cs="Arial"/>
                <w:kern w:val="24"/>
                <w:sz w:val="16"/>
                <w:szCs w:val="16"/>
              </w:rPr>
            </w:pPr>
            <w:r>
              <w:rPr>
                <w:rFonts w:ascii="Arial" w:eastAsia="Times New Roman" w:hAnsi="Arial" w:cs="Arial"/>
                <w:color w:val="000000"/>
                <w:kern w:val="24"/>
                <w:sz w:val="16"/>
                <w:szCs w:val="16"/>
                <w:lang w:val="en-GB"/>
              </w:rPr>
              <w:t>The distribution of profits in the same manner as would be used by independent parties</w:t>
            </w:r>
          </w:p>
        </w:tc>
        <w:tc>
          <w:tcPr>
            <w:tcW w:w="142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92681FA" w14:textId="77777777" w:rsidR="006626F1" w:rsidRPr="006626F1" w:rsidRDefault="006626F1" w:rsidP="00756903">
            <w:pPr>
              <w:keepNext/>
              <w:suppressAutoHyphens/>
              <w:jc w:val="both"/>
              <w:rPr>
                <w:rFonts w:ascii="Arial" w:eastAsia="Times New Roman" w:hAnsi="Arial" w:cs="Times New Roman"/>
                <w:kern w:val="24"/>
                <w:sz w:val="18"/>
                <w:szCs w:val="18"/>
              </w:rPr>
            </w:pPr>
          </w:p>
        </w:tc>
      </w:tr>
    </w:tbl>
    <w:p w14:paraId="113E0D21" w14:textId="6E5947FE" w:rsidR="00666664" w:rsidRDefault="00666664" w:rsidP="00756903"/>
    <w:p w14:paraId="722BD40E" w14:textId="77777777" w:rsidR="00520D91" w:rsidRPr="008F403F" w:rsidRDefault="00520D91" w:rsidP="00756903"/>
    <w:p w14:paraId="148A5B3F" w14:textId="77777777" w:rsidR="00666077" w:rsidRPr="00AA2C04" w:rsidRDefault="00B86D81" w:rsidP="00756903">
      <w:pPr>
        <w:pStyle w:val="Naslov2"/>
        <w:spacing w:before="0" w:after="0" w:line="240" w:lineRule="atLeast"/>
        <w:rPr>
          <w:rFonts w:cs="Arial"/>
        </w:rPr>
      </w:pPr>
      <w:bookmarkStart w:id="24" w:name="_Toc103257435"/>
      <w:r>
        <w:rPr>
          <w:rFonts w:cs="Arial"/>
          <w:iCs w:val="0"/>
          <w:lang w:val="en-GB"/>
        </w:rPr>
        <w:t>2.3 COMPARABILITY ANALYSIS AND THE USE OF DATABASES</w:t>
      </w:r>
      <w:bookmarkEnd w:id="24"/>
    </w:p>
    <w:p w14:paraId="1ADB3277" w14:textId="77777777" w:rsidR="00666077" w:rsidRPr="004F2499" w:rsidRDefault="00666077" w:rsidP="00756903">
      <w:pPr>
        <w:pStyle w:val="Brezrazmikov"/>
        <w:spacing w:line="240" w:lineRule="atLeast"/>
        <w:rPr>
          <w:rFonts w:cs="Arial"/>
        </w:rPr>
      </w:pPr>
    </w:p>
    <w:p w14:paraId="662BCA02" w14:textId="77777777" w:rsidR="00666077" w:rsidRPr="00C761FB" w:rsidRDefault="00B86D81" w:rsidP="00756903">
      <w:pPr>
        <w:pStyle w:val="Naslov3"/>
        <w:spacing w:before="0" w:after="0" w:line="240" w:lineRule="atLeast"/>
        <w:rPr>
          <w:rFonts w:cs="Arial"/>
          <w:b w:val="0"/>
          <w:bCs w:val="0"/>
        </w:rPr>
      </w:pPr>
      <w:bookmarkStart w:id="25" w:name="_Toc103257436"/>
      <w:r>
        <w:rPr>
          <w:rFonts w:cs="Arial"/>
          <w:lang w:val="en-GB"/>
        </w:rPr>
        <w:t>2.3.1 COMPARABILITY ANALYSIS</w:t>
      </w:r>
      <w:bookmarkEnd w:id="25"/>
    </w:p>
    <w:p w14:paraId="38F19335" w14:textId="77777777" w:rsidR="00666077" w:rsidRPr="00227C1D" w:rsidRDefault="00666077" w:rsidP="00756903">
      <w:pPr>
        <w:pStyle w:val="Brezrazmikov"/>
        <w:spacing w:line="240" w:lineRule="atLeast"/>
      </w:pPr>
    </w:p>
    <w:p w14:paraId="26A921FC" w14:textId="7E15C61F" w:rsidR="00666077" w:rsidRPr="00F27413" w:rsidRDefault="00666077" w:rsidP="00430CD2">
      <w:pPr>
        <w:tabs>
          <w:tab w:val="left" w:pos="3402"/>
        </w:tabs>
        <w:spacing w:line="260" w:lineRule="atLeast"/>
        <w:jc w:val="both"/>
        <w:rPr>
          <w:rFonts w:ascii="Arial" w:eastAsia="Times New Roman" w:hAnsi="Arial" w:cs="Arial"/>
          <w:sz w:val="20"/>
          <w:szCs w:val="20"/>
        </w:rPr>
      </w:pPr>
      <w:r>
        <w:rPr>
          <w:rFonts w:ascii="Arial" w:eastAsia="Times New Roman" w:hAnsi="Arial" w:cs="Arial"/>
          <w:sz w:val="20"/>
          <w:szCs w:val="20"/>
          <w:lang w:val="en-GB"/>
        </w:rPr>
        <w:t xml:space="preserve">A comparability analysis examines the conditions of </w:t>
      </w:r>
      <w:r w:rsidR="003E0B4B">
        <w:rPr>
          <w:rFonts w:ascii="Arial" w:eastAsia="Times New Roman" w:hAnsi="Arial" w:cs="Arial"/>
          <w:sz w:val="20"/>
          <w:szCs w:val="20"/>
          <w:lang w:val="en-GB"/>
        </w:rPr>
        <w:t>associated</w:t>
      </w:r>
      <w:r>
        <w:rPr>
          <w:rFonts w:ascii="Arial" w:eastAsia="Times New Roman" w:hAnsi="Arial" w:cs="Arial"/>
          <w:sz w:val="20"/>
          <w:szCs w:val="20"/>
          <w:lang w:val="en-GB"/>
        </w:rPr>
        <w:t xml:space="preserve">-party transactions in relation to the conditions of transactions between </w:t>
      </w:r>
      <w:proofErr w:type="spellStart"/>
      <w:r>
        <w:rPr>
          <w:rFonts w:ascii="Arial" w:eastAsia="Times New Roman" w:hAnsi="Arial" w:cs="Arial"/>
          <w:sz w:val="20"/>
          <w:szCs w:val="20"/>
          <w:lang w:val="en-GB"/>
        </w:rPr>
        <w:t>un</w:t>
      </w:r>
      <w:r w:rsidR="003E0B4B">
        <w:rPr>
          <w:rFonts w:ascii="Arial" w:eastAsia="Times New Roman" w:hAnsi="Arial" w:cs="Arial"/>
          <w:sz w:val="20"/>
          <w:szCs w:val="20"/>
          <w:lang w:val="en-GB"/>
        </w:rPr>
        <w:t>associated</w:t>
      </w:r>
      <w:proofErr w:type="spellEnd"/>
      <w:r>
        <w:rPr>
          <w:rFonts w:ascii="Arial" w:eastAsia="Times New Roman" w:hAnsi="Arial" w:cs="Arial"/>
          <w:sz w:val="20"/>
          <w:szCs w:val="20"/>
          <w:lang w:val="en-GB"/>
        </w:rPr>
        <w:t xml:space="preserve"> parties, which is the basis of the arm’s length principle.</w:t>
      </w:r>
    </w:p>
    <w:p w14:paraId="41899032" w14:textId="77777777" w:rsidR="00666077" w:rsidRPr="00C91A50" w:rsidRDefault="00666077" w:rsidP="00430CD2">
      <w:pPr>
        <w:tabs>
          <w:tab w:val="left" w:pos="3402"/>
        </w:tabs>
        <w:spacing w:line="260" w:lineRule="atLeast"/>
        <w:jc w:val="both"/>
        <w:rPr>
          <w:rFonts w:ascii="Arial" w:eastAsia="Times New Roman" w:hAnsi="Arial" w:cs="Arial"/>
          <w:sz w:val="20"/>
          <w:szCs w:val="20"/>
        </w:rPr>
      </w:pPr>
    </w:p>
    <w:p w14:paraId="556DAB39" w14:textId="0C9AA5DE" w:rsidR="00666077" w:rsidRDefault="00666077" w:rsidP="00430CD2">
      <w:pPr>
        <w:tabs>
          <w:tab w:val="left" w:pos="3402"/>
        </w:tabs>
        <w:spacing w:line="260" w:lineRule="atLeast"/>
        <w:jc w:val="both"/>
        <w:rPr>
          <w:rFonts w:ascii="Arial" w:eastAsia="Times New Roman" w:hAnsi="Arial" w:cs="Arial"/>
          <w:sz w:val="20"/>
          <w:szCs w:val="20"/>
        </w:rPr>
      </w:pPr>
      <w:r>
        <w:rPr>
          <w:rFonts w:ascii="Arial" w:eastAsia="Times New Roman" w:hAnsi="Arial" w:cs="Arial"/>
          <w:sz w:val="20"/>
          <w:szCs w:val="20"/>
          <w:lang w:val="en-GB"/>
        </w:rPr>
        <w:t xml:space="preserve">The second chapter of the TPR deals with comparability analyses. Article 9 of the TPR provides that in determining a comparable market price, the factor being examined in </w:t>
      </w:r>
      <w:r w:rsidR="003E0B4B">
        <w:rPr>
          <w:rFonts w:ascii="Arial" w:eastAsia="Times New Roman" w:hAnsi="Arial" w:cs="Arial"/>
          <w:sz w:val="20"/>
          <w:szCs w:val="20"/>
          <w:lang w:val="en-GB"/>
        </w:rPr>
        <w:t>associated</w:t>
      </w:r>
      <w:r>
        <w:rPr>
          <w:rFonts w:ascii="Arial" w:eastAsia="Times New Roman" w:hAnsi="Arial" w:cs="Arial"/>
          <w:sz w:val="20"/>
          <w:szCs w:val="20"/>
          <w:lang w:val="en-GB"/>
        </w:rPr>
        <w:t xml:space="preserve">-party transactions must be compared with the factor being examined in identical or comparable transactions between </w:t>
      </w:r>
      <w:proofErr w:type="spellStart"/>
      <w:r>
        <w:rPr>
          <w:rFonts w:ascii="Arial" w:eastAsia="Times New Roman" w:hAnsi="Arial" w:cs="Arial"/>
          <w:sz w:val="20"/>
          <w:szCs w:val="20"/>
          <w:lang w:val="en-GB"/>
        </w:rPr>
        <w:t>un</w:t>
      </w:r>
      <w:r w:rsidR="003E0B4B">
        <w:rPr>
          <w:rFonts w:ascii="Arial" w:eastAsia="Times New Roman" w:hAnsi="Arial" w:cs="Arial"/>
          <w:sz w:val="20"/>
          <w:szCs w:val="20"/>
          <w:lang w:val="en-GB"/>
        </w:rPr>
        <w:t>associated</w:t>
      </w:r>
      <w:proofErr w:type="spellEnd"/>
      <w:r>
        <w:rPr>
          <w:rFonts w:ascii="Arial" w:eastAsia="Times New Roman" w:hAnsi="Arial" w:cs="Arial"/>
          <w:sz w:val="20"/>
          <w:szCs w:val="20"/>
          <w:lang w:val="en-GB"/>
        </w:rPr>
        <w:t xml:space="preserve"> parties. It is deemed that an </w:t>
      </w:r>
      <w:proofErr w:type="spellStart"/>
      <w:r>
        <w:rPr>
          <w:rFonts w:ascii="Arial" w:eastAsia="Times New Roman" w:hAnsi="Arial" w:cs="Arial"/>
          <w:sz w:val="20"/>
          <w:szCs w:val="20"/>
          <w:lang w:val="en-GB"/>
        </w:rPr>
        <w:t>un</w:t>
      </w:r>
      <w:r w:rsidR="003E0B4B">
        <w:rPr>
          <w:rFonts w:ascii="Arial" w:eastAsia="Times New Roman" w:hAnsi="Arial" w:cs="Arial"/>
          <w:sz w:val="20"/>
          <w:szCs w:val="20"/>
          <w:lang w:val="en-GB"/>
        </w:rPr>
        <w:t>associated</w:t>
      </w:r>
      <w:proofErr w:type="spellEnd"/>
      <w:r>
        <w:rPr>
          <w:rFonts w:ascii="Arial" w:eastAsia="Times New Roman" w:hAnsi="Arial" w:cs="Arial"/>
          <w:sz w:val="20"/>
          <w:szCs w:val="20"/>
          <w:lang w:val="en-GB"/>
        </w:rPr>
        <w:t xml:space="preserve">-party transaction can be compared to </w:t>
      </w:r>
      <w:proofErr w:type="spellStart"/>
      <w:proofErr w:type="gramStart"/>
      <w:r>
        <w:rPr>
          <w:rFonts w:ascii="Arial" w:eastAsia="Times New Roman" w:hAnsi="Arial" w:cs="Arial"/>
          <w:sz w:val="20"/>
          <w:szCs w:val="20"/>
          <w:lang w:val="en-GB"/>
        </w:rPr>
        <w:t>a</w:t>
      </w:r>
      <w:proofErr w:type="spellEnd"/>
      <w:proofErr w:type="gramEnd"/>
      <w:r>
        <w:rPr>
          <w:rFonts w:ascii="Arial" w:eastAsia="Times New Roman" w:hAnsi="Arial" w:cs="Arial"/>
          <w:sz w:val="20"/>
          <w:szCs w:val="20"/>
          <w:lang w:val="en-GB"/>
        </w:rPr>
        <w:t xml:space="preserve"> </w:t>
      </w:r>
      <w:r w:rsidR="003E0B4B">
        <w:rPr>
          <w:rFonts w:ascii="Arial" w:eastAsia="Times New Roman" w:hAnsi="Arial" w:cs="Arial"/>
          <w:sz w:val="20"/>
          <w:szCs w:val="20"/>
          <w:lang w:val="en-GB"/>
        </w:rPr>
        <w:t>associated</w:t>
      </w:r>
      <w:r>
        <w:rPr>
          <w:rFonts w:ascii="Arial" w:eastAsia="Times New Roman" w:hAnsi="Arial" w:cs="Arial"/>
          <w:sz w:val="20"/>
          <w:szCs w:val="20"/>
          <w:lang w:val="en-GB"/>
        </w:rPr>
        <w:t>-party transaction when:</w:t>
      </w:r>
    </w:p>
    <w:p w14:paraId="6B4E9A79" w14:textId="77777777" w:rsidR="0005289E" w:rsidRPr="004F2499" w:rsidRDefault="0005289E" w:rsidP="00430CD2">
      <w:pPr>
        <w:tabs>
          <w:tab w:val="left" w:pos="3402"/>
        </w:tabs>
        <w:spacing w:line="260" w:lineRule="atLeast"/>
        <w:jc w:val="both"/>
        <w:rPr>
          <w:rFonts w:ascii="Arial" w:eastAsia="Times New Roman" w:hAnsi="Arial" w:cs="Arial"/>
          <w:sz w:val="10"/>
          <w:szCs w:val="10"/>
        </w:rPr>
      </w:pPr>
    </w:p>
    <w:p w14:paraId="4188FBF5" w14:textId="77777777" w:rsidR="00666077" w:rsidRPr="00904D3B" w:rsidRDefault="00666077" w:rsidP="00430CD2">
      <w:pPr>
        <w:numPr>
          <w:ilvl w:val="0"/>
          <w:numId w:val="5"/>
        </w:numPr>
        <w:spacing w:line="260" w:lineRule="atLeast"/>
        <w:ind w:left="284" w:hanging="284"/>
        <w:jc w:val="both"/>
        <w:rPr>
          <w:rFonts w:ascii="Arial" w:eastAsia="Times New Roman" w:hAnsi="Arial" w:cs="Arial"/>
          <w:sz w:val="20"/>
          <w:szCs w:val="24"/>
        </w:rPr>
      </w:pPr>
      <w:r>
        <w:rPr>
          <w:rFonts w:ascii="Arial" w:eastAsia="Times New Roman" w:hAnsi="Arial" w:cs="Arial"/>
          <w:sz w:val="20"/>
          <w:szCs w:val="24"/>
          <w:lang w:val="en-GB"/>
        </w:rPr>
        <w:t xml:space="preserve">none of the differences between the transactions can significantly affect the factor being examined in accordance with the appropriate method of determining a comparable market price; or, </w:t>
      </w:r>
    </w:p>
    <w:p w14:paraId="3F36C457" w14:textId="25A3EBC0" w:rsidR="00666077" w:rsidRPr="00904D3B" w:rsidRDefault="00666077" w:rsidP="00430CD2">
      <w:pPr>
        <w:numPr>
          <w:ilvl w:val="0"/>
          <w:numId w:val="5"/>
        </w:numPr>
        <w:spacing w:line="260" w:lineRule="atLeast"/>
        <w:ind w:left="284" w:hanging="284"/>
        <w:jc w:val="both"/>
        <w:rPr>
          <w:rFonts w:ascii="Arial" w:eastAsia="Times New Roman" w:hAnsi="Arial" w:cs="Arial"/>
          <w:sz w:val="20"/>
          <w:szCs w:val="24"/>
        </w:rPr>
      </w:pPr>
      <w:proofErr w:type="gramStart"/>
      <w:r>
        <w:rPr>
          <w:rFonts w:ascii="Arial" w:eastAsia="Times New Roman" w:hAnsi="Arial" w:cs="Arial"/>
          <w:sz w:val="20"/>
          <w:szCs w:val="24"/>
          <w:lang w:val="en-GB"/>
        </w:rPr>
        <w:t>in the event that</w:t>
      </w:r>
      <w:proofErr w:type="gramEnd"/>
      <w:r>
        <w:rPr>
          <w:rFonts w:ascii="Arial" w:eastAsia="Times New Roman" w:hAnsi="Arial" w:cs="Arial"/>
          <w:sz w:val="20"/>
          <w:szCs w:val="24"/>
          <w:lang w:val="en-GB"/>
        </w:rPr>
        <w:t xml:space="preserve"> such differences exist, the effects of such differences can be eliminated by reasonably precise adjustments of the factor being </w:t>
      </w:r>
      <w:r w:rsidR="00194E3F">
        <w:rPr>
          <w:rFonts w:ascii="Arial" w:eastAsia="Times New Roman" w:hAnsi="Arial" w:cs="Arial"/>
          <w:sz w:val="20"/>
          <w:szCs w:val="24"/>
          <w:lang w:val="en-GB"/>
        </w:rPr>
        <w:t>examined in comparable arm’s length</w:t>
      </w:r>
      <w:r>
        <w:rPr>
          <w:rFonts w:ascii="Arial" w:eastAsia="Times New Roman" w:hAnsi="Arial" w:cs="Arial"/>
          <w:sz w:val="20"/>
          <w:szCs w:val="24"/>
          <w:lang w:val="en-GB"/>
        </w:rPr>
        <w:t xml:space="preserve"> transactions in order to eliminate the impact of these differences on comparability.</w:t>
      </w:r>
    </w:p>
    <w:p w14:paraId="33170B62" w14:textId="77777777" w:rsidR="00666077" w:rsidRPr="00904D3B" w:rsidRDefault="00666077" w:rsidP="00430CD2">
      <w:pPr>
        <w:spacing w:line="260" w:lineRule="atLeast"/>
        <w:jc w:val="both"/>
        <w:rPr>
          <w:rFonts w:ascii="Arial" w:eastAsia="Times New Roman" w:hAnsi="Arial" w:cs="Arial"/>
          <w:sz w:val="20"/>
          <w:szCs w:val="24"/>
        </w:rPr>
      </w:pPr>
    </w:p>
    <w:p w14:paraId="161C76E9" w14:textId="77777777" w:rsidR="00666077" w:rsidRDefault="00666077" w:rsidP="00430CD2">
      <w:pPr>
        <w:tabs>
          <w:tab w:val="left" w:pos="3402"/>
        </w:tabs>
        <w:spacing w:line="260" w:lineRule="atLeast"/>
        <w:jc w:val="both"/>
        <w:rPr>
          <w:rFonts w:ascii="Arial" w:eastAsia="Times New Roman" w:hAnsi="Arial" w:cs="Arial"/>
          <w:sz w:val="20"/>
          <w:szCs w:val="20"/>
        </w:rPr>
      </w:pPr>
      <w:r>
        <w:rPr>
          <w:rFonts w:ascii="Arial" w:eastAsia="Times New Roman" w:hAnsi="Arial" w:cs="Arial"/>
          <w:sz w:val="20"/>
          <w:szCs w:val="20"/>
          <w:lang w:val="en-GB"/>
        </w:rPr>
        <w:t xml:space="preserve">The factors considered and used in each method to determine a comparable market price are </w:t>
      </w:r>
      <w:proofErr w:type="gramStart"/>
      <w:r>
        <w:rPr>
          <w:rFonts w:ascii="Arial" w:eastAsia="Times New Roman" w:hAnsi="Arial" w:cs="Arial"/>
          <w:sz w:val="20"/>
          <w:szCs w:val="20"/>
          <w:lang w:val="en-GB"/>
        </w:rPr>
        <w:t>in particular the</w:t>
      </w:r>
      <w:proofErr w:type="gramEnd"/>
      <w:r>
        <w:rPr>
          <w:rFonts w:ascii="Arial" w:eastAsia="Times New Roman" w:hAnsi="Arial" w:cs="Arial"/>
          <w:sz w:val="20"/>
          <w:szCs w:val="20"/>
          <w:lang w:val="en-GB"/>
        </w:rPr>
        <w:t xml:space="preserve"> following (TPR 9/2): </w:t>
      </w:r>
    </w:p>
    <w:p w14:paraId="5D0A86FC" w14:textId="77777777" w:rsidR="0005289E" w:rsidRPr="004F2499" w:rsidRDefault="0005289E" w:rsidP="00430CD2">
      <w:pPr>
        <w:tabs>
          <w:tab w:val="left" w:pos="3402"/>
        </w:tabs>
        <w:spacing w:line="260" w:lineRule="atLeast"/>
        <w:jc w:val="both"/>
        <w:rPr>
          <w:rFonts w:ascii="Arial" w:eastAsia="Times New Roman" w:hAnsi="Arial" w:cs="Arial"/>
          <w:sz w:val="10"/>
          <w:szCs w:val="10"/>
        </w:rPr>
      </w:pPr>
    </w:p>
    <w:p w14:paraId="77E9502E" w14:textId="77777777" w:rsidR="00666077" w:rsidRPr="00904D3B" w:rsidRDefault="00666077" w:rsidP="00430CD2">
      <w:pPr>
        <w:numPr>
          <w:ilvl w:val="0"/>
          <w:numId w:val="5"/>
        </w:numPr>
        <w:spacing w:line="260" w:lineRule="atLeast"/>
        <w:ind w:left="284" w:hanging="284"/>
        <w:jc w:val="both"/>
        <w:rPr>
          <w:rFonts w:ascii="Arial" w:eastAsia="Times New Roman" w:hAnsi="Arial" w:cs="Arial"/>
          <w:sz w:val="20"/>
          <w:szCs w:val="24"/>
        </w:rPr>
      </w:pPr>
      <w:r>
        <w:rPr>
          <w:rFonts w:ascii="Arial" w:eastAsia="Times New Roman" w:hAnsi="Arial" w:cs="Arial"/>
          <w:sz w:val="20"/>
          <w:szCs w:val="24"/>
          <w:lang w:val="en-GB"/>
        </w:rPr>
        <w:t xml:space="preserve">the price used in the </w:t>
      </w:r>
      <w:proofErr w:type="gramStart"/>
      <w:r>
        <w:rPr>
          <w:rFonts w:ascii="Arial" w:eastAsia="Times New Roman" w:hAnsi="Arial" w:cs="Arial"/>
          <w:sz w:val="20"/>
          <w:szCs w:val="24"/>
          <w:lang w:val="en-GB"/>
        </w:rPr>
        <w:t>transaction;</w:t>
      </w:r>
      <w:proofErr w:type="gramEnd"/>
      <w:r>
        <w:rPr>
          <w:rFonts w:ascii="Arial" w:eastAsia="Times New Roman" w:hAnsi="Arial" w:cs="Arial"/>
          <w:sz w:val="20"/>
          <w:szCs w:val="24"/>
          <w:lang w:val="en-GB"/>
        </w:rPr>
        <w:t xml:space="preserve"> </w:t>
      </w:r>
    </w:p>
    <w:p w14:paraId="4CB5DE5C" w14:textId="77777777" w:rsidR="00666077" w:rsidRPr="00904D3B" w:rsidRDefault="00666077" w:rsidP="00430CD2">
      <w:pPr>
        <w:numPr>
          <w:ilvl w:val="0"/>
          <w:numId w:val="5"/>
        </w:numPr>
        <w:spacing w:line="260" w:lineRule="atLeast"/>
        <w:ind w:left="284" w:hanging="284"/>
        <w:jc w:val="both"/>
        <w:rPr>
          <w:rFonts w:ascii="Arial" w:eastAsia="Times New Roman" w:hAnsi="Arial" w:cs="Arial"/>
          <w:sz w:val="20"/>
          <w:szCs w:val="24"/>
        </w:rPr>
      </w:pPr>
      <w:r>
        <w:rPr>
          <w:rFonts w:ascii="Arial" w:eastAsia="Times New Roman" w:hAnsi="Arial" w:cs="Arial"/>
          <w:sz w:val="20"/>
          <w:szCs w:val="24"/>
          <w:lang w:val="en-GB"/>
        </w:rPr>
        <w:t xml:space="preserve">the gross </w:t>
      </w:r>
      <w:proofErr w:type="gramStart"/>
      <w:r>
        <w:rPr>
          <w:rFonts w:ascii="Arial" w:eastAsia="Times New Roman" w:hAnsi="Arial" w:cs="Arial"/>
          <w:sz w:val="20"/>
          <w:szCs w:val="24"/>
          <w:lang w:val="en-GB"/>
        </w:rPr>
        <w:t>margin;</w:t>
      </w:r>
      <w:proofErr w:type="gramEnd"/>
      <w:r>
        <w:rPr>
          <w:rFonts w:ascii="Arial" w:eastAsia="Times New Roman" w:hAnsi="Arial" w:cs="Arial"/>
          <w:sz w:val="20"/>
          <w:szCs w:val="24"/>
          <w:lang w:val="en-GB"/>
        </w:rPr>
        <w:t xml:space="preserve"> </w:t>
      </w:r>
    </w:p>
    <w:p w14:paraId="78204DC1" w14:textId="77777777" w:rsidR="00666077" w:rsidRPr="00904D3B" w:rsidRDefault="00666077" w:rsidP="00430CD2">
      <w:pPr>
        <w:numPr>
          <w:ilvl w:val="0"/>
          <w:numId w:val="5"/>
        </w:numPr>
        <w:spacing w:line="260" w:lineRule="atLeast"/>
        <w:ind w:left="284" w:hanging="284"/>
        <w:jc w:val="both"/>
        <w:rPr>
          <w:rFonts w:ascii="Arial" w:eastAsia="Times New Roman" w:hAnsi="Arial" w:cs="Arial"/>
          <w:sz w:val="20"/>
          <w:szCs w:val="24"/>
        </w:rPr>
      </w:pPr>
      <w:r>
        <w:rPr>
          <w:rFonts w:ascii="Arial" w:eastAsia="Times New Roman" w:hAnsi="Arial" w:cs="Arial"/>
          <w:sz w:val="20"/>
          <w:szCs w:val="24"/>
          <w:lang w:val="en-GB"/>
        </w:rPr>
        <w:t xml:space="preserve">the net </w:t>
      </w:r>
      <w:proofErr w:type="gramStart"/>
      <w:r>
        <w:rPr>
          <w:rFonts w:ascii="Arial" w:eastAsia="Times New Roman" w:hAnsi="Arial" w:cs="Arial"/>
          <w:sz w:val="20"/>
          <w:szCs w:val="24"/>
          <w:lang w:val="en-GB"/>
        </w:rPr>
        <w:t>profit;</w:t>
      </w:r>
      <w:proofErr w:type="gramEnd"/>
      <w:r>
        <w:rPr>
          <w:rFonts w:ascii="Arial" w:eastAsia="Times New Roman" w:hAnsi="Arial" w:cs="Arial"/>
          <w:sz w:val="20"/>
          <w:szCs w:val="24"/>
          <w:lang w:val="en-GB"/>
        </w:rPr>
        <w:t xml:space="preserve"> </w:t>
      </w:r>
    </w:p>
    <w:p w14:paraId="0A53D941" w14:textId="77777777" w:rsidR="00666077" w:rsidRPr="00904D3B" w:rsidRDefault="00666077" w:rsidP="00430CD2">
      <w:pPr>
        <w:numPr>
          <w:ilvl w:val="0"/>
          <w:numId w:val="5"/>
        </w:numPr>
        <w:spacing w:line="260" w:lineRule="atLeast"/>
        <w:ind w:left="284" w:hanging="284"/>
        <w:jc w:val="both"/>
        <w:rPr>
          <w:rFonts w:ascii="Arial" w:eastAsia="Times New Roman" w:hAnsi="Arial" w:cs="Arial"/>
          <w:sz w:val="20"/>
          <w:szCs w:val="24"/>
        </w:rPr>
      </w:pPr>
      <w:r>
        <w:rPr>
          <w:rFonts w:ascii="Arial" w:eastAsia="Times New Roman" w:hAnsi="Arial" w:cs="Arial"/>
          <w:sz w:val="20"/>
          <w:szCs w:val="24"/>
          <w:lang w:val="en-GB"/>
        </w:rPr>
        <w:t xml:space="preserve">the distribution of the overall (total) </w:t>
      </w:r>
      <w:proofErr w:type="gramStart"/>
      <w:r>
        <w:rPr>
          <w:rFonts w:ascii="Arial" w:eastAsia="Times New Roman" w:hAnsi="Arial" w:cs="Arial"/>
          <w:sz w:val="20"/>
          <w:szCs w:val="24"/>
          <w:lang w:val="en-GB"/>
        </w:rPr>
        <w:t>profit;</w:t>
      </w:r>
      <w:proofErr w:type="gramEnd"/>
      <w:r>
        <w:rPr>
          <w:rFonts w:ascii="Arial" w:eastAsia="Times New Roman" w:hAnsi="Arial" w:cs="Arial"/>
          <w:sz w:val="20"/>
          <w:szCs w:val="24"/>
          <w:lang w:val="en-GB"/>
        </w:rPr>
        <w:t xml:space="preserve"> </w:t>
      </w:r>
    </w:p>
    <w:p w14:paraId="4DC25B12" w14:textId="77777777" w:rsidR="00666077" w:rsidRPr="00AD51AA" w:rsidRDefault="00666077" w:rsidP="00430CD2">
      <w:pPr>
        <w:numPr>
          <w:ilvl w:val="0"/>
          <w:numId w:val="5"/>
        </w:numPr>
        <w:spacing w:line="260" w:lineRule="atLeast"/>
        <w:ind w:left="284" w:hanging="284"/>
        <w:jc w:val="both"/>
        <w:rPr>
          <w:rFonts w:ascii="Arial" w:eastAsia="Times New Roman" w:hAnsi="Arial" w:cs="Arial"/>
          <w:sz w:val="20"/>
          <w:szCs w:val="20"/>
        </w:rPr>
      </w:pPr>
      <w:r>
        <w:rPr>
          <w:rFonts w:ascii="Arial" w:eastAsia="Times New Roman" w:hAnsi="Arial" w:cs="Arial"/>
          <w:sz w:val="20"/>
          <w:szCs w:val="24"/>
          <w:lang w:val="en-GB"/>
        </w:rPr>
        <w:t>financial ratios</w:t>
      </w:r>
      <w:r>
        <w:rPr>
          <w:rFonts w:ascii="Arial" w:eastAsia="Times New Roman" w:hAnsi="Arial" w:cs="Arial"/>
          <w:sz w:val="20"/>
          <w:szCs w:val="20"/>
          <w:lang w:val="en-GB"/>
        </w:rPr>
        <w:t>.</w:t>
      </w:r>
    </w:p>
    <w:p w14:paraId="342C8DD1" w14:textId="77777777" w:rsidR="00666077" w:rsidRPr="00F27413" w:rsidRDefault="00666077" w:rsidP="00430CD2">
      <w:pPr>
        <w:tabs>
          <w:tab w:val="left" w:pos="3402"/>
        </w:tabs>
        <w:spacing w:line="260" w:lineRule="atLeast"/>
        <w:jc w:val="both"/>
        <w:rPr>
          <w:rFonts w:ascii="Arial" w:eastAsia="Times New Roman" w:hAnsi="Arial" w:cs="Arial"/>
          <w:sz w:val="20"/>
          <w:szCs w:val="20"/>
        </w:rPr>
      </w:pPr>
    </w:p>
    <w:p w14:paraId="2C496152" w14:textId="23D9F018" w:rsidR="00666077" w:rsidRPr="00AA2C04" w:rsidRDefault="00666077" w:rsidP="00430CD2">
      <w:pPr>
        <w:tabs>
          <w:tab w:val="left" w:pos="3402"/>
        </w:tabs>
        <w:spacing w:line="260" w:lineRule="atLeast"/>
        <w:jc w:val="both"/>
        <w:rPr>
          <w:rFonts w:ascii="Arial" w:eastAsia="Times New Roman" w:hAnsi="Arial" w:cs="Arial"/>
          <w:sz w:val="20"/>
          <w:szCs w:val="20"/>
        </w:rPr>
      </w:pPr>
      <w:r>
        <w:rPr>
          <w:rFonts w:ascii="Arial" w:eastAsia="Times New Roman" w:hAnsi="Arial" w:cs="Arial"/>
          <w:sz w:val="20"/>
          <w:szCs w:val="20"/>
          <w:lang w:val="en-GB"/>
        </w:rPr>
        <w:t xml:space="preserve">The comparability of transactions is assessed in the same way as </w:t>
      </w:r>
      <w:proofErr w:type="spellStart"/>
      <w:r>
        <w:rPr>
          <w:rFonts w:ascii="Arial" w:eastAsia="Times New Roman" w:hAnsi="Arial" w:cs="Arial"/>
          <w:sz w:val="20"/>
          <w:szCs w:val="20"/>
          <w:lang w:val="en-GB"/>
        </w:rPr>
        <w:t>un</w:t>
      </w:r>
      <w:r w:rsidR="003E0B4B">
        <w:rPr>
          <w:rFonts w:ascii="Arial" w:eastAsia="Times New Roman" w:hAnsi="Arial" w:cs="Arial"/>
          <w:sz w:val="20"/>
          <w:szCs w:val="20"/>
          <w:lang w:val="en-GB"/>
        </w:rPr>
        <w:t>associated</w:t>
      </w:r>
      <w:proofErr w:type="spellEnd"/>
      <w:r>
        <w:rPr>
          <w:rFonts w:ascii="Arial" w:eastAsia="Times New Roman" w:hAnsi="Arial" w:cs="Arial"/>
          <w:sz w:val="20"/>
          <w:szCs w:val="20"/>
          <w:lang w:val="en-GB"/>
        </w:rPr>
        <w:t xml:space="preserve"> parties, who compare all available transactions with each other and decide on the one that is most favourable to them (TPR 9/3).</w:t>
      </w:r>
    </w:p>
    <w:p w14:paraId="16274AD4" w14:textId="77777777" w:rsidR="00666077" w:rsidRPr="00AA2C04" w:rsidRDefault="00666077" w:rsidP="00430CD2">
      <w:pPr>
        <w:tabs>
          <w:tab w:val="left" w:pos="3402"/>
        </w:tabs>
        <w:spacing w:line="260" w:lineRule="atLeast"/>
        <w:jc w:val="both"/>
        <w:rPr>
          <w:rFonts w:ascii="Arial" w:eastAsia="Times New Roman" w:hAnsi="Arial" w:cs="Arial"/>
          <w:sz w:val="20"/>
          <w:szCs w:val="20"/>
        </w:rPr>
      </w:pPr>
    </w:p>
    <w:p w14:paraId="7C6E57CA" w14:textId="77777777" w:rsidR="00666077" w:rsidRDefault="00666077" w:rsidP="00430CD2">
      <w:pPr>
        <w:tabs>
          <w:tab w:val="left" w:pos="3402"/>
        </w:tabs>
        <w:spacing w:line="260" w:lineRule="atLeast"/>
        <w:jc w:val="both"/>
        <w:rPr>
          <w:rFonts w:ascii="Arial" w:eastAsia="Times New Roman" w:hAnsi="Arial" w:cs="Arial"/>
          <w:sz w:val="20"/>
          <w:szCs w:val="20"/>
        </w:rPr>
      </w:pPr>
      <w:r>
        <w:rPr>
          <w:rFonts w:ascii="Arial" w:eastAsia="Times New Roman" w:hAnsi="Arial" w:cs="Arial"/>
          <w:sz w:val="20"/>
          <w:szCs w:val="20"/>
          <w:lang w:val="en-GB"/>
        </w:rPr>
        <w:t xml:space="preserve">In determining the comparability of two or more transactions, it is necessary to perform a comparability analysis and </w:t>
      </w:r>
      <w:proofErr w:type="gramStart"/>
      <w:r>
        <w:rPr>
          <w:rFonts w:ascii="Arial" w:eastAsia="Times New Roman" w:hAnsi="Arial" w:cs="Arial"/>
          <w:sz w:val="20"/>
          <w:szCs w:val="20"/>
          <w:lang w:val="en-GB"/>
        </w:rPr>
        <w:t>take into account</w:t>
      </w:r>
      <w:proofErr w:type="gramEnd"/>
      <w:r>
        <w:rPr>
          <w:rFonts w:ascii="Arial" w:eastAsia="Times New Roman" w:hAnsi="Arial" w:cs="Arial"/>
          <w:sz w:val="20"/>
          <w:szCs w:val="20"/>
          <w:lang w:val="en-GB"/>
        </w:rPr>
        <w:t xml:space="preserve"> economically relevant factors that affect the facts and circumstances of each transaction (PTC 9/4): </w:t>
      </w:r>
    </w:p>
    <w:p w14:paraId="302AEA1A" w14:textId="77777777" w:rsidR="0005289E" w:rsidRPr="004F2499" w:rsidRDefault="0005289E" w:rsidP="00430CD2">
      <w:pPr>
        <w:tabs>
          <w:tab w:val="left" w:pos="3402"/>
        </w:tabs>
        <w:spacing w:line="260" w:lineRule="atLeast"/>
        <w:jc w:val="both"/>
        <w:rPr>
          <w:rFonts w:ascii="Arial" w:eastAsia="Times New Roman" w:hAnsi="Arial" w:cs="Arial"/>
          <w:sz w:val="10"/>
          <w:szCs w:val="10"/>
        </w:rPr>
      </w:pPr>
    </w:p>
    <w:p w14:paraId="7963BBE3" w14:textId="77777777" w:rsidR="00666077" w:rsidRPr="00904D3B" w:rsidRDefault="00666077" w:rsidP="00430CD2">
      <w:pPr>
        <w:numPr>
          <w:ilvl w:val="0"/>
          <w:numId w:val="5"/>
        </w:numPr>
        <w:spacing w:line="260" w:lineRule="atLeast"/>
        <w:ind w:left="284" w:hanging="284"/>
        <w:jc w:val="both"/>
        <w:rPr>
          <w:rFonts w:ascii="Arial" w:eastAsia="Times New Roman" w:hAnsi="Arial" w:cs="Arial"/>
          <w:sz w:val="20"/>
          <w:szCs w:val="24"/>
        </w:rPr>
      </w:pPr>
      <w:r>
        <w:rPr>
          <w:rFonts w:ascii="Arial" w:eastAsia="Times New Roman" w:hAnsi="Arial" w:cs="Arial"/>
          <w:sz w:val="20"/>
          <w:szCs w:val="24"/>
          <w:lang w:val="en-GB"/>
        </w:rPr>
        <w:t xml:space="preserve">the characteristics of the transferred funds or </w:t>
      </w:r>
      <w:proofErr w:type="gramStart"/>
      <w:r>
        <w:rPr>
          <w:rFonts w:ascii="Arial" w:eastAsia="Times New Roman" w:hAnsi="Arial" w:cs="Arial"/>
          <w:sz w:val="20"/>
          <w:szCs w:val="24"/>
          <w:lang w:val="en-GB"/>
        </w:rPr>
        <w:t>services;</w:t>
      </w:r>
      <w:proofErr w:type="gramEnd"/>
    </w:p>
    <w:p w14:paraId="022BE882" w14:textId="7B7DAED4" w:rsidR="00666077" w:rsidRPr="00904D3B" w:rsidRDefault="00666077" w:rsidP="00430CD2">
      <w:pPr>
        <w:numPr>
          <w:ilvl w:val="0"/>
          <w:numId w:val="5"/>
        </w:numPr>
        <w:spacing w:line="260" w:lineRule="atLeast"/>
        <w:ind w:left="284" w:hanging="284"/>
        <w:jc w:val="both"/>
        <w:rPr>
          <w:rFonts w:ascii="Arial" w:eastAsia="Times New Roman" w:hAnsi="Arial" w:cs="Arial"/>
          <w:sz w:val="20"/>
          <w:szCs w:val="24"/>
        </w:rPr>
      </w:pPr>
      <w:r>
        <w:rPr>
          <w:rFonts w:ascii="Arial" w:eastAsia="Times New Roman" w:hAnsi="Arial" w:cs="Arial"/>
          <w:sz w:val="20"/>
          <w:szCs w:val="24"/>
          <w:lang w:val="en-GB"/>
        </w:rPr>
        <w:t xml:space="preserve">the functions performed by </w:t>
      </w:r>
      <w:r w:rsidR="003E0B4B">
        <w:rPr>
          <w:rFonts w:ascii="Arial" w:eastAsia="Times New Roman" w:hAnsi="Arial" w:cs="Arial"/>
          <w:sz w:val="20"/>
          <w:szCs w:val="24"/>
          <w:lang w:val="en-GB"/>
        </w:rPr>
        <w:t>associated</w:t>
      </w:r>
      <w:r>
        <w:rPr>
          <w:rFonts w:ascii="Arial" w:eastAsia="Times New Roman" w:hAnsi="Arial" w:cs="Arial"/>
          <w:sz w:val="20"/>
          <w:szCs w:val="24"/>
          <w:lang w:val="en-GB"/>
        </w:rPr>
        <w:t xml:space="preserve"> and </w:t>
      </w:r>
      <w:proofErr w:type="spellStart"/>
      <w:r>
        <w:rPr>
          <w:rFonts w:ascii="Arial" w:eastAsia="Times New Roman" w:hAnsi="Arial" w:cs="Arial"/>
          <w:sz w:val="20"/>
          <w:szCs w:val="24"/>
          <w:lang w:val="en-GB"/>
        </w:rPr>
        <w:t>un</w:t>
      </w:r>
      <w:r w:rsidR="003E0B4B">
        <w:rPr>
          <w:rFonts w:ascii="Arial" w:eastAsia="Times New Roman" w:hAnsi="Arial" w:cs="Arial"/>
          <w:sz w:val="20"/>
          <w:szCs w:val="24"/>
          <w:lang w:val="en-GB"/>
        </w:rPr>
        <w:t>associated</w:t>
      </w:r>
      <w:proofErr w:type="spellEnd"/>
      <w:r>
        <w:rPr>
          <w:rFonts w:ascii="Arial" w:eastAsia="Times New Roman" w:hAnsi="Arial" w:cs="Arial"/>
          <w:sz w:val="20"/>
          <w:szCs w:val="24"/>
          <w:lang w:val="en-GB"/>
        </w:rPr>
        <w:t xml:space="preserve"> parties (taking into account the funds employed and the risks assumed</w:t>
      </w:r>
      <w:proofErr w:type="gramStart"/>
      <w:r>
        <w:rPr>
          <w:rFonts w:ascii="Arial" w:eastAsia="Times New Roman" w:hAnsi="Arial" w:cs="Arial"/>
          <w:sz w:val="20"/>
          <w:szCs w:val="24"/>
          <w:lang w:val="en-GB"/>
        </w:rPr>
        <w:t>);</w:t>
      </w:r>
      <w:proofErr w:type="gramEnd"/>
    </w:p>
    <w:p w14:paraId="69836C36" w14:textId="77777777" w:rsidR="00666077" w:rsidRPr="00904D3B" w:rsidRDefault="00666077" w:rsidP="00430CD2">
      <w:pPr>
        <w:numPr>
          <w:ilvl w:val="0"/>
          <w:numId w:val="5"/>
        </w:numPr>
        <w:spacing w:line="260" w:lineRule="atLeast"/>
        <w:ind w:left="284" w:hanging="284"/>
        <w:jc w:val="both"/>
        <w:rPr>
          <w:rFonts w:ascii="Arial" w:eastAsia="Times New Roman" w:hAnsi="Arial" w:cs="Arial"/>
          <w:sz w:val="20"/>
          <w:szCs w:val="24"/>
        </w:rPr>
      </w:pPr>
      <w:r>
        <w:rPr>
          <w:rFonts w:ascii="Arial" w:eastAsia="Times New Roman" w:hAnsi="Arial" w:cs="Arial"/>
          <w:sz w:val="20"/>
          <w:szCs w:val="24"/>
          <w:lang w:val="en-GB"/>
        </w:rPr>
        <w:t xml:space="preserve">the contract </w:t>
      </w:r>
      <w:proofErr w:type="gramStart"/>
      <w:r>
        <w:rPr>
          <w:rFonts w:ascii="Arial" w:eastAsia="Times New Roman" w:hAnsi="Arial" w:cs="Arial"/>
          <w:sz w:val="20"/>
          <w:szCs w:val="24"/>
          <w:lang w:val="en-GB"/>
        </w:rPr>
        <w:t>terms;</w:t>
      </w:r>
      <w:proofErr w:type="gramEnd"/>
    </w:p>
    <w:p w14:paraId="71DB3B2B" w14:textId="77777777" w:rsidR="00666077" w:rsidRPr="00904D3B" w:rsidRDefault="00666077" w:rsidP="00430CD2">
      <w:pPr>
        <w:numPr>
          <w:ilvl w:val="0"/>
          <w:numId w:val="5"/>
        </w:numPr>
        <w:spacing w:line="260" w:lineRule="atLeast"/>
        <w:ind w:left="284" w:hanging="284"/>
        <w:jc w:val="both"/>
        <w:rPr>
          <w:rFonts w:ascii="Arial" w:eastAsia="Times New Roman" w:hAnsi="Arial" w:cs="Arial"/>
          <w:sz w:val="20"/>
          <w:szCs w:val="24"/>
        </w:rPr>
      </w:pPr>
      <w:r>
        <w:rPr>
          <w:rFonts w:ascii="Arial" w:eastAsia="Times New Roman" w:hAnsi="Arial" w:cs="Arial"/>
          <w:sz w:val="20"/>
          <w:szCs w:val="24"/>
          <w:lang w:val="en-GB"/>
        </w:rPr>
        <w:t>the economic circumstances in which the transactions take place; and</w:t>
      </w:r>
    </w:p>
    <w:p w14:paraId="0279D284" w14:textId="77777777" w:rsidR="00666077" w:rsidRPr="00904D3B" w:rsidRDefault="00666077" w:rsidP="00430CD2">
      <w:pPr>
        <w:numPr>
          <w:ilvl w:val="0"/>
          <w:numId w:val="5"/>
        </w:numPr>
        <w:spacing w:line="260" w:lineRule="atLeast"/>
        <w:ind w:left="284" w:hanging="284"/>
        <w:jc w:val="both"/>
        <w:rPr>
          <w:rFonts w:ascii="Arial" w:eastAsia="Times New Roman" w:hAnsi="Arial" w:cs="Arial"/>
          <w:sz w:val="20"/>
          <w:szCs w:val="24"/>
        </w:rPr>
      </w:pPr>
      <w:r>
        <w:rPr>
          <w:rFonts w:ascii="Arial" w:eastAsia="Times New Roman" w:hAnsi="Arial" w:cs="Arial"/>
          <w:sz w:val="20"/>
          <w:szCs w:val="24"/>
          <w:lang w:val="en-GB"/>
        </w:rPr>
        <w:t>the business strategies.</w:t>
      </w:r>
    </w:p>
    <w:p w14:paraId="168DC907" w14:textId="77777777" w:rsidR="00666077" w:rsidRPr="00831279" w:rsidRDefault="00666077" w:rsidP="00430CD2">
      <w:pPr>
        <w:tabs>
          <w:tab w:val="left" w:pos="3402"/>
        </w:tabs>
        <w:spacing w:line="260" w:lineRule="atLeast"/>
        <w:jc w:val="both"/>
        <w:rPr>
          <w:rFonts w:ascii="Arial" w:eastAsia="Times New Roman" w:hAnsi="Arial" w:cs="Arial"/>
          <w:sz w:val="20"/>
          <w:szCs w:val="20"/>
        </w:rPr>
      </w:pPr>
    </w:p>
    <w:p w14:paraId="5865D86D" w14:textId="77777777" w:rsidR="00666077" w:rsidRPr="00904D3B" w:rsidRDefault="00666077" w:rsidP="00430CD2">
      <w:pPr>
        <w:tabs>
          <w:tab w:val="left" w:pos="3402"/>
        </w:tabs>
        <w:spacing w:line="260" w:lineRule="atLeast"/>
        <w:jc w:val="both"/>
        <w:rPr>
          <w:rFonts w:ascii="Arial" w:eastAsia="Times New Roman" w:hAnsi="Arial" w:cs="Arial"/>
          <w:sz w:val="20"/>
          <w:szCs w:val="20"/>
        </w:rPr>
      </w:pPr>
      <w:r>
        <w:rPr>
          <w:rFonts w:ascii="Arial" w:eastAsia="Times New Roman" w:hAnsi="Arial" w:cs="Arial"/>
          <w:sz w:val="20"/>
          <w:szCs w:val="20"/>
          <w:lang w:val="en-GB"/>
        </w:rPr>
        <w:t>The above-listed comparability factors are described in more detail in paragraphs 1.36-1118 in the first chapter of the OECD Guidelines (or in paragraphs 1.36-1.63 in the 2010 OECD Guidelines). In addition, they are also discussed in Chapter II of the OECD Guidelines (Transfer Pricing Methods), which outlines the importance of these factors for the application of each transfer pricing method. The TPR sets out these factors in greater detail in Article 11 (Functions Analysis), Article 12 (Funds Employed), Article 13 (Assumed Risks), Article 14 (Contract Terms), Article 15 (Economic Circumstances), and Article 16 (Business Strategies).</w:t>
      </w:r>
    </w:p>
    <w:p w14:paraId="562CB7FF" w14:textId="77777777" w:rsidR="006626F1" w:rsidRDefault="006626F1" w:rsidP="00430CD2">
      <w:pPr>
        <w:tabs>
          <w:tab w:val="left" w:pos="3402"/>
        </w:tabs>
        <w:spacing w:line="260" w:lineRule="atLeast"/>
        <w:jc w:val="both"/>
        <w:rPr>
          <w:rFonts w:ascii="Arial" w:eastAsia="Times New Roman" w:hAnsi="Arial" w:cs="Arial"/>
          <w:sz w:val="20"/>
          <w:szCs w:val="20"/>
        </w:rPr>
      </w:pPr>
    </w:p>
    <w:p w14:paraId="0C9B88C8" w14:textId="77777777" w:rsidR="00666077" w:rsidRDefault="00666077" w:rsidP="00430CD2">
      <w:pPr>
        <w:tabs>
          <w:tab w:val="left" w:pos="3402"/>
        </w:tabs>
        <w:spacing w:line="260" w:lineRule="atLeast"/>
        <w:jc w:val="both"/>
        <w:rPr>
          <w:rFonts w:ascii="Arial" w:eastAsia="Times New Roman" w:hAnsi="Arial" w:cs="Arial"/>
          <w:sz w:val="20"/>
          <w:szCs w:val="20"/>
          <w:lang w:val="en-GB"/>
        </w:rPr>
      </w:pPr>
      <w:r>
        <w:rPr>
          <w:rFonts w:ascii="Arial" w:eastAsia="Times New Roman" w:hAnsi="Arial" w:cs="Arial"/>
          <w:sz w:val="20"/>
          <w:szCs w:val="20"/>
          <w:lang w:val="en-GB"/>
        </w:rPr>
        <w:t>Other influencing factors in determining comparable market prices include the impact of government policy (Article 18 of the PTC) and paragraphs 1.132-1.136 of the OECD Guidelines (paragraphs 1.73-1.77 of the 2010 OECD Guidelines) and losses (Article 20 of the PTC) and paragraphs 1.129-1.131 of the OECD Guidelines (paragraphs 1.70-1.72 of the 2010 OECD Guidelines).</w:t>
      </w:r>
    </w:p>
    <w:p w14:paraId="45DB1DA6" w14:textId="77777777" w:rsidR="004A7D62" w:rsidRPr="00904D3B" w:rsidRDefault="004A7D62" w:rsidP="00430CD2">
      <w:pPr>
        <w:tabs>
          <w:tab w:val="left" w:pos="3402"/>
        </w:tabs>
        <w:spacing w:line="260" w:lineRule="atLeast"/>
        <w:jc w:val="both"/>
        <w:rPr>
          <w:rFonts w:ascii="Arial" w:eastAsia="Times New Roman" w:hAnsi="Arial" w:cs="Arial"/>
          <w:sz w:val="20"/>
          <w:szCs w:val="20"/>
        </w:rPr>
      </w:pPr>
    </w:p>
    <w:p w14:paraId="020D3D9A" w14:textId="77777777" w:rsidR="00666077" w:rsidRPr="00904D3B" w:rsidRDefault="00666077" w:rsidP="00430CD2">
      <w:pPr>
        <w:tabs>
          <w:tab w:val="left" w:pos="3402"/>
        </w:tabs>
        <w:spacing w:line="260" w:lineRule="atLeast"/>
        <w:jc w:val="both"/>
        <w:rPr>
          <w:rFonts w:ascii="Arial" w:eastAsia="Times New Roman" w:hAnsi="Arial" w:cs="Arial"/>
          <w:sz w:val="20"/>
          <w:szCs w:val="20"/>
        </w:rPr>
      </w:pPr>
      <w:r>
        <w:rPr>
          <w:rFonts w:ascii="Arial" w:eastAsia="Times New Roman" w:hAnsi="Arial" w:cs="Arial"/>
          <w:sz w:val="20"/>
          <w:szCs w:val="20"/>
          <w:lang w:val="en-GB"/>
        </w:rPr>
        <w:t xml:space="preserve">Chapter III of the OECD Guidelines bears the title “Comparative Analysis”). Paragraph 3.4 describes a typical benchmarking procedure, which is considered good practice but not mandatory. The essence of the procedure is to identify reliable </w:t>
      </w:r>
      <w:proofErr w:type="spellStart"/>
      <w:r>
        <w:rPr>
          <w:rFonts w:ascii="Arial" w:eastAsia="Times New Roman" w:hAnsi="Arial" w:cs="Arial"/>
          <w:sz w:val="20"/>
          <w:szCs w:val="20"/>
          <w:lang w:val="en-GB"/>
        </w:rPr>
        <w:t>comparables</w:t>
      </w:r>
      <w:proofErr w:type="spellEnd"/>
      <w:r>
        <w:rPr>
          <w:rFonts w:ascii="Arial" w:eastAsia="Times New Roman" w:hAnsi="Arial" w:cs="Arial"/>
          <w:sz w:val="20"/>
          <w:szCs w:val="20"/>
          <w:lang w:val="en-GB"/>
        </w:rPr>
        <w:t>, where the reliability of the results of the procedure is more important than the procedure itself (this means that the implementation of the steps of the procedure does not provide any guarantee that the result will be in line with the arm’s length principle or that the non-performance of the procedure does not mean that the result will not be market-oriented).</w:t>
      </w:r>
    </w:p>
    <w:p w14:paraId="5100FDAF" w14:textId="77777777" w:rsidR="00B75FB7" w:rsidRDefault="00B75FB7" w:rsidP="00430CD2">
      <w:pPr>
        <w:tabs>
          <w:tab w:val="left" w:pos="3402"/>
        </w:tabs>
        <w:spacing w:line="260" w:lineRule="atLeast"/>
        <w:jc w:val="both"/>
        <w:rPr>
          <w:rFonts w:ascii="Arial" w:eastAsia="Times New Roman" w:hAnsi="Arial" w:cs="Arial"/>
          <w:sz w:val="20"/>
          <w:szCs w:val="20"/>
        </w:rPr>
      </w:pPr>
    </w:p>
    <w:p w14:paraId="2E10FA05" w14:textId="77777777" w:rsidR="00666077" w:rsidRDefault="00666077" w:rsidP="00430CD2">
      <w:pPr>
        <w:tabs>
          <w:tab w:val="left" w:pos="3402"/>
        </w:tabs>
        <w:spacing w:line="260" w:lineRule="atLeast"/>
        <w:jc w:val="both"/>
        <w:rPr>
          <w:rFonts w:ascii="Arial" w:eastAsia="Times New Roman" w:hAnsi="Arial" w:cs="Arial"/>
          <w:spacing w:val="1"/>
          <w:sz w:val="20"/>
          <w:szCs w:val="20"/>
        </w:rPr>
      </w:pPr>
      <w:r>
        <w:rPr>
          <w:rFonts w:ascii="Arial" w:eastAsia="Times New Roman" w:hAnsi="Arial" w:cs="Arial"/>
          <w:sz w:val="20"/>
          <w:szCs w:val="20"/>
          <w:lang w:val="en-GB"/>
        </w:rPr>
        <w:t>The steps of the procedure are the following:</w:t>
      </w:r>
    </w:p>
    <w:p w14:paraId="5C545B52" w14:textId="77777777" w:rsidR="00430CD2" w:rsidRDefault="00430CD2" w:rsidP="00430CD2">
      <w:pPr>
        <w:tabs>
          <w:tab w:val="left" w:pos="3402"/>
        </w:tabs>
        <w:spacing w:line="260" w:lineRule="atLeast"/>
        <w:jc w:val="both"/>
        <w:rPr>
          <w:rFonts w:ascii="Arial" w:eastAsia="Times New Roman" w:hAnsi="Arial" w:cs="Arial"/>
          <w:spacing w:val="1"/>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38"/>
        <w:gridCol w:w="7255"/>
      </w:tblGrid>
      <w:tr w:rsidR="00666077" w:rsidRPr="00904D3B" w14:paraId="5C996469" w14:textId="77777777" w:rsidTr="00FC3334">
        <w:tc>
          <w:tcPr>
            <w:tcW w:w="1238" w:type="dxa"/>
            <w:shd w:val="clear" w:color="auto" w:fill="F2F2F2" w:themeFill="background1" w:themeFillShade="F2"/>
          </w:tcPr>
          <w:p w14:paraId="2B4039E6" w14:textId="77777777" w:rsidR="00666077" w:rsidRPr="00904D3B" w:rsidRDefault="00666077" w:rsidP="00756903">
            <w:pPr>
              <w:tabs>
                <w:tab w:val="left" w:pos="3402"/>
              </w:tabs>
              <w:jc w:val="both"/>
              <w:rPr>
                <w:rFonts w:ascii="Arial" w:eastAsia="Times New Roman" w:hAnsi="Arial" w:cs="Arial"/>
                <w:i/>
                <w:sz w:val="18"/>
                <w:szCs w:val="18"/>
              </w:rPr>
            </w:pPr>
            <w:r>
              <w:rPr>
                <w:rFonts w:ascii="Arial" w:eastAsia="Times New Roman" w:hAnsi="Arial" w:cs="Arial"/>
                <w:b/>
                <w:bCs/>
                <w:i/>
                <w:iCs/>
                <w:sz w:val="18"/>
                <w:szCs w:val="18"/>
                <w:lang w:val="en-GB"/>
              </w:rPr>
              <w:t>Step 1:</w:t>
            </w:r>
          </w:p>
        </w:tc>
        <w:tc>
          <w:tcPr>
            <w:tcW w:w="7255" w:type="dxa"/>
            <w:shd w:val="clear" w:color="auto" w:fill="auto"/>
            <w:vAlign w:val="center"/>
          </w:tcPr>
          <w:p w14:paraId="59F9EF9D" w14:textId="77777777" w:rsidR="00666077" w:rsidRPr="00904D3B" w:rsidRDefault="00666077" w:rsidP="00756903">
            <w:pPr>
              <w:tabs>
                <w:tab w:val="left" w:pos="3402"/>
              </w:tabs>
              <w:jc w:val="both"/>
              <w:rPr>
                <w:rFonts w:ascii="Arial" w:eastAsia="Times New Roman" w:hAnsi="Arial" w:cs="Arial"/>
                <w:i/>
                <w:sz w:val="18"/>
                <w:szCs w:val="18"/>
              </w:rPr>
            </w:pPr>
            <w:r>
              <w:rPr>
                <w:rFonts w:ascii="Arial" w:eastAsia="Times New Roman" w:hAnsi="Arial" w:cs="Arial"/>
                <w:i/>
                <w:iCs/>
                <w:sz w:val="18"/>
                <w:szCs w:val="18"/>
                <w:lang w:val="en-GB"/>
              </w:rPr>
              <w:t xml:space="preserve">determining the time period, </w:t>
            </w:r>
            <w:proofErr w:type="gramStart"/>
            <w:r>
              <w:rPr>
                <w:rFonts w:ascii="Arial" w:eastAsia="Times New Roman" w:hAnsi="Arial" w:cs="Arial"/>
                <w:i/>
                <w:iCs/>
                <w:sz w:val="18"/>
                <w:szCs w:val="18"/>
                <w:lang w:val="en-GB"/>
              </w:rPr>
              <w:t>i.e.</w:t>
            </w:r>
            <w:proofErr w:type="gramEnd"/>
            <w:r>
              <w:rPr>
                <w:rFonts w:ascii="Arial" w:eastAsia="Times New Roman" w:hAnsi="Arial" w:cs="Arial"/>
                <w:i/>
                <w:iCs/>
                <w:sz w:val="18"/>
                <w:szCs w:val="18"/>
                <w:lang w:val="en-GB"/>
              </w:rPr>
              <w:t xml:space="preserve"> the years covered by the analysis</w:t>
            </w:r>
          </w:p>
          <w:p w14:paraId="646A49AD" w14:textId="77777777" w:rsidR="00B86D81" w:rsidRPr="00904D3B" w:rsidRDefault="00B86D81" w:rsidP="00756903">
            <w:pPr>
              <w:tabs>
                <w:tab w:val="left" w:pos="3402"/>
              </w:tabs>
              <w:jc w:val="both"/>
              <w:rPr>
                <w:rFonts w:ascii="Arial" w:eastAsia="Times New Roman" w:hAnsi="Arial" w:cs="Arial"/>
                <w:i/>
                <w:sz w:val="18"/>
                <w:szCs w:val="18"/>
              </w:rPr>
            </w:pPr>
          </w:p>
        </w:tc>
      </w:tr>
      <w:tr w:rsidR="00666077" w:rsidRPr="00904D3B" w14:paraId="40448927" w14:textId="77777777" w:rsidTr="00FC3334">
        <w:tc>
          <w:tcPr>
            <w:tcW w:w="1238" w:type="dxa"/>
            <w:shd w:val="clear" w:color="auto" w:fill="F2F2F2" w:themeFill="background1" w:themeFillShade="F2"/>
            <w:vAlign w:val="center"/>
          </w:tcPr>
          <w:p w14:paraId="03AE05F0" w14:textId="77777777" w:rsidR="00666077" w:rsidRPr="00904D3B" w:rsidRDefault="00666077" w:rsidP="00756903">
            <w:pPr>
              <w:tabs>
                <w:tab w:val="left" w:pos="3402"/>
              </w:tabs>
              <w:jc w:val="both"/>
              <w:rPr>
                <w:rFonts w:ascii="Arial" w:eastAsia="Times New Roman" w:hAnsi="Arial" w:cs="Arial"/>
                <w:i/>
                <w:sz w:val="18"/>
                <w:szCs w:val="18"/>
              </w:rPr>
            </w:pPr>
            <w:r>
              <w:rPr>
                <w:rFonts w:ascii="Arial" w:eastAsia="Times New Roman" w:hAnsi="Arial" w:cs="Arial"/>
                <w:b/>
                <w:bCs/>
                <w:i/>
                <w:iCs/>
                <w:sz w:val="18"/>
                <w:szCs w:val="18"/>
                <w:lang w:val="en-GB"/>
              </w:rPr>
              <w:t>Step 2:</w:t>
            </w:r>
          </w:p>
        </w:tc>
        <w:tc>
          <w:tcPr>
            <w:tcW w:w="7255" w:type="dxa"/>
            <w:shd w:val="clear" w:color="auto" w:fill="auto"/>
            <w:vAlign w:val="center"/>
          </w:tcPr>
          <w:p w14:paraId="462669FB" w14:textId="77777777" w:rsidR="00666077" w:rsidRPr="00904D3B" w:rsidRDefault="00666077" w:rsidP="00756903">
            <w:pPr>
              <w:tabs>
                <w:tab w:val="left" w:pos="3402"/>
              </w:tabs>
              <w:jc w:val="both"/>
              <w:rPr>
                <w:rFonts w:ascii="Arial" w:eastAsia="Times New Roman" w:hAnsi="Arial" w:cs="Arial"/>
                <w:i/>
                <w:sz w:val="18"/>
                <w:szCs w:val="18"/>
              </w:rPr>
            </w:pPr>
            <w:r>
              <w:rPr>
                <w:rFonts w:ascii="Arial" w:eastAsia="Times New Roman" w:hAnsi="Arial" w:cs="Arial"/>
                <w:i/>
                <w:iCs/>
                <w:sz w:val="18"/>
                <w:szCs w:val="18"/>
                <w:lang w:val="en-GB"/>
              </w:rPr>
              <w:t>a broad-based analysis of the circumstances in which the taxable person operates</w:t>
            </w:r>
          </w:p>
          <w:p w14:paraId="4ABC98F3" w14:textId="77777777" w:rsidR="00B86D81" w:rsidRPr="00904D3B" w:rsidRDefault="00B86D81" w:rsidP="00756903">
            <w:pPr>
              <w:tabs>
                <w:tab w:val="left" w:pos="3402"/>
              </w:tabs>
              <w:jc w:val="both"/>
              <w:rPr>
                <w:rFonts w:ascii="Arial" w:eastAsia="Times New Roman" w:hAnsi="Arial" w:cs="Arial"/>
                <w:i/>
                <w:sz w:val="18"/>
                <w:szCs w:val="18"/>
              </w:rPr>
            </w:pPr>
          </w:p>
        </w:tc>
      </w:tr>
      <w:tr w:rsidR="00666077" w:rsidRPr="00904D3B" w14:paraId="0A40178C" w14:textId="77777777" w:rsidTr="00FC3334">
        <w:tc>
          <w:tcPr>
            <w:tcW w:w="1238" w:type="dxa"/>
            <w:shd w:val="clear" w:color="auto" w:fill="F2F2F2" w:themeFill="background1" w:themeFillShade="F2"/>
            <w:vAlign w:val="center"/>
          </w:tcPr>
          <w:p w14:paraId="204E8612" w14:textId="77777777" w:rsidR="00666077" w:rsidRPr="00904D3B" w:rsidRDefault="00666077" w:rsidP="00756903">
            <w:pPr>
              <w:tabs>
                <w:tab w:val="left" w:pos="3402"/>
              </w:tabs>
              <w:jc w:val="both"/>
              <w:rPr>
                <w:rFonts w:ascii="Arial" w:eastAsia="Times New Roman" w:hAnsi="Arial" w:cs="Arial"/>
                <w:i/>
                <w:sz w:val="18"/>
                <w:szCs w:val="18"/>
              </w:rPr>
            </w:pPr>
            <w:r>
              <w:rPr>
                <w:rFonts w:ascii="Arial" w:eastAsia="Times New Roman" w:hAnsi="Arial" w:cs="Arial"/>
                <w:b/>
                <w:bCs/>
                <w:i/>
                <w:iCs/>
                <w:sz w:val="18"/>
                <w:szCs w:val="18"/>
                <w:lang w:val="en-GB"/>
              </w:rPr>
              <w:t>Step 3:</w:t>
            </w:r>
          </w:p>
        </w:tc>
        <w:tc>
          <w:tcPr>
            <w:tcW w:w="7255" w:type="dxa"/>
            <w:shd w:val="clear" w:color="auto" w:fill="auto"/>
            <w:vAlign w:val="center"/>
          </w:tcPr>
          <w:p w14:paraId="7F7A1F66" w14:textId="1FA8EC3C" w:rsidR="00666077" w:rsidRPr="00904D3B" w:rsidRDefault="00666077" w:rsidP="00756903">
            <w:pPr>
              <w:tabs>
                <w:tab w:val="left" w:pos="3402"/>
              </w:tabs>
              <w:jc w:val="both"/>
              <w:rPr>
                <w:rFonts w:ascii="Arial" w:eastAsia="Times New Roman" w:hAnsi="Arial" w:cs="Arial"/>
                <w:i/>
                <w:sz w:val="18"/>
                <w:szCs w:val="18"/>
              </w:rPr>
            </w:pPr>
            <w:r>
              <w:rPr>
                <w:rFonts w:ascii="Arial" w:eastAsia="Times New Roman" w:hAnsi="Arial" w:cs="Arial"/>
                <w:i/>
                <w:iCs/>
                <w:sz w:val="18"/>
                <w:szCs w:val="18"/>
                <w:lang w:val="en-GB"/>
              </w:rPr>
              <w:t xml:space="preserve">understanding the </w:t>
            </w:r>
            <w:r w:rsidR="003E0B4B">
              <w:rPr>
                <w:rFonts w:ascii="Arial" w:eastAsia="Times New Roman" w:hAnsi="Arial" w:cs="Arial"/>
                <w:i/>
                <w:iCs/>
                <w:sz w:val="18"/>
                <w:szCs w:val="18"/>
                <w:lang w:val="en-GB"/>
              </w:rPr>
              <w:t>associated</w:t>
            </w:r>
            <w:r>
              <w:rPr>
                <w:rFonts w:ascii="Arial" w:eastAsia="Times New Roman" w:hAnsi="Arial" w:cs="Arial"/>
                <w:i/>
                <w:iCs/>
                <w:sz w:val="18"/>
                <w:szCs w:val="18"/>
                <w:lang w:val="en-GB"/>
              </w:rPr>
              <w:t>-party transaction(s) under scrutiny, based in particular on a functional analysis, allowing the test party to choose (where necessary), the most appropriate transfer pricing methods according to the circumstances of the case, the financial indicators to be analysed (in the case of the transactional profit method) and the identification of the important comparability factors to be taken into account in the analysis</w:t>
            </w:r>
          </w:p>
          <w:p w14:paraId="0B139B79" w14:textId="77777777" w:rsidR="00B86D81" w:rsidRPr="00904D3B" w:rsidRDefault="00B86D81" w:rsidP="00756903">
            <w:pPr>
              <w:tabs>
                <w:tab w:val="left" w:pos="3402"/>
              </w:tabs>
              <w:jc w:val="both"/>
              <w:rPr>
                <w:rFonts w:ascii="Arial" w:eastAsia="Times New Roman" w:hAnsi="Arial" w:cs="Arial"/>
                <w:i/>
                <w:sz w:val="18"/>
                <w:szCs w:val="18"/>
              </w:rPr>
            </w:pPr>
          </w:p>
        </w:tc>
      </w:tr>
      <w:tr w:rsidR="00666077" w:rsidRPr="00904D3B" w14:paraId="06AA02DB" w14:textId="77777777" w:rsidTr="00FC3334">
        <w:tc>
          <w:tcPr>
            <w:tcW w:w="1238" w:type="dxa"/>
            <w:shd w:val="clear" w:color="auto" w:fill="F2F2F2" w:themeFill="background1" w:themeFillShade="F2"/>
            <w:vAlign w:val="center"/>
          </w:tcPr>
          <w:p w14:paraId="57D41E3D" w14:textId="77777777" w:rsidR="00666077" w:rsidRPr="00904D3B" w:rsidRDefault="00666077" w:rsidP="00756903">
            <w:pPr>
              <w:tabs>
                <w:tab w:val="left" w:pos="3402"/>
              </w:tabs>
              <w:jc w:val="both"/>
              <w:rPr>
                <w:rFonts w:ascii="Arial" w:eastAsia="Times New Roman" w:hAnsi="Arial" w:cs="Arial"/>
                <w:i/>
                <w:sz w:val="18"/>
                <w:szCs w:val="18"/>
              </w:rPr>
            </w:pPr>
            <w:r>
              <w:rPr>
                <w:rFonts w:ascii="Arial" w:eastAsia="Times New Roman" w:hAnsi="Arial" w:cs="Arial"/>
                <w:b/>
                <w:bCs/>
                <w:i/>
                <w:iCs/>
                <w:sz w:val="18"/>
                <w:szCs w:val="18"/>
                <w:lang w:val="en-GB"/>
              </w:rPr>
              <w:t>Step 4:</w:t>
            </w:r>
          </w:p>
        </w:tc>
        <w:tc>
          <w:tcPr>
            <w:tcW w:w="7255" w:type="dxa"/>
            <w:shd w:val="clear" w:color="auto" w:fill="auto"/>
            <w:vAlign w:val="center"/>
          </w:tcPr>
          <w:p w14:paraId="7F98F5D4" w14:textId="77777777" w:rsidR="00666077" w:rsidRPr="00904D3B" w:rsidRDefault="00666077" w:rsidP="00756903">
            <w:pPr>
              <w:tabs>
                <w:tab w:val="left" w:pos="3402"/>
              </w:tabs>
              <w:jc w:val="both"/>
              <w:rPr>
                <w:rFonts w:ascii="Arial" w:eastAsia="Times New Roman" w:hAnsi="Arial" w:cs="Arial"/>
                <w:i/>
                <w:sz w:val="18"/>
                <w:szCs w:val="18"/>
              </w:rPr>
            </w:pPr>
            <w:r>
              <w:rPr>
                <w:rFonts w:ascii="Arial" w:eastAsia="Times New Roman" w:hAnsi="Arial" w:cs="Arial"/>
                <w:i/>
                <w:iCs/>
                <w:sz w:val="18"/>
                <w:szCs w:val="18"/>
                <w:lang w:val="en-GB"/>
              </w:rPr>
              <w:t xml:space="preserve">examining possible existing internal </w:t>
            </w:r>
            <w:proofErr w:type="spellStart"/>
            <w:r>
              <w:rPr>
                <w:rFonts w:ascii="Arial" w:eastAsia="Times New Roman" w:hAnsi="Arial" w:cs="Arial"/>
                <w:i/>
                <w:iCs/>
                <w:sz w:val="18"/>
                <w:szCs w:val="18"/>
                <w:lang w:val="en-GB"/>
              </w:rPr>
              <w:t>comparables</w:t>
            </w:r>
            <w:proofErr w:type="spellEnd"/>
          </w:p>
          <w:p w14:paraId="2A1BC6E5" w14:textId="77777777" w:rsidR="00B86D81" w:rsidRPr="00904D3B" w:rsidRDefault="00B86D81" w:rsidP="00756903">
            <w:pPr>
              <w:tabs>
                <w:tab w:val="left" w:pos="3402"/>
              </w:tabs>
              <w:jc w:val="both"/>
              <w:rPr>
                <w:rFonts w:ascii="Arial" w:eastAsia="Times New Roman" w:hAnsi="Arial" w:cs="Arial"/>
                <w:i/>
                <w:sz w:val="18"/>
                <w:szCs w:val="18"/>
              </w:rPr>
            </w:pPr>
          </w:p>
        </w:tc>
      </w:tr>
      <w:tr w:rsidR="00666077" w:rsidRPr="00904D3B" w14:paraId="3C4BF102" w14:textId="77777777" w:rsidTr="00FC3334">
        <w:tc>
          <w:tcPr>
            <w:tcW w:w="1238" w:type="dxa"/>
            <w:shd w:val="clear" w:color="auto" w:fill="F2F2F2" w:themeFill="background1" w:themeFillShade="F2"/>
            <w:vAlign w:val="center"/>
          </w:tcPr>
          <w:p w14:paraId="433C3FDC" w14:textId="77777777" w:rsidR="00666077" w:rsidRPr="00904D3B" w:rsidRDefault="00666077" w:rsidP="00756903">
            <w:pPr>
              <w:tabs>
                <w:tab w:val="left" w:pos="3402"/>
              </w:tabs>
              <w:jc w:val="both"/>
              <w:rPr>
                <w:rFonts w:ascii="Arial" w:eastAsia="Times New Roman" w:hAnsi="Arial" w:cs="Arial"/>
                <w:i/>
                <w:sz w:val="18"/>
                <w:szCs w:val="18"/>
              </w:rPr>
            </w:pPr>
            <w:r>
              <w:rPr>
                <w:rFonts w:ascii="Arial" w:eastAsia="Times New Roman" w:hAnsi="Arial" w:cs="Arial"/>
                <w:b/>
                <w:bCs/>
                <w:i/>
                <w:iCs/>
                <w:sz w:val="18"/>
                <w:szCs w:val="18"/>
                <w:lang w:val="en-GB"/>
              </w:rPr>
              <w:t>Step 5:</w:t>
            </w:r>
          </w:p>
        </w:tc>
        <w:tc>
          <w:tcPr>
            <w:tcW w:w="7255" w:type="dxa"/>
            <w:shd w:val="clear" w:color="auto" w:fill="auto"/>
            <w:vAlign w:val="center"/>
          </w:tcPr>
          <w:p w14:paraId="796AAC84" w14:textId="77777777" w:rsidR="00666077" w:rsidRPr="00904D3B" w:rsidRDefault="00666077" w:rsidP="00756903">
            <w:pPr>
              <w:tabs>
                <w:tab w:val="left" w:pos="3402"/>
              </w:tabs>
              <w:jc w:val="both"/>
              <w:rPr>
                <w:rFonts w:ascii="Arial" w:eastAsia="Times New Roman" w:hAnsi="Arial" w:cs="Arial"/>
                <w:i/>
                <w:sz w:val="18"/>
                <w:szCs w:val="18"/>
              </w:rPr>
            </w:pPr>
            <w:r>
              <w:rPr>
                <w:rFonts w:ascii="Arial" w:eastAsia="Times New Roman" w:hAnsi="Arial" w:cs="Arial"/>
                <w:i/>
                <w:iCs/>
                <w:sz w:val="18"/>
                <w:szCs w:val="18"/>
                <w:lang w:val="en-GB"/>
              </w:rPr>
              <w:t xml:space="preserve">identifying the available sources of information about external </w:t>
            </w:r>
            <w:proofErr w:type="spellStart"/>
            <w:r>
              <w:rPr>
                <w:rFonts w:ascii="Arial" w:eastAsia="Times New Roman" w:hAnsi="Arial" w:cs="Arial"/>
                <w:i/>
                <w:iCs/>
                <w:sz w:val="18"/>
                <w:szCs w:val="18"/>
                <w:lang w:val="en-GB"/>
              </w:rPr>
              <w:t>comparables</w:t>
            </w:r>
            <w:proofErr w:type="spellEnd"/>
            <w:r>
              <w:rPr>
                <w:rFonts w:ascii="Arial" w:eastAsia="Times New Roman" w:hAnsi="Arial" w:cs="Arial"/>
                <w:i/>
                <w:iCs/>
                <w:sz w:val="18"/>
                <w:szCs w:val="18"/>
                <w:lang w:val="en-GB"/>
              </w:rPr>
              <w:t xml:space="preserve"> when such external </w:t>
            </w:r>
            <w:proofErr w:type="spellStart"/>
            <w:r>
              <w:rPr>
                <w:rFonts w:ascii="Arial" w:eastAsia="Times New Roman" w:hAnsi="Arial" w:cs="Arial"/>
                <w:i/>
                <w:iCs/>
                <w:sz w:val="18"/>
                <w:szCs w:val="18"/>
                <w:lang w:val="en-GB"/>
              </w:rPr>
              <w:t>comparables</w:t>
            </w:r>
            <w:proofErr w:type="spellEnd"/>
            <w:r>
              <w:rPr>
                <w:rFonts w:ascii="Arial" w:eastAsia="Times New Roman" w:hAnsi="Arial" w:cs="Arial"/>
                <w:i/>
                <w:iCs/>
                <w:sz w:val="18"/>
                <w:szCs w:val="18"/>
                <w:lang w:val="en-GB"/>
              </w:rPr>
              <w:t xml:space="preserve"> are necessary, </w:t>
            </w:r>
            <w:proofErr w:type="gramStart"/>
            <w:r>
              <w:rPr>
                <w:rFonts w:ascii="Arial" w:eastAsia="Times New Roman" w:hAnsi="Arial" w:cs="Arial"/>
                <w:i/>
                <w:iCs/>
                <w:sz w:val="18"/>
                <w:szCs w:val="18"/>
                <w:lang w:val="en-GB"/>
              </w:rPr>
              <w:t>taking into account</w:t>
            </w:r>
            <w:proofErr w:type="gramEnd"/>
            <w:r>
              <w:rPr>
                <w:rFonts w:ascii="Arial" w:eastAsia="Times New Roman" w:hAnsi="Arial" w:cs="Arial"/>
                <w:i/>
                <w:iCs/>
                <w:sz w:val="18"/>
                <w:szCs w:val="18"/>
                <w:lang w:val="en-GB"/>
              </w:rPr>
              <w:t xml:space="preserve"> their relative reliability</w:t>
            </w:r>
          </w:p>
          <w:p w14:paraId="0C693CBE" w14:textId="77777777" w:rsidR="00B86D81" w:rsidRPr="00904D3B" w:rsidRDefault="00B86D81" w:rsidP="00756903">
            <w:pPr>
              <w:tabs>
                <w:tab w:val="left" w:pos="3402"/>
              </w:tabs>
              <w:jc w:val="both"/>
              <w:rPr>
                <w:rFonts w:ascii="Arial" w:eastAsia="Times New Roman" w:hAnsi="Arial" w:cs="Arial"/>
                <w:i/>
                <w:sz w:val="18"/>
                <w:szCs w:val="18"/>
              </w:rPr>
            </w:pPr>
          </w:p>
        </w:tc>
      </w:tr>
      <w:tr w:rsidR="00666077" w:rsidRPr="00904D3B" w14:paraId="24818E4D" w14:textId="77777777" w:rsidTr="00FC3334">
        <w:tc>
          <w:tcPr>
            <w:tcW w:w="1238" w:type="dxa"/>
            <w:shd w:val="clear" w:color="auto" w:fill="F2F2F2" w:themeFill="background1" w:themeFillShade="F2"/>
            <w:vAlign w:val="center"/>
          </w:tcPr>
          <w:p w14:paraId="4869A51B" w14:textId="77777777" w:rsidR="00666077" w:rsidRPr="00904D3B" w:rsidRDefault="00666077" w:rsidP="00756903">
            <w:pPr>
              <w:tabs>
                <w:tab w:val="left" w:pos="3402"/>
              </w:tabs>
              <w:jc w:val="both"/>
              <w:rPr>
                <w:rFonts w:ascii="Arial" w:eastAsia="Times New Roman" w:hAnsi="Arial" w:cs="Arial"/>
                <w:i/>
                <w:sz w:val="18"/>
                <w:szCs w:val="18"/>
              </w:rPr>
            </w:pPr>
            <w:r>
              <w:rPr>
                <w:rFonts w:ascii="Arial" w:eastAsia="Times New Roman" w:hAnsi="Arial" w:cs="Arial"/>
                <w:b/>
                <w:bCs/>
                <w:i/>
                <w:iCs/>
                <w:sz w:val="18"/>
                <w:szCs w:val="18"/>
                <w:lang w:val="en-GB"/>
              </w:rPr>
              <w:t>Step 6:</w:t>
            </w:r>
          </w:p>
        </w:tc>
        <w:tc>
          <w:tcPr>
            <w:tcW w:w="7255" w:type="dxa"/>
            <w:shd w:val="clear" w:color="auto" w:fill="auto"/>
            <w:vAlign w:val="center"/>
          </w:tcPr>
          <w:p w14:paraId="17EFCC4F" w14:textId="77777777" w:rsidR="00666077" w:rsidRPr="00904D3B" w:rsidRDefault="00666077" w:rsidP="00756903">
            <w:pPr>
              <w:tabs>
                <w:tab w:val="left" w:pos="3402"/>
              </w:tabs>
              <w:jc w:val="both"/>
              <w:rPr>
                <w:rFonts w:ascii="Arial" w:eastAsia="Times New Roman" w:hAnsi="Arial" w:cs="Arial"/>
                <w:i/>
                <w:sz w:val="18"/>
                <w:szCs w:val="18"/>
              </w:rPr>
            </w:pPr>
            <w:r>
              <w:rPr>
                <w:rFonts w:ascii="Arial" w:eastAsia="Times New Roman" w:hAnsi="Arial" w:cs="Arial"/>
                <w:i/>
                <w:iCs/>
                <w:sz w:val="18"/>
                <w:szCs w:val="18"/>
                <w:lang w:val="en-GB"/>
              </w:rPr>
              <w:t>selecting the most appropriate transfer pricing method and, in accordance with the method selected, determining the relevant financial indicators (e.g. determining the appropriate net profit margin indicator in the case of using the transactional net margin method)</w:t>
            </w:r>
          </w:p>
          <w:p w14:paraId="657DC1D2" w14:textId="77777777" w:rsidR="00B86D81" w:rsidRPr="00904D3B" w:rsidRDefault="00B86D81" w:rsidP="00756903">
            <w:pPr>
              <w:tabs>
                <w:tab w:val="left" w:pos="3402"/>
              </w:tabs>
              <w:jc w:val="both"/>
              <w:rPr>
                <w:rFonts w:ascii="Arial" w:eastAsia="Times New Roman" w:hAnsi="Arial" w:cs="Arial"/>
                <w:i/>
                <w:sz w:val="18"/>
                <w:szCs w:val="18"/>
              </w:rPr>
            </w:pPr>
          </w:p>
        </w:tc>
      </w:tr>
      <w:tr w:rsidR="00666077" w:rsidRPr="00904D3B" w14:paraId="53B44924" w14:textId="77777777" w:rsidTr="00FC3334">
        <w:tc>
          <w:tcPr>
            <w:tcW w:w="1238" w:type="dxa"/>
            <w:shd w:val="clear" w:color="auto" w:fill="F2F2F2" w:themeFill="background1" w:themeFillShade="F2"/>
            <w:vAlign w:val="center"/>
          </w:tcPr>
          <w:p w14:paraId="193CE0DD" w14:textId="77777777" w:rsidR="00666077" w:rsidRPr="00904D3B" w:rsidRDefault="00666077" w:rsidP="00756903">
            <w:pPr>
              <w:tabs>
                <w:tab w:val="left" w:pos="3402"/>
              </w:tabs>
              <w:jc w:val="both"/>
              <w:rPr>
                <w:rFonts w:ascii="Arial" w:eastAsia="Times New Roman" w:hAnsi="Arial" w:cs="Arial"/>
                <w:i/>
                <w:sz w:val="18"/>
                <w:szCs w:val="18"/>
              </w:rPr>
            </w:pPr>
            <w:r>
              <w:rPr>
                <w:rFonts w:ascii="Arial" w:eastAsia="Times New Roman" w:hAnsi="Arial" w:cs="Arial"/>
                <w:b/>
                <w:bCs/>
                <w:i/>
                <w:iCs/>
                <w:sz w:val="18"/>
                <w:szCs w:val="18"/>
                <w:lang w:val="en-GB"/>
              </w:rPr>
              <w:t>Step 7:</w:t>
            </w:r>
          </w:p>
        </w:tc>
        <w:tc>
          <w:tcPr>
            <w:tcW w:w="7255" w:type="dxa"/>
            <w:shd w:val="clear" w:color="auto" w:fill="auto"/>
            <w:vAlign w:val="center"/>
          </w:tcPr>
          <w:p w14:paraId="4F8B3D4D" w14:textId="2E7B7EF5" w:rsidR="00666077" w:rsidRPr="00904D3B" w:rsidRDefault="00666077" w:rsidP="00756903">
            <w:pPr>
              <w:tabs>
                <w:tab w:val="left" w:pos="3402"/>
              </w:tabs>
              <w:jc w:val="both"/>
              <w:rPr>
                <w:rFonts w:ascii="Arial" w:eastAsia="Times New Roman" w:hAnsi="Arial" w:cs="Arial"/>
                <w:i/>
                <w:sz w:val="18"/>
                <w:szCs w:val="18"/>
              </w:rPr>
            </w:pPr>
            <w:r>
              <w:rPr>
                <w:rFonts w:ascii="Arial" w:eastAsia="Times New Roman" w:hAnsi="Arial" w:cs="Arial"/>
                <w:i/>
                <w:iCs/>
                <w:sz w:val="18"/>
                <w:szCs w:val="18"/>
                <w:lang w:val="en-GB"/>
              </w:rPr>
              <w:t xml:space="preserve">identifying potential </w:t>
            </w:r>
            <w:proofErr w:type="spellStart"/>
            <w:r>
              <w:rPr>
                <w:rFonts w:ascii="Arial" w:eastAsia="Times New Roman" w:hAnsi="Arial" w:cs="Arial"/>
                <w:i/>
                <w:iCs/>
                <w:sz w:val="18"/>
                <w:szCs w:val="18"/>
                <w:lang w:val="en-GB"/>
              </w:rPr>
              <w:t>comparables</w:t>
            </w:r>
            <w:proofErr w:type="spellEnd"/>
            <w:r>
              <w:rPr>
                <w:rFonts w:ascii="Arial" w:eastAsia="Times New Roman" w:hAnsi="Arial" w:cs="Arial"/>
                <w:i/>
                <w:iCs/>
                <w:sz w:val="18"/>
                <w:szCs w:val="18"/>
                <w:lang w:val="en-GB"/>
              </w:rPr>
              <w:t xml:space="preserve">: identifying the key characteristics that any transaction between </w:t>
            </w:r>
            <w:proofErr w:type="spellStart"/>
            <w:r>
              <w:rPr>
                <w:rFonts w:ascii="Arial" w:eastAsia="Times New Roman" w:hAnsi="Arial" w:cs="Arial"/>
                <w:i/>
                <w:iCs/>
                <w:sz w:val="18"/>
                <w:szCs w:val="18"/>
                <w:lang w:val="en-GB"/>
              </w:rPr>
              <w:t>un</w:t>
            </w:r>
            <w:r w:rsidR="003E0B4B">
              <w:rPr>
                <w:rFonts w:ascii="Arial" w:eastAsia="Times New Roman" w:hAnsi="Arial" w:cs="Arial"/>
                <w:i/>
                <w:iCs/>
                <w:sz w:val="18"/>
                <w:szCs w:val="18"/>
                <w:lang w:val="en-GB"/>
              </w:rPr>
              <w:t>associated</w:t>
            </w:r>
            <w:proofErr w:type="spellEnd"/>
            <w:r>
              <w:rPr>
                <w:rFonts w:ascii="Arial" w:eastAsia="Times New Roman" w:hAnsi="Arial" w:cs="Arial"/>
                <w:i/>
                <w:iCs/>
                <w:sz w:val="18"/>
                <w:szCs w:val="18"/>
                <w:lang w:val="en-GB"/>
              </w:rPr>
              <w:t xml:space="preserve"> parties should meet in order to be considered to be potentially comparable on the basis of the relevant factors identified in Step 3 and in accordance with the comparability factors set forth in Section D1 of Chapter I of the OECD Guidelines</w:t>
            </w:r>
          </w:p>
          <w:p w14:paraId="2BBB8399" w14:textId="77777777" w:rsidR="00B86D81" w:rsidRPr="00904D3B" w:rsidRDefault="00B86D81" w:rsidP="00756903">
            <w:pPr>
              <w:tabs>
                <w:tab w:val="left" w:pos="3402"/>
              </w:tabs>
              <w:jc w:val="both"/>
              <w:rPr>
                <w:rFonts w:ascii="Arial" w:eastAsia="Times New Roman" w:hAnsi="Arial" w:cs="Arial"/>
                <w:i/>
                <w:sz w:val="18"/>
                <w:szCs w:val="18"/>
              </w:rPr>
            </w:pPr>
          </w:p>
        </w:tc>
      </w:tr>
      <w:tr w:rsidR="00666077" w:rsidRPr="00904D3B" w14:paraId="51A3EC13" w14:textId="77777777" w:rsidTr="00FC3334">
        <w:tc>
          <w:tcPr>
            <w:tcW w:w="1238" w:type="dxa"/>
            <w:shd w:val="clear" w:color="auto" w:fill="F2F2F2" w:themeFill="background1" w:themeFillShade="F2"/>
            <w:vAlign w:val="center"/>
          </w:tcPr>
          <w:p w14:paraId="4666CBA2" w14:textId="77777777" w:rsidR="00666077" w:rsidRPr="00904D3B" w:rsidRDefault="00666077" w:rsidP="00756903">
            <w:pPr>
              <w:tabs>
                <w:tab w:val="left" w:pos="3402"/>
              </w:tabs>
              <w:jc w:val="both"/>
              <w:rPr>
                <w:rFonts w:ascii="Arial" w:eastAsia="Times New Roman" w:hAnsi="Arial" w:cs="Arial"/>
                <w:b/>
                <w:i/>
                <w:spacing w:val="1"/>
                <w:sz w:val="18"/>
                <w:szCs w:val="18"/>
              </w:rPr>
            </w:pPr>
            <w:r>
              <w:rPr>
                <w:rFonts w:ascii="Arial" w:eastAsia="Times New Roman" w:hAnsi="Arial" w:cs="Arial"/>
                <w:b/>
                <w:bCs/>
                <w:i/>
                <w:iCs/>
                <w:sz w:val="18"/>
                <w:szCs w:val="18"/>
                <w:lang w:val="en-GB"/>
              </w:rPr>
              <w:t>Step 8:</w:t>
            </w:r>
          </w:p>
        </w:tc>
        <w:tc>
          <w:tcPr>
            <w:tcW w:w="7255" w:type="dxa"/>
            <w:shd w:val="clear" w:color="auto" w:fill="auto"/>
            <w:vAlign w:val="center"/>
          </w:tcPr>
          <w:p w14:paraId="709EF2B8" w14:textId="77777777" w:rsidR="00666077" w:rsidRPr="00904D3B" w:rsidRDefault="00666077" w:rsidP="00756903">
            <w:pPr>
              <w:tabs>
                <w:tab w:val="left" w:pos="3402"/>
              </w:tabs>
              <w:jc w:val="both"/>
              <w:rPr>
                <w:rFonts w:ascii="Arial" w:eastAsia="Times New Roman" w:hAnsi="Arial" w:cs="Arial"/>
                <w:i/>
                <w:sz w:val="18"/>
                <w:szCs w:val="18"/>
              </w:rPr>
            </w:pPr>
            <w:r>
              <w:rPr>
                <w:rFonts w:ascii="Arial" w:eastAsia="Times New Roman" w:hAnsi="Arial" w:cs="Arial"/>
                <w:i/>
                <w:iCs/>
                <w:sz w:val="18"/>
                <w:szCs w:val="18"/>
                <w:lang w:val="en-GB"/>
              </w:rPr>
              <w:t xml:space="preserve">determining and </w:t>
            </w:r>
            <w:proofErr w:type="gramStart"/>
            <w:r>
              <w:rPr>
                <w:rFonts w:ascii="Arial" w:eastAsia="Times New Roman" w:hAnsi="Arial" w:cs="Arial"/>
                <w:i/>
                <w:iCs/>
                <w:sz w:val="18"/>
                <w:szCs w:val="18"/>
                <w:lang w:val="en-GB"/>
              </w:rPr>
              <w:t>making adjustments to</w:t>
            </w:r>
            <w:proofErr w:type="gramEnd"/>
            <w:r>
              <w:rPr>
                <w:rFonts w:ascii="Arial" w:eastAsia="Times New Roman" w:hAnsi="Arial" w:cs="Arial"/>
                <w:i/>
                <w:iCs/>
                <w:sz w:val="18"/>
                <w:szCs w:val="18"/>
                <w:lang w:val="en-GB"/>
              </w:rPr>
              <w:t xml:space="preserve"> </w:t>
            </w:r>
            <w:proofErr w:type="spellStart"/>
            <w:r>
              <w:rPr>
                <w:rFonts w:ascii="Arial" w:eastAsia="Times New Roman" w:hAnsi="Arial" w:cs="Arial"/>
                <w:i/>
                <w:iCs/>
                <w:sz w:val="18"/>
                <w:szCs w:val="18"/>
                <w:lang w:val="en-GB"/>
              </w:rPr>
              <w:t>comparables</w:t>
            </w:r>
            <w:proofErr w:type="spellEnd"/>
            <w:r>
              <w:rPr>
                <w:rFonts w:ascii="Arial" w:eastAsia="Times New Roman" w:hAnsi="Arial" w:cs="Arial"/>
                <w:i/>
                <w:iCs/>
                <w:sz w:val="18"/>
                <w:szCs w:val="18"/>
                <w:lang w:val="en-GB"/>
              </w:rPr>
              <w:t xml:space="preserve"> where necessary</w:t>
            </w:r>
          </w:p>
          <w:p w14:paraId="1CD27A20" w14:textId="77777777" w:rsidR="00B86D81" w:rsidRPr="00904D3B" w:rsidRDefault="00B86D81" w:rsidP="00756903">
            <w:pPr>
              <w:tabs>
                <w:tab w:val="left" w:pos="3402"/>
              </w:tabs>
              <w:jc w:val="both"/>
              <w:rPr>
                <w:rFonts w:ascii="Arial" w:eastAsia="Times New Roman" w:hAnsi="Arial" w:cs="Arial"/>
                <w:i/>
                <w:sz w:val="18"/>
                <w:szCs w:val="18"/>
              </w:rPr>
            </w:pPr>
          </w:p>
        </w:tc>
      </w:tr>
      <w:tr w:rsidR="00666077" w:rsidRPr="00904D3B" w14:paraId="22A257C4" w14:textId="77777777" w:rsidTr="00FC3334">
        <w:tc>
          <w:tcPr>
            <w:tcW w:w="1238" w:type="dxa"/>
            <w:shd w:val="clear" w:color="auto" w:fill="F2F2F2" w:themeFill="background1" w:themeFillShade="F2"/>
            <w:vAlign w:val="center"/>
          </w:tcPr>
          <w:p w14:paraId="18A47590" w14:textId="77777777" w:rsidR="00666077" w:rsidRPr="00904D3B" w:rsidRDefault="00666077" w:rsidP="00756903">
            <w:pPr>
              <w:tabs>
                <w:tab w:val="left" w:pos="3402"/>
              </w:tabs>
              <w:jc w:val="both"/>
              <w:rPr>
                <w:rFonts w:ascii="Arial" w:eastAsia="Times New Roman" w:hAnsi="Arial" w:cs="Arial"/>
                <w:b/>
                <w:i/>
                <w:spacing w:val="1"/>
                <w:sz w:val="18"/>
                <w:szCs w:val="18"/>
              </w:rPr>
            </w:pPr>
            <w:r>
              <w:rPr>
                <w:rFonts w:ascii="Arial" w:eastAsia="Times New Roman" w:hAnsi="Arial" w:cs="Arial"/>
                <w:b/>
                <w:bCs/>
                <w:i/>
                <w:iCs/>
                <w:sz w:val="18"/>
                <w:szCs w:val="18"/>
                <w:lang w:val="en-GB"/>
              </w:rPr>
              <w:t>Step 9:</w:t>
            </w:r>
          </w:p>
        </w:tc>
        <w:tc>
          <w:tcPr>
            <w:tcW w:w="7255" w:type="dxa"/>
            <w:shd w:val="clear" w:color="auto" w:fill="auto"/>
            <w:vAlign w:val="center"/>
          </w:tcPr>
          <w:p w14:paraId="783ED4EC" w14:textId="77777777" w:rsidR="00666077" w:rsidRPr="00904D3B" w:rsidRDefault="00666077" w:rsidP="00756903">
            <w:pPr>
              <w:tabs>
                <w:tab w:val="left" w:pos="3402"/>
              </w:tabs>
              <w:jc w:val="both"/>
              <w:rPr>
                <w:rFonts w:ascii="Arial" w:eastAsia="Times New Roman" w:hAnsi="Arial" w:cs="Arial"/>
                <w:i/>
                <w:sz w:val="18"/>
                <w:szCs w:val="18"/>
              </w:rPr>
            </w:pPr>
            <w:r>
              <w:rPr>
                <w:rFonts w:ascii="Arial" w:eastAsia="Times New Roman" w:hAnsi="Arial" w:cs="Arial"/>
                <w:i/>
                <w:iCs/>
                <w:sz w:val="18"/>
                <w:szCs w:val="18"/>
                <w:lang w:val="en-GB"/>
              </w:rPr>
              <w:t>interpreting and using the collected data, determining payment in line with the arm’s length principle.</w:t>
            </w:r>
          </w:p>
          <w:p w14:paraId="1D7B6A1B" w14:textId="77777777" w:rsidR="00B86D81" w:rsidRPr="00904D3B" w:rsidRDefault="00B86D81" w:rsidP="00756903">
            <w:pPr>
              <w:tabs>
                <w:tab w:val="left" w:pos="3402"/>
              </w:tabs>
              <w:jc w:val="both"/>
              <w:rPr>
                <w:rFonts w:ascii="Arial" w:eastAsia="Times New Roman" w:hAnsi="Arial" w:cs="Arial"/>
                <w:i/>
                <w:sz w:val="18"/>
                <w:szCs w:val="18"/>
              </w:rPr>
            </w:pPr>
          </w:p>
        </w:tc>
      </w:tr>
    </w:tbl>
    <w:p w14:paraId="490DB865" w14:textId="77777777" w:rsidR="00666077" w:rsidRPr="00227C1D" w:rsidRDefault="00666077" w:rsidP="00756903">
      <w:pPr>
        <w:tabs>
          <w:tab w:val="left" w:pos="3402"/>
        </w:tabs>
        <w:jc w:val="both"/>
        <w:rPr>
          <w:rFonts w:ascii="Arial" w:eastAsia="Times New Roman" w:hAnsi="Arial" w:cs="Arial"/>
          <w:sz w:val="20"/>
          <w:szCs w:val="20"/>
        </w:rPr>
      </w:pPr>
    </w:p>
    <w:p w14:paraId="2E67CB64" w14:textId="52C24994" w:rsidR="00666077" w:rsidRPr="00AD51AA" w:rsidRDefault="00666077" w:rsidP="00430CD2">
      <w:pPr>
        <w:tabs>
          <w:tab w:val="left" w:pos="3402"/>
        </w:tabs>
        <w:spacing w:line="260" w:lineRule="atLeast"/>
        <w:jc w:val="both"/>
        <w:rPr>
          <w:rFonts w:ascii="Arial" w:eastAsia="Times New Roman" w:hAnsi="Arial" w:cs="Arial"/>
          <w:sz w:val="20"/>
          <w:szCs w:val="20"/>
        </w:rPr>
      </w:pPr>
      <w:r>
        <w:rPr>
          <w:rFonts w:ascii="Arial" w:eastAsia="Times New Roman" w:hAnsi="Arial" w:cs="Arial"/>
          <w:sz w:val="20"/>
          <w:szCs w:val="20"/>
          <w:lang w:val="en-GB"/>
        </w:rPr>
        <w:t xml:space="preserve">The comparability analysis needs to be approached in a consistent manner in order to ensure the coherence of the analytical process from the preliminary analysis of the terms of the </w:t>
      </w:r>
      <w:r w:rsidR="003E0B4B">
        <w:rPr>
          <w:rFonts w:ascii="Arial" w:eastAsia="Times New Roman" w:hAnsi="Arial" w:cs="Arial"/>
          <w:sz w:val="20"/>
          <w:szCs w:val="20"/>
          <w:lang w:val="en-GB"/>
        </w:rPr>
        <w:t>associated</w:t>
      </w:r>
      <w:r>
        <w:rPr>
          <w:rFonts w:ascii="Arial" w:eastAsia="Times New Roman" w:hAnsi="Arial" w:cs="Arial"/>
          <w:sz w:val="20"/>
          <w:szCs w:val="20"/>
          <w:lang w:val="en-GB"/>
        </w:rPr>
        <w:t xml:space="preserve">-party transaction, through the choice of the transfer pricing method, to the identification of potential </w:t>
      </w:r>
      <w:proofErr w:type="spellStart"/>
      <w:r>
        <w:rPr>
          <w:rFonts w:ascii="Arial" w:eastAsia="Times New Roman" w:hAnsi="Arial" w:cs="Arial"/>
          <w:sz w:val="20"/>
          <w:szCs w:val="20"/>
          <w:lang w:val="en-GB"/>
        </w:rPr>
        <w:t>comparables</w:t>
      </w:r>
      <w:proofErr w:type="spellEnd"/>
      <w:r>
        <w:rPr>
          <w:rFonts w:ascii="Arial" w:eastAsia="Times New Roman" w:hAnsi="Arial" w:cs="Arial"/>
          <w:sz w:val="20"/>
          <w:szCs w:val="20"/>
          <w:lang w:val="en-GB"/>
        </w:rPr>
        <w:t xml:space="preserve">. </w:t>
      </w:r>
    </w:p>
    <w:p w14:paraId="5EF286DB" w14:textId="77777777" w:rsidR="00666077" w:rsidRPr="00AD51AA" w:rsidRDefault="00666077" w:rsidP="00430CD2">
      <w:pPr>
        <w:tabs>
          <w:tab w:val="left" w:pos="3402"/>
        </w:tabs>
        <w:spacing w:line="260" w:lineRule="atLeast"/>
        <w:jc w:val="both"/>
        <w:rPr>
          <w:rFonts w:ascii="Arial" w:eastAsia="Times New Roman" w:hAnsi="Arial" w:cs="Arial"/>
          <w:sz w:val="20"/>
          <w:szCs w:val="20"/>
        </w:rPr>
      </w:pPr>
    </w:p>
    <w:p w14:paraId="192C5CFF" w14:textId="77777777" w:rsidR="00666077" w:rsidRPr="008F403F" w:rsidRDefault="00B86D81" w:rsidP="00430CD2">
      <w:pPr>
        <w:pStyle w:val="Naslov3"/>
        <w:spacing w:before="0" w:after="0"/>
        <w:rPr>
          <w:rFonts w:cs="Arial"/>
          <w:b w:val="0"/>
          <w:bCs w:val="0"/>
        </w:rPr>
      </w:pPr>
      <w:bookmarkStart w:id="26" w:name="_Toc103257437"/>
      <w:r>
        <w:rPr>
          <w:rFonts w:cs="Arial"/>
          <w:lang w:val="en-GB"/>
        </w:rPr>
        <w:t>2.3.2 DATABASES</w:t>
      </w:r>
      <w:bookmarkEnd w:id="26"/>
    </w:p>
    <w:p w14:paraId="55F86985" w14:textId="77777777" w:rsidR="00666077" w:rsidRPr="00227C1D" w:rsidRDefault="00666077" w:rsidP="00430CD2">
      <w:pPr>
        <w:tabs>
          <w:tab w:val="left" w:pos="3402"/>
        </w:tabs>
        <w:spacing w:line="260" w:lineRule="atLeast"/>
        <w:jc w:val="both"/>
        <w:rPr>
          <w:rFonts w:ascii="Arial" w:eastAsia="Times New Roman" w:hAnsi="Arial" w:cs="Arial"/>
          <w:sz w:val="20"/>
          <w:szCs w:val="20"/>
        </w:rPr>
      </w:pPr>
    </w:p>
    <w:p w14:paraId="35F4E6B6" w14:textId="0F00FDD3" w:rsidR="00666077" w:rsidRPr="00C91A50" w:rsidRDefault="00666077" w:rsidP="00430CD2">
      <w:pPr>
        <w:tabs>
          <w:tab w:val="left" w:pos="3402"/>
        </w:tabs>
        <w:spacing w:line="260" w:lineRule="atLeast"/>
        <w:jc w:val="both"/>
        <w:rPr>
          <w:rFonts w:ascii="Arial" w:eastAsia="Times New Roman" w:hAnsi="Arial" w:cs="Arial"/>
          <w:sz w:val="20"/>
          <w:szCs w:val="20"/>
        </w:rPr>
      </w:pPr>
      <w:r>
        <w:rPr>
          <w:rFonts w:ascii="Arial" w:eastAsia="Times New Roman" w:hAnsi="Arial" w:cs="Arial"/>
          <w:sz w:val="20"/>
          <w:szCs w:val="20"/>
          <w:lang w:val="en-GB"/>
        </w:rPr>
        <w:t xml:space="preserve">An important part of a transfer pricing analysis is finding potential </w:t>
      </w:r>
      <w:proofErr w:type="spellStart"/>
      <w:r>
        <w:rPr>
          <w:rFonts w:ascii="Arial" w:eastAsia="Times New Roman" w:hAnsi="Arial" w:cs="Arial"/>
          <w:sz w:val="20"/>
          <w:szCs w:val="20"/>
          <w:lang w:val="en-GB"/>
        </w:rPr>
        <w:t>comparables</w:t>
      </w:r>
      <w:proofErr w:type="spellEnd"/>
      <w:r>
        <w:rPr>
          <w:rFonts w:ascii="Arial" w:eastAsia="Times New Roman" w:hAnsi="Arial" w:cs="Arial"/>
          <w:sz w:val="20"/>
          <w:szCs w:val="20"/>
          <w:lang w:val="en-GB"/>
        </w:rPr>
        <w:t xml:space="preserve">. This can be a comparable transaction between a taxable person and an </w:t>
      </w:r>
      <w:proofErr w:type="spellStart"/>
      <w:r>
        <w:rPr>
          <w:rFonts w:ascii="Arial" w:eastAsia="Times New Roman" w:hAnsi="Arial" w:cs="Arial"/>
          <w:sz w:val="20"/>
          <w:szCs w:val="20"/>
          <w:lang w:val="en-GB"/>
        </w:rPr>
        <w:t>un</w:t>
      </w:r>
      <w:r w:rsidR="003E0B4B">
        <w:rPr>
          <w:rFonts w:ascii="Arial" w:eastAsia="Times New Roman" w:hAnsi="Arial" w:cs="Arial"/>
          <w:sz w:val="20"/>
          <w:szCs w:val="20"/>
          <w:lang w:val="en-GB"/>
        </w:rPr>
        <w:t>associated</w:t>
      </w:r>
      <w:proofErr w:type="spellEnd"/>
      <w:r>
        <w:rPr>
          <w:rFonts w:ascii="Arial" w:eastAsia="Times New Roman" w:hAnsi="Arial" w:cs="Arial"/>
          <w:sz w:val="20"/>
          <w:szCs w:val="20"/>
          <w:lang w:val="en-GB"/>
        </w:rPr>
        <w:t xml:space="preserve"> person (an internal comparable) or a transaction between </w:t>
      </w:r>
      <w:proofErr w:type="spellStart"/>
      <w:r>
        <w:rPr>
          <w:rFonts w:ascii="Arial" w:eastAsia="Times New Roman" w:hAnsi="Arial" w:cs="Arial"/>
          <w:sz w:val="20"/>
          <w:szCs w:val="20"/>
          <w:lang w:val="en-GB"/>
        </w:rPr>
        <w:t>un</w:t>
      </w:r>
      <w:r w:rsidR="003E0B4B">
        <w:rPr>
          <w:rFonts w:ascii="Arial" w:eastAsia="Times New Roman" w:hAnsi="Arial" w:cs="Arial"/>
          <w:sz w:val="20"/>
          <w:szCs w:val="20"/>
          <w:lang w:val="en-GB"/>
        </w:rPr>
        <w:t>associated</w:t>
      </w:r>
      <w:proofErr w:type="spellEnd"/>
      <w:r>
        <w:rPr>
          <w:rFonts w:ascii="Arial" w:eastAsia="Times New Roman" w:hAnsi="Arial" w:cs="Arial"/>
          <w:sz w:val="20"/>
          <w:szCs w:val="20"/>
          <w:lang w:val="en-GB"/>
        </w:rPr>
        <w:t xml:space="preserve"> persons (an external comparable). When there are reliable internal </w:t>
      </w:r>
      <w:proofErr w:type="spellStart"/>
      <w:r>
        <w:rPr>
          <w:rFonts w:ascii="Arial" w:eastAsia="Times New Roman" w:hAnsi="Arial" w:cs="Arial"/>
          <w:sz w:val="20"/>
          <w:szCs w:val="20"/>
          <w:lang w:val="en-GB"/>
        </w:rPr>
        <w:t>comparables</w:t>
      </w:r>
      <w:proofErr w:type="spellEnd"/>
      <w:r>
        <w:rPr>
          <w:rFonts w:ascii="Arial" w:eastAsia="Times New Roman" w:hAnsi="Arial" w:cs="Arial"/>
          <w:sz w:val="20"/>
          <w:szCs w:val="20"/>
          <w:lang w:val="en-GB"/>
        </w:rPr>
        <w:t xml:space="preserve">, finding external </w:t>
      </w:r>
      <w:proofErr w:type="spellStart"/>
      <w:r>
        <w:rPr>
          <w:rFonts w:ascii="Arial" w:eastAsia="Times New Roman" w:hAnsi="Arial" w:cs="Arial"/>
          <w:sz w:val="20"/>
          <w:szCs w:val="20"/>
          <w:lang w:val="en-GB"/>
        </w:rPr>
        <w:t>comparables</w:t>
      </w:r>
      <w:proofErr w:type="spellEnd"/>
      <w:r>
        <w:rPr>
          <w:rFonts w:ascii="Arial" w:eastAsia="Times New Roman" w:hAnsi="Arial" w:cs="Arial"/>
          <w:sz w:val="20"/>
          <w:szCs w:val="20"/>
          <w:lang w:val="en-GB"/>
        </w:rPr>
        <w:t xml:space="preserve"> may not even be necessary. There are various sources of information to identify potential external </w:t>
      </w:r>
      <w:proofErr w:type="spellStart"/>
      <w:r>
        <w:rPr>
          <w:rFonts w:ascii="Arial" w:eastAsia="Times New Roman" w:hAnsi="Arial" w:cs="Arial"/>
          <w:sz w:val="20"/>
          <w:szCs w:val="20"/>
          <w:lang w:val="en-GB"/>
        </w:rPr>
        <w:t>comparables</w:t>
      </w:r>
      <w:proofErr w:type="spellEnd"/>
      <w:r>
        <w:rPr>
          <w:rFonts w:ascii="Arial" w:eastAsia="Times New Roman" w:hAnsi="Arial" w:cs="Arial"/>
          <w:sz w:val="20"/>
          <w:szCs w:val="20"/>
          <w:lang w:val="en-GB"/>
        </w:rPr>
        <w:t xml:space="preserve">, the most common ones being commercial databases containing company accounts (such as Amadeus, Orbis, GVIN, etc.). </w:t>
      </w:r>
    </w:p>
    <w:p w14:paraId="0F43B454" w14:textId="77777777" w:rsidR="00666077" w:rsidRPr="00C91A50" w:rsidRDefault="00666077" w:rsidP="00430CD2">
      <w:pPr>
        <w:tabs>
          <w:tab w:val="left" w:pos="3402"/>
        </w:tabs>
        <w:spacing w:line="260" w:lineRule="atLeast"/>
        <w:jc w:val="both"/>
        <w:rPr>
          <w:rFonts w:ascii="Arial" w:eastAsia="Times New Roman" w:hAnsi="Arial" w:cs="Arial"/>
          <w:sz w:val="20"/>
          <w:szCs w:val="20"/>
        </w:rPr>
      </w:pPr>
    </w:p>
    <w:p w14:paraId="3369B6AF" w14:textId="77777777" w:rsidR="00666077" w:rsidRPr="00AA2C04" w:rsidRDefault="00666077" w:rsidP="00430CD2">
      <w:pPr>
        <w:tabs>
          <w:tab w:val="left" w:pos="3402"/>
        </w:tabs>
        <w:spacing w:line="260" w:lineRule="atLeast"/>
        <w:jc w:val="both"/>
        <w:rPr>
          <w:rFonts w:ascii="Arial" w:eastAsia="Times New Roman" w:hAnsi="Arial" w:cs="Arial"/>
          <w:sz w:val="20"/>
          <w:szCs w:val="20"/>
        </w:rPr>
      </w:pPr>
      <w:r>
        <w:rPr>
          <w:rFonts w:ascii="Arial" w:eastAsia="Times New Roman" w:hAnsi="Arial" w:cs="Arial"/>
          <w:sz w:val="20"/>
          <w:szCs w:val="20"/>
          <w:lang w:val="en-GB"/>
        </w:rPr>
        <w:t xml:space="preserve">The OECD Guidelines address the databases in paragraphs 3.30-3.34, and state that the use of commercial databases can be a practical and sometimes cost-effective way of identifying external </w:t>
      </w:r>
      <w:proofErr w:type="spellStart"/>
      <w:r>
        <w:rPr>
          <w:rFonts w:ascii="Arial" w:eastAsia="Times New Roman" w:hAnsi="Arial" w:cs="Arial"/>
          <w:sz w:val="20"/>
          <w:szCs w:val="20"/>
          <w:lang w:val="en-GB"/>
        </w:rPr>
        <w:t>comparables</w:t>
      </w:r>
      <w:proofErr w:type="spellEnd"/>
      <w:r>
        <w:rPr>
          <w:rFonts w:ascii="Arial" w:eastAsia="Times New Roman" w:hAnsi="Arial" w:cs="Arial"/>
          <w:sz w:val="20"/>
          <w:szCs w:val="20"/>
          <w:lang w:val="en-GB"/>
        </w:rPr>
        <w:t xml:space="preserve"> that can provide the most reliable source of information, depending on the facts and circumstances of the case. </w:t>
      </w:r>
    </w:p>
    <w:p w14:paraId="79922BF1" w14:textId="77777777" w:rsidR="00666077" w:rsidRPr="00AA2C04" w:rsidRDefault="00666077" w:rsidP="00430CD2">
      <w:pPr>
        <w:tabs>
          <w:tab w:val="left" w:pos="3402"/>
        </w:tabs>
        <w:spacing w:line="260" w:lineRule="atLeast"/>
        <w:jc w:val="both"/>
        <w:rPr>
          <w:rFonts w:ascii="Arial" w:eastAsia="Times New Roman" w:hAnsi="Arial" w:cs="Arial"/>
          <w:spacing w:val="4"/>
          <w:sz w:val="20"/>
          <w:szCs w:val="20"/>
        </w:rPr>
      </w:pPr>
    </w:p>
    <w:p w14:paraId="77ACAA9E" w14:textId="77777777" w:rsidR="00666077" w:rsidRPr="00AA2C04" w:rsidRDefault="00666077" w:rsidP="00430CD2">
      <w:pPr>
        <w:tabs>
          <w:tab w:val="left" w:pos="3402"/>
        </w:tabs>
        <w:spacing w:line="260" w:lineRule="atLeast"/>
        <w:jc w:val="both"/>
        <w:rPr>
          <w:rFonts w:ascii="Arial" w:eastAsia="Times New Roman" w:hAnsi="Arial" w:cs="Arial"/>
          <w:sz w:val="20"/>
          <w:szCs w:val="20"/>
        </w:rPr>
      </w:pPr>
      <w:r>
        <w:rPr>
          <w:rFonts w:ascii="Arial" w:eastAsia="Times New Roman" w:hAnsi="Arial" w:cs="Arial"/>
          <w:sz w:val="20"/>
          <w:szCs w:val="20"/>
          <w:lang w:val="en-GB"/>
        </w:rPr>
        <w:t xml:space="preserve">There are also some limitations to using commercial databases. Since these commercial databases rely on publicly available information, they are not available in all countries, as not all countries have the same amount of publicly available information about their companies. Moreover, when available, they do not include the same information for all companies operating in a given country, as disclosure and submission requirements may differ depending on the legal form of a company and whether a company is listed on a stock exchange or not. Furthermore, paragraph 3.33 of the OECD Guidelines warns that the use of commercial databases should not promote quantity over quality. Experience has shown that five to thirty </w:t>
      </w:r>
      <w:proofErr w:type="spellStart"/>
      <w:r>
        <w:rPr>
          <w:rFonts w:ascii="Arial" w:eastAsia="Times New Roman" w:hAnsi="Arial" w:cs="Arial"/>
          <w:sz w:val="20"/>
          <w:szCs w:val="20"/>
          <w:lang w:val="en-GB"/>
        </w:rPr>
        <w:t>comparables</w:t>
      </w:r>
      <w:proofErr w:type="spellEnd"/>
      <w:r>
        <w:rPr>
          <w:rFonts w:ascii="Arial" w:eastAsia="Times New Roman" w:hAnsi="Arial" w:cs="Arial"/>
          <w:sz w:val="20"/>
          <w:szCs w:val="20"/>
          <w:lang w:val="en-GB"/>
        </w:rPr>
        <w:t xml:space="preserve"> that meet the comparability standards are sufficient, in exceptional cases even less than five.</w:t>
      </w:r>
    </w:p>
    <w:p w14:paraId="361A6928" w14:textId="77777777" w:rsidR="00666077" w:rsidRPr="00AA2C04" w:rsidRDefault="00666077" w:rsidP="00430CD2">
      <w:pPr>
        <w:tabs>
          <w:tab w:val="left" w:pos="3402"/>
        </w:tabs>
        <w:spacing w:line="260" w:lineRule="atLeast"/>
        <w:jc w:val="both"/>
        <w:rPr>
          <w:rFonts w:ascii="Arial" w:eastAsia="Times New Roman" w:hAnsi="Arial" w:cs="Arial"/>
          <w:sz w:val="20"/>
          <w:szCs w:val="20"/>
        </w:rPr>
      </w:pPr>
    </w:p>
    <w:p w14:paraId="2E4103D1" w14:textId="77777777" w:rsidR="00666077" w:rsidRPr="00C91A50" w:rsidRDefault="00666077" w:rsidP="00430CD2">
      <w:pPr>
        <w:tabs>
          <w:tab w:val="left" w:pos="3402"/>
        </w:tabs>
        <w:spacing w:line="260" w:lineRule="atLeast"/>
        <w:jc w:val="both"/>
        <w:rPr>
          <w:rFonts w:ascii="Arial" w:eastAsia="Times New Roman" w:hAnsi="Arial" w:cs="Arial"/>
          <w:sz w:val="20"/>
          <w:szCs w:val="20"/>
        </w:rPr>
      </w:pPr>
      <w:r>
        <w:rPr>
          <w:rFonts w:ascii="Arial" w:eastAsia="Times New Roman" w:hAnsi="Arial" w:cs="Arial"/>
          <w:sz w:val="20"/>
          <w:szCs w:val="20"/>
          <w:lang w:val="en-GB"/>
        </w:rPr>
        <w:t xml:space="preserve">The process of obtaining </w:t>
      </w:r>
      <w:proofErr w:type="spellStart"/>
      <w:r>
        <w:rPr>
          <w:rFonts w:ascii="Arial" w:eastAsia="Times New Roman" w:hAnsi="Arial" w:cs="Arial"/>
          <w:sz w:val="20"/>
          <w:szCs w:val="20"/>
          <w:lang w:val="en-GB"/>
        </w:rPr>
        <w:t>comparables</w:t>
      </w:r>
      <w:proofErr w:type="spellEnd"/>
      <w:r>
        <w:rPr>
          <w:rFonts w:ascii="Arial" w:eastAsia="Times New Roman" w:hAnsi="Arial" w:cs="Arial"/>
          <w:sz w:val="20"/>
          <w:szCs w:val="20"/>
          <w:lang w:val="en-GB"/>
        </w:rPr>
        <w:t xml:space="preserve"> must be transparent and documented, therefore it is recommended that the search for information through databases be supplemented by other publicly available information (such as data from the Internet).</w:t>
      </w:r>
    </w:p>
    <w:p w14:paraId="0F3C2C11" w14:textId="77777777" w:rsidR="00412F52" w:rsidRDefault="00412F52" w:rsidP="00430CD2">
      <w:pPr>
        <w:tabs>
          <w:tab w:val="left" w:pos="3402"/>
        </w:tabs>
        <w:spacing w:line="260" w:lineRule="atLeast"/>
        <w:jc w:val="both"/>
        <w:rPr>
          <w:rFonts w:ascii="Arial" w:eastAsia="Times New Roman" w:hAnsi="Arial" w:cs="Arial"/>
          <w:b/>
          <w:sz w:val="20"/>
          <w:szCs w:val="20"/>
        </w:rPr>
      </w:pPr>
    </w:p>
    <w:p w14:paraId="12733210" w14:textId="77777777" w:rsidR="00BB69BB" w:rsidRPr="00C91A50" w:rsidRDefault="00BB69BB" w:rsidP="00430CD2">
      <w:pPr>
        <w:tabs>
          <w:tab w:val="left" w:pos="3402"/>
        </w:tabs>
        <w:spacing w:line="260" w:lineRule="atLeast"/>
        <w:jc w:val="both"/>
        <w:rPr>
          <w:rFonts w:ascii="Arial" w:eastAsia="Times New Roman" w:hAnsi="Arial" w:cs="Arial"/>
          <w:b/>
          <w:sz w:val="20"/>
          <w:szCs w:val="20"/>
        </w:rPr>
      </w:pPr>
    </w:p>
    <w:p w14:paraId="685457E4" w14:textId="77777777" w:rsidR="00666077" w:rsidRPr="00227C1D" w:rsidRDefault="00B86D81" w:rsidP="00430CD2">
      <w:pPr>
        <w:pStyle w:val="Naslov2"/>
        <w:spacing w:before="0" w:after="0"/>
        <w:rPr>
          <w:rFonts w:cs="Arial"/>
        </w:rPr>
      </w:pPr>
      <w:bookmarkStart w:id="27" w:name="_Toc103257438"/>
      <w:r>
        <w:rPr>
          <w:rFonts w:cs="Arial"/>
          <w:iCs w:val="0"/>
          <w:lang w:val="en-GB"/>
        </w:rPr>
        <w:t>2.4. SPECIAL FEATURES OF INTANGIBLE ASSETS</w:t>
      </w:r>
      <w:bookmarkEnd w:id="27"/>
      <w:r>
        <w:rPr>
          <w:rFonts w:cs="Arial"/>
          <w:iCs w:val="0"/>
          <w:lang w:val="en-GB"/>
        </w:rPr>
        <w:t xml:space="preserve"> </w:t>
      </w:r>
    </w:p>
    <w:p w14:paraId="06BCBBFE" w14:textId="77777777" w:rsidR="00666077" w:rsidRPr="00904D3B" w:rsidRDefault="00666077" w:rsidP="00430CD2">
      <w:pPr>
        <w:spacing w:line="260" w:lineRule="atLeast"/>
        <w:jc w:val="both"/>
        <w:rPr>
          <w:rFonts w:ascii="Arial" w:eastAsia="Times New Roman" w:hAnsi="Arial" w:cs="Arial"/>
          <w:sz w:val="20"/>
          <w:szCs w:val="20"/>
        </w:rPr>
      </w:pPr>
    </w:p>
    <w:p w14:paraId="1184C3E9" w14:textId="658574F2" w:rsidR="00666077" w:rsidRPr="00904D3B" w:rsidRDefault="00666077" w:rsidP="00430CD2">
      <w:pPr>
        <w:spacing w:line="260" w:lineRule="atLeast"/>
        <w:jc w:val="both"/>
        <w:rPr>
          <w:rFonts w:ascii="Arial" w:eastAsia="Calibri" w:hAnsi="Arial" w:cs="Arial"/>
          <w:color w:val="00000A"/>
          <w:sz w:val="20"/>
          <w:szCs w:val="20"/>
        </w:rPr>
      </w:pPr>
      <w:r>
        <w:rPr>
          <w:rFonts w:ascii="Arial" w:hAnsi="Arial" w:cs="Arial"/>
          <w:sz w:val="20"/>
          <w:szCs w:val="20"/>
          <w:lang w:val="en-GB"/>
        </w:rPr>
        <w:t xml:space="preserve">The OECD Guidelines define intangible assets in </w:t>
      </w:r>
      <w:r>
        <w:rPr>
          <w:rFonts w:ascii="Arial" w:hAnsi="Arial" w:cs="Arial"/>
          <w:b/>
          <w:bCs/>
          <w:sz w:val="20"/>
          <w:szCs w:val="20"/>
          <w:lang w:val="en-GB"/>
        </w:rPr>
        <w:t>Chapter VI,</w:t>
      </w:r>
      <w:r>
        <w:rPr>
          <w:rFonts w:ascii="Arial" w:hAnsi="Arial" w:cs="Arial"/>
          <w:sz w:val="20"/>
          <w:szCs w:val="20"/>
          <w:lang w:val="en-GB"/>
        </w:rPr>
        <w:t xml:space="preserve"> which was almost completely amended in 2017 and is much more extensive than in the 2010 Guidelines</w:t>
      </w:r>
      <w:r w:rsidR="006F1190">
        <w:rPr>
          <w:rFonts w:ascii="Arial" w:hAnsi="Arial" w:cs="Arial"/>
          <w:sz w:val="20"/>
          <w:szCs w:val="20"/>
          <w:lang w:val="en-GB"/>
        </w:rPr>
        <w:t>.</w:t>
      </w:r>
      <w:r>
        <w:rPr>
          <w:rFonts w:ascii="Arial" w:hAnsi="Arial" w:cs="Arial"/>
          <w:color w:val="00000A"/>
          <w:sz w:val="20"/>
          <w:szCs w:val="20"/>
          <w:lang w:val="en-GB"/>
        </w:rPr>
        <w:t xml:space="preserve">  </w:t>
      </w:r>
    </w:p>
    <w:p w14:paraId="2D5C83CF" w14:textId="77777777" w:rsidR="00666077" w:rsidRPr="00831279" w:rsidRDefault="00666077" w:rsidP="00430CD2">
      <w:pPr>
        <w:spacing w:line="260" w:lineRule="atLeast"/>
        <w:jc w:val="both"/>
        <w:rPr>
          <w:rFonts w:ascii="Arial" w:eastAsia="Times New Roman" w:hAnsi="Arial" w:cs="Arial"/>
          <w:sz w:val="20"/>
          <w:szCs w:val="20"/>
        </w:rPr>
      </w:pPr>
    </w:p>
    <w:p w14:paraId="51395E96" w14:textId="341639EF" w:rsidR="00666077" w:rsidRDefault="00666077" w:rsidP="00430CD2">
      <w:pPr>
        <w:spacing w:line="260" w:lineRule="atLeast"/>
        <w:jc w:val="both"/>
        <w:rPr>
          <w:rFonts w:ascii="Arial" w:eastAsia="Times New Roman" w:hAnsi="Arial" w:cs="Arial"/>
          <w:sz w:val="20"/>
          <w:szCs w:val="20"/>
        </w:rPr>
      </w:pPr>
      <w:r>
        <w:rPr>
          <w:rFonts w:ascii="Arial" w:eastAsia="Times New Roman" w:hAnsi="Arial" w:cs="Arial"/>
          <w:sz w:val="20"/>
          <w:szCs w:val="20"/>
          <w:lang w:val="en-GB"/>
        </w:rPr>
        <w:t xml:space="preserve">The definition of intangible assets according to paragraph 6.6 of the OECD Guidelines focuses on setting out the conditions in transactions that are intended to include the intangible assets to be agreed upon by </w:t>
      </w:r>
      <w:proofErr w:type="spellStart"/>
      <w:r>
        <w:rPr>
          <w:rFonts w:ascii="Arial" w:eastAsia="Times New Roman" w:hAnsi="Arial" w:cs="Arial"/>
          <w:sz w:val="20"/>
          <w:szCs w:val="20"/>
          <w:lang w:val="en-GB"/>
        </w:rPr>
        <w:t>un</w:t>
      </w:r>
      <w:r w:rsidR="003E0B4B">
        <w:rPr>
          <w:rFonts w:ascii="Arial" w:eastAsia="Times New Roman" w:hAnsi="Arial" w:cs="Arial"/>
          <w:sz w:val="20"/>
          <w:szCs w:val="20"/>
          <w:lang w:val="en-GB"/>
        </w:rPr>
        <w:t>associated</w:t>
      </w:r>
      <w:proofErr w:type="spellEnd"/>
      <w:r>
        <w:rPr>
          <w:rFonts w:ascii="Arial" w:eastAsia="Times New Roman" w:hAnsi="Arial" w:cs="Arial"/>
          <w:sz w:val="20"/>
          <w:szCs w:val="20"/>
          <w:lang w:val="en-GB"/>
        </w:rPr>
        <w:t xml:space="preserve"> parties in comparable transactions. Intangible assets are defined as something that: </w:t>
      </w:r>
    </w:p>
    <w:p w14:paraId="20EE77C9" w14:textId="77777777" w:rsidR="0005289E" w:rsidRPr="004F2499" w:rsidRDefault="0005289E" w:rsidP="00430CD2">
      <w:pPr>
        <w:spacing w:line="260" w:lineRule="atLeast"/>
        <w:jc w:val="both"/>
        <w:rPr>
          <w:rFonts w:ascii="Arial" w:eastAsia="Times New Roman" w:hAnsi="Arial" w:cs="Arial"/>
          <w:sz w:val="10"/>
          <w:szCs w:val="10"/>
        </w:rPr>
      </w:pPr>
    </w:p>
    <w:p w14:paraId="777624F2" w14:textId="77777777" w:rsidR="00666077" w:rsidRPr="00F27413" w:rsidRDefault="00666077" w:rsidP="00430CD2">
      <w:pPr>
        <w:numPr>
          <w:ilvl w:val="0"/>
          <w:numId w:val="37"/>
        </w:numPr>
        <w:spacing w:line="260" w:lineRule="atLeast"/>
        <w:ind w:left="284" w:hanging="284"/>
        <w:jc w:val="both"/>
        <w:rPr>
          <w:rFonts w:ascii="Arial" w:eastAsia="Times New Roman" w:hAnsi="Arial" w:cs="Arial"/>
          <w:snapToGrid w:val="0"/>
          <w:color w:val="000000"/>
          <w:kern w:val="24"/>
          <w:sz w:val="20"/>
          <w:szCs w:val="20"/>
        </w:rPr>
      </w:pPr>
      <w:r>
        <w:rPr>
          <w:rFonts w:ascii="Arial" w:eastAsia="Times New Roman" w:hAnsi="Arial" w:cs="Arial"/>
          <w:snapToGrid w:val="0"/>
          <w:color w:val="000000"/>
          <w:kern w:val="24"/>
          <w:sz w:val="20"/>
          <w:szCs w:val="20"/>
          <w:lang w:val="en-GB"/>
        </w:rPr>
        <w:t xml:space="preserve">is not a tangible or </w:t>
      </w:r>
      <w:proofErr w:type="gramStart"/>
      <w:r>
        <w:rPr>
          <w:rFonts w:ascii="Arial" w:eastAsia="Times New Roman" w:hAnsi="Arial" w:cs="Arial"/>
          <w:snapToGrid w:val="0"/>
          <w:color w:val="000000"/>
          <w:kern w:val="24"/>
          <w:sz w:val="20"/>
          <w:szCs w:val="20"/>
          <w:lang w:val="en-GB"/>
        </w:rPr>
        <w:t>financial asset;</w:t>
      </w:r>
      <w:proofErr w:type="gramEnd"/>
    </w:p>
    <w:p w14:paraId="0A744A55" w14:textId="77777777" w:rsidR="00666077" w:rsidRPr="00C91A50" w:rsidRDefault="00666077" w:rsidP="00430CD2">
      <w:pPr>
        <w:numPr>
          <w:ilvl w:val="0"/>
          <w:numId w:val="37"/>
        </w:numPr>
        <w:spacing w:line="260" w:lineRule="atLeast"/>
        <w:ind w:left="284" w:hanging="284"/>
        <w:jc w:val="both"/>
        <w:rPr>
          <w:rFonts w:ascii="Arial" w:eastAsia="Times New Roman" w:hAnsi="Arial" w:cs="Arial"/>
          <w:snapToGrid w:val="0"/>
          <w:color w:val="000000"/>
          <w:kern w:val="24"/>
          <w:sz w:val="20"/>
          <w:szCs w:val="20"/>
        </w:rPr>
      </w:pPr>
      <w:r>
        <w:rPr>
          <w:rFonts w:ascii="Arial" w:eastAsia="Times New Roman" w:hAnsi="Arial" w:cs="Arial"/>
          <w:snapToGrid w:val="0"/>
          <w:color w:val="000000"/>
          <w:kern w:val="24"/>
          <w:sz w:val="20"/>
          <w:szCs w:val="20"/>
          <w:lang w:val="en-GB"/>
        </w:rPr>
        <w:t>can be owned or otherwise controlled and used in a gainful activity; and</w:t>
      </w:r>
    </w:p>
    <w:p w14:paraId="2A546071" w14:textId="53B94BBB" w:rsidR="00666077" w:rsidRPr="00C91A50" w:rsidRDefault="00666077" w:rsidP="00430CD2">
      <w:pPr>
        <w:numPr>
          <w:ilvl w:val="0"/>
          <w:numId w:val="37"/>
        </w:numPr>
        <w:spacing w:line="260" w:lineRule="atLeast"/>
        <w:ind w:left="284" w:hanging="284"/>
        <w:jc w:val="both"/>
        <w:rPr>
          <w:rFonts w:ascii="Arial" w:eastAsia="Times New Roman" w:hAnsi="Arial" w:cs="Arial"/>
          <w:snapToGrid w:val="0"/>
          <w:color w:val="000000"/>
          <w:kern w:val="24"/>
          <w:sz w:val="20"/>
          <w:szCs w:val="20"/>
        </w:rPr>
      </w:pPr>
      <w:r>
        <w:rPr>
          <w:rFonts w:ascii="Arial" w:eastAsia="Times New Roman" w:hAnsi="Arial" w:cs="Arial"/>
          <w:snapToGrid w:val="0"/>
          <w:color w:val="000000"/>
          <w:kern w:val="24"/>
          <w:sz w:val="20"/>
          <w:szCs w:val="20"/>
          <w:lang w:val="en-GB"/>
        </w:rPr>
        <w:t xml:space="preserve">could form the basis for </w:t>
      </w:r>
      <w:proofErr w:type="spellStart"/>
      <w:r>
        <w:rPr>
          <w:rFonts w:ascii="Arial" w:eastAsia="Times New Roman" w:hAnsi="Arial" w:cs="Arial"/>
          <w:snapToGrid w:val="0"/>
          <w:color w:val="000000"/>
          <w:kern w:val="24"/>
          <w:sz w:val="20"/>
          <w:szCs w:val="20"/>
          <w:lang w:val="en-GB"/>
        </w:rPr>
        <w:t>un</w:t>
      </w:r>
      <w:r w:rsidR="003E0B4B">
        <w:rPr>
          <w:rFonts w:ascii="Arial" w:eastAsia="Times New Roman" w:hAnsi="Arial" w:cs="Arial"/>
          <w:snapToGrid w:val="0"/>
          <w:color w:val="000000"/>
          <w:kern w:val="24"/>
          <w:sz w:val="20"/>
          <w:szCs w:val="20"/>
          <w:lang w:val="en-GB"/>
        </w:rPr>
        <w:t>associated</w:t>
      </w:r>
      <w:proofErr w:type="spellEnd"/>
      <w:r>
        <w:rPr>
          <w:rFonts w:ascii="Arial" w:eastAsia="Times New Roman" w:hAnsi="Arial" w:cs="Arial"/>
          <w:snapToGrid w:val="0"/>
          <w:color w:val="000000"/>
          <w:kern w:val="24"/>
          <w:sz w:val="20"/>
          <w:szCs w:val="20"/>
          <w:lang w:val="en-GB"/>
        </w:rPr>
        <w:t xml:space="preserve"> parties’ claim for compensation when such assets are used in a transaction in comparable circumstances.</w:t>
      </w:r>
    </w:p>
    <w:p w14:paraId="0204A66C" w14:textId="77777777" w:rsidR="00666077" w:rsidRPr="00AA2C04" w:rsidRDefault="00666077" w:rsidP="00430CD2">
      <w:pPr>
        <w:spacing w:line="260" w:lineRule="atLeast"/>
        <w:jc w:val="both"/>
        <w:rPr>
          <w:rFonts w:ascii="Arial" w:eastAsia="Times New Roman" w:hAnsi="Arial" w:cs="Arial"/>
          <w:sz w:val="20"/>
          <w:szCs w:val="20"/>
        </w:rPr>
      </w:pPr>
    </w:p>
    <w:p w14:paraId="077128C6" w14:textId="77777777" w:rsidR="00666077" w:rsidRPr="00AA2C04" w:rsidRDefault="00666077" w:rsidP="00430CD2">
      <w:pPr>
        <w:spacing w:line="260" w:lineRule="atLeast"/>
        <w:jc w:val="both"/>
        <w:rPr>
          <w:rFonts w:ascii="Arial" w:eastAsia="Times New Roman" w:hAnsi="Arial" w:cs="Arial"/>
          <w:sz w:val="20"/>
          <w:szCs w:val="20"/>
        </w:rPr>
      </w:pPr>
      <w:r>
        <w:rPr>
          <w:rFonts w:ascii="Arial" w:eastAsia="Times New Roman" w:hAnsi="Arial" w:cs="Arial"/>
          <w:sz w:val="20"/>
          <w:szCs w:val="20"/>
          <w:lang w:val="en-GB"/>
        </w:rPr>
        <w:t xml:space="preserve">Although without intending to categorise intangible assets in a way that would define their treatment, the OECD Guidelines classify them into marketing intangibles, which are usually derived from marketing activities, trade intangibles, which are usually derived from research and development and other business activities, routine, non-routine, unique, soft (difficult to define), hard (easier to define) intangibles, etc. From a commercial point of view, intangible assets are intellectual property such as patents, know-how, trade secrets, trademarks, names and logos, contract rights and state concessions, licences and similar rights that are the subject of transactions between both non-associated and associated enterprises. </w:t>
      </w:r>
    </w:p>
    <w:p w14:paraId="1B35D581" w14:textId="77777777" w:rsidR="00666077" w:rsidRPr="00AA2C04" w:rsidRDefault="00666077" w:rsidP="00430CD2">
      <w:pPr>
        <w:spacing w:line="260" w:lineRule="atLeast"/>
        <w:jc w:val="both"/>
        <w:rPr>
          <w:rFonts w:ascii="Arial" w:eastAsia="Times New Roman" w:hAnsi="Arial" w:cs="Arial"/>
          <w:sz w:val="20"/>
          <w:szCs w:val="20"/>
        </w:rPr>
      </w:pPr>
    </w:p>
    <w:p w14:paraId="7B4C685A" w14:textId="77777777" w:rsidR="00666077" w:rsidRPr="00AA2C04" w:rsidRDefault="00666077" w:rsidP="00430CD2">
      <w:pPr>
        <w:spacing w:line="260" w:lineRule="atLeast"/>
        <w:jc w:val="both"/>
        <w:rPr>
          <w:rFonts w:ascii="Arial" w:eastAsia="Times New Roman" w:hAnsi="Arial" w:cs="Arial"/>
          <w:sz w:val="20"/>
          <w:szCs w:val="20"/>
        </w:rPr>
      </w:pPr>
      <w:r>
        <w:rPr>
          <w:rFonts w:ascii="Arial" w:eastAsia="Times New Roman" w:hAnsi="Arial" w:cs="Arial"/>
          <w:sz w:val="20"/>
          <w:szCs w:val="20"/>
          <w:lang w:val="en-GB"/>
        </w:rPr>
        <w:t xml:space="preserve">Intangible assets do not include the synergies of a multinational group of companies, or local market characteristics such as the level of disposable income of households in that market or the size and competitiveness (development) of the market, as this cannot be owned or controlled. While these conditions may in some circumstances affect the setting of arm's length prices for individual transactions and should be </w:t>
      </w:r>
      <w:proofErr w:type="gramStart"/>
      <w:r>
        <w:rPr>
          <w:rFonts w:ascii="Arial" w:eastAsia="Times New Roman" w:hAnsi="Arial" w:cs="Arial"/>
          <w:sz w:val="20"/>
          <w:szCs w:val="20"/>
          <w:lang w:val="en-GB"/>
        </w:rPr>
        <w:t>taken into account</w:t>
      </w:r>
      <w:proofErr w:type="gramEnd"/>
      <w:r>
        <w:rPr>
          <w:rFonts w:ascii="Arial" w:eastAsia="Times New Roman" w:hAnsi="Arial" w:cs="Arial"/>
          <w:sz w:val="20"/>
          <w:szCs w:val="20"/>
          <w:lang w:val="en-GB"/>
        </w:rPr>
        <w:t xml:space="preserve"> in the comparability analysis, they are not intangible assets for transfer pricing purposes.</w:t>
      </w:r>
    </w:p>
    <w:p w14:paraId="3D4C45FC" w14:textId="77777777" w:rsidR="00666077" w:rsidRPr="00AA2C04" w:rsidRDefault="00666077" w:rsidP="00430CD2">
      <w:pPr>
        <w:spacing w:line="260" w:lineRule="atLeast"/>
        <w:jc w:val="both"/>
        <w:rPr>
          <w:rFonts w:ascii="Arial" w:eastAsia="Times New Roman" w:hAnsi="Arial" w:cs="Arial"/>
          <w:sz w:val="20"/>
          <w:szCs w:val="20"/>
        </w:rPr>
      </w:pPr>
    </w:p>
    <w:p w14:paraId="3225AB64" w14:textId="77777777" w:rsidR="00666077" w:rsidRPr="00AA2C04" w:rsidRDefault="00666077" w:rsidP="00430CD2">
      <w:pPr>
        <w:spacing w:line="260" w:lineRule="atLeast"/>
        <w:jc w:val="both"/>
        <w:rPr>
          <w:rFonts w:ascii="Arial" w:eastAsia="Times New Roman" w:hAnsi="Arial" w:cs="Arial"/>
          <w:sz w:val="20"/>
          <w:szCs w:val="20"/>
        </w:rPr>
      </w:pPr>
      <w:r>
        <w:rPr>
          <w:rFonts w:ascii="Arial" w:eastAsia="Times New Roman" w:hAnsi="Arial" w:cs="Arial"/>
          <w:sz w:val="20"/>
          <w:szCs w:val="20"/>
          <w:lang w:val="en-GB"/>
        </w:rPr>
        <w:t xml:space="preserve">The general rules for the application of the arm’s length principle also apply to the transfer pricing of intangible assets. Thus, a transaction should not be judged solely </w:t>
      </w:r>
      <w:proofErr w:type="gramStart"/>
      <w:r>
        <w:rPr>
          <w:rFonts w:ascii="Arial" w:eastAsia="Times New Roman" w:hAnsi="Arial" w:cs="Arial"/>
          <w:sz w:val="20"/>
          <w:szCs w:val="20"/>
          <w:lang w:val="en-GB"/>
        </w:rPr>
        <w:t>on the basis of</w:t>
      </w:r>
      <w:proofErr w:type="gramEnd"/>
      <w:r>
        <w:rPr>
          <w:rFonts w:ascii="Arial" w:eastAsia="Times New Roman" w:hAnsi="Arial" w:cs="Arial"/>
          <w:sz w:val="20"/>
          <w:szCs w:val="20"/>
          <w:lang w:val="en-GB"/>
        </w:rPr>
        <w:t xml:space="preserve"> contractual provisions or how the parties have named it, but the key is to determine the actual transactions and their economic consequences. It is particularly important to determine the way in which a multinational group of companies operates globally, in particular how the intangible assets are used in its operations and add or create added value throughout the supply chain, and whether independent companies would agree to such terms in comparable transactions. </w:t>
      </w:r>
    </w:p>
    <w:p w14:paraId="6A2CE2CF" w14:textId="77777777" w:rsidR="00666077" w:rsidRPr="00AA2C04" w:rsidRDefault="00666077" w:rsidP="00430CD2">
      <w:pPr>
        <w:spacing w:line="260" w:lineRule="atLeast"/>
        <w:jc w:val="both"/>
        <w:rPr>
          <w:rFonts w:ascii="Arial" w:eastAsia="Times New Roman" w:hAnsi="Arial" w:cs="Arial"/>
          <w:sz w:val="20"/>
          <w:szCs w:val="20"/>
        </w:rPr>
      </w:pPr>
    </w:p>
    <w:p w14:paraId="570603FA" w14:textId="77777777" w:rsidR="00666077" w:rsidRPr="00AA2C04" w:rsidRDefault="00666077" w:rsidP="00430CD2">
      <w:pPr>
        <w:spacing w:line="260" w:lineRule="atLeast"/>
        <w:jc w:val="both"/>
        <w:rPr>
          <w:rFonts w:ascii="Arial" w:eastAsia="Times New Roman" w:hAnsi="Arial" w:cs="Arial"/>
          <w:sz w:val="20"/>
          <w:szCs w:val="20"/>
        </w:rPr>
      </w:pPr>
      <w:r>
        <w:rPr>
          <w:rFonts w:ascii="Arial" w:eastAsia="Times New Roman" w:hAnsi="Arial" w:cs="Arial"/>
          <w:sz w:val="20"/>
          <w:szCs w:val="20"/>
          <w:lang w:val="en-GB"/>
        </w:rPr>
        <w:t xml:space="preserve">An individual item </w:t>
      </w:r>
      <w:proofErr w:type="gramStart"/>
      <w:r>
        <w:rPr>
          <w:rFonts w:ascii="Arial" w:eastAsia="Times New Roman" w:hAnsi="Arial" w:cs="Arial"/>
          <w:sz w:val="20"/>
          <w:szCs w:val="20"/>
          <w:lang w:val="en-GB"/>
        </w:rPr>
        <w:t>is considered to be</w:t>
      </w:r>
      <w:proofErr w:type="gramEnd"/>
      <w:r>
        <w:rPr>
          <w:rFonts w:ascii="Arial" w:eastAsia="Times New Roman" w:hAnsi="Arial" w:cs="Arial"/>
          <w:sz w:val="20"/>
          <w:szCs w:val="20"/>
          <w:lang w:val="en-GB"/>
        </w:rPr>
        <w:t xml:space="preserve"> an intangible asset if it is evident from its accounting recognition, but the existence of an intangible asset is not assessed on this basis alone. Intangible assets to be included in transfer pricing are not always recognised as intangible assets for accounting purposes. For example, costs related to the development of intangible assets that are disclosed only internally as R&amp;D and advertising costs and are disclosed only as costs, and such intangible assets are not always disclosed as such in the balance sheet. Nevertheless, they can be used to create significant economic value and may therefore need to be </w:t>
      </w:r>
      <w:proofErr w:type="gramStart"/>
      <w:r>
        <w:rPr>
          <w:rFonts w:ascii="Arial" w:eastAsia="Times New Roman" w:hAnsi="Arial" w:cs="Arial"/>
          <w:sz w:val="20"/>
          <w:szCs w:val="20"/>
          <w:lang w:val="en-GB"/>
        </w:rPr>
        <w:t>taken into account</w:t>
      </w:r>
      <w:proofErr w:type="gramEnd"/>
      <w:r>
        <w:rPr>
          <w:rFonts w:ascii="Arial" w:eastAsia="Times New Roman" w:hAnsi="Arial" w:cs="Arial"/>
          <w:sz w:val="20"/>
          <w:szCs w:val="20"/>
          <w:lang w:val="en-GB"/>
        </w:rPr>
        <w:t xml:space="preserve"> in the transfer pricing process. </w:t>
      </w:r>
    </w:p>
    <w:p w14:paraId="1CD3736D" w14:textId="77777777" w:rsidR="00666077" w:rsidRPr="00AA2C04" w:rsidRDefault="00666077" w:rsidP="00430CD2">
      <w:pPr>
        <w:spacing w:line="260" w:lineRule="atLeast"/>
        <w:jc w:val="both"/>
        <w:rPr>
          <w:rFonts w:ascii="Arial" w:eastAsia="Times New Roman" w:hAnsi="Arial" w:cs="Arial"/>
          <w:sz w:val="20"/>
          <w:szCs w:val="20"/>
        </w:rPr>
      </w:pPr>
    </w:p>
    <w:p w14:paraId="76FFDBC2" w14:textId="77777777" w:rsidR="00666077" w:rsidRPr="00AA2C04" w:rsidRDefault="00666077" w:rsidP="00430CD2">
      <w:pPr>
        <w:spacing w:line="260" w:lineRule="atLeast"/>
        <w:jc w:val="both"/>
        <w:rPr>
          <w:rFonts w:ascii="Arial" w:eastAsia="Times New Roman" w:hAnsi="Arial" w:cs="Arial"/>
          <w:sz w:val="20"/>
          <w:szCs w:val="20"/>
        </w:rPr>
      </w:pPr>
      <w:r>
        <w:rPr>
          <w:rFonts w:ascii="Arial" w:eastAsia="Times New Roman" w:hAnsi="Arial" w:cs="Arial"/>
          <w:sz w:val="20"/>
          <w:szCs w:val="20"/>
          <w:lang w:val="en-GB"/>
        </w:rPr>
        <w:t xml:space="preserve">Furthermore, the identification of the legal and economic owner of an intangible asset is crucial, as legal ownership does not in itself ensure that all returns from the intangible asset are attributed to its legal owner. The purpose of these provisions is to prevent the rewarding of companies in countries with a more favourable tax environment (especially in so-called offshore centres) that were only the legal owner of the intangible assets and did not perform any important functions, but received the bulk of the income. </w:t>
      </w:r>
    </w:p>
    <w:p w14:paraId="509EA666" w14:textId="77777777" w:rsidR="00666077" w:rsidRPr="00AA2C04" w:rsidRDefault="00666077" w:rsidP="00430CD2">
      <w:pPr>
        <w:spacing w:line="260" w:lineRule="atLeast"/>
        <w:jc w:val="both"/>
        <w:rPr>
          <w:rFonts w:ascii="Arial" w:eastAsia="Times New Roman" w:hAnsi="Arial" w:cs="Arial"/>
          <w:sz w:val="20"/>
          <w:szCs w:val="20"/>
        </w:rPr>
      </w:pPr>
    </w:p>
    <w:p w14:paraId="716279E2" w14:textId="0AAD2470" w:rsidR="00666077" w:rsidRPr="00AA2C04" w:rsidRDefault="00666077" w:rsidP="00430CD2">
      <w:pPr>
        <w:spacing w:line="260" w:lineRule="atLeast"/>
        <w:jc w:val="both"/>
        <w:rPr>
          <w:rFonts w:ascii="Arial" w:eastAsia="Times New Roman" w:hAnsi="Arial" w:cs="Arial"/>
          <w:sz w:val="20"/>
          <w:szCs w:val="24"/>
        </w:rPr>
      </w:pPr>
      <w:r>
        <w:rPr>
          <w:rFonts w:ascii="Arial" w:eastAsia="Times New Roman" w:hAnsi="Arial" w:cs="Arial"/>
          <w:sz w:val="20"/>
          <w:szCs w:val="24"/>
          <w:lang w:val="en-GB"/>
        </w:rPr>
        <w:t xml:space="preserve">Legal ownership and contractual relationships are used in the analysis as a starting point for identifying and analysing </w:t>
      </w:r>
      <w:r w:rsidR="003E0B4B">
        <w:rPr>
          <w:rFonts w:ascii="Arial" w:eastAsia="Times New Roman" w:hAnsi="Arial" w:cs="Arial"/>
          <w:sz w:val="20"/>
          <w:szCs w:val="24"/>
          <w:lang w:val="en-GB"/>
        </w:rPr>
        <w:t>associated</w:t>
      </w:r>
      <w:r>
        <w:rPr>
          <w:rFonts w:ascii="Arial" w:eastAsia="Times New Roman" w:hAnsi="Arial" w:cs="Arial"/>
          <w:sz w:val="20"/>
          <w:szCs w:val="24"/>
          <w:lang w:val="en-GB"/>
        </w:rPr>
        <w:t xml:space="preserve">-party transactions and for determining appropriate compensation for members of a multinational group of companies. The identification of legal ownership, functions performed, funds </w:t>
      </w:r>
      <w:proofErr w:type="gramStart"/>
      <w:r>
        <w:rPr>
          <w:rFonts w:ascii="Arial" w:eastAsia="Times New Roman" w:hAnsi="Arial" w:cs="Arial"/>
          <w:sz w:val="20"/>
          <w:szCs w:val="24"/>
          <w:lang w:val="en-GB"/>
        </w:rPr>
        <w:t>employed</w:t>
      </w:r>
      <w:proofErr w:type="gramEnd"/>
      <w:r>
        <w:rPr>
          <w:rFonts w:ascii="Arial" w:eastAsia="Times New Roman" w:hAnsi="Arial" w:cs="Arial"/>
          <w:sz w:val="20"/>
          <w:szCs w:val="24"/>
          <w:lang w:val="en-GB"/>
        </w:rPr>
        <w:t xml:space="preserve"> and risks assumed provides an analytical framework for pricing in accordance with the arm's-length principle. As with any type of </w:t>
      </w:r>
      <w:r w:rsidR="003E0B4B">
        <w:rPr>
          <w:rFonts w:ascii="Arial" w:eastAsia="Times New Roman" w:hAnsi="Arial" w:cs="Arial"/>
          <w:sz w:val="20"/>
          <w:szCs w:val="24"/>
          <w:lang w:val="en-GB"/>
        </w:rPr>
        <w:t>associated</w:t>
      </w:r>
      <w:r>
        <w:rPr>
          <w:rFonts w:ascii="Arial" w:eastAsia="Times New Roman" w:hAnsi="Arial" w:cs="Arial"/>
          <w:sz w:val="20"/>
          <w:szCs w:val="24"/>
          <w:lang w:val="en-GB"/>
        </w:rPr>
        <w:t xml:space="preserve"> party transaction, the analysis must </w:t>
      </w:r>
      <w:proofErr w:type="gramStart"/>
      <w:r>
        <w:rPr>
          <w:rFonts w:ascii="Arial" w:eastAsia="Times New Roman" w:hAnsi="Arial" w:cs="Arial"/>
          <w:sz w:val="20"/>
          <w:szCs w:val="24"/>
          <w:lang w:val="en-GB"/>
        </w:rPr>
        <w:t>take into account</w:t>
      </w:r>
      <w:proofErr w:type="gramEnd"/>
      <w:r>
        <w:rPr>
          <w:rFonts w:ascii="Arial" w:eastAsia="Times New Roman" w:hAnsi="Arial" w:cs="Arial"/>
          <w:sz w:val="20"/>
          <w:szCs w:val="24"/>
          <w:lang w:val="en-GB"/>
        </w:rPr>
        <w:t xml:space="preserve"> all of the relevant facts and circumstances of the individual case.</w:t>
      </w:r>
    </w:p>
    <w:p w14:paraId="69EAC358" w14:textId="77777777" w:rsidR="00666077" w:rsidRPr="00AA2C04" w:rsidRDefault="00666077" w:rsidP="00430CD2">
      <w:pPr>
        <w:spacing w:line="260" w:lineRule="atLeast"/>
        <w:jc w:val="both"/>
        <w:rPr>
          <w:rFonts w:ascii="Arial" w:eastAsia="Times New Roman" w:hAnsi="Arial" w:cs="Arial"/>
          <w:sz w:val="20"/>
          <w:szCs w:val="24"/>
        </w:rPr>
      </w:pPr>
    </w:p>
    <w:p w14:paraId="6E54E4B4" w14:textId="2080713B" w:rsidR="00666077" w:rsidRDefault="00666077" w:rsidP="00430CD2">
      <w:pPr>
        <w:spacing w:line="260" w:lineRule="atLeast"/>
        <w:jc w:val="both"/>
        <w:rPr>
          <w:rFonts w:ascii="Arial" w:eastAsia="Times New Roman" w:hAnsi="Arial" w:cs="Arial"/>
          <w:sz w:val="20"/>
          <w:szCs w:val="24"/>
        </w:rPr>
      </w:pPr>
      <w:r>
        <w:rPr>
          <w:rFonts w:ascii="Arial" w:eastAsia="Times New Roman" w:hAnsi="Arial" w:cs="Arial"/>
          <w:sz w:val="20"/>
          <w:szCs w:val="24"/>
          <w:lang w:val="en-GB"/>
        </w:rPr>
        <w:t xml:space="preserve">The OECD Guidelines (paragraph 6.34) set out the steps that multinational groups of companies may use to analyse transactions between associated enterprises involving intangible assets and to collect the data needed to determine the price of those transactions in accordance with the arm’s length principle. In order to determine which company in a group performs certain functions, holds assets and assumes the risks related to the development, enhancement, maintenance, protection and exploitation (use) of an intangible asset, a </w:t>
      </w:r>
      <w:r w:rsidR="006353FE">
        <w:rPr>
          <w:rFonts w:ascii="Arial" w:eastAsia="Times New Roman" w:hAnsi="Arial" w:cs="Arial"/>
          <w:b/>
          <w:bCs/>
          <w:sz w:val="20"/>
          <w:szCs w:val="24"/>
          <w:lang w:val="en-GB"/>
        </w:rPr>
        <w:t>DEMPE analysis</w:t>
      </w:r>
      <w:r>
        <w:rPr>
          <w:rFonts w:ascii="Arial" w:eastAsia="Times New Roman" w:hAnsi="Arial" w:cs="Arial"/>
          <w:sz w:val="20"/>
          <w:szCs w:val="24"/>
          <w:lang w:val="en-GB"/>
        </w:rPr>
        <w:t xml:space="preserve"> (D - development, E - enhancement, M - maintenance, P - protection, E - exploitation) must be carried out.</w:t>
      </w:r>
    </w:p>
    <w:p w14:paraId="49D6B025" w14:textId="77777777" w:rsidR="00486370" w:rsidRPr="00AA2C04" w:rsidRDefault="00486370" w:rsidP="00756903">
      <w:pPr>
        <w:jc w:val="both"/>
        <w:rPr>
          <w:rFonts w:ascii="Arial" w:eastAsia="Times New Roman" w:hAnsi="Arial" w:cs="Arial"/>
          <w:sz w:val="20"/>
          <w:szCs w:val="24"/>
        </w:rPr>
      </w:pPr>
    </w:p>
    <w:tbl>
      <w:tblPr>
        <w:tblW w:w="8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8083"/>
      </w:tblGrid>
      <w:tr w:rsidR="00666077" w:rsidRPr="00430CD2" w14:paraId="78ABB3A9" w14:textId="77777777" w:rsidTr="0048619E">
        <w:trPr>
          <w:trHeight w:val="425"/>
        </w:trPr>
        <w:tc>
          <w:tcPr>
            <w:tcW w:w="535" w:type="dxa"/>
            <w:shd w:val="clear" w:color="auto" w:fill="E7E6E6"/>
            <w:tcMar>
              <w:left w:w="108" w:type="dxa"/>
            </w:tcMar>
            <w:vAlign w:val="center"/>
          </w:tcPr>
          <w:p w14:paraId="4C3064DD" w14:textId="77777777" w:rsidR="00666077" w:rsidRPr="00430CD2" w:rsidRDefault="00666077" w:rsidP="00756903">
            <w:pPr>
              <w:jc w:val="both"/>
              <w:rPr>
                <w:rFonts w:ascii="Arial" w:eastAsia="Times New Roman" w:hAnsi="Arial" w:cs="Arial"/>
                <w:i/>
                <w:sz w:val="20"/>
                <w:szCs w:val="20"/>
              </w:rPr>
            </w:pPr>
          </w:p>
        </w:tc>
        <w:tc>
          <w:tcPr>
            <w:tcW w:w="8083" w:type="dxa"/>
            <w:shd w:val="clear" w:color="auto" w:fill="E7E6E6"/>
            <w:tcMar>
              <w:left w:w="108" w:type="dxa"/>
            </w:tcMar>
            <w:vAlign w:val="center"/>
          </w:tcPr>
          <w:p w14:paraId="779A61ED" w14:textId="77777777" w:rsidR="003E424F" w:rsidRPr="00430CD2" w:rsidRDefault="00666077" w:rsidP="00756903">
            <w:pPr>
              <w:jc w:val="both"/>
              <w:rPr>
                <w:rFonts w:ascii="Arial" w:eastAsia="Times New Roman" w:hAnsi="Arial" w:cs="Arial"/>
                <w:b/>
                <w:i/>
                <w:sz w:val="20"/>
                <w:szCs w:val="20"/>
              </w:rPr>
            </w:pPr>
            <w:r>
              <w:rPr>
                <w:rFonts w:ascii="Arial" w:eastAsia="Times New Roman" w:hAnsi="Arial" w:cs="Arial"/>
                <w:b/>
                <w:bCs/>
                <w:i/>
                <w:iCs/>
                <w:sz w:val="20"/>
                <w:szCs w:val="20"/>
                <w:lang w:val="en-GB"/>
              </w:rPr>
              <w:t>The steps to perform a comparability analysis – a DEMPE analysis</w:t>
            </w:r>
          </w:p>
        </w:tc>
      </w:tr>
      <w:tr w:rsidR="00666077" w:rsidRPr="00904D3B" w14:paraId="02AF965F" w14:textId="77777777" w:rsidTr="00AA2C04">
        <w:tc>
          <w:tcPr>
            <w:tcW w:w="535" w:type="dxa"/>
            <w:shd w:val="clear" w:color="auto" w:fill="auto"/>
            <w:tcMar>
              <w:left w:w="108" w:type="dxa"/>
            </w:tcMar>
          </w:tcPr>
          <w:p w14:paraId="6E185041" w14:textId="77777777" w:rsidR="00666077" w:rsidRPr="00227C1D" w:rsidRDefault="00666077" w:rsidP="00756903">
            <w:pPr>
              <w:jc w:val="both"/>
              <w:rPr>
                <w:rFonts w:ascii="Arial" w:eastAsia="Times New Roman" w:hAnsi="Arial" w:cs="Arial"/>
                <w:i/>
                <w:sz w:val="18"/>
                <w:szCs w:val="18"/>
              </w:rPr>
            </w:pPr>
            <w:r>
              <w:rPr>
                <w:rFonts w:ascii="Arial" w:eastAsia="Times New Roman" w:hAnsi="Arial" w:cs="Arial"/>
                <w:i/>
                <w:iCs/>
                <w:sz w:val="18"/>
                <w:szCs w:val="18"/>
                <w:lang w:val="en-GB"/>
              </w:rPr>
              <w:t>1.</w:t>
            </w:r>
          </w:p>
        </w:tc>
        <w:tc>
          <w:tcPr>
            <w:tcW w:w="8083" w:type="dxa"/>
            <w:shd w:val="clear" w:color="auto" w:fill="auto"/>
            <w:tcMar>
              <w:left w:w="108" w:type="dxa"/>
            </w:tcMar>
          </w:tcPr>
          <w:p w14:paraId="35CBC32D" w14:textId="77777777" w:rsidR="00DA2203" w:rsidRDefault="00666077" w:rsidP="00756903">
            <w:pPr>
              <w:jc w:val="both"/>
              <w:rPr>
                <w:rFonts w:ascii="Arial" w:eastAsia="Times New Roman" w:hAnsi="Arial" w:cs="Arial"/>
                <w:i/>
                <w:sz w:val="18"/>
                <w:szCs w:val="18"/>
              </w:rPr>
            </w:pPr>
            <w:r>
              <w:rPr>
                <w:rFonts w:ascii="Arial" w:eastAsia="Times New Roman" w:hAnsi="Arial" w:cs="Arial"/>
                <w:i/>
                <w:iCs/>
                <w:sz w:val="18"/>
                <w:szCs w:val="18"/>
                <w:lang w:val="en-GB"/>
              </w:rPr>
              <w:t>Identifying the intangible asset used or transferred in the transaction and indicating the economically significant risks associated with the development, enhancement maintenance, protection and use of the intangible asset.</w:t>
            </w:r>
          </w:p>
          <w:p w14:paraId="650B6F09" w14:textId="77777777" w:rsidR="00464121" w:rsidRPr="00AA2C04" w:rsidRDefault="00464121" w:rsidP="00756903">
            <w:pPr>
              <w:pStyle w:val="Brezrazmikov"/>
              <w:spacing w:line="240" w:lineRule="atLeast"/>
            </w:pPr>
          </w:p>
        </w:tc>
      </w:tr>
      <w:tr w:rsidR="00666077" w:rsidRPr="00904D3B" w14:paraId="03DF16EE" w14:textId="77777777" w:rsidTr="00AA2C04">
        <w:tc>
          <w:tcPr>
            <w:tcW w:w="535" w:type="dxa"/>
            <w:shd w:val="clear" w:color="auto" w:fill="auto"/>
            <w:tcMar>
              <w:left w:w="108" w:type="dxa"/>
            </w:tcMar>
          </w:tcPr>
          <w:p w14:paraId="252875C8" w14:textId="77777777" w:rsidR="00666077" w:rsidRPr="00227C1D" w:rsidRDefault="00666077" w:rsidP="00756903">
            <w:pPr>
              <w:jc w:val="both"/>
              <w:rPr>
                <w:rFonts w:ascii="Arial" w:eastAsia="Times New Roman" w:hAnsi="Arial" w:cs="Arial"/>
                <w:i/>
                <w:sz w:val="18"/>
                <w:szCs w:val="18"/>
              </w:rPr>
            </w:pPr>
            <w:r>
              <w:rPr>
                <w:rFonts w:ascii="Arial" w:eastAsia="Times New Roman" w:hAnsi="Arial" w:cs="Arial"/>
                <w:i/>
                <w:iCs/>
                <w:sz w:val="18"/>
                <w:szCs w:val="18"/>
                <w:lang w:val="en-GB"/>
              </w:rPr>
              <w:t>2.</w:t>
            </w:r>
          </w:p>
        </w:tc>
        <w:tc>
          <w:tcPr>
            <w:tcW w:w="8083" w:type="dxa"/>
            <w:shd w:val="clear" w:color="auto" w:fill="auto"/>
            <w:tcMar>
              <w:left w:w="108" w:type="dxa"/>
            </w:tcMar>
          </w:tcPr>
          <w:p w14:paraId="1C3B4723" w14:textId="77777777" w:rsidR="00DA2203" w:rsidRDefault="00666077" w:rsidP="00756903">
            <w:pPr>
              <w:jc w:val="both"/>
              <w:rPr>
                <w:rFonts w:ascii="Arial" w:eastAsia="Times New Roman" w:hAnsi="Arial" w:cs="Arial"/>
                <w:i/>
                <w:sz w:val="18"/>
                <w:szCs w:val="18"/>
              </w:rPr>
            </w:pPr>
            <w:r>
              <w:rPr>
                <w:rFonts w:ascii="Arial" w:eastAsia="Times New Roman" w:hAnsi="Arial" w:cs="Arial"/>
                <w:i/>
                <w:iCs/>
                <w:sz w:val="18"/>
                <w:szCs w:val="18"/>
                <w:lang w:val="en-GB"/>
              </w:rPr>
              <w:t xml:space="preserve">Defining all contractual arrangements, with a particular emphasis on determining the legal ownership of an intangible asset, including relevant registrations, licensing and other agreements and other indications of legal ownership, indications of contractual rights and obligations, including contractual risks between associated enterprises. </w:t>
            </w:r>
          </w:p>
          <w:p w14:paraId="2924CD27" w14:textId="77777777" w:rsidR="00464121" w:rsidRPr="00AA2C04" w:rsidRDefault="00464121" w:rsidP="00756903">
            <w:pPr>
              <w:pStyle w:val="Brezrazmikov"/>
              <w:spacing w:line="240" w:lineRule="atLeast"/>
            </w:pPr>
          </w:p>
        </w:tc>
      </w:tr>
      <w:tr w:rsidR="00666077" w:rsidRPr="00904D3B" w14:paraId="34B2C271" w14:textId="77777777" w:rsidTr="00AA2C04">
        <w:tc>
          <w:tcPr>
            <w:tcW w:w="535" w:type="dxa"/>
            <w:shd w:val="clear" w:color="auto" w:fill="auto"/>
            <w:tcMar>
              <w:left w:w="108" w:type="dxa"/>
            </w:tcMar>
          </w:tcPr>
          <w:p w14:paraId="207F600F" w14:textId="77777777" w:rsidR="00666077" w:rsidRPr="00227C1D" w:rsidRDefault="00666077" w:rsidP="00756903">
            <w:pPr>
              <w:jc w:val="both"/>
              <w:rPr>
                <w:rFonts w:ascii="Arial" w:eastAsia="Times New Roman" w:hAnsi="Arial" w:cs="Arial"/>
                <w:i/>
                <w:sz w:val="18"/>
                <w:szCs w:val="18"/>
              </w:rPr>
            </w:pPr>
            <w:r>
              <w:rPr>
                <w:rFonts w:ascii="Arial" w:eastAsia="Times New Roman" w:hAnsi="Arial" w:cs="Arial"/>
                <w:i/>
                <w:iCs/>
                <w:sz w:val="18"/>
                <w:szCs w:val="18"/>
                <w:lang w:val="en-GB"/>
              </w:rPr>
              <w:t>3.</w:t>
            </w:r>
          </w:p>
        </w:tc>
        <w:tc>
          <w:tcPr>
            <w:tcW w:w="8083" w:type="dxa"/>
            <w:shd w:val="clear" w:color="auto" w:fill="auto"/>
            <w:tcMar>
              <w:left w:w="108" w:type="dxa"/>
            </w:tcMar>
          </w:tcPr>
          <w:p w14:paraId="5194F0BF" w14:textId="77777777" w:rsidR="00464121" w:rsidRDefault="00666077" w:rsidP="00756903">
            <w:pPr>
              <w:jc w:val="both"/>
              <w:rPr>
                <w:rFonts w:ascii="Arial" w:eastAsia="Times New Roman" w:hAnsi="Arial" w:cs="Arial"/>
                <w:i/>
                <w:sz w:val="18"/>
                <w:szCs w:val="18"/>
              </w:rPr>
            </w:pPr>
            <w:r>
              <w:rPr>
                <w:rFonts w:ascii="Arial" w:eastAsia="Times New Roman" w:hAnsi="Arial" w:cs="Arial"/>
                <w:i/>
                <w:iCs/>
                <w:sz w:val="18"/>
                <w:szCs w:val="18"/>
                <w:lang w:val="en-GB"/>
              </w:rPr>
              <w:t>Indicating the parties performing individual functions, including the planning and supervision of research and marketing programmes, directing and deciding on priorities, including determining the course of research without immediately apparent results; overseeing strategic decisions regarding programme development; managing and controlling the research and development budget; furthermore, making important decisions regarding the protection of intangible assets, those carrying out permanent control of the functions performed by independent or associated enterprises having a decisive influence on the value of the intangible asset (these functions are described in more detail in paragraph 6.56 of the OECD Guidelines); indicating the assets used by each party and indicating the parties in charge of managing the risks associated with the development, enhancement, maintenance, protection and exploitation of intangible assets (DEMPE analysis), and indicating the parties controlling all external contractors and economically significant risks.</w:t>
            </w:r>
          </w:p>
          <w:p w14:paraId="59E4AC4C" w14:textId="77777777" w:rsidR="00486370" w:rsidRPr="00904D3B" w:rsidRDefault="00486370" w:rsidP="00756903">
            <w:pPr>
              <w:jc w:val="both"/>
              <w:rPr>
                <w:rFonts w:ascii="Arial" w:eastAsia="Times New Roman" w:hAnsi="Arial" w:cs="Arial"/>
                <w:i/>
                <w:sz w:val="18"/>
                <w:szCs w:val="18"/>
              </w:rPr>
            </w:pPr>
          </w:p>
        </w:tc>
      </w:tr>
      <w:tr w:rsidR="00666077" w:rsidRPr="00904D3B" w14:paraId="481B4B2E" w14:textId="77777777" w:rsidTr="00AA2C04">
        <w:tc>
          <w:tcPr>
            <w:tcW w:w="535" w:type="dxa"/>
            <w:shd w:val="clear" w:color="auto" w:fill="auto"/>
            <w:tcMar>
              <w:left w:w="108" w:type="dxa"/>
            </w:tcMar>
          </w:tcPr>
          <w:p w14:paraId="48DA32EE" w14:textId="77777777" w:rsidR="00666077" w:rsidRPr="00227C1D" w:rsidRDefault="00666077" w:rsidP="00756903">
            <w:pPr>
              <w:jc w:val="both"/>
              <w:rPr>
                <w:rFonts w:ascii="Arial" w:eastAsia="Times New Roman" w:hAnsi="Arial" w:cs="Arial"/>
                <w:i/>
                <w:sz w:val="18"/>
                <w:szCs w:val="18"/>
              </w:rPr>
            </w:pPr>
            <w:r>
              <w:rPr>
                <w:rFonts w:ascii="Arial" w:eastAsia="Times New Roman" w:hAnsi="Arial" w:cs="Arial"/>
                <w:i/>
                <w:iCs/>
                <w:sz w:val="18"/>
                <w:szCs w:val="18"/>
                <w:lang w:val="en-GB"/>
              </w:rPr>
              <w:t>4.</w:t>
            </w:r>
          </w:p>
        </w:tc>
        <w:tc>
          <w:tcPr>
            <w:tcW w:w="8083" w:type="dxa"/>
            <w:shd w:val="clear" w:color="auto" w:fill="auto"/>
            <w:tcMar>
              <w:left w:w="108" w:type="dxa"/>
            </w:tcMar>
          </w:tcPr>
          <w:p w14:paraId="1FDF07C7" w14:textId="77777777" w:rsidR="00DA2203" w:rsidRDefault="00666077" w:rsidP="00430CD2">
            <w:pPr>
              <w:jc w:val="both"/>
              <w:rPr>
                <w:rFonts w:ascii="Arial" w:eastAsia="Times New Roman" w:hAnsi="Arial" w:cs="Arial"/>
                <w:i/>
                <w:iCs/>
                <w:sz w:val="18"/>
                <w:szCs w:val="18"/>
                <w:lang w:val="en-GB"/>
              </w:rPr>
            </w:pPr>
            <w:r>
              <w:rPr>
                <w:rFonts w:ascii="Arial" w:eastAsia="Times New Roman" w:hAnsi="Arial" w:cs="Arial"/>
                <w:i/>
                <w:iCs/>
                <w:sz w:val="18"/>
                <w:szCs w:val="18"/>
                <w:lang w:val="en-GB"/>
              </w:rPr>
              <w:t>Confirming compliance between the terms agreed in writing and how the risks are actually shared between the parties, i.e. whether the parties actually follow the contractual arrangements and whether the parties assume and control economically significant risks and have the financial capacity to assume the risks associated with the development risks, enhancement, maintenance, protection and exploitation of the intangible asset.</w:t>
            </w:r>
          </w:p>
          <w:p w14:paraId="75E0B20B" w14:textId="366D72EF" w:rsidR="00444661" w:rsidRPr="00AA2C04" w:rsidRDefault="00444661" w:rsidP="00430CD2">
            <w:pPr>
              <w:jc w:val="both"/>
            </w:pPr>
          </w:p>
        </w:tc>
      </w:tr>
      <w:tr w:rsidR="00666077" w:rsidRPr="00904D3B" w14:paraId="27ACEF9D" w14:textId="77777777" w:rsidTr="00AA2C04">
        <w:tc>
          <w:tcPr>
            <w:tcW w:w="535" w:type="dxa"/>
            <w:shd w:val="clear" w:color="auto" w:fill="auto"/>
            <w:tcMar>
              <w:left w:w="108" w:type="dxa"/>
            </w:tcMar>
          </w:tcPr>
          <w:p w14:paraId="5A1FEEDD" w14:textId="77777777" w:rsidR="00666077" w:rsidRPr="00227C1D" w:rsidRDefault="00666077" w:rsidP="00756903">
            <w:pPr>
              <w:jc w:val="both"/>
              <w:rPr>
                <w:rFonts w:ascii="Arial" w:eastAsia="Times New Roman" w:hAnsi="Arial" w:cs="Arial"/>
                <w:i/>
                <w:sz w:val="18"/>
                <w:szCs w:val="18"/>
              </w:rPr>
            </w:pPr>
            <w:r>
              <w:rPr>
                <w:rFonts w:ascii="Arial" w:eastAsia="Times New Roman" w:hAnsi="Arial" w:cs="Arial"/>
                <w:i/>
                <w:iCs/>
                <w:sz w:val="18"/>
                <w:szCs w:val="18"/>
                <w:lang w:val="en-GB"/>
              </w:rPr>
              <w:t>5.</w:t>
            </w:r>
          </w:p>
        </w:tc>
        <w:tc>
          <w:tcPr>
            <w:tcW w:w="8083" w:type="dxa"/>
            <w:shd w:val="clear" w:color="auto" w:fill="auto"/>
            <w:tcMar>
              <w:left w:w="108" w:type="dxa"/>
            </w:tcMar>
          </w:tcPr>
          <w:p w14:paraId="161B753F" w14:textId="07BBC643" w:rsidR="00666077" w:rsidRPr="00904D3B" w:rsidRDefault="00666077" w:rsidP="00756903">
            <w:pPr>
              <w:jc w:val="both"/>
              <w:rPr>
                <w:rFonts w:ascii="Arial" w:eastAsia="Times New Roman" w:hAnsi="Arial" w:cs="Arial"/>
                <w:i/>
                <w:sz w:val="18"/>
                <w:szCs w:val="18"/>
              </w:rPr>
            </w:pPr>
            <w:r>
              <w:rPr>
                <w:rFonts w:ascii="Arial" w:eastAsia="Times New Roman" w:hAnsi="Arial" w:cs="Arial"/>
                <w:i/>
                <w:iCs/>
                <w:sz w:val="18"/>
                <w:szCs w:val="18"/>
                <w:lang w:val="en-GB"/>
              </w:rPr>
              <w:t xml:space="preserve">Identifying the actual transactions related to the development, enhancement, maintenance, protection and exploitation of an intangible asset in conjunction with legal ownership and other relevant contractual relationships and identifying the manner of acting of individual parties to the transaction, including their respective contributions in terms of functions, assets and risks. </w:t>
            </w:r>
          </w:p>
          <w:p w14:paraId="366DA703" w14:textId="77777777" w:rsidR="00DA2203" w:rsidRPr="00AA2C04" w:rsidRDefault="00DA2203" w:rsidP="00756903">
            <w:pPr>
              <w:pStyle w:val="Brezrazmikov"/>
              <w:spacing w:line="240" w:lineRule="atLeast"/>
            </w:pPr>
          </w:p>
        </w:tc>
      </w:tr>
      <w:tr w:rsidR="00666077" w:rsidRPr="00904D3B" w14:paraId="014E1820" w14:textId="77777777" w:rsidTr="00AA2C04">
        <w:tc>
          <w:tcPr>
            <w:tcW w:w="535" w:type="dxa"/>
            <w:shd w:val="clear" w:color="auto" w:fill="auto"/>
            <w:tcMar>
              <w:left w:w="108" w:type="dxa"/>
            </w:tcMar>
          </w:tcPr>
          <w:p w14:paraId="3071257D" w14:textId="77777777" w:rsidR="00666077" w:rsidRPr="00227C1D" w:rsidRDefault="00666077" w:rsidP="00756903">
            <w:pPr>
              <w:jc w:val="both"/>
              <w:rPr>
                <w:rFonts w:ascii="Arial" w:eastAsia="Times New Roman" w:hAnsi="Arial" w:cs="Arial"/>
                <w:i/>
                <w:sz w:val="18"/>
                <w:szCs w:val="18"/>
              </w:rPr>
            </w:pPr>
            <w:r>
              <w:rPr>
                <w:rFonts w:ascii="Arial" w:eastAsia="Times New Roman" w:hAnsi="Arial" w:cs="Arial"/>
                <w:i/>
                <w:iCs/>
                <w:sz w:val="18"/>
                <w:szCs w:val="18"/>
                <w:lang w:val="en-GB"/>
              </w:rPr>
              <w:t>6.</w:t>
            </w:r>
          </w:p>
        </w:tc>
        <w:tc>
          <w:tcPr>
            <w:tcW w:w="8083" w:type="dxa"/>
            <w:shd w:val="clear" w:color="auto" w:fill="auto"/>
            <w:tcMar>
              <w:left w:w="108" w:type="dxa"/>
            </w:tcMar>
          </w:tcPr>
          <w:p w14:paraId="7FB802E0" w14:textId="77777777" w:rsidR="00666077" w:rsidRPr="00904D3B" w:rsidRDefault="00666077" w:rsidP="00756903">
            <w:pPr>
              <w:jc w:val="both"/>
              <w:rPr>
                <w:rFonts w:ascii="Arial" w:eastAsia="Times New Roman" w:hAnsi="Arial" w:cs="Arial"/>
                <w:i/>
                <w:sz w:val="18"/>
                <w:szCs w:val="18"/>
              </w:rPr>
            </w:pPr>
            <w:r>
              <w:rPr>
                <w:rFonts w:ascii="Arial" w:eastAsia="Times New Roman" w:hAnsi="Arial" w:cs="Arial"/>
                <w:i/>
                <w:iCs/>
                <w:sz w:val="18"/>
                <w:szCs w:val="18"/>
                <w:lang w:val="en-GB"/>
              </w:rPr>
              <w:t xml:space="preserve">Where possible, the sixth step should include setting the price by applying the arm’s length principle in accordance with each party's contributions to the transaction, based on the functions performed by each party, the funds employed and the risks assumed, except where the guidelines on compliance with the form of the transaction are applied (OECD Guidelines, paragraphs 1.119-1.127), providing that the tax authorities should, as a general rule, disregard transactions accepted by a taxable person when special circumstances arise and when transactions are commercially irrational. </w:t>
            </w:r>
          </w:p>
          <w:p w14:paraId="51533CBE" w14:textId="77777777" w:rsidR="00DA2203" w:rsidRPr="00AA2C04" w:rsidRDefault="00DA2203" w:rsidP="00756903">
            <w:pPr>
              <w:pStyle w:val="Brezrazmikov"/>
              <w:spacing w:line="240" w:lineRule="atLeast"/>
            </w:pPr>
          </w:p>
        </w:tc>
      </w:tr>
    </w:tbl>
    <w:p w14:paraId="2C002199" w14:textId="77777777" w:rsidR="00666077" w:rsidRPr="00227C1D" w:rsidRDefault="00666077" w:rsidP="00756903">
      <w:pPr>
        <w:jc w:val="both"/>
        <w:rPr>
          <w:rFonts w:ascii="Arial" w:eastAsia="Times New Roman" w:hAnsi="Arial" w:cs="Arial"/>
          <w:sz w:val="20"/>
          <w:szCs w:val="20"/>
        </w:rPr>
      </w:pPr>
    </w:p>
    <w:p w14:paraId="1C15B73D" w14:textId="77777777" w:rsidR="00666077" w:rsidRPr="00F27413" w:rsidRDefault="00666077" w:rsidP="00430CD2">
      <w:pPr>
        <w:spacing w:line="260" w:lineRule="atLeast"/>
        <w:jc w:val="both"/>
        <w:rPr>
          <w:rFonts w:ascii="Arial" w:eastAsia="Times New Roman" w:hAnsi="Arial" w:cs="Arial"/>
          <w:sz w:val="20"/>
          <w:szCs w:val="20"/>
        </w:rPr>
      </w:pPr>
      <w:r>
        <w:rPr>
          <w:rFonts w:ascii="Arial" w:eastAsia="Times New Roman" w:hAnsi="Arial" w:cs="Arial"/>
          <w:sz w:val="20"/>
          <w:szCs w:val="20"/>
          <w:lang w:val="en-GB"/>
        </w:rPr>
        <w:t>Some intangible assets may be identified separately and transferred on a separate basis, while others may be transferred only in combination with other business assets. Paragraph 6.8 of the OECD Guidelines provides that separate transferability is not a necessary condition for defining an item as an intangible asset for transfer pricing purposes.</w:t>
      </w:r>
    </w:p>
    <w:p w14:paraId="0823572C" w14:textId="77777777" w:rsidR="00666077" w:rsidRPr="00C91A50" w:rsidRDefault="00666077" w:rsidP="00430CD2">
      <w:pPr>
        <w:spacing w:line="260" w:lineRule="atLeast"/>
        <w:jc w:val="both"/>
        <w:rPr>
          <w:rFonts w:ascii="Arial" w:eastAsia="Times New Roman" w:hAnsi="Arial" w:cs="Arial"/>
          <w:sz w:val="20"/>
          <w:szCs w:val="20"/>
        </w:rPr>
      </w:pPr>
    </w:p>
    <w:p w14:paraId="4ED3F110" w14:textId="7784D845" w:rsidR="00666077" w:rsidRPr="00904D3B" w:rsidRDefault="00666077" w:rsidP="00430CD2">
      <w:pPr>
        <w:spacing w:line="260" w:lineRule="atLeast"/>
        <w:jc w:val="both"/>
        <w:rPr>
          <w:rFonts w:ascii="Arial" w:eastAsia="Times New Roman" w:hAnsi="Arial" w:cs="Arial"/>
          <w:sz w:val="20"/>
          <w:szCs w:val="20"/>
        </w:rPr>
      </w:pPr>
      <w:r>
        <w:rPr>
          <w:rFonts w:ascii="Arial" w:eastAsia="Times New Roman" w:hAnsi="Arial" w:cs="Arial"/>
          <w:sz w:val="20"/>
          <w:szCs w:val="20"/>
          <w:lang w:val="en-GB"/>
        </w:rPr>
        <w:t xml:space="preserve">Article 22a of the TPR (Special features of intangible assets) provides that in determining a comparable market price in </w:t>
      </w:r>
      <w:r w:rsidR="003E0B4B">
        <w:rPr>
          <w:rFonts w:ascii="Arial" w:eastAsia="Times New Roman" w:hAnsi="Arial" w:cs="Arial"/>
          <w:sz w:val="20"/>
          <w:szCs w:val="20"/>
          <w:lang w:val="en-GB"/>
        </w:rPr>
        <w:t>associated</w:t>
      </w:r>
      <w:r>
        <w:rPr>
          <w:rFonts w:ascii="Arial" w:eastAsia="Times New Roman" w:hAnsi="Arial" w:cs="Arial"/>
          <w:sz w:val="20"/>
          <w:szCs w:val="20"/>
          <w:lang w:val="en-GB"/>
        </w:rPr>
        <w:t xml:space="preserve"> transactions, which includes, for example, the right to use, sell or otherwise dispose of intangible assets between </w:t>
      </w:r>
      <w:r w:rsidR="003E0B4B">
        <w:rPr>
          <w:rFonts w:ascii="Arial" w:eastAsia="Times New Roman" w:hAnsi="Arial" w:cs="Arial"/>
          <w:sz w:val="20"/>
          <w:szCs w:val="20"/>
          <w:lang w:val="en-GB"/>
        </w:rPr>
        <w:t>associated</w:t>
      </w:r>
      <w:r>
        <w:rPr>
          <w:rFonts w:ascii="Arial" w:eastAsia="Times New Roman" w:hAnsi="Arial" w:cs="Arial"/>
          <w:sz w:val="20"/>
          <w:szCs w:val="20"/>
          <w:lang w:val="en-GB"/>
        </w:rPr>
        <w:t xml:space="preserve"> parties, account must be taken of both the transferor and the transferee, and in particular the price at which </w:t>
      </w:r>
      <w:proofErr w:type="spellStart"/>
      <w:r>
        <w:rPr>
          <w:rFonts w:ascii="Arial" w:eastAsia="Times New Roman" w:hAnsi="Arial" w:cs="Arial"/>
          <w:sz w:val="20"/>
          <w:szCs w:val="20"/>
          <w:lang w:val="en-GB"/>
        </w:rPr>
        <w:t>un</w:t>
      </w:r>
      <w:r w:rsidR="003E0B4B">
        <w:rPr>
          <w:rFonts w:ascii="Arial" w:eastAsia="Times New Roman" w:hAnsi="Arial" w:cs="Arial"/>
          <w:sz w:val="20"/>
          <w:szCs w:val="20"/>
          <w:lang w:val="en-GB"/>
        </w:rPr>
        <w:t>associated</w:t>
      </w:r>
      <w:proofErr w:type="spellEnd"/>
      <w:r>
        <w:rPr>
          <w:rFonts w:ascii="Arial" w:eastAsia="Times New Roman" w:hAnsi="Arial" w:cs="Arial"/>
          <w:sz w:val="20"/>
          <w:szCs w:val="20"/>
          <w:lang w:val="en-GB"/>
        </w:rPr>
        <w:t xml:space="preserve"> persons would be willing to transfer a comparable intangible asset or the right to use the intangible asset to the transferee.</w:t>
      </w:r>
    </w:p>
    <w:p w14:paraId="33D3CC3E" w14:textId="77777777" w:rsidR="00A84C7D" w:rsidRDefault="00A84C7D" w:rsidP="00430CD2">
      <w:pPr>
        <w:spacing w:line="260" w:lineRule="atLeast"/>
        <w:jc w:val="both"/>
        <w:rPr>
          <w:rFonts w:ascii="Arial" w:eastAsia="Times New Roman" w:hAnsi="Arial" w:cs="Arial"/>
          <w:sz w:val="20"/>
          <w:szCs w:val="20"/>
        </w:rPr>
      </w:pPr>
    </w:p>
    <w:p w14:paraId="5F4F2503" w14:textId="3E69D6C3" w:rsidR="00666077" w:rsidRDefault="00666077" w:rsidP="00430CD2">
      <w:pPr>
        <w:spacing w:line="260" w:lineRule="atLeast"/>
        <w:jc w:val="both"/>
        <w:rPr>
          <w:rFonts w:ascii="Arial" w:eastAsia="Times New Roman" w:hAnsi="Arial" w:cs="Arial"/>
          <w:sz w:val="20"/>
          <w:szCs w:val="20"/>
        </w:rPr>
      </w:pPr>
      <w:r>
        <w:rPr>
          <w:rFonts w:ascii="Arial" w:eastAsia="Times New Roman" w:hAnsi="Arial" w:cs="Arial"/>
          <w:sz w:val="20"/>
          <w:szCs w:val="20"/>
          <w:lang w:val="en-GB"/>
        </w:rPr>
        <w:t>When performing a comparability analysis in accordance with the provisions of Article 9 of the TPR in relation to transactions involving intangible assets, it is necessary to consider, for example, the criteria that are important for the compar</w:t>
      </w:r>
      <w:r w:rsidR="00194E3F">
        <w:rPr>
          <w:rFonts w:ascii="Arial" w:eastAsia="Times New Roman" w:hAnsi="Arial" w:cs="Arial"/>
          <w:sz w:val="20"/>
          <w:szCs w:val="20"/>
          <w:lang w:val="en-GB"/>
        </w:rPr>
        <w:t xml:space="preserve">ability of </w:t>
      </w:r>
      <w:r w:rsidR="003E0B4B">
        <w:rPr>
          <w:rFonts w:ascii="Arial" w:eastAsia="Times New Roman" w:hAnsi="Arial" w:cs="Arial"/>
          <w:sz w:val="20"/>
          <w:szCs w:val="20"/>
          <w:lang w:val="en-GB"/>
        </w:rPr>
        <w:t>associated</w:t>
      </w:r>
      <w:r w:rsidR="00194E3F">
        <w:rPr>
          <w:rFonts w:ascii="Arial" w:eastAsia="Times New Roman" w:hAnsi="Arial" w:cs="Arial"/>
          <w:sz w:val="20"/>
          <w:szCs w:val="20"/>
          <w:lang w:val="en-GB"/>
        </w:rPr>
        <w:t xml:space="preserve"> and arm’s length</w:t>
      </w:r>
      <w:r>
        <w:rPr>
          <w:rFonts w:ascii="Arial" w:eastAsia="Times New Roman" w:hAnsi="Arial" w:cs="Arial"/>
          <w:sz w:val="20"/>
          <w:szCs w:val="20"/>
          <w:lang w:val="en-GB"/>
        </w:rPr>
        <w:t xml:space="preserve"> transactions, including:</w:t>
      </w:r>
    </w:p>
    <w:p w14:paraId="7A4BD0A8" w14:textId="77777777" w:rsidR="0005289E" w:rsidRPr="004F2499" w:rsidRDefault="0005289E" w:rsidP="00430CD2">
      <w:pPr>
        <w:spacing w:line="260" w:lineRule="atLeast"/>
        <w:jc w:val="both"/>
        <w:rPr>
          <w:rFonts w:ascii="Arial" w:eastAsia="Times New Roman" w:hAnsi="Arial" w:cs="Arial"/>
          <w:sz w:val="10"/>
          <w:szCs w:val="10"/>
        </w:rPr>
      </w:pPr>
    </w:p>
    <w:p w14:paraId="4990C4CD" w14:textId="77777777" w:rsidR="00666077" w:rsidRPr="00904D3B" w:rsidRDefault="00666077" w:rsidP="00430CD2">
      <w:pPr>
        <w:numPr>
          <w:ilvl w:val="0"/>
          <w:numId w:val="21"/>
        </w:numPr>
        <w:spacing w:line="260" w:lineRule="atLeast"/>
        <w:jc w:val="both"/>
        <w:rPr>
          <w:rFonts w:ascii="Arial" w:eastAsia="Times New Roman" w:hAnsi="Arial" w:cs="Arial"/>
          <w:sz w:val="20"/>
          <w:szCs w:val="20"/>
        </w:rPr>
      </w:pPr>
      <w:r>
        <w:rPr>
          <w:rFonts w:ascii="Arial" w:eastAsia="Times New Roman" w:hAnsi="Arial" w:cs="Arial"/>
          <w:sz w:val="20"/>
          <w:szCs w:val="20"/>
          <w:lang w:val="en-GB"/>
        </w:rPr>
        <w:t xml:space="preserve">the expected economic </w:t>
      </w:r>
      <w:proofErr w:type="gramStart"/>
      <w:r>
        <w:rPr>
          <w:rFonts w:ascii="Arial" w:eastAsia="Times New Roman" w:hAnsi="Arial" w:cs="Arial"/>
          <w:sz w:val="20"/>
          <w:szCs w:val="20"/>
          <w:lang w:val="en-GB"/>
        </w:rPr>
        <w:t>benefits;</w:t>
      </w:r>
      <w:proofErr w:type="gramEnd"/>
    </w:p>
    <w:p w14:paraId="51DACB68" w14:textId="77777777" w:rsidR="00666077" w:rsidRPr="00904D3B" w:rsidRDefault="00666077" w:rsidP="00430CD2">
      <w:pPr>
        <w:numPr>
          <w:ilvl w:val="0"/>
          <w:numId w:val="21"/>
        </w:numPr>
        <w:spacing w:line="260" w:lineRule="atLeast"/>
        <w:jc w:val="both"/>
        <w:rPr>
          <w:rFonts w:ascii="Arial" w:eastAsia="Times New Roman" w:hAnsi="Arial" w:cs="Arial"/>
          <w:sz w:val="20"/>
          <w:szCs w:val="20"/>
        </w:rPr>
      </w:pPr>
      <w:r>
        <w:rPr>
          <w:rFonts w:ascii="Arial" w:eastAsia="Times New Roman" w:hAnsi="Arial" w:cs="Arial"/>
          <w:sz w:val="20"/>
          <w:szCs w:val="20"/>
          <w:lang w:val="en-GB"/>
        </w:rPr>
        <w:t xml:space="preserve">geographical restrictions on the exercise of the rights to use an intangible </w:t>
      </w:r>
      <w:proofErr w:type="gramStart"/>
      <w:r>
        <w:rPr>
          <w:rFonts w:ascii="Arial" w:eastAsia="Times New Roman" w:hAnsi="Arial" w:cs="Arial"/>
          <w:sz w:val="20"/>
          <w:szCs w:val="20"/>
          <w:lang w:val="en-GB"/>
        </w:rPr>
        <w:t>asset;</w:t>
      </w:r>
      <w:proofErr w:type="gramEnd"/>
    </w:p>
    <w:p w14:paraId="51BA33F0" w14:textId="77777777" w:rsidR="00666077" w:rsidRPr="00904D3B" w:rsidRDefault="00666077" w:rsidP="00430CD2">
      <w:pPr>
        <w:numPr>
          <w:ilvl w:val="0"/>
          <w:numId w:val="21"/>
        </w:numPr>
        <w:spacing w:line="260" w:lineRule="atLeast"/>
        <w:jc w:val="both"/>
        <w:rPr>
          <w:rFonts w:ascii="Arial" w:eastAsia="Times New Roman" w:hAnsi="Arial" w:cs="Arial"/>
          <w:sz w:val="20"/>
          <w:szCs w:val="20"/>
        </w:rPr>
      </w:pPr>
      <w:r>
        <w:rPr>
          <w:rFonts w:ascii="Arial" w:eastAsia="Times New Roman" w:hAnsi="Arial" w:cs="Arial"/>
          <w:sz w:val="20"/>
          <w:szCs w:val="20"/>
          <w:lang w:val="en-GB"/>
        </w:rPr>
        <w:t>the nature of the rights to use an intangible asset (e.g. the exclusive or non-exclusive right to use the rights being transferred); and</w:t>
      </w:r>
    </w:p>
    <w:p w14:paraId="6F677240" w14:textId="77777777" w:rsidR="00666077" w:rsidRPr="00904D3B" w:rsidRDefault="00666077" w:rsidP="00430CD2">
      <w:pPr>
        <w:numPr>
          <w:ilvl w:val="0"/>
          <w:numId w:val="21"/>
        </w:numPr>
        <w:spacing w:line="260" w:lineRule="atLeast"/>
        <w:jc w:val="both"/>
        <w:rPr>
          <w:rFonts w:ascii="Arial" w:eastAsia="Times New Roman" w:hAnsi="Arial" w:cs="Arial"/>
          <w:sz w:val="20"/>
          <w:szCs w:val="20"/>
        </w:rPr>
      </w:pPr>
      <w:r>
        <w:rPr>
          <w:rFonts w:ascii="Arial" w:eastAsia="Times New Roman" w:hAnsi="Arial" w:cs="Arial"/>
          <w:sz w:val="20"/>
          <w:szCs w:val="20"/>
          <w:lang w:val="en-GB"/>
        </w:rPr>
        <w:t>whether the transferee has the right to participate in the further development of the intangible asset.</w:t>
      </w:r>
    </w:p>
    <w:p w14:paraId="6E96E8F3" w14:textId="77777777" w:rsidR="00666077" w:rsidRPr="00904D3B" w:rsidRDefault="00666077" w:rsidP="00430CD2">
      <w:pPr>
        <w:spacing w:line="260" w:lineRule="atLeast"/>
        <w:jc w:val="both"/>
        <w:rPr>
          <w:rFonts w:ascii="Arial" w:eastAsia="Times New Roman" w:hAnsi="Arial" w:cs="Arial"/>
          <w:sz w:val="20"/>
          <w:szCs w:val="20"/>
        </w:rPr>
      </w:pPr>
    </w:p>
    <w:p w14:paraId="2E739B1A" w14:textId="77777777" w:rsidR="00666077" w:rsidRPr="00904D3B" w:rsidRDefault="00666077" w:rsidP="00430CD2">
      <w:pPr>
        <w:spacing w:line="260" w:lineRule="atLeast"/>
        <w:jc w:val="both"/>
        <w:rPr>
          <w:rFonts w:ascii="Arial" w:eastAsia="Times New Roman" w:hAnsi="Arial" w:cs="Arial"/>
          <w:sz w:val="20"/>
          <w:szCs w:val="20"/>
        </w:rPr>
      </w:pPr>
      <w:r>
        <w:rPr>
          <w:rFonts w:ascii="Arial" w:eastAsia="Times New Roman" w:hAnsi="Arial" w:cs="Arial"/>
          <w:sz w:val="20"/>
          <w:szCs w:val="20"/>
          <w:lang w:val="en-GB"/>
        </w:rPr>
        <w:t xml:space="preserve">It is essential that the transactions involving intangible assets have </w:t>
      </w:r>
      <w:r>
        <w:rPr>
          <w:rFonts w:ascii="Arial" w:eastAsia="Times New Roman" w:hAnsi="Arial" w:cs="Arial"/>
          <w:b/>
          <w:bCs/>
          <w:sz w:val="20"/>
          <w:szCs w:val="20"/>
          <w:lang w:val="en-GB"/>
        </w:rPr>
        <w:t>economic content</w:t>
      </w:r>
      <w:r>
        <w:rPr>
          <w:rFonts w:ascii="Arial" w:eastAsia="Times New Roman" w:hAnsi="Arial" w:cs="Arial"/>
          <w:sz w:val="20"/>
          <w:szCs w:val="20"/>
          <w:lang w:val="en-GB"/>
        </w:rPr>
        <w:t xml:space="preserve"> and that the sole purpose of these transactions is not to transfer profits from the country to a more tax-friendly environment. </w:t>
      </w:r>
    </w:p>
    <w:p w14:paraId="241212C8" w14:textId="167315CC" w:rsidR="00666077" w:rsidRDefault="00666077" w:rsidP="00756903">
      <w:pPr>
        <w:jc w:val="both"/>
        <w:rPr>
          <w:rFonts w:ascii="Arial" w:eastAsia="Times New Roman" w:hAnsi="Arial" w:cs="Arial"/>
          <w:b/>
          <w:i/>
          <w:sz w:val="20"/>
          <w:szCs w:val="20"/>
        </w:rPr>
      </w:pPr>
    </w:p>
    <w:p w14:paraId="5817FE90" w14:textId="2B8DB0C8" w:rsidR="00520D91" w:rsidRDefault="00520D91" w:rsidP="00756903">
      <w:pPr>
        <w:jc w:val="both"/>
        <w:rPr>
          <w:rFonts w:ascii="Arial" w:eastAsia="Times New Roman" w:hAnsi="Arial" w:cs="Arial"/>
          <w:b/>
          <w:i/>
          <w:sz w:val="20"/>
          <w:szCs w:val="20"/>
        </w:rPr>
      </w:pPr>
    </w:p>
    <w:p w14:paraId="75C3B3A8" w14:textId="77777777" w:rsidR="00520D91" w:rsidRDefault="00520D91" w:rsidP="00756903">
      <w:pPr>
        <w:jc w:val="both"/>
        <w:rPr>
          <w:rFonts w:ascii="Arial" w:eastAsia="Times New Roman" w:hAnsi="Arial" w:cs="Arial"/>
          <w:b/>
          <w:i/>
          <w:sz w:val="20"/>
          <w:szCs w:val="20"/>
        </w:rPr>
      </w:pPr>
    </w:p>
    <w:p w14:paraId="6467506E" w14:textId="77777777" w:rsidR="00430CD2" w:rsidRDefault="00430CD2" w:rsidP="00756903">
      <w:pPr>
        <w:jc w:val="both"/>
        <w:rPr>
          <w:rFonts w:ascii="Arial" w:eastAsia="Times New Roman" w:hAnsi="Arial" w:cs="Arial"/>
          <w:b/>
          <w:i/>
          <w:sz w:val="20"/>
          <w:szCs w:val="20"/>
        </w:rPr>
      </w:pPr>
    </w:p>
    <w:p w14:paraId="6A857AA1" w14:textId="77777777" w:rsidR="00666077" w:rsidRPr="00C761FB" w:rsidRDefault="00DA2203" w:rsidP="00756903">
      <w:pPr>
        <w:pStyle w:val="Naslov3"/>
        <w:spacing w:before="0" w:after="0" w:line="240" w:lineRule="atLeast"/>
        <w:rPr>
          <w:rFonts w:cs="Arial"/>
          <w:b w:val="0"/>
        </w:rPr>
      </w:pPr>
      <w:bookmarkStart w:id="28" w:name="_Toc103257439"/>
      <w:r>
        <w:rPr>
          <w:rFonts w:cs="Arial"/>
          <w:lang w:val="en-GB"/>
        </w:rPr>
        <w:t>2.4.1. HARD-TO-VALUE INTANGIBLE ASSETS</w:t>
      </w:r>
      <w:bookmarkEnd w:id="28"/>
    </w:p>
    <w:p w14:paraId="1DBE5732" w14:textId="77777777" w:rsidR="00666077" w:rsidRPr="00227C1D" w:rsidRDefault="00666077" w:rsidP="00756903">
      <w:pPr>
        <w:jc w:val="both"/>
        <w:rPr>
          <w:rFonts w:ascii="Arial" w:eastAsia="Times New Roman" w:hAnsi="Arial" w:cs="Arial"/>
          <w:sz w:val="20"/>
          <w:szCs w:val="20"/>
        </w:rPr>
      </w:pPr>
    </w:p>
    <w:p w14:paraId="2A23D170" w14:textId="77777777" w:rsidR="00666077" w:rsidRPr="00F27413" w:rsidRDefault="00666077" w:rsidP="00430CD2">
      <w:pPr>
        <w:spacing w:line="260" w:lineRule="atLeast"/>
        <w:jc w:val="both"/>
        <w:rPr>
          <w:rFonts w:ascii="Arial" w:eastAsia="Times New Roman" w:hAnsi="Arial" w:cs="Arial"/>
          <w:sz w:val="20"/>
          <w:szCs w:val="20"/>
        </w:rPr>
      </w:pPr>
      <w:r>
        <w:rPr>
          <w:rFonts w:ascii="Arial" w:eastAsia="Times New Roman" w:hAnsi="Arial" w:cs="Arial"/>
          <w:sz w:val="20"/>
          <w:szCs w:val="20"/>
          <w:lang w:val="en-GB"/>
        </w:rPr>
        <w:t xml:space="preserve">Paragraphs 6.186 and 6.195 of the OECD Guidelines address a specific approach to the treatment of hard-to-value intangibles (HTVI). </w:t>
      </w:r>
    </w:p>
    <w:p w14:paraId="3B2678F9" w14:textId="77777777" w:rsidR="00666077" w:rsidRPr="00904D3B" w:rsidRDefault="00666077" w:rsidP="00430CD2">
      <w:pPr>
        <w:spacing w:line="260" w:lineRule="atLeast"/>
        <w:jc w:val="both"/>
        <w:rPr>
          <w:rFonts w:ascii="Arial" w:eastAsia="Calibri" w:hAnsi="Arial" w:cs="Arial"/>
          <w:color w:val="00000A"/>
          <w:sz w:val="20"/>
          <w:szCs w:val="20"/>
        </w:rPr>
      </w:pPr>
    </w:p>
    <w:p w14:paraId="4DFBC6A4" w14:textId="77777777" w:rsidR="00666077" w:rsidRDefault="00666077" w:rsidP="00430CD2">
      <w:pPr>
        <w:spacing w:line="260" w:lineRule="atLeast"/>
        <w:jc w:val="both"/>
        <w:rPr>
          <w:rFonts w:ascii="Arial" w:eastAsia="Calibri" w:hAnsi="Arial" w:cs="Arial"/>
          <w:color w:val="00000A"/>
          <w:sz w:val="20"/>
          <w:szCs w:val="20"/>
        </w:rPr>
      </w:pPr>
      <w:r>
        <w:rPr>
          <w:rFonts w:ascii="Arial" w:eastAsia="Calibri" w:hAnsi="Arial" w:cs="Arial"/>
          <w:color w:val="00000A"/>
          <w:sz w:val="20"/>
          <w:szCs w:val="20"/>
          <w:lang w:val="en-GB"/>
        </w:rPr>
        <w:t>The term hard-to-value intangibles refers to intangible assets or to the rights to use intangible assets for which</w:t>
      </w:r>
    </w:p>
    <w:p w14:paraId="4F0067C8" w14:textId="77777777" w:rsidR="0005289E" w:rsidRPr="004F2499" w:rsidRDefault="0005289E" w:rsidP="00430CD2">
      <w:pPr>
        <w:spacing w:line="260" w:lineRule="atLeast"/>
        <w:jc w:val="both"/>
        <w:rPr>
          <w:rFonts w:ascii="Arial" w:eastAsia="Calibri" w:hAnsi="Arial" w:cs="Arial"/>
          <w:color w:val="00000A"/>
          <w:sz w:val="10"/>
          <w:szCs w:val="10"/>
        </w:rPr>
      </w:pPr>
    </w:p>
    <w:p w14:paraId="5D9A3434" w14:textId="77777777" w:rsidR="00666077" w:rsidRPr="00904D3B" w:rsidRDefault="00666077" w:rsidP="00430CD2">
      <w:pPr>
        <w:numPr>
          <w:ilvl w:val="0"/>
          <w:numId w:val="22"/>
        </w:numPr>
        <w:spacing w:line="260" w:lineRule="atLeast"/>
        <w:ind w:left="284" w:hanging="284"/>
        <w:jc w:val="both"/>
        <w:rPr>
          <w:rFonts w:ascii="Arial" w:eastAsia="Calibri" w:hAnsi="Arial" w:cs="Arial"/>
          <w:color w:val="00000A"/>
          <w:sz w:val="20"/>
          <w:szCs w:val="20"/>
        </w:rPr>
      </w:pPr>
      <w:r>
        <w:rPr>
          <w:rFonts w:ascii="Arial" w:eastAsia="Calibri" w:hAnsi="Arial" w:cs="Arial"/>
          <w:color w:val="00000A"/>
          <w:sz w:val="20"/>
          <w:szCs w:val="20"/>
          <w:lang w:val="en-GB"/>
        </w:rPr>
        <w:t xml:space="preserve">there are no reliable </w:t>
      </w:r>
      <w:proofErr w:type="spellStart"/>
      <w:r>
        <w:rPr>
          <w:rFonts w:ascii="Arial" w:eastAsia="Calibri" w:hAnsi="Arial" w:cs="Arial"/>
          <w:color w:val="00000A"/>
          <w:sz w:val="20"/>
          <w:szCs w:val="20"/>
          <w:lang w:val="en-GB"/>
        </w:rPr>
        <w:t>comparables</w:t>
      </w:r>
      <w:proofErr w:type="spellEnd"/>
      <w:r>
        <w:rPr>
          <w:rFonts w:ascii="Arial" w:eastAsia="Calibri" w:hAnsi="Arial" w:cs="Arial"/>
          <w:color w:val="00000A"/>
          <w:sz w:val="20"/>
          <w:szCs w:val="20"/>
          <w:lang w:val="en-GB"/>
        </w:rPr>
        <w:t xml:space="preserve"> between associated enterprises at the time of their </w:t>
      </w:r>
      <w:proofErr w:type="gramStart"/>
      <w:r>
        <w:rPr>
          <w:rFonts w:ascii="Arial" w:eastAsia="Calibri" w:hAnsi="Arial" w:cs="Arial"/>
          <w:color w:val="00000A"/>
          <w:sz w:val="20"/>
          <w:szCs w:val="20"/>
          <w:lang w:val="en-GB"/>
        </w:rPr>
        <w:t>transfer;</w:t>
      </w:r>
      <w:proofErr w:type="gramEnd"/>
    </w:p>
    <w:p w14:paraId="7FD192D7" w14:textId="77777777" w:rsidR="00666077" w:rsidRPr="00904D3B" w:rsidRDefault="00666077" w:rsidP="00430CD2">
      <w:pPr>
        <w:numPr>
          <w:ilvl w:val="0"/>
          <w:numId w:val="22"/>
        </w:numPr>
        <w:spacing w:line="260" w:lineRule="atLeast"/>
        <w:ind w:left="284" w:hanging="284"/>
        <w:jc w:val="both"/>
        <w:rPr>
          <w:rFonts w:ascii="Arial" w:eastAsia="Calibri" w:hAnsi="Arial" w:cs="Arial"/>
          <w:color w:val="00000A"/>
          <w:sz w:val="20"/>
          <w:szCs w:val="20"/>
        </w:rPr>
      </w:pPr>
      <w:r>
        <w:rPr>
          <w:rFonts w:ascii="Arial" w:eastAsia="Times New Roman" w:hAnsi="Arial" w:cs="Arial"/>
          <w:sz w:val="20"/>
          <w:szCs w:val="24"/>
          <w:lang w:val="en-GB"/>
        </w:rPr>
        <w:t>at the time of the transaction it is very difficult to predict how successful their use will be, as the projections of future cash flows (or income expected to be derived from a transferred intangible asset) are highly uncertain, as are the assumptions used in the valuation of the intangible assets.</w:t>
      </w:r>
    </w:p>
    <w:p w14:paraId="25FB4E26" w14:textId="77777777" w:rsidR="00666077" w:rsidRPr="00904D3B" w:rsidRDefault="00666077" w:rsidP="00430CD2">
      <w:pPr>
        <w:spacing w:line="260" w:lineRule="atLeast"/>
        <w:jc w:val="both"/>
        <w:rPr>
          <w:rFonts w:ascii="Arial" w:eastAsia="Calibri" w:hAnsi="Arial" w:cs="Arial"/>
          <w:color w:val="00000A"/>
          <w:sz w:val="20"/>
          <w:szCs w:val="20"/>
        </w:rPr>
      </w:pPr>
    </w:p>
    <w:p w14:paraId="34F1CE03" w14:textId="77777777" w:rsidR="00666077" w:rsidRDefault="00666077" w:rsidP="00430CD2">
      <w:pPr>
        <w:spacing w:line="260" w:lineRule="atLeast"/>
        <w:jc w:val="both"/>
        <w:rPr>
          <w:rFonts w:ascii="Arial" w:eastAsia="Times New Roman" w:hAnsi="Arial" w:cs="Arial"/>
          <w:sz w:val="20"/>
          <w:szCs w:val="20"/>
        </w:rPr>
      </w:pPr>
      <w:r>
        <w:rPr>
          <w:rFonts w:ascii="Arial" w:eastAsia="Times New Roman" w:hAnsi="Arial" w:cs="Arial"/>
          <w:sz w:val="20"/>
          <w:szCs w:val="20"/>
          <w:lang w:val="en-GB"/>
        </w:rPr>
        <w:t>Where the actual results relating to the development or acquisition of intangible assets are known only after some time and cannot be predicted with certainty, a distinction must be made between:</w:t>
      </w:r>
    </w:p>
    <w:p w14:paraId="3B792A7F" w14:textId="77777777" w:rsidR="0005289E" w:rsidRPr="004F2499" w:rsidRDefault="0005289E" w:rsidP="00430CD2">
      <w:pPr>
        <w:spacing w:line="260" w:lineRule="atLeast"/>
        <w:jc w:val="both"/>
        <w:rPr>
          <w:rFonts w:ascii="Arial" w:eastAsia="Times New Roman" w:hAnsi="Arial" w:cs="Arial"/>
          <w:sz w:val="10"/>
          <w:szCs w:val="10"/>
        </w:rPr>
      </w:pPr>
    </w:p>
    <w:p w14:paraId="32602912" w14:textId="77777777" w:rsidR="00666077" w:rsidRPr="00AD51AA" w:rsidRDefault="00666077" w:rsidP="00430CD2">
      <w:pPr>
        <w:numPr>
          <w:ilvl w:val="0"/>
          <w:numId w:val="23"/>
        </w:numPr>
        <w:spacing w:line="260" w:lineRule="atLeast"/>
        <w:ind w:left="284" w:hanging="287"/>
        <w:jc w:val="both"/>
        <w:rPr>
          <w:rFonts w:ascii="Arial" w:eastAsia="Times New Roman" w:hAnsi="Arial" w:cs="Arial"/>
          <w:snapToGrid w:val="0"/>
          <w:color w:val="000000"/>
          <w:kern w:val="24"/>
          <w:sz w:val="20"/>
          <w:szCs w:val="20"/>
        </w:rPr>
      </w:pPr>
      <w:r>
        <w:rPr>
          <w:rFonts w:ascii="Arial" w:eastAsia="Times New Roman" w:hAnsi="Arial" w:cs="Arial"/>
          <w:snapToGrid w:val="0"/>
          <w:color w:val="000000"/>
          <w:kern w:val="24"/>
          <w:sz w:val="20"/>
          <w:szCs w:val="20"/>
          <w:lang w:val="en-GB"/>
        </w:rPr>
        <w:t xml:space="preserve">ex ante income from ex ante returns; and </w:t>
      </w:r>
    </w:p>
    <w:p w14:paraId="621A7EBA" w14:textId="3CD90671" w:rsidR="00666077" w:rsidRPr="008D5D66" w:rsidRDefault="00666077" w:rsidP="008D5D66">
      <w:pPr>
        <w:numPr>
          <w:ilvl w:val="0"/>
          <w:numId w:val="23"/>
        </w:numPr>
        <w:spacing w:line="260" w:lineRule="atLeast"/>
        <w:ind w:left="284" w:hanging="287"/>
        <w:jc w:val="both"/>
        <w:rPr>
          <w:rFonts w:ascii="Arial" w:eastAsia="Times New Roman" w:hAnsi="Arial" w:cs="Arial"/>
          <w:snapToGrid w:val="0"/>
          <w:color w:val="000000"/>
          <w:kern w:val="24"/>
          <w:sz w:val="20"/>
          <w:szCs w:val="20"/>
        </w:rPr>
      </w:pPr>
      <w:r>
        <w:rPr>
          <w:rFonts w:ascii="Arial" w:eastAsia="Times New Roman" w:hAnsi="Arial" w:cs="Arial"/>
          <w:snapToGrid w:val="0"/>
          <w:color w:val="000000"/>
          <w:kern w:val="24"/>
          <w:sz w:val="20"/>
          <w:szCs w:val="20"/>
          <w:lang w:val="en-GB"/>
        </w:rPr>
        <w:t xml:space="preserve">ex post payment relating to income </w:t>
      </w:r>
      <w:proofErr w:type="gramStart"/>
      <w:r>
        <w:rPr>
          <w:rFonts w:ascii="Arial" w:eastAsia="Times New Roman" w:hAnsi="Arial" w:cs="Arial"/>
          <w:snapToGrid w:val="0"/>
          <w:color w:val="000000"/>
          <w:kern w:val="24"/>
          <w:sz w:val="20"/>
          <w:szCs w:val="20"/>
          <w:lang w:val="en-GB"/>
        </w:rPr>
        <w:t>actually earned</w:t>
      </w:r>
      <w:proofErr w:type="gramEnd"/>
      <w:r>
        <w:rPr>
          <w:rFonts w:ascii="Arial" w:eastAsia="Times New Roman" w:hAnsi="Arial" w:cs="Arial"/>
          <w:snapToGrid w:val="0"/>
          <w:color w:val="000000"/>
          <w:kern w:val="24"/>
          <w:sz w:val="20"/>
          <w:szCs w:val="20"/>
          <w:lang w:val="en-GB"/>
        </w:rPr>
        <w:t xml:space="preserve"> by a company </w:t>
      </w:r>
      <w:r w:rsidR="00464121" w:rsidRPr="008D5D66">
        <w:rPr>
          <w:rFonts w:ascii="Arial" w:eastAsia="Times New Roman" w:hAnsi="Arial" w:cs="Arial"/>
          <w:snapToGrid w:val="0"/>
          <w:color w:val="000000"/>
          <w:kern w:val="24"/>
          <w:sz w:val="20"/>
          <w:szCs w:val="20"/>
          <w:lang w:val="en-GB"/>
        </w:rPr>
        <w:t>that is a member of the group by exploiting the intangible assets.</w:t>
      </w:r>
    </w:p>
    <w:p w14:paraId="2D7C8D46" w14:textId="77777777" w:rsidR="00666077" w:rsidRPr="00831279" w:rsidRDefault="00666077" w:rsidP="00430CD2">
      <w:pPr>
        <w:spacing w:line="260" w:lineRule="atLeast"/>
        <w:jc w:val="both"/>
        <w:rPr>
          <w:rFonts w:ascii="Arial" w:eastAsia="Times New Roman" w:hAnsi="Arial" w:cs="Arial"/>
          <w:sz w:val="20"/>
          <w:szCs w:val="20"/>
        </w:rPr>
      </w:pPr>
    </w:p>
    <w:p w14:paraId="1E4478E5" w14:textId="7D60CEE1" w:rsidR="00666077" w:rsidRPr="00AA2C04" w:rsidRDefault="00666077" w:rsidP="00430CD2">
      <w:pPr>
        <w:spacing w:line="260" w:lineRule="atLeast"/>
        <w:jc w:val="both"/>
        <w:rPr>
          <w:rFonts w:ascii="Arial" w:eastAsia="Times New Roman" w:hAnsi="Arial" w:cs="Arial"/>
          <w:sz w:val="20"/>
          <w:szCs w:val="20"/>
        </w:rPr>
      </w:pPr>
      <w:r>
        <w:rPr>
          <w:rFonts w:ascii="Arial" w:eastAsia="Times New Roman" w:hAnsi="Arial" w:cs="Arial"/>
          <w:sz w:val="20"/>
          <w:szCs w:val="24"/>
          <w:lang w:val="en-GB"/>
        </w:rPr>
        <w:t xml:space="preserve">For example, a taxable person may transfer an intangible asset to </w:t>
      </w:r>
      <w:proofErr w:type="spellStart"/>
      <w:proofErr w:type="gramStart"/>
      <w:r>
        <w:rPr>
          <w:rFonts w:ascii="Arial" w:eastAsia="Times New Roman" w:hAnsi="Arial" w:cs="Arial"/>
          <w:sz w:val="20"/>
          <w:szCs w:val="24"/>
          <w:lang w:val="en-GB"/>
        </w:rPr>
        <w:t>a</w:t>
      </w:r>
      <w:proofErr w:type="spellEnd"/>
      <w:proofErr w:type="gramEnd"/>
      <w:r>
        <w:rPr>
          <w:rFonts w:ascii="Arial" w:eastAsia="Times New Roman" w:hAnsi="Arial" w:cs="Arial"/>
          <w:sz w:val="20"/>
          <w:szCs w:val="24"/>
          <w:lang w:val="en-GB"/>
        </w:rPr>
        <w:t xml:space="preserve"> </w:t>
      </w:r>
      <w:r w:rsidR="003E0B4B">
        <w:rPr>
          <w:rFonts w:ascii="Arial" w:eastAsia="Times New Roman" w:hAnsi="Arial" w:cs="Arial"/>
          <w:sz w:val="20"/>
          <w:szCs w:val="24"/>
          <w:lang w:val="en-GB"/>
        </w:rPr>
        <w:t>associated</w:t>
      </w:r>
      <w:r>
        <w:rPr>
          <w:rFonts w:ascii="Arial" w:eastAsia="Times New Roman" w:hAnsi="Arial" w:cs="Arial"/>
          <w:sz w:val="20"/>
          <w:szCs w:val="24"/>
          <w:lang w:val="en-GB"/>
        </w:rPr>
        <w:t xml:space="preserve"> company at a very early stage of development, and such compensation (e.g. royalties) received may not be appropriate given the value of the asset at the time of the transaction. The taxable person later argues that at the time of the transaction it was not possible to predict the subsequent success of the product </w:t>
      </w:r>
      <w:r>
        <w:rPr>
          <w:rFonts w:ascii="Arial" w:eastAsia="Times New Roman" w:hAnsi="Arial" w:cs="Arial"/>
          <w:color w:val="00000A"/>
          <w:sz w:val="20"/>
          <w:szCs w:val="24"/>
          <w:lang w:val="en-GB"/>
        </w:rPr>
        <w:t xml:space="preserve">with </w:t>
      </w:r>
      <w:r>
        <w:rPr>
          <w:rFonts w:ascii="Arial" w:eastAsia="Times New Roman" w:hAnsi="Arial" w:cs="Arial"/>
          <w:sz w:val="20"/>
          <w:szCs w:val="24"/>
          <w:lang w:val="en-GB"/>
        </w:rPr>
        <w:t>absolute certainty</w:t>
      </w:r>
      <w:r>
        <w:rPr>
          <w:rFonts w:ascii="Arial" w:eastAsia="Times New Roman" w:hAnsi="Arial" w:cs="Arial"/>
          <w:color w:val="00000A"/>
          <w:sz w:val="20"/>
          <w:szCs w:val="24"/>
          <w:lang w:val="en-GB"/>
        </w:rPr>
        <w:t>. The difference between the value at the time of transfer (</w:t>
      </w:r>
      <w:proofErr w:type="spellStart"/>
      <w:r>
        <w:rPr>
          <w:rFonts w:ascii="Arial" w:eastAsia="Times New Roman" w:hAnsi="Arial" w:cs="Arial"/>
          <w:color w:val="00000A"/>
          <w:sz w:val="20"/>
          <w:szCs w:val="24"/>
          <w:lang w:val="en-GB"/>
        </w:rPr>
        <w:t>ex ante</w:t>
      </w:r>
      <w:proofErr w:type="spellEnd"/>
      <w:r>
        <w:rPr>
          <w:rFonts w:ascii="Arial" w:eastAsia="Times New Roman" w:hAnsi="Arial" w:cs="Arial"/>
          <w:color w:val="00000A"/>
          <w:sz w:val="20"/>
          <w:szCs w:val="24"/>
          <w:lang w:val="en-GB"/>
        </w:rPr>
        <w:t xml:space="preserve">) and </w:t>
      </w:r>
      <w:r>
        <w:rPr>
          <w:rFonts w:ascii="Arial" w:eastAsia="Times New Roman" w:hAnsi="Arial" w:cs="Arial"/>
          <w:sz w:val="20"/>
          <w:szCs w:val="24"/>
          <w:lang w:val="en-GB"/>
        </w:rPr>
        <w:t>a subsequently determined (ex post) value based on the new approach in the OECD Guidelines will no longer be fully attributable by the taxpayer to more favourable developments or to the greater than expected success of an intangible asset.</w:t>
      </w:r>
    </w:p>
    <w:p w14:paraId="43DEA117" w14:textId="77777777" w:rsidR="00666077" w:rsidRPr="00AA2C04" w:rsidRDefault="00666077" w:rsidP="00430CD2">
      <w:pPr>
        <w:spacing w:line="260" w:lineRule="atLeast"/>
        <w:jc w:val="both"/>
        <w:rPr>
          <w:rFonts w:ascii="Arial" w:eastAsia="Times New Roman" w:hAnsi="Arial" w:cs="Arial"/>
          <w:sz w:val="20"/>
          <w:szCs w:val="20"/>
        </w:rPr>
      </w:pPr>
    </w:p>
    <w:p w14:paraId="4ED6B62A" w14:textId="77777777" w:rsidR="00666077" w:rsidRPr="00AA2C04" w:rsidRDefault="00666077" w:rsidP="00430CD2">
      <w:pPr>
        <w:spacing w:line="260" w:lineRule="atLeast"/>
        <w:jc w:val="both"/>
        <w:rPr>
          <w:rFonts w:ascii="Arial" w:eastAsia="Times New Roman" w:hAnsi="Arial" w:cs="Arial"/>
          <w:sz w:val="20"/>
          <w:szCs w:val="24"/>
        </w:rPr>
      </w:pPr>
      <w:r>
        <w:rPr>
          <w:rFonts w:ascii="Arial" w:eastAsia="Times New Roman" w:hAnsi="Arial" w:cs="Arial"/>
          <w:sz w:val="20"/>
          <w:szCs w:val="24"/>
          <w:lang w:val="en-GB"/>
        </w:rPr>
        <w:t xml:space="preserve">This approach ensures that tax administrations can assess, on the basis of subsequent results, whether the taxable persons' evidence of the value of an intangible asset was relevant or appropriate at the time of the transaction and allows them to adjust the transfer price as necessary. </w:t>
      </w:r>
    </w:p>
    <w:p w14:paraId="1E1735B0" w14:textId="77777777" w:rsidR="00412F52" w:rsidRPr="00AA2C04" w:rsidRDefault="00412F52" w:rsidP="00430CD2">
      <w:pPr>
        <w:spacing w:line="260" w:lineRule="atLeast"/>
        <w:jc w:val="both"/>
        <w:rPr>
          <w:rFonts w:ascii="Arial" w:eastAsia="Times New Roman" w:hAnsi="Arial" w:cs="Arial"/>
          <w:sz w:val="20"/>
          <w:szCs w:val="24"/>
        </w:rPr>
      </w:pPr>
    </w:p>
    <w:p w14:paraId="7B735EE6" w14:textId="77777777" w:rsidR="00666077" w:rsidRPr="00227C1D" w:rsidRDefault="00DA2203" w:rsidP="00430CD2">
      <w:pPr>
        <w:pStyle w:val="Naslov2"/>
        <w:spacing w:before="0" w:after="0"/>
        <w:rPr>
          <w:rFonts w:cs="Arial"/>
        </w:rPr>
      </w:pPr>
      <w:bookmarkStart w:id="29" w:name="_Toc103257440"/>
      <w:r>
        <w:rPr>
          <w:rFonts w:cs="Arial"/>
          <w:iCs w:val="0"/>
          <w:lang w:val="en-GB"/>
        </w:rPr>
        <w:t>2.5. SPECIAL FEATURES OF SERVICES</w:t>
      </w:r>
      <w:bookmarkEnd w:id="29"/>
      <w:r>
        <w:rPr>
          <w:rFonts w:cs="Arial"/>
          <w:iCs w:val="0"/>
          <w:lang w:val="en-GB"/>
        </w:rPr>
        <w:t xml:space="preserve"> </w:t>
      </w:r>
    </w:p>
    <w:p w14:paraId="140CA614" w14:textId="77777777" w:rsidR="00666077" w:rsidRPr="00831279" w:rsidRDefault="00666077" w:rsidP="00430CD2">
      <w:pPr>
        <w:spacing w:line="260" w:lineRule="atLeast"/>
        <w:jc w:val="both"/>
        <w:rPr>
          <w:rFonts w:ascii="Arial" w:eastAsia="Times New Roman" w:hAnsi="Arial" w:cs="Arial"/>
          <w:b/>
          <w:i/>
          <w:sz w:val="20"/>
          <w:szCs w:val="24"/>
        </w:rPr>
      </w:pPr>
    </w:p>
    <w:p w14:paraId="444BFEF1" w14:textId="7E0C49C5" w:rsidR="00666077" w:rsidRDefault="00666077" w:rsidP="00430CD2">
      <w:pPr>
        <w:spacing w:line="260" w:lineRule="atLeast"/>
        <w:jc w:val="both"/>
        <w:rPr>
          <w:rFonts w:ascii="Arial" w:eastAsia="Times New Roman" w:hAnsi="Arial" w:cs="Arial"/>
          <w:sz w:val="20"/>
          <w:szCs w:val="20"/>
        </w:rPr>
      </w:pPr>
      <w:r>
        <w:rPr>
          <w:rFonts w:ascii="Arial" w:eastAsia="Times New Roman" w:hAnsi="Arial" w:cs="Arial"/>
          <w:sz w:val="20"/>
          <w:szCs w:val="20"/>
          <w:lang w:val="en-GB"/>
        </w:rPr>
        <w:t xml:space="preserve">Pursuant to </w:t>
      </w:r>
      <w:r>
        <w:rPr>
          <w:rFonts w:ascii="Arial" w:eastAsia="Times New Roman" w:hAnsi="Arial" w:cs="Arial"/>
          <w:b/>
          <w:bCs/>
          <w:sz w:val="20"/>
          <w:szCs w:val="20"/>
          <w:lang w:val="en-GB"/>
        </w:rPr>
        <w:t>Article 22 of the PTR</w:t>
      </w:r>
      <w:r>
        <w:rPr>
          <w:rFonts w:ascii="Arial" w:eastAsia="Times New Roman" w:hAnsi="Arial" w:cs="Arial"/>
          <w:sz w:val="20"/>
          <w:szCs w:val="20"/>
          <w:lang w:val="en-GB"/>
        </w:rPr>
        <w:t xml:space="preserve"> (Special Features of Services), </w:t>
      </w:r>
      <w:proofErr w:type="spellStart"/>
      <w:r>
        <w:rPr>
          <w:rFonts w:ascii="Arial" w:eastAsia="Times New Roman" w:hAnsi="Arial" w:cs="Arial"/>
          <w:sz w:val="20"/>
          <w:szCs w:val="20"/>
          <w:lang w:val="en-GB"/>
        </w:rPr>
        <w:t>a</w:t>
      </w:r>
      <w:proofErr w:type="spellEnd"/>
      <w:r>
        <w:rPr>
          <w:rFonts w:ascii="Arial" w:eastAsia="Times New Roman" w:hAnsi="Arial" w:cs="Arial"/>
          <w:sz w:val="20"/>
          <w:szCs w:val="20"/>
          <w:lang w:val="en-GB"/>
        </w:rPr>
        <w:t xml:space="preserve"> </w:t>
      </w:r>
      <w:r w:rsidR="003E0B4B">
        <w:rPr>
          <w:rFonts w:ascii="Arial" w:eastAsia="Times New Roman" w:hAnsi="Arial" w:cs="Arial"/>
          <w:sz w:val="20"/>
          <w:szCs w:val="20"/>
          <w:lang w:val="en-GB"/>
        </w:rPr>
        <w:t>associated</w:t>
      </w:r>
      <w:r>
        <w:rPr>
          <w:rFonts w:ascii="Arial" w:eastAsia="Times New Roman" w:hAnsi="Arial" w:cs="Arial"/>
          <w:sz w:val="20"/>
          <w:szCs w:val="20"/>
          <w:lang w:val="en-GB"/>
        </w:rPr>
        <w:t xml:space="preserve"> party service shall be deemed to have been provided if an </w:t>
      </w:r>
      <w:proofErr w:type="spellStart"/>
      <w:r>
        <w:rPr>
          <w:rFonts w:ascii="Arial" w:eastAsia="Times New Roman" w:hAnsi="Arial" w:cs="Arial"/>
          <w:sz w:val="20"/>
          <w:szCs w:val="20"/>
          <w:lang w:val="en-GB"/>
        </w:rPr>
        <w:t>un</w:t>
      </w:r>
      <w:r w:rsidR="003E0B4B">
        <w:rPr>
          <w:rFonts w:ascii="Arial" w:eastAsia="Times New Roman" w:hAnsi="Arial" w:cs="Arial"/>
          <w:sz w:val="20"/>
          <w:szCs w:val="20"/>
          <w:lang w:val="en-GB"/>
        </w:rPr>
        <w:t>associated</w:t>
      </w:r>
      <w:proofErr w:type="spellEnd"/>
      <w:r>
        <w:rPr>
          <w:rFonts w:ascii="Arial" w:eastAsia="Times New Roman" w:hAnsi="Arial" w:cs="Arial"/>
          <w:sz w:val="20"/>
          <w:szCs w:val="20"/>
          <w:lang w:val="en-GB"/>
        </w:rPr>
        <w:t xml:space="preserve"> party was willing to order and pay for that service from another </w:t>
      </w:r>
      <w:proofErr w:type="spellStart"/>
      <w:r>
        <w:rPr>
          <w:rFonts w:ascii="Arial" w:eastAsia="Times New Roman" w:hAnsi="Arial" w:cs="Arial"/>
          <w:sz w:val="20"/>
          <w:szCs w:val="20"/>
          <w:lang w:val="en-GB"/>
        </w:rPr>
        <w:t>un</w:t>
      </w:r>
      <w:r w:rsidR="003E0B4B">
        <w:rPr>
          <w:rFonts w:ascii="Arial" w:eastAsia="Times New Roman" w:hAnsi="Arial" w:cs="Arial"/>
          <w:sz w:val="20"/>
          <w:szCs w:val="20"/>
          <w:lang w:val="en-GB"/>
        </w:rPr>
        <w:t>associated</w:t>
      </w:r>
      <w:proofErr w:type="spellEnd"/>
      <w:r>
        <w:rPr>
          <w:rFonts w:ascii="Arial" w:eastAsia="Times New Roman" w:hAnsi="Arial" w:cs="Arial"/>
          <w:sz w:val="20"/>
          <w:szCs w:val="20"/>
          <w:lang w:val="en-GB"/>
        </w:rPr>
        <w:t xml:space="preserve"> party or if the </w:t>
      </w:r>
      <w:r w:rsidR="003E0B4B">
        <w:rPr>
          <w:rFonts w:ascii="Arial" w:eastAsia="Times New Roman" w:hAnsi="Arial" w:cs="Arial"/>
          <w:sz w:val="20"/>
          <w:szCs w:val="20"/>
          <w:lang w:val="en-GB"/>
        </w:rPr>
        <w:t>associated</w:t>
      </w:r>
      <w:r>
        <w:rPr>
          <w:rFonts w:ascii="Arial" w:eastAsia="Times New Roman" w:hAnsi="Arial" w:cs="Arial"/>
          <w:sz w:val="20"/>
          <w:szCs w:val="20"/>
          <w:lang w:val="en-GB"/>
        </w:rPr>
        <w:t xml:space="preserve"> party was willing to provide it itself. For instance, these conditions are met if an </w:t>
      </w:r>
      <w:proofErr w:type="spellStart"/>
      <w:r>
        <w:rPr>
          <w:rFonts w:ascii="Arial" w:eastAsia="Times New Roman" w:hAnsi="Arial" w:cs="Arial"/>
          <w:sz w:val="20"/>
          <w:szCs w:val="20"/>
          <w:lang w:val="en-GB"/>
        </w:rPr>
        <w:t>un</w:t>
      </w:r>
      <w:r w:rsidR="003E0B4B">
        <w:rPr>
          <w:rFonts w:ascii="Arial" w:eastAsia="Times New Roman" w:hAnsi="Arial" w:cs="Arial"/>
          <w:sz w:val="20"/>
          <w:szCs w:val="20"/>
          <w:lang w:val="en-GB"/>
        </w:rPr>
        <w:t>associated</w:t>
      </w:r>
      <w:proofErr w:type="spellEnd"/>
      <w:r>
        <w:rPr>
          <w:rFonts w:ascii="Arial" w:eastAsia="Times New Roman" w:hAnsi="Arial" w:cs="Arial"/>
          <w:sz w:val="20"/>
          <w:szCs w:val="20"/>
          <w:lang w:val="en-GB"/>
        </w:rPr>
        <w:t xml:space="preserve"> party was willing to order and pay for that service from another </w:t>
      </w:r>
      <w:proofErr w:type="spellStart"/>
      <w:r>
        <w:rPr>
          <w:rFonts w:ascii="Arial" w:eastAsia="Times New Roman" w:hAnsi="Arial" w:cs="Arial"/>
          <w:sz w:val="20"/>
          <w:szCs w:val="20"/>
          <w:lang w:val="en-GB"/>
        </w:rPr>
        <w:t>un</w:t>
      </w:r>
      <w:r w:rsidR="003E0B4B">
        <w:rPr>
          <w:rFonts w:ascii="Arial" w:eastAsia="Times New Roman" w:hAnsi="Arial" w:cs="Arial"/>
          <w:sz w:val="20"/>
          <w:szCs w:val="20"/>
          <w:lang w:val="en-GB"/>
        </w:rPr>
        <w:t>associated</w:t>
      </w:r>
      <w:proofErr w:type="spellEnd"/>
      <w:r>
        <w:rPr>
          <w:rFonts w:ascii="Arial" w:eastAsia="Times New Roman" w:hAnsi="Arial" w:cs="Arial"/>
          <w:sz w:val="20"/>
          <w:szCs w:val="20"/>
          <w:lang w:val="en-GB"/>
        </w:rPr>
        <w:t xml:space="preserve"> party or if the </w:t>
      </w:r>
      <w:r w:rsidR="003E0B4B">
        <w:rPr>
          <w:rFonts w:ascii="Arial" w:eastAsia="Times New Roman" w:hAnsi="Arial" w:cs="Arial"/>
          <w:sz w:val="20"/>
          <w:szCs w:val="20"/>
          <w:lang w:val="en-GB"/>
        </w:rPr>
        <w:t>associated</w:t>
      </w:r>
      <w:r>
        <w:rPr>
          <w:rFonts w:ascii="Arial" w:eastAsia="Times New Roman" w:hAnsi="Arial" w:cs="Arial"/>
          <w:sz w:val="20"/>
          <w:szCs w:val="20"/>
          <w:lang w:val="en-GB"/>
        </w:rPr>
        <w:t xml:space="preserve"> party was willing to provide it itself, taking into account the circumstances </w:t>
      </w:r>
      <w:proofErr w:type="gramStart"/>
      <w:r>
        <w:rPr>
          <w:rFonts w:ascii="Arial" w:eastAsia="Times New Roman" w:hAnsi="Arial" w:cs="Arial"/>
          <w:sz w:val="20"/>
          <w:szCs w:val="20"/>
          <w:lang w:val="en-GB"/>
        </w:rPr>
        <w:t>where</w:t>
      </w:r>
      <w:proofErr w:type="gramEnd"/>
    </w:p>
    <w:p w14:paraId="32804DCD" w14:textId="77777777" w:rsidR="0005289E" w:rsidRPr="004F2499" w:rsidRDefault="0005289E" w:rsidP="00430CD2">
      <w:pPr>
        <w:spacing w:line="260" w:lineRule="atLeast"/>
        <w:jc w:val="both"/>
        <w:rPr>
          <w:rFonts w:ascii="Arial" w:eastAsia="Times New Roman" w:hAnsi="Arial" w:cs="Arial"/>
          <w:sz w:val="10"/>
          <w:szCs w:val="10"/>
        </w:rPr>
      </w:pPr>
    </w:p>
    <w:p w14:paraId="7F357AAD" w14:textId="77777777" w:rsidR="00666077" w:rsidRPr="00904D3B" w:rsidRDefault="00666077" w:rsidP="00430CD2">
      <w:pPr>
        <w:numPr>
          <w:ilvl w:val="0"/>
          <w:numId w:val="24"/>
        </w:numPr>
        <w:spacing w:line="260" w:lineRule="atLeast"/>
        <w:ind w:left="284" w:hanging="284"/>
        <w:jc w:val="both"/>
        <w:rPr>
          <w:rFonts w:ascii="Arial" w:eastAsia="Times New Roman" w:hAnsi="Arial" w:cs="Arial"/>
          <w:sz w:val="20"/>
          <w:szCs w:val="20"/>
        </w:rPr>
      </w:pPr>
      <w:r>
        <w:rPr>
          <w:rFonts w:ascii="Arial" w:eastAsia="Times New Roman" w:hAnsi="Arial" w:cs="Arial"/>
          <w:sz w:val="20"/>
          <w:szCs w:val="20"/>
          <w:lang w:val="en-GB"/>
        </w:rPr>
        <w:t>the service provides economic or commercial value in terms of improving the economic situation of the recipient of the service, or</w:t>
      </w:r>
    </w:p>
    <w:p w14:paraId="41B02A72" w14:textId="3876F544" w:rsidR="00666077" w:rsidRPr="00904D3B" w:rsidRDefault="00666077" w:rsidP="00430CD2">
      <w:pPr>
        <w:numPr>
          <w:ilvl w:val="0"/>
          <w:numId w:val="24"/>
        </w:numPr>
        <w:spacing w:line="260" w:lineRule="atLeast"/>
        <w:ind w:left="284" w:hanging="284"/>
        <w:jc w:val="both"/>
        <w:rPr>
          <w:rFonts w:ascii="Arial" w:eastAsia="Times New Roman" w:hAnsi="Arial" w:cs="Arial"/>
          <w:sz w:val="20"/>
          <w:szCs w:val="20"/>
        </w:rPr>
      </w:pPr>
      <w:r>
        <w:rPr>
          <w:rFonts w:ascii="Arial" w:eastAsia="Times New Roman" w:hAnsi="Arial" w:cs="Arial"/>
          <w:sz w:val="20"/>
          <w:szCs w:val="20"/>
          <w:lang w:val="en-GB"/>
        </w:rPr>
        <w:t xml:space="preserve">such a service would be provided by an </w:t>
      </w:r>
      <w:proofErr w:type="spellStart"/>
      <w:r>
        <w:rPr>
          <w:rFonts w:ascii="Arial" w:eastAsia="Times New Roman" w:hAnsi="Arial" w:cs="Arial"/>
          <w:sz w:val="20"/>
          <w:szCs w:val="20"/>
          <w:lang w:val="en-GB"/>
        </w:rPr>
        <w:t>un</w:t>
      </w:r>
      <w:r w:rsidR="003E0B4B">
        <w:rPr>
          <w:rFonts w:ascii="Arial" w:eastAsia="Times New Roman" w:hAnsi="Arial" w:cs="Arial"/>
          <w:sz w:val="20"/>
          <w:szCs w:val="20"/>
          <w:lang w:val="en-GB"/>
        </w:rPr>
        <w:t>associated</w:t>
      </w:r>
      <w:proofErr w:type="spellEnd"/>
      <w:r>
        <w:rPr>
          <w:rFonts w:ascii="Arial" w:eastAsia="Times New Roman" w:hAnsi="Arial" w:cs="Arial"/>
          <w:sz w:val="20"/>
          <w:szCs w:val="20"/>
          <w:lang w:val="en-GB"/>
        </w:rPr>
        <w:t xml:space="preserve"> party for its own needs with its own resources.</w:t>
      </w:r>
    </w:p>
    <w:p w14:paraId="1E592AF6" w14:textId="77777777" w:rsidR="00486370" w:rsidRPr="00904D3B" w:rsidRDefault="00486370" w:rsidP="00430CD2">
      <w:pPr>
        <w:spacing w:line="260" w:lineRule="atLeast"/>
        <w:jc w:val="both"/>
        <w:rPr>
          <w:rFonts w:ascii="Arial" w:eastAsia="Times New Roman" w:hAnsi="Arial" w:cs="Arial"/>
          <w:sz w:val="20"/>
          <w:szCs w:val="20"/>
        </w:rPr>
      </w:pPr>
    </w:p>
    <w:p w14:paraId="5DD1E726" w14:textId="46ABFE5B" w:rsidR="00666077" w:rsidRDefault="003E0B4B" w:rsidP="00430CD2">
      <w:pPr>
        <w:spacing w:line="260" w:lineRule="atLeast"/>
        <w:jc w:val="both"/>
        <w:rPr>
          <w:rFonts w:ascii="Arial" w:eastAsia="Times New Roman" w:hAnsi="Arial" w:cs="Arial"/>
          <w:sz w:val="20"/>
          <w:szCs w:val="20"/>
        </w:rPr>
      </w:pPr>
      <w:r>
        <w:rPr>
          <w:rFonts w:ascii="Arial" w:eastAsia="Times New Roman" w:hAnsi="Arial" w:cs="Arial"/>
          <w:sz w:val="20"/>
          <w:szCs w:val="20"/>
          <w:lang w:val="en-GB"/>
        </w:rPr>
        <w:t>Associated</w:t>
      </w:r>
      <w:r w:rsidR="00666077">
        <w:rPr>
          <w:rFonts w:ascii="Arial" w:eastAsia="Times New Roman" w:hAnsi="Arial" w:cs="Arial"/>
          <w:sz w:val="20"/>
          <w:szCs w:val="20"/>
          <w:lang w:val="en-GB"/>
        </w:rPr>
        <w:t xml:space="preserve"> party services for which comparable market prices are determined include, for example, the following:</w:t>
      </w:r>
    </w:p>
    <w:p w14:paraId="589D7718" w14:textId="77777777" w:rsidR="0005289E" w:rsidRPr="004F2499" w:rsidRDefault="0005289E" w:rsidP="00430CD2">
      <w:pPr>
        <w:spacing w:line="260" w:lineRule="atLeast"/>
        <w:jc w:val="both"/>
        <w:rPr>
          <w:rFonts w:ascii="Arial" w:eastAsia="Times New Roman" w:hAnsi="Arial" w:cs="Arial"/>
          <w:sz w:val="10"/>
          <w:szCs w:val="10"/>
        </w:rPr>
      </w:pPr>
    </w:p>
    <w:p w14:paraId="2BEEA8D7" w14:textId="77777777" w:rsidR="00666077" w:rsidRPr="00904D3B" w:rsidRDefault="00666077" w:rsidP="00430CD2">
      <w:pPr>
        <w:numPr>
          <w:ilvl w:val="0"/>
          <w:numId w:val="25"/>
        </w:numPr>
        <w:spacing w:line="260" w:lineRule="atLeast"/>
        <w:ind w:left="284" w:hanging="284"/>
        <w:jc w:val="both"/>
        <w:rPr>
          <w:rFonts w:ascii="Arial" w:eastAsia="Times New Roman" w:hAnsi="Arial" w:cs="Arial"/>
          <w:sz w:val="20"/>
          <w:szCs w:val="20"/>
        </w:rPr>
      </w:pPr>
      <w:r>
        <w:rPr>
          <w:rFonts w:ascii="Arial" w:eastAsia="Times New Roman" w:hAnsi="Arial" w:cs="Arial"/>
          <w:sz w:val="20"/>
          <w:szCs w:val="20"/>
          <w:lang w:val="en-GB"/>
        </w:rPr>
        <w:t xml:space="preserve">administrative services (management services, planning, accounting, auditing, legal </w:t>
      </w:r>
      <w:proofErr w:type="gramStart"/>
      <w:r>
        <w:rPr>
          <w:rFonts w:ascii="Arial" w:eastAsia="Times New Roman" w:hAnsi="Arial" w:cs="Arial"/>
          <w:sz w:val="20"/>
          <w:szCs w:val="20"/>
          <w:lang w:val="en-GB"/>
        </w:rPr>
        <w:t>services</w:t>
      </w:r>
      <w:proofErr w:type="gramEnd"/>
      <w:r>
        <w:rPr>
          <w:rFonts w:ascii="Arial" w:eastAsia="Times New Roman" w:hAnsi="Arial" w:cs="Arial"/>
          <w:sz w:val="20"/>
          <w:szCs w:val="20"/>
          <w:lang w:val="en-GB"/>
        </w:rPr>
        <w:t xml:space="preserve"> and the like),</w:t>
      </w:r>
    </w:p>
    <w:p w14:paraId="7DD000C4" w14:textId="77777777" w:rsidR="00666077" w:rsidRPr="00904D3B" w:rsidRDefault="00666077" w:rsidP="00430CD2">
      <w:pPr>
        <w:numPr>
          <w:ilvl w:val="0"/>
          <w:numId w:val="25"/>
        </w:numPr>
        <w:spacing w:line="260" w:lineRule="atLeast"/>
        <w:ind w:left="284" w:hanging="284"/>
        <w:jc w:val="both"/>
        <w:rPr>
          <w:rFonts w:ascii="Arial" w:eastAsia="Times New Roman" w:hAnsi="Arial" w:cs="Arial"/>
          <w:sz w:val="20"/>
          <w:szCs w:val="20"/>
        </w:rPr>
      </w:pPr>
      <w:r>
        <w:rPr>
          <w:rFonts w:ascii="Arial" w:eastAsia="Times New Roman" w:hAnsi="Arial" w:cs="Arial"/>
          <w:sz w:val="20"/>
          <w:szCs w:val="20"/>
          <w:lang w:val="en-GB"/>
        </w:rPr>
        <w:t>financial services (loan agreements, cash flow control, etc.),</w:t>
      </w:r>
    </w:p>
    <w:p w14:paraId="2FBA560A" w14:textId="77777777" w:rsidR="00666077" w:rsidRPr="00904D3B" w:rsidRDefault="00666077" w:rsidP="00430CD2">
      <w:pPr>
        <w:numPr>
          <w:ilvl w:val="0"/>
          <w:numId w:val="25"/>
        </w:numPr>
        <w:spacing w:line="260" w:lineRule="atLeast"/>
        <w:ind w:left="284" w:hanging="284"/>
        <w:jc w:val="both"/>
        <w:rPr>
          <w:rFonts w:ascii="Arial" w:eastAsia="Times New Roman" w:hAnsi="Arial" w:cs="Arial"/>
          <w:sz w:val="20"/>
          <w:szCs w:val="20"/>
        </w:rPr>
      </w:pPr>
      <w:r>
        <w:rPr>
          <w:rFonts w:ascii="Arial" w:eastAsia="Times New Roman" w:hAnsi="Arial" w:cs="Arial"/>
          <w:sz w:val="20"/>
          <w:szCs w:val="20"/>
          <w:lang w:val="en-GB"/>
        </w:rPr>
        <w:t>technical and commercial services provided in the form of aid in the fields of production, purchasing, distribution and marketing,</w:t>
      </w:r>
    </w:p>
    <w:p w14:paraId="1A839AC5" w14:textId="77777777" w:rsidR="00666077" w:rsidRPr="00904D3B" w:rsidRDefault="00666077" w:rsidP="00430CD2">
      <w:pPr>
        <w:numPr>
          <w:ilvl w:val="0"/>
          <w:numId w:val="25"/>
        </w:numPr>
        <w:spacing w:line="260" w:lineRule="atLeast"/>
        <w:ind w:left="284" w:hanging="284"/>
        <w:jc w:val="both"/>
        <w:rPr>
          <w:rFonts w:ascii="Arial" w:eastAsia="Times New Roman" w:hAnsi="Arial" w:cs="Arial"/>
          <w:sz w:val="20"/>
          <w:szCs w:val="20"/>
        </w:rPr>
      </w:pPr>
      <w:r>
        <w:rPr>
          <w:rFonts w:ascii="Arial" w:eastAsia="Times New Roman" w:hAnsi="Arial" w:cs="Arial"/>
          <w:sz w:val="20"/>
          <w:szCs w:val="20"/>
          <w:lang w:val="en-GB"/>
        </w:rPr>
        <w:t xml:space="preserve">human resources services (employment and staffing, </w:t>
      </w:r>
      <w:proofErr w:type="gramStart"/>
      <w:r>
        <w:rPr>
          <w:rFonts w:ascii="Arial" w:eastAsia="Times New Roman" w:hAnsi="Arial" w:cs="Arial"/>
          <w:sz w:val="20"/>
          <w:szCs w:val="20"/>
          <w:lang w:val="en-GB"/>
        </w:rPr>
        <w:t>education</w:t>
      </w:r>
      <w:proofErr w:type="gramEnd"/>
      <w:r>
        <w:rPr>
          <w:rFonts w:ascii="Arial" w:eastAsia="Times New Roman" w:hAnsi="Arial" w:cs="Arial"/>
          <w:sz w:val="20"/>
          <w:szCs w:val="20"/>
          <w:lang w:val="en-GB"/>
        </w:rPr>
        <w:t xml:space="preserve"> and the like).</w:t>
      </w:r>
    </w:p>
    <w:p w14:paraId="45D548F0" w14:textId="77777777" w:rsidR="00666077" w:rsidRPr="00904D3B" w:rsidRDefault="00666077" w:rsidP="00430CD2">
      <w:pPr>
        <w:spacing w:line="260" w:lineRule="atLeast"/>
        <w:jc w:val="both"/>
        <w:rPr>
          <w:rFonts w:ascii="Arial" w:eastAsia="Times New Roman" w:hAnsi="Arial" w:cs="Arial"/>
          <w:sz w:val="20"/>
          <w:szCs w:val="20"/>
        </w:rPr>
      </w:pPr>
    </w:p>
    <w:p w14:paraId="225C0312" w14:textId="5ABB6F41" w:rsidR="00666077" w:rsidRDefault="00666077" w:rsidP="00430CD2">
      <w:pPr>
        <w:spacing w:line="260" w:lineRule="atLeast"/>
        <w:jc w:val="both"/>
        <w:rPr>
          <w:rFonts w:ascii="Arial" w:eastAsia="Times New Roman" w:hAnsi="Arial" w:cs="Arial"/>
          <w:sz w:val="20"/>
          <w:szCs w:val="20"/>
        </w:rPr>
      </w:pPr>
      <w:r>
        <w:rPr>
          <w:rFonts w:ascii="Arial" w:eastAsia="Times New Roman" w:hAnsi="Arial" w:cs="Arial"/>
          <w:sz w:val="20"/>
          <w:szCs w:val="20"/>
          <w:lang w:val="en-GB"/>
        </w:rPr>
        <w:t xml:space="preserve">The costs of activities charged by </w:t>
      </w:r>
      <w:proofErr w:type="spellStart"/>
      <w:r>
        <w:rPr>
          <w:rFonts w:ascii="Arial" w:eastAsia="Times New Roman" w:hAnsi="Arial" w:cs="Arial"/>
          <w:sz w:val="20"/>
          <w:szCs w:val="20"/>
          <w:lang w:val="en-GB"/>
        </w:rPr>
        <w:t>a</w:t>
      </w:r>
      <w:proofErr w:type="spellEnd"/>
      <w:r>
        <w:rPr>
          <w:rFonts w:ascii="Arial" w:eastAsia="Times New Roman" w:hAnsi="Arial" w:cs="Arial"/>
          <w:sz w:val="20"/>
          <w:szCs w:val="20"/>
          <w:lang w:val="en-GB"/>
        </w:rPr>
        <w:t xml:space="preserve"> </w:t>
      </w:r>
      <w:r w:rsidR="003E0B4B">
        <w:rPr>
          <w:rFonts w:ascii="Arial" w:eastAsia="Times New Roman" w:hAnsi="Arial" w:cs="Arial"/>
          <w:sz w:val="20"/>
          <w:szCs w:val="20"/>
          <w:lang w:val="en-GB"/>
        </w:rPr>
        <w:t>associated</w:t>
      </w:r>
      <w:r>
        <w:rPr>
          <w:rFonts w:ascii="Arial" w:eastAsia="Times New Roman" w:hAnsi="Arial" w:cs="Arial"/>
          <w:sz w:val="20"/>
          <w:szCs w:val="20"/>
          <w:lang w:val="en-GB"/>
        </w:rPr>
        <w:t xml:space="preserve"> party to others for their equity holding, management, control or voting rights and which, in the same or comparable circumstances, an </w:t>
      </w:r>
      <w:proofErr w:type="spellStart"/>
      <w:r>
        <w:rPr>
          <w:rFonts w:ascii="Arial" w:eastAsia="Times New Roman" w:hAnsi="Arial" w:cs="Arial"/>
          <w:sz w:val="20"/>
          <w:szCs w:val="20"/>
          <w:lang w:val="en-GB"/>
        </w:rPr>
        <w:t>un</w:t>
      </w:r>
      <w:r w:rsidR="003E0B4B">
        <w:rPr>
          <w:rFonts w:ascii="Arial" w:eastAsia="Times New Roman" w:hAnsi="Arial" w:cs="Arial"/>
          <w:sz w:val="20"/>
          <w:szCs w:val="20"/>
          <w:lang w:val="en-GB"/>
        </w:rPr>
        <w:t>associated</w:t>
      </w:r>
      <w:proofErr w:type="spellEnd"/>
      <w:r>
        <w:rPr>
          <w:rFonts w:ascii="Arial" w:eastAsia="Times New Roman" w:hAnsi="Arial" w:cs="Arial"/>
          <w:sz w:val="20"/>
          <w:szCs w:val="20"/>
          <w:lang w:val="en-GB"/>
        </w:rPr>
        <w:t xml:space="preserve"> party would not be willing to pay for are not justified to be charged in the form of services. The following are examples of the costs of such activities (22/4 PTR):</w:t>
      </w:r>
    </w:p>
    <w:p w14:paraId="3EEE81E3" w14:textId="77777777" w:rsidR="0005289E" w:rsidRPr="004F2499" w:rsidRDefault="0005289E" w:rsidP="00430CD2">
      <w:pPr>
        <w:spacing w:line="260" w:lineRule="atLeast"/>
        <w:jc w:val="both"/>
        <w:rPr>
          <w:rFonts w:ascii="Arial" w:eastAsia="Times New Roman" w:hAnsi="Arial" w:cs="Arial"/>
          <w:sz w:val="10"/>
          <w:szCs w:val="10"/>
        </w:rPr>
      </w:pPr>
    </w:p>
    <w:p w14:paraId="5EF9ABB8" w14:textId="77777777" w:rsidR="00666077" w:rsidRPr="00904D3B" w:rsidRDefault="00666077" w:rsidP="00430CD2">
      <w:pPr>
        <w:numPr>
          <w:ilvl w:val="0"/>
          <w:numId w:val="26"/>
        </w:numPr>
        <w:spacing w:line="260" w:lineRule="atLeast"/>
        <w:ind w:left="284" w:hanging="284"/>
        <w:jc w:val="both"/>
        <w:rPr>
          <w:rFonts w:ascii="Arial" w:eastAsia="Times New Roman" w:hAnsi="Arial" w:cs="Arial"/>
          <w:sz w:val="20"/>
          <w:szCs w:val="20"/>
        </w:rPr>
      </w:pPr>
      <w:r>
        <w:rPr>
          <w:rFonts w:ascii="Arial" w:eastAsia="Times New Roman" w:hAnsi="Arial" w:cs="Arial"/>
          <w:sz w:val="20"/>
          <w:szCs w:val="20"/>
          <w:lang w:val="en-GB"/>
        </w:rPr>
        <w:t>the costs of activities related to the legal regulation of the parent company itself (costs related to the parent company’s general meeting of shareholders, the issuance of shares by the parent company, and costs related to the supervisory board),</w:t>
      </w:r>
    </w:p>
    <w:p w14:paraId="2B3D8BE9" w14:textId="77777777" w:rsidR="00666077" w:rsidRPr="00904D3B" w:rsidRDefault="00666077" w:rsidP="00430CD2">
      <w:pPr>
        <w:numPr>
          <w:ilvl w:val="0"/>
          <w:numId w:val="26"/>
        </w:numPr>
        <w:spacing w:line="260" w:lineRule="atLeast"/>
        <w:ind w:left="284" w:hanging="284"/>
        <w:jc w:val="both"/>
        <w:rPr>
          <w:rFonts w:ascii="Arial" w:eastAsia="Times New Roman" w:hAnsi="Arial" w:cs="Arial"/>
          <w:sz w:val="20"/>
          <w:szCs w:val="20"/>
        </w:rPr>
      </w:pPr>
      <w:r>
        <w:rPr>
          <w:rFonts w:ascii="Arial" w:eastAsia="Times New Roman" w:hAnsi="Arial" w:cs="Arial"/>
          <w:sz w:val="20"/>
          <w:szCs w:val="20"/>
          <w:lang w:val="en-GB"/>
        </w:rPr>
        <w:t>costs related to the reporting requirements of the parent company, including the consolidation of reports,</w:t>
      </w:r>
    </w:p>
    <w:p w14:paraId="732D29DB" w14:textId="77777777" w:rsidR="00666077" w:rsidRPr="00904D3B" w:rsidRDefault="00666077" w:rsidP="00430CD2">
      <w:pPr>
        <w:numPr>
          <w:ilvl w:val="0"/>
          <w:numId w:val="26"/>
        </w:numPr>
        <w:spacing w:line="260" w:lineRule="atLeast"/>
        <w:ind w:left="284" w:hanging="284"/>
        <w:jc w:val="both"/>
        <w:rPr>
          <w:rFonts w:ascii="Arial" w:eastAsia="Times New Roman" w:hAnsi="Arial" w:cs="Arial"/>
          <w:sz w:val="20"/>
          <w:szCs w:val="20"/>
        </w:rPr>
      </w:pPr>
      <w:r>
        <w:rPr>
          <w:rFonts w:ascii="Arial" w:eastAsia="Times New Roman" w:hAnsi="Arial" w:cs="Arial"/>
          <w:sz w:val="20"/>
          <w:szCs w:val="20"/>
          <w:lang w:val="en-GB"/>
        </w:rPr>
        <w:t>the cost of raising funds for the acquisition of holdings.</w:t>
      </w:r>
    </w:p>
    <w:p w14:paraId="26ABA9F3" w14:textId="77777777" w:rsidR="00666077" w:rsidRPr="00904D3B" w:rsidRDefault="00666077" w:rsidP="00430CD2">
      <w:pPr>
        <w:spacing w:line="260" w:lineRule="atLeast"/>
        <w:jc w:val="both"/>
        <w:rPr>
          <w:rFonts w:ascii="Arial" w:eastAsia="Times New Roman" w:hAnsi="Arial" w:cs="Arial"/>
          <w:sz w:val="20"/>
          <w:szCs w:val="20"/>
        </w:rPr>
      </w:pPr>
    </w:p>
    <w:p w14:paraId="22A39EA1" w14:textId="77777777" w:rsidR="00666077" w:rsidRPr="00904D3B" w:rsidRDefault="00666077" w:rsidP="00430CD2">
      <w:pPr>
        <w:spacing w:line="260" w:lineRule="atLeast"/>
        <w:jc w:val="both"/>
        <w:rPr>
          <w:rFonts w:ascii="Arial" w:eastAsia="Times New Roman" w:hAnsi="Arial" w:cs="Arial"/>
          <w:sz w:val="20"/>
          <w:szCs w:val="20"/>
        </w:rPr>
      </w:pPr>
      <w:r>
        <w:rPr>
          <w:rFonts w:ascii="Arial" w:eastAsia="Times New Roman" w:hAnsi="Arial" w:cs="Arial"/>
          <w:sz w:val="20"/>
          <w:szCs w:val="20"/>
          <w:lang w:val="en-GB"/>
        </w:rPr>
        <w:t>Where certain specific services provided by a party to an associated enterprise can be identified, whether a service charged is in line with a comparable market price must be determined for each specific service as set out in Article 17 of the PTR.</w:t>
      </w:r>
    </w:p>
    <w:p w14:paraId="7A0947AC" w14:textId="77777777" w:rsidR="00666077" w:rsidRPr="00904D3B" w:rsidRDefault="00666077" w:rsidP="00430CD2">
      <w:pPr>
        <w:spacing w:line="260" w:lineRule="atLeast"/>
        <w:jc w:val="both"/>
        <w:rPr>
          <w:rFonts w:ascii="Arial" w:eastAsia="Times New Roman" w:hAnsi="Arial" w:cs="Arial"/>
          <w:sz w:val="20"/>
          <w:szCs w:val="20"/>
        </w:rPr>
      </w:pPr>
    </w:p>
    <w:p w14:paraId="510F92BC" w14:textId="00F3FDA4" w:rsidR="00666077" w:rsidRPr="00904D3B" w:rsidRDefault="00666077" w:rsidP="00430CD2">
      <w:pPr>
        <w:spacing w:line="260" w:lineRule="atLeast"/>
        <w:jc w:val="both"/>
        <w:rPr>
          <w:rFonts w:ascii="Arial" w:eastAsia="Times New Roman" w:hAnsi="Arial" w:cs="Arial"/>
          <w:sz w:val="20"/>
          <w:szCs w:val="20"/>
        </w:rPr>
      </w:pPr>
      <w:r>
        <w:rPr>
          <w:rFonts w:ascii="Arial" w:eastAsia="Times New Roman" w:hAnsi="Arial" w:cs="Arial"/>
          <w:sz w:val="20"/>
          <w:szCs w:val="20"/>
          <w:lang w:val="en-GB"/>
        </w:rPr>
        <w:t xml:space="preserve">When setting a comparable market price for services, the comparable uncontrolled price method is used when services comparable to the services that are the subject of </w:t>
      </w:r>
      <w:proofErr w:type="spellStart"/>
      <w:r>
        <w:rPr>
          <w:rFonts w:ascii="Arial" w:eastAsia="Times New Roman" w:hAnsi="Arial" w:cs="Arial"/>
          <w:sz w:val="20"/>
          <w:szCs w:val="20"/>
          <w:lang w:val="en-GB"/>
        </w:rPr>
        <w:t>a</w:t>
      </w:r>
      <w:proofErr w:type="spellEnd"/>
      <w:r>
        <w:rPr>
          <w:rFonts w:ascii="Arial" w:eastAsia="Times New Roman" w:hAnsi="Arial" w:cs="Arial"/>
          <w:sz w:val="20"/>
          <w:szCs w:val="20"/>
          <w:lang w:val="en-GB"/>
        </w:rPr>
        <w:t xml:space="preserve"> </w:t>
      </w:r>
      <w:r w:rsidR="003E0B4B">
        <w:rPr>
          <w:rFonts w:ascii="Arial" w:eastAsia="Times New Roman" w:hAnsi="Arial" w:cs="Arial"/>
          <w:sz w:val="20"/>
          <w:szCs w:val="20"/>
          <w:lang w:val="en-GB"/>
        </w:rPr>
        <w:t>associated</w:t>
      </w:r>
      <w:r>
        <w:rPr>
          <w:rFonts w:ascii="Arial" w:eastAsia="Times New Roman" w:hAnsi="Arial" w:cs="Arial"/>
          <w:sz w:val="20"/>
          <w:szCs w:val="20"/>
          <w:lang w:val="en-GB"/>
        </w:rPr>
        <w:t xml:space="preserve">-party transaction are also provided between </w:t>
      </w:r>
      <w:proofErr w:type="spellStart"/>
      <w:r>
        <w:rPr>
          <w:rFonts w:ascii="Arial" w:eastAsia="Times New Roman" w:hAnsi="Arial" w:cs="Arial"/>
          <w:sz w:val="20"/>
          <w:szCs w:val="20"/>
          <w:lang w:val="en-GB"/>
        </w:rPr>
        <w:t>un</w:t>
      </w:r>
      <w:r w:rsidR="003E0B4B">
        <w:rPr>
          <w:rFonts w:ascii="Arial" w:eastAsia="Times New Roman" w:hAnsi="Arial" w:cs="Arial"/>
          <w:sz w:val="20"/>
          <w:szCs w:val="20"/>
          <w:lang w:val="en-GB"/>
        </w:rPr>
        <w:t>associated</w:t>
      </w:r>
      <w:proofErr w:type="spellEnd"/>
      <w:r>
        <w:rPr>
          <w:rFonts w:ascii="Arial" w:eastAsia="Times New Roman" w:hAnsi="Arial" w:cs="Arial"/>
          <w:sz w:val="20"/>
          <w:szCs w:val="20"/>
          <w:lang w:val="en-GB"/>
        </w:rPr>
        <w:t xml:space="preserve"> parties or where such services are also provided to </w:t>
      </w:r>
      <w:proofErr w:type="spellStart"/>
      <w:r>
        <w:rPr>
          <w:rFonts w:ascii="Arial" w:eastAsia="Times New Roman" w:hAnsi="Arial" w:cs="Arial"/>
          <w:sz w:val="20"/>
          <w:szCs w:val="20"/>
          <w:lang w:val="en-GB"/>
        </w:rPr>
        <w:t>un</w:t>
      </w:r>
      <w:r w:rsidR="003E0B4B">
        <w:rPr>
          <w:rFonts w:ascii="Arial" w:eastAsia="Times New Roman" w:hAnsi="Arial" w:cs="Arial"/>
          <w:sz w:val="20"/>
          <w:szCs w:val="20"/>
          <w:lang w:val="en-GB"/>
        </w:rPr>
        <w:t>associated</w:t>
      </w:r>
      <w:proofErr w:type="spellEnd"/>
      <w:r>
        <w:rPr>
          <w:rFonts w:ascii="Arial" w:eastAsia="Times New Roman" w:hAnsi="Arial" w:cs="Arial"/>
          <w:sz w:val="20"/>
          <w:szCs w:val="20"/>
          <w:lang w:val="en-GB"/>
        </w:rPr>
        <w:t xml:space="preserve"> parties in the same or comparable circumstances as provided to </w:t>
      </w:r>
      <w:r w:rsidR="003E0B4B">
        <w:rPr>
          <w:rFonts w:ascii="Arial" w:eastAsia="Times New Roman" w:hAnsi="Arial" w:cs="Arial"/>
          <w:sz w:val="20"/>
          <w:szCs w:val="20"/>
          <w:lang w:val="en-GB"/>
        </w:rPr>
        <w:t>associated</w:t>
      </w:r>
      <w:r>
        <w:rPr>
          <w:rFonts w:ascii="Arial" w:eastAsia="Times New Roman" w:hAnsi="Arial" w:cs="Arial"/>
          <w:sz w:val="20"/>
          <w:szCs w:val="20"/>
          <w:lang w:val="en-GB"/>
        </w:rPr>
        <w:t xml:space="preserve"> parties.</w:t>
      </w:r>
    </w:p>
    <w:p w14:paraId="5D7D1CDF" w14:textId="77777777" w:rsidR="00666077" w:rsidRPr="00904D3B" w:rsidRDefault="00666077" w:rsidP="00430CD2">
      <w:pPr>
        <w:spacing w:line="260" w:lineRule="atLeast"/>
        <w:jc w:val="both"/>
        <w:rPr>
          <w:rFonts w:ascii="Arial" w:eastAsia="Times New Roman" w:hAnsi="Arial" w:cs="Arial"/>
          <w:sz w:val="20"/>
          <w:szCs w:val="20"/>
        </w:rPr>
      </w:pPr>
    </w:p>
    <w:p w14:paraId="23C98A67" w14:textId="77777777" w:rsidR="00666077" w:rsidRDefault="00666077" w:rsidP="00430CD2">
      <w:pPr>
        <w:spacing w:line="260" w:lineRule="atLeast"/>
        <w:jc w:val="both"/>
        <w:rPr>
          <w:rFonts w:ascii="Arial" w:eastAsia="Times New Roman" w:hAnsi="Arial" w:cs="Arial"/>
          <w:sz w:val="20"/>
          <w:szCs w:val="20"/>
        </w:rPr>
      </w:pPr>
      <w:r>
        <w:rPr>
          <w:rFonts w:ascii="Arial" w:eastAsia="Times New Roman" w:hAnsi="Arial" w:cs="Arial"/>
          <w:sz w:val="20"/>
          <w:szCs w:val="20"/>
          <w:lang w:val="en-GB"/>
        </w:rPr>
        <w:t xml:space="preserve">If a comparable market price is set by using the </w:t>
      </w:r>
      <w:proofErr w:type="gramStart"/>
      <w:r>
        <w:rPr>
          <w:rFonts w:ascii="Arial" w:eastAsia="Times New Roman" w:hAnsi="Arial" w:cs="Arial"/>
          <w:sz w:val="20"/>
          <w:szCs w:val="20"/>
          <w:lang w:val="en-GB"/>
        </w:rPr>
        <w:t>cost plus</w:t>
      </w:r>
      <w:proofErr w:type="gramEnd"/>
      <w:r>
        <w:rPr>
          <w:rFonts w:ascii="Arial" w:eastAsia="Times New Roman" w:hAnsi="Arial" w:cs="Arial"/>
          <w:sz w:val="20"/>
          <w:szCs w:val="20"/>
          <w:lang w:val="en-GB"/>
        </w:rPr>
        <w:t xml:space="preserve"> method, it is set by means of (22/7 PTR):</w:t>
      </w:r>
    </w:p>
    <w:p w14:paraId="05CF60C5" w14:textId="77777777" w:rsidR="0005289E" w:rsidRPr="004F2499" w:rsidRDefault="0005289E" w:rsidP="00430CD2">
      <w:pPr>
        <w:spacing w:line="260" w:lineRule="atLeast"/>
        <w:jc w:val="both"/>
        <w:rPr>
          <w:rFonts w:ascii="Arial" w:eastAsia="Times New Roman" w:hAnsi="Arial" w:cs="Arial"/>
          <w:sz w:val="10"/>
          <w:szCs w:val="10"/>
        </w:rPr>
      </w:pPr>
    </w:p>
    <w:p w14:paraId="7FC026C0" w14:textId="77777777" w:rsidR="00666077" w:rsidRPr="00904D3B" w:rsidRDefault="00666077" w:rsidP="00430CD2">
      <w:pPr>
        <w:numPr>
          <w:ilvl w:val="0"/>
          <w:numId w:val="27"/>
        </w:numPr>
        <w:spacing w:line="260" w:lineRule="atLeast"/>
        <w:ind w:left="284" w:hanging="284"/>
        <w:jc w:val="both"/>
        <w:rPr>
          <w:rFonts w:ascii="Arial" w:eastAsia="Times New Roman" w:hAnsi="Arial" w:cs="Arial"/>
          <w:sz w:val="20"/>
          <w:szCs w:val="20"/>
        </w:rPr>
      </w:pPr>
      <w:r>
        <w:rPr>
          <w:rFonts w:ascii="Arial" w:eastAsia="Times New Roman" w:hAnsi="Arial" w:cs="Arial"/>
          <w:sz w:val="20"/>
          <w:szCs w:val="20"/>
          <w:lang w:val="en-GB"/>
        </w:rPr>
        <w:t>direct determination, when the services provided and the bases for payment are clearly identifiable and the costs of individual services can be identified, or</w:t>
      </w:r>
    </w:p>
    <w:p w14:paraId="099B9501" w14:textId="227060CD" w:rsidR="00666077" w:rsidRPr="00904D3B" w:rsidRDefault="00666077" w:rsidP="00430CD2">
      <w:pPr>
        <w:numPr>
          <w:ilvl w:val="0"/>
          <w:numId w:val="27"/>
        </w:numPr>
        <w:spacing w:line="260" w:lineRule="atLeast"/>
        <w:ind w:left="284" w:hanging="284"/>
        <w:jc w:val="both"/>
        <w:rPr>
          <w:rFonts w:ascii="Arial" w:eastAsia="Times New Roman" w:hAnsi="Arial" w:cs="Arial"/>
          <w:sz w:val="20"/>
          <w:szCs w:val="20"/>
        </w:rPr>
      </w:pPr>
      <w:r>
        <w:rPr>
          <w:rFonts w:ascii="Arial" w:eastAsia="Times New Roman" w:hAnsi="Arial" w:cs="Arial"/>
          <w:sz w:val="20"/>
          <w:szCs w:val="20"/>
          <w:lang w:val="en-GB"/>
        </w:rPr>
        <w:t xml:space="preserve">indirect determination if the direct determination method cannot be used due to impracticality or if the transactions of services between </w:t>
      </w:r>
      <w:r w:rsidR="003E0B4B">
        <w:rPr>
          <w:rFonts w:ascii="Arial" w:eastAsia="Times New Roman" w:hAnsi="Arial" w:cs="Arial"/>
          <w:sz w:val="20"/>
          <w:szCs w:val="20"/>
          <w:lang w:val="en-GB"/>
        </w:rPr>
        <w:t>associated</w:t>
      </w:r>
      <w:r>
        <w:rPr>
          <w:rFonts w:ascii="Arial" w:eastAsia="Times New Roman" w:hAnsi="Arial" w:cs="Arial"/>
          <w:sz w:val="20"/>
          <w:szCs w:val="20"/>
          <w:lang w:val="en-GB"/>
        </w:rPr>
        <w:t xml:space="preserve"> parties are not identifiable (for example, if the costs of these services are included in the cost or price of a larger transaction or if the costs are not distributed among </w:t>
      </w:r>
      <w:r w:rsidR="003E0B4B">
        <w:rPr>
          <w:rFonts w:ascii="Arial" w:eastAsia="Times New Roman" w:hAnsi="Arial" w:cs="Arial"/>
          <w:sz w:val="20"/>
          <w:szCs w:val="20"/>
          <w:lang w:val="en-GB"/>
        </w:rPr>
        <w:t>associated</w:t>
      </w:r>
      <w:r>
        <w:rPr>
          <w:rFonts w:ascii="Arial" w:eastAsia="Times New Roman" w:hAnsi="Arial" w:cs="Arial"/>
          <w:sz w:val="20"/>
          <w:szCs w:val="20"/>
          <w:lang w:val="en-GB"/>
        </w:rPr>
        <w:t xml:space="preserve"> parties).</w:t>
      </w:r>
    </w:p>
    <w:p w14:paraId="30B00794" w14:textId="77777777" w:rsidR="00666077" w:rsidRPr="00904D3B" w:rsidRDefault="00666077" w:rsidP="00430CD2">
      <w:pPr>
        <w:spacing w:line="260" w:lineRule="atLeast"/>
        <w:jc w:val="both"/>
        <w:rPr>
          <w:rFonts w:ascii="Arial" w:eastAsia="Times New Roman" w:hAnsi="Arial" w:cs="Arial"/>
          <w:sz w:val="20"/>
          <w:szCs w:val="20"/>
        </w:rPr>
      </w:pPr>
    </w:p>
    <w:p w14:paraId="6C1F85CA" w14:textId="23BF2718" w:rsidR="00666077" w:rsidRPr="00904D3B" w:rsidRDefault="00666077" w:rsidP="00430CD2">
      <w:pPr>
        <w:spacing w:line="260" w:lineRule="atLeast"/>
        <w:jc w:val="both"/>
        <w:rPr>
          <w:rFonts w:ascii="Arial" w:eastAsia="Times New Roman" w:hAnsi="Arial" w:cs="Arial"/>
          <w:sz w:val="20"/>
          <w:szCs w:val="20"/>
        </w:rPr>
      </w:pPr>
      <w:r>
        <w:rPr>
          <w:rFonts w:ascii="Arial" w:eastAsia="Times New Roman" w:hAnsi="Arial" w:cs="Arial"/>
          <w:sz w:val="20"/>
          <w:szCs w:val="20"/>
          <w:lang w:val="en-GB"/>
        </w:rPr>
        <w:t xml:space="preserve">If the services provided to </w:t>
      </w:r>
      <w:r w:rsidR="003E0B4B">
        <w:rPr>
          <w:rFonts w:ascii="Arial" w:eastAsia="Times New Roman" w:hAnsi="Arial" w:cs="Arial"/>
          <w:sz w:val="20"/>
          <w:szCs w:val="20"/>
          <w:lang w:val="en-GB"/>
        </w:rPr>
        <w:t>associated</w:t>
      </w:r>
      <w:r>
        <w:rPr>
          <w:rFonts w:ascii="Arial" w:eastAsia="Times New Roman" w:hAnsi="Arial" w:cs="Arial"/>
          <w:sz w:val="20"/>
          <w:szCs w:val="20"/>
          <w:lang w:val="en-GB"/>
        </w:rPr>
        <w:t xml:space="preserve"> parties are the main or regular and not occasional business activity of the service provider and are provided to both </w:t>
      </w:r>
      <w:r w:rsidR="003E0B4B">
        <w:rPr>
          <w:rFonts w:ascii="Arial" w:eastAsia="Times New Roman" w:hAnsi="Arial" w:cs="Arial"/>
          <w:sz w:val="20"/>
          <w:szCs w:val="20"/>
          <w:lang w:val="en-GB"/>
        </w:rPr>
        <w:t>associated</w:t>
      </w:r>
      <w:r>
        <w:rPr>
          <w:rFonts w:ascii="Arial" w:eastAsia="Times New Roman" w:hAnsi="Arial" w:cs="Arial"/>
          <w:sz w:val="20"/>
          <w:szCs w:val="20"/>
          <w:lang w:val="en-GB"/>
        </w:rPr>
        <w:t xml:space="preserve"> and </w:t>
      </w:r>
      <w:proofErr w:type="spellStart"/>
      <w:r>
        <w:rPr>
          <w:rFonts w:ascii="Arial" w:eastAsia="Times New Roman" w:hAnsi="Arial" w:cs="Arial"/>
          <w:sz w:val="20"/>
          <w:szCs w:val="20"/>
          <w:lang w:val="en-GB"/>
        </w:rPr>
        <w:t>un</w:t>
      </w:r>
      <w:r w:rsidR="003E0B4B">
        <w:rPr>
          <w:rFonts w:ascii="Arial" w:eastAsia="Times New Roman" w:hAnsi="Arial" w:cs="Arial"/>
          <w:sz w:val="20"/>
          <w:szCs w:val="20"/>
          <w:lang w:val="en-GB"/>
        </w:rPr>
        <w:t>associated</w:t>
      </w:r>
      <w:proofErr w:type="spellEnd"/>
      <w:r>
        <w:rPr>
          <w:rFonts w:ascii="Arial" w:eastAsia="Times New Roman" w:hAnsi="Arial" w:cs="Arial"/>
          <w:sz w:val="20"/>
          <w:szCs w:val="20"/>
          <w:lang w:val="en-GB"/>
        </w:rPr>
        <w:t xml:space="preserve"> parties, the comparable market price is determined directly, using the cost plus method in accordance with the first indent, paragraph seven of Article 22 of the PTR.</w:t>
      </w:r>
    </w:p>
    <w:p w14:paraId="105C8C19" w14:textId="77777777" w:rsidR="00666077" w:rsidRPr="00904D3B" w:rsidRDefault="00666077" w:rsidP="00430CD2">
      <w:pPr>
        <w:spacing w:line="260" w:lineRule="atLeast"/>
        <w:jc w:val="both"/>
        <w:rPr>
          <w:rFonts w:ascii="Arial" w:eastAsia="Times New Roman" w:hAnsi="Arial" w:cs="Arial"/>
          <w:sz w:val="20"/>
          <w:szCs w:val="20"/>
        </w:rPr>
      </w:pPr>
    </w:p>
    <w:p w14:paraId="49775C58" w14:textId="77777777" w:rsidR="00666077" w:rsidRDefault="00666077" w:rsidP="00430CD2">
      <w:pPr>
        <w:spacing w:line="260" w:lineRule="atLeast"/>
        <w:jc w:val="both"/>
        <w:rPr>
          <w:rFonts w:ascii="Arial" w:eastAsia="Times New Roman" w:hAnsi="Arial" w:cs="Arial"/>
          <w:sz w:val="20"/>
          <w:szCs w:val="20"/>
        </w:rPr>
      </w:pPr>
      <w:r>
        <w:rPr>
          <w:rFonts w:ascii="Arial" w:eastAsia="Times New Roman" w:hAnsi="Arial" w:cs="Arial"/>
          <w:sz w:val="20"/>
          <w:szCs w:val="20"/>
          <w:lang w:val="en-GB"/>
        </w:rPr>
        <w:t xml:space="preserve">If the costs attributable to an individual service are not directly identifiable, the indirect pricing approach in accordance with the second indent of paragraph seven of this Article is used to determine a comparable market price using the cost plus method, in particular by using </w:t>
      </w:r>
      <w:r>
        <w:rPr>
          <w:rFonts w:ascii="Arial" w:eastAsia="Times New Roman" w:hAnsi="Arial" w:cs="Arial"/>
          <w:color w:val="000000"/>
          <w:sz w:val="20"/>
          <w:szCs w:val="24"/>
          <w:lang w:val="en-GB"/>
        </w:rPr>
        <w:t>(22/9 PTR)</w:t>
      </w:r>
      <w:r w:rsidR="004A7D62">
        <w:rPr>
          <w:rFonts w:ascii="Arial" w:eastAsia="Times New Roman" w:hAnsi="Arial" w:cs="Arial"/>
          <w:color w:val="000000"/>
          <w:sz w:val="20"/>
          <w:szCs w:val="24"/>
          <w:lang w:val="en-GB"/>
        </w:rPr>
        <w:t>:</w:t>
      </w:r>
    </w:p>
    <w:p w14:paraId="031E7DD4" w14:textId="77777777" w:rsidR="0005289E" w:rsidRPr="004F2499" w:rsidRDefault="0005289E" w:rsidP="00430CD2">
      <w:pPr>
        <w:spacing w:line="260" w:lineRule="atLeast"/>
        <w:jc w:val="both"/>
        <w:rPr>
          <w:rFonts w:ascii="Arial" w:eastAsia="Times New Roman" w:hAnsi="Arial" w:cs="Arial"/>
          <w:sz w:val="10"/>
          <w:szCs w:val="10"/>
        </w:rPr>
      </w:pPr>
    </w:p>
    <w:p w14:paraId="43CDEA09" w14:textId="77777777" w:rsidR="00666077" w:rsidRPr="00904D3B" w:rsidRDefault="00666077" w:rsidP="00430CD2">
      <w:pPr>
        <w:numPr>
          <w:ilvl w:val="0"/>
          <w:numId w:val="28"/>
        </w:numPr>
        <w:spacing w:line="260" w:lineRule="atLeast"/>
        <w:ind w:left="284" w:hanging="284"/>
        <w:jc w:val="both"/>
        <w:rPr>
          <w:rFonts w:ascii="Arial" w:eastAsia="Times New Roman" w:hAnsi="Arial" w:cs="Arial"/>
          <w:sz w:val="20"/>
          <w:szCs w:val="20"/>
        </w:rPr>
      </w:pPr>
      <w:r>
        <w:rPr>
          <w:rFonts w:ascii="Arial" w:eastAsia="Times New Roman" w:hAnsi="Arial" w:cs="Arial"/>
          <w:sz w:val="20"/>
          <w:szCs w:val="20"/>
          <w:lang w:val="en-GB"/>
        </w:rPr>
        <w:t>a suitable cost distribution key based on the facts and circumstances of each service provision case,</w:t>
      </w:r>
    </w:p>
    <w:p w14:paraId="4D9821B4" w14:textId="77777777" w:rsidR="00666077" w:rsidRPr="00904D3B" w:rsidRDefault="00666077" w:rsidP="00430CD2">
      <w:pPr>
        <w:numPr>
          <w:ilvl w:val="0"/>
          <w:numId w:val="28"/>
        </w:numPr>
        <w:spacing w:line="260" w:lineRule="atLeast"/>
        <w:ind w:left="284" w:hanging="284"/>
        <w:jc w:val="both"/>
        <w:rPr>
          <w:rFonts w:ascii="Arial" w:eastAsia="Times New Roman" w:hAnsi="Arial" w:cs="Arial"/>
          <w:sz w:val="20"/>
          <w:szCs w:val="20"/>
        </w:rPr>
      </w:pPr>
      <w:r>
        <w:rPr>
          <w:rFonts w:ascii="Arial" w:eastAsia="Times New Roman" w:hAnsi="Arial" w:cs="Arial"/>
          <w:sz w:val="20"/>
          <w:szCs w:val="20"/>
          <w:lang w:val="en-GB"/>
        </w:rPr>
        <w:t>the realistic cost distribution,</w:t>
      </w:r>
    </w:p>
    <w:p w14:paraId="6051DD57" w14:textId="77777777" w:rsidR="004A7D62" w:rsidRDefault="004A7D62" w:rsidP="00430CD2">
      <w:pPr>
        <w:spacing w:line="260" w:lineRule="atLeast"/>
        <w:jc w:val="both"/>
        <w:rPr>
          <w:rFonts w:ascii="Arial" w:eastAsia="Times New Roman" w:hAnsi="Arial" w:cs="Arial"/>
          <w:sz w:val="20"/>
          <w:szCs w:val="20"/>
          <w:lang w:val="en-GB"/>
        </w:rPr>
      </w:pPr>
    </w:p>
    <w:p w14:paraId="3FA54279" w14:textId="774B96A9" w:rsidR="00666077" w:rsidRPr="00904D3B" w:rsidRDefault="00666077" w:rsidP="00430CD2">
      <w:pPr>
        <w:spacing w:line="260" w:lineRule="atLeast"/>
        <w:jc w:val="both"/>
        <w:rPr>
          <w:rFonts w:ascii="Arial" w:eastAsia="Times New Roman" w:hAnsi="Arial" w:cs="Arial"/>
          <w:sz w:val="20"/>
          <w:szCs w:val="20"/>
        </w:rPr>
      </w:pPr>
      <w:proofErr w:type="gramStart"/>
      <w:r>
        <w:rPr>
          <w:rFonts w:ascii="Arial" w:eastAsia="Times New Roman" w:hAnsi="Arial" w:cs="Arial"/>
          <w:sz w:val="20"/>
          <w:szCs w:val="20"/>
          <w:lang w:val="en-GB"/>
        </w:rPr>
        <w:t>taking into account</w:t>
      </w:r>
      <w:proofErr w:type="gramEnd"/>
      <w:r>
        <w:rPr>
          <w:rFonts w:ascii="Arial" w:eastAsia="Times New Roman" w:hAnsi="Arial" w:cs="Arial"/>
          <w:sz w:val="20"/>
          <w:szCs w:val="20"/>
          <w:lang w:val="en-GB"/>
        </w:rPr>
        <w:t xml:space="preserve"> the economic value of the services to the recipient and the extent to which comparable services are provided between </w:t>
      </w:r>
      <w:proofErr w:type="spellStart"/>
      <w:r>
        <w:rPr>
          <w:rFonts w:ascii="Arial" w:eastAsia="Times New Roman" w:hAnsi="Arial" w:cs="Arial"/>
          <w:sz w:val="20"/>
          <w:szCs w:val="20"/>
          <w:lang w:val="en-GB"/>
        </w:rPr>
        <w:t>un</w:t>
      </w:r>
      <w:r w:rsidR="003E0B4B">
        <w:rPr>
          <w:rFonts w:ascii="Arial" w:eastAsia="Times New Roman" w:hAnsi="Arial" w:cs="Arial"/>
          <w:sz w:val="20"/>
          <w:szCs w:val="20"/>
          <w:lang w:val="en-GB"/>
        </w:rPr>
        <w:t>associated</w:t>
      </w:r>
      <w:proofErr w:type="spellEnd"/>
      <w:r>
        <w:rPr>
          <w:rFonts w:ascii="Arial" w:eastAsia="Times New Roman" w:hAnsi="Arial" w:cs="Arial"/>
          <w:sz w:val="20"/>
          <w:szCs w:val="20"/>
          <w:lang w:val="en-GB"/>
        </w:rPr>
        <w:t xml:space="preserve"> parties.</w:t>
      </w:r>
    </w:p>
    <w:p w14:paraId="4840383D" w14:textId="77777777" w:rsidR="00666077" w:rsidRPr="00F27413" w:rsidRDefault="00666077" w:rsidP="00430CD2">
      <w:pPr>
        <w:spacing w:line="260" w:lineRule="atLeast"/>
        <w:jc w:val="both"/>
        <w:rPr>
          <w:rFonts w:ascii="Arial" w:eastAsia="Times New Roman" w:hAnsi="Arial" w:cs="Arial"/>
          <w:color w:val="000000"/>
          <w:sz w:val="20"/>
          <w:szCs w:val="24"/>
        </w:rPr>
      </w:pPr>
      <w:r>
        <w:rPr>
          <w:rFonts w:ascii="Arial" w:eastAsia="Times New Roman" w:hAnsi="Arial" w:cs="Arial"/>
          <w:b/>
          <w:bCs/>
          <w:sz w:val="20"/>
          <w:szCs w:val="20"/>
          <w:lang w:val="en-GB"/>
        </w:rPr>
        <w:t xml:space="preserve">The OECD Guidelines </w:t>
      </w:r>
      <w:r>
        <w:rPr>
          <w:rFonts w:ascii="Arial" w:eastAsia="Times New Roman" w:hAnsi="Arial" w:cs="Arial"/>
          <w:sz w:val="20"/>
          <w:szCs w:val="20"/>
          <w:lang w:val="en-GB"/>
        </w:rPr>
        <w:t xml:space="preserve">set out the specifics of the services in Chapter VII. </w:t>
      </w:r>
      <w:r>
        <w:rPr>
          <w:rFonts w:ascii="Arial" w:eastAsia="Times New Roman" w:hAnsi="Arial" w:cs="Arial"/>
          <w:color w:val="000000"/>
          <w:sz w:val="20"/>
          <w:szCs w:val="24"/>
          <w:lang w:val="en-GB"/>
        </w:rPr>
        <w:t xml:space="preserve">In accordance with paragraph 7.5 of the OECD Guidelines, two questions arise in connection with the analysis of transfer pricing for intra-group services. The first question is whether intra-group services have </w:t>
      </w:r>
      <w:proofErr w:type="gramStart"/>
      <w:r>
        <w:rPr>
          <w:rFonts w:ascii="Arial" w:eastAsia="Times New Roman" w:hAnsi="Arial" w:cs="Arial"/>
          <w:color w:val="000000"/>
          <w:sz w:val="20"/>
          <w:szCs w:val="24"/>
          <w:lang w:val="en-GB"/>
        </w:rPr>
        <w:t>actually been</w:t>
      </w:r>
      <w:proofErr w:type="gramEnd"/>
      <w:r>
        <w:rPr>
          <w:rFonts w:ascii="Arial" w:eastAsia="Times New Roman" w:hAnsi="Arial" w:cs="Arial"/>
          <w:color w:val="000000"/>
          <w:sz w:val="20"/>
          <w:szCs w:val="24"/>
          <w:lang w:val="en-GB"/>
        </w:rPr>
        <w:t xml:space="preserve"> provided and the second is what the price for such intra-group services would be for tax purposes in accordance with the arm’s length principle. </w:t>
      </w:r>
    </w:p>
    <w:p w14:paraId="62BA4570" w14:textId="77777777" w:rsidR="00666077" w:rsidRPr="00C91A50" w:rsidRDefault="00666077" w:rsidP="00430CD2">
      <w:pPr>
        <w:spacing w:line="260" w:lineRule="atLeast"/>
        <w:jc w:val="both"/>
        <w:rPr>
          <w:rFonts w:ascii="Arial" w:eastAsia="Times New Roman" w:hAnsi="Arial" w:cs="Arial"/>
          <w:color w:val="000000"/>
          <w:sz w:val="20"/>
          <w:szCs w:val="24"/>
        </w:rPr>
      </w:pPr>
    </w:p>
    <w:p w14:paraId="1F06CC41" w14:textId="77777777" w:rsidR="00666077" w:rsidRPr="00AA2C04" w:rsidRDefault="00666077" w:rsidP="00430CD2">
      <w:pPr>
        <w:tabs>
          <w:tab w:val="left" w:pos="1701"/>
        </w:tabs>
        <w:spacing w:line="260" w:lineRule="atLeast"/>
        <w:jc w:val="both"/>
        <w:rPr>
          <w:rFonts w:ascii="Arial" w:eastAsia="Times New Roman" w:hAnsi="Arial" w:cs="Arial"/>
          <w:sz w:val="20"/>
          <w:szCs w:val="20"/>
        </w:rPr>
      </w:pPr>
      <w:r>
        <w:rPr>
          <w:rFonts w:ascii="Arial" w:eastAsia="Times New Roman" w:hAnsi="Arial" w:cs="Arial"/>
          <w:color w:val="000000"/>
          <w:sz w:val="20"/>
          <w:szCs w:val="20"/>
          <w:lang w:val="en-GB"/>
        </w:rPr>
        <w:t>In determining whether services in a group have indeed been provided (paragraph 7.6 of the OECD Guidelines), it is crucial to assess</w:t>
      </w:r>
      <w:r>
        <w:rPr>
          <w:rFonts w:ascii="Arial" w:eastAsia="Times New Roman" w:hAnsi="Arial" w:cs="Arial"/>
          <w:sz w:val="20"/>
          <w:szCs w:val="20"/>
          <w:lang w:val="en-GB"/>
        </w:rPr>
        <w:t xml:space="preserve"> whether this activity provides a member of the group an economic or market value that improves its financial position. This can be determined by examining whether an independent enterprise would be willing to pay for such an activity in comparable circumstances if it were carried out by an independent enterprise or whether it would carry out such an activity on its own. If an activity is not one of the activities for which an independent enterprise would be willing to pay or willing to carry out on its own, it should not normally be considered to be an intra-group service provided in line with the arm’s length principle.</w:t>
      </w:r>
    </w:p>
    <w:p w14:paraId="62D6A909" w14:textId="77777777" w:rsidR="00666077" w:rsidRPr="00AA2C04" w:rsidRDefault="00666077" w:rsidP="00430CD2">
      <w:pPr>
        <w:tabs>
          <w:tab w:val="left" w:pos="1701"/>
        </w:tabs>
        <w:spacing w:line="260" w:lineRule="atLeast"/>
        <w:jc w:val="both"/>
        <w:rPr>
          <w:rFonts w:ascii="Arial" w:eastAsia="Times New Roman" w:hAnsi="Arial" w:cs="Arial"/>
          <w:color w:val="000000"/>
          <w:sz w:val="20"/>
          <w:szCs w:val="20"/>
        </w:rPr>
      </w:pPr>
    </w:p>
    <w:p w14:paraId="601FACCA" w14:textId="77777777" w:rsidR="00666077" w:rsidRDefault="00666077" w:rsidP="00430CD2">
      <w:pPr>
        <w:tabs>
          <w:tab w:val="left" w:pos="1701"/>
        </w:tabs>
        <w:spacing w:line="260" w:lineRule="atLeast"/>
        <w:jc w:val="both"/>
        <w:rPr>
          <w:rFonts w:ascii="Arial" w:eastAsia="Times New Roman" w:hAnsi="Arial" w:cs="Arial"/>
          <w:color w:val="000000"/>
          <w:sz w:val="20"/>
          <w:szCs w:val="20"/>
        </w:rPr>
      </w:pPr>
      <w:r>
        <w:rPr>
          <w:rFonts w:ascii="Arial" w:eastAsia="Times New Roman" w:hAnsi="Arial" w:cs="Arial"/>
          <w:color w:val="000000"/>
          <w:sz w:val="20"/>
          <w:szCs w:val="20"/>
          <w:lang w:val="en-GB"/>
        </w:rPr>
        <w:t>In general, an intra-group service should not take into account an activity that a group member performs for another group member and which only duplicates a service that another group member already performs on its own or has it performed for its own needs by another party (paragraph 7.11 of the OECD Guidelines).</w:t>
      </w:r>
    </w:p>
    <w:p w14:paraId="3A349827" w14:textId="77777777" w:rsidR="00430CD2" w:rsidRPr="00AA2C04" w:rsidRDefault="00430CD2" w:rsidP="00430CD2">
      <w:pPr>
        <w:tabs>
          <w:tab w:val="left" w:pos="1701"/>
        </w:tabs>
        <w:spacing w:line="260" w:lineRule="atLeast"/>
        <w:jc w:val="both"/>
        <w:rPr>
          <w:rFonts w:ascii="Arial" w:eastAsia="Times New Roman" w:hAnsi="Arial" w:cs="Arial"/>
          <w:color w:val="000000"/>
          <w:sz w:val="20"/>
          <w:szCs w:val="20"/>
        </w:rPr>
      </w:pPr>
    </w:p>
    <w:p w14:paraId="0EBDD0AF" w14:textId="77777777" w:rsidR="00D710A8" w:rsidRPr="00AA2C04" w:rsidRDefault="00D710A8" w:rsidP="00430CD2">
      <w:pPr>
        <w:spacing w:line="260" w:lineRule="atLeast"/>
        <w:jc w:val="both"/>
        <w:rPr>
          <w:rFonts w:ascii="Arial" w:eastAsia="Times New Roman" w:hAnsi="Arial" w:cs="Arial"/>
          <w:color w:val="000000"/>
          <w:sz w:val="20"/>
          <w:szCs w:val="24"/>
        </w:rPr>
      </w:pPr>
    </w:p>
    <w:p w14:paraId="22FB8C1D" w14:textId="77777777" w:rsidR="00666077" w:rsidRPr="00C761FB" w:rsidRDefault="003E424F" w:rsidP="00430CD2">
      <w:pPr>
        <w:pStyle w:val="Naslov3"/>
        <w:spacing w:before="0" w:after="0"/>
        <w:rPr>
          <w:rFonts w:cs="Arial"/>
          <w:b w:val="0"/>
        </w:rPr>
      </w:pPr>
      <w:bookmarkStart w:id="30" w:name="_Toc103257441"/>
      <w:r>
        <w:rPr>
          <w:rFonts w:cs="Arial"/>
          <w:lang w:val="en-GB"/>
        </w:rPr>
        <w:t>2.5.1 LOW VALUE-ADDED SERVICES</w:t>
      </w:r>
      <w:bookmarkEnd w:id="30"/>
    </w:p>
    <w:p w14:paraId="273AF367" w14:textId="77777777" w:rsidR="00666077" w:rsidRPr="00904D3B" w:rsidRDefault="00666077" w:rsidP="00430CD2">
      <w:pPr>
        <w:spacing w:line="260" w:lineRule="atLeast"/>
        <w:jc w:val="both"/>
        <w:rPr>
          <w:rFonts w:ascii="Arial" w:eastAsia="Times New Roman" w:hAnsi="Arial" w:cs="Arial"/>
          <w:sz w:val="20"/>
          <w:szCs w:val="24"/>
        </w:rPr>
      </w:pPr>
    </w:p>
    <w:p w14:paraId="1B98791B" w14:textId="77777777" w:rsidR="00666077" w:rsidRPr="00904D3B" w:rsidRDefault="00666077" w:rsidP="00430CD2">
      <w:pPr>
        <w:spacing w:line="260" w:lineRule="atLeast"/>
        <w:jc w:val="both"/>
        <w:rPr>
          <w:rFonts w:ascii="Arial" w:eastAsia="Times New Roman" w:hAnsi="Arial" w:cs="Arial"/>
          <w:sz w:val="20"/>
          <w:szCs w:val="24"/>
        </w:rPr>
      </w:pPr>
      <w:r>
        <w:rPr>
          <w:rFonts w:ascii="Arial" w:eastAsia="Times New Roman" w:hAnsi="Arial" w:cs="Arial"/>
          <w:sz w:val="20"/>
          <w:szCs w:val="24"/>
          <w:lang w:val="en-GB"/>
        </w:rPr>
        <w:t>With the amendments to the OECD Guidelines of July 2017, the Guidelines defined the treatment of low value-added services (paragraphs 7.43 to 7.65). These services should be considered from the point of view of both the recipient and the associated enterprise providing these services. They are characterised by the fact that they have a supporting function, that no unique and valuable knowledge or intangible asset is used in their performance, and that their use does not lead to the creation of an intangible asset. The provision of these services is also not related to the acceptance or creation of significant risks. Moreover, services are not charged to independent customers.</w:t>
      </w:r>
    </w:p>
    <w:p w14:paraId="436ACD9C" w14:textId="77777777" w:rsidR="00666077" w:rsidRPr="00904D3B" w:rsidRDefault="00666077" w:rsidP="00430CD2">
      <w:pPr>
        <w:spacing w:line="260" w:lineRule="atLeast"/>
        <w:jc w:val="both"/>
        <w:rPr>
          <w:rFonts w:ascii="Arial" w:eastAsia="Times New Roman" w:hAnsi="Arial" w:cs="Arial"/>
          <w:sz w:val="16"/>
          <w:szCs w:val="16"/>
        </w:rPr>
      </w:pPr>
    </w:p>
    <w:p w14:paraId="735EBA7A" w14:textId="77777777" w:rsidR="00666077" w:rsidRPr="00904D3B" w:rsidRDefault="00666077" w:rsidP="00430CD2">
      <w:pPr>
        <w:spacing w:line="260" w:lineRule="atLeast"/>
        <w:jc w:val="both"/>
        <w:rPr>
          <w:rFonts w:ascii="Arial" w:eastAsia="Times New Roman" w:hAnsi="Arial" w:cs="Arial"/>
          <w:sz w:val="20"/>
          <w:szCs w:val="24"/>
        </w:rPr>
      </w:pPr>
      <w:r>
        <w:rPr>
          <w:rFonts w:ascii="Arial" w:eastAsia="Times New Roman" w:hAnsi="Arial" w:cs="Arial"/>
          <w:sz w:val="20"/>
          <w:szCs w:val="24"/>
          <w:lang w:val="en-GB"/>
        </w:rPr>
        <w:t>However, low value-added services do not include, for example, the main activity of a multinational enterprise group, research and development, production, sales, marketing, distribution, financial transactions, insurance and reinsurance transactions, company management services, extraction and research, or the processing of natural resources.</w:t>
      </w:r>
    </w:p>
    <w:p w14:paraId="1424CE3D" w14:textId="77777777" w:rsidR="00666077" w:rsidRPr="00904D3B" w:rsidRDefault="00666077" w:rsidP="00430CD2">
      <w:pPr>
        <w:spacing w:line="260" w:lineRule="atLeast"/>
        <w:jc w:val="both"/>
        <w:rPr>
          <w:rFonts w:ascii="Arial" w:eastAsia="Times New Roman" w:hAnsi="Arial" w:cs="Arial"/>
          <w:sz w:val="16"/>
          <w:szCs w:val="16"/>
        </w:rPr>
      </w:pPr>
    </w:p>
    <w:p w14:paraId="6308ADA2" w14:textId="77777777" w:rsidR="00666077" w:rsidRDefault="00666077" w:rsidP="00430CD2">
      <w:pPr>
        <w:spacing w:line="260" w:lineRule="atLeast"/>
        <w:jc w:val="both"/>
        <w:rPr>
          <w:rFonts w:ascii="Arial" w:eastAsia="Times New Roman" w:hAnsi="Arial" w:cs="Arial"/>
          <w:sz w:val="20"/>
          <w:szCs w:val="24"/>
        </w:rPr>
      </w:pPr>
      <w:r>
        <w:rPr>
          <w:rFonts w:ascii="Arial" w:eastAsia="Times New Roman" w:hAnsi="Arial" w:cs="Arial"/>
          <w:sz w:val="20"/>
          <w:szCs w:val="24"/>
          <w:lang w:val="en-GB"/>
        </w:rPr>
        <w:t>Paragraph 7.49 of the OECD Guidelines provide examples of services that could suit the definition of low value-added services:</w:t>
      </w:r>
    </w:p>
    <w:p w14:paraId="5EFA17E3" w14:textId="77777777" w:rsidR="0005289E" w:rsidRPr="004F2499" w:rsidRDefault="0005289E" w:rsidP="00430CD2">
      <w:pPr>
        <w:spacing w:line="260" w:lineRule="atLeast"/>
        <w:jc w:val="both"/>
        <w:rPr>
          <w:rFonts w:ascii="Arial" w:eastAsia="Times New Roman" w:hAnsi="Arial" w:cs="Arial"/>
          <w:sz w:val="10"/>
          <w:szCs w:val="10"/>
        </w:rPr>
      </w:pPr>
    </w:p>
    <w:p w14:paraId="3B7338DB" w14:textId="77777777" w:rsidR="00666077" w:rsidRPr="00904D3B" w:rsidRDefault="00666077" w:rsidP="00430CD2">
      <w:pPr>
        <w:numPr>
          <w:ilvl w:val="0"/>
          <w:numId w:val="29"/>
        </w:numPr>
        <w:spacing w:line="260" w:lineRule="atLeast"/>
        <w:ind w:left="284" w:hanging="284"/>
        <w:jc w:val="both"/>
        <w:rPr>
          <w:rFonts w:ascii="Arial" w:eastAsia="Times New Roman" w:hAnsi="Arial" w:cs="Arial"/>
          <w:sz w:val="20"/>
          <w:szCs w:val="24"/>
        </w:rPr>
      </w:pPr>
      <w:r>
        <w:rPr>
          <w:rFonts w:ascii="Arial" w:eastAsia="Times New Roman" w:hAnsi="Arial" w:cs="Arial"/>
          <w:b/>
          <w:bCs/>
          <w:sz w:val="20"/>
          <w:szCs w:val="20"/>
          <w:lang w:val="en-GB"/>
        </w:rPr>
        <w:t>accounting and auditing,</w:t>
      </w:r>
      <w:r>
        <w:rPr>
          <w:rFonts w:ascii="Arial" w:eastAsia="Times New Roman" w:hAnsi="Arial" w:cs="Arial"/>
          <w:sz w:val="20"/>
          <w:szCs w:val="20"/>
          <w:lang w:val="en-GB"/>
        </w:rPr>
        <w:t xml:space="preserve"> such as collecting and reviewing the information to be used in financial statements, keeping financial records, preparing financial statements, preparing or assisting with operational and financial audits, verifying the authenticity and reliability of accounting records, and assisting in drafting a plan by processing data and collecting information;</w:t>
      </w:r>
    </w:p>
    <w:p w14:paraId="4E58F7C8" w14:textId="77777777" w:rsidR="00666077" w:rsidRPr="00904D3B" w:rsidRDefault="00666077" w:rsidP="00430CD2">
      <w:pPr>
        <w:numPr>
          <w:ilvl w:val="0"/>
          <w:numId w:val="29"/>
        </w:numPr>
        <w:spacing w:line="260" w:lineRule="atLeast"/>
        <w:ind w:left="284" w:hanging="284"/>
        <w:jc w:val="both"/>
        <w:rPr>
          <w:rFonts w:ascii="Arial" w:eastAsia="Times New Roman" w:hAnsi="Arial" w:cs="Arial"/>
          <w:sz w:val="20"/>
          <w:szCs w:val="24"/>
        </w:rPr>
      </w:pPr>
      <w:r>
        <w:rPr>
          <w:rFonts w:ascii="Arial" w:eastAsia="Times New Roman" w:hAnsi="Arial" w:cs="Arial"/>
          <w:b/>
          <w:bCs/>
          <w:sz w:val="20"/>
          <w:szCs w:val="20"/>
          <w:lang w:val="en-GB"/>
        </w:rPr>
        <w:t>processing and managing accounts receivable and accounts payable</w:t>
      </w:r>
      <w:r>
        <w:rPr>
          <w:rFonts w:ascii="Arial" w:eastAsia="Times New Roman" w:hAnsi="Arial" w:cs="Arial"/>
          <w:sz w:val="20"/>
          <w:szCs w:val="20"/>
          <w:lang w:val="en-GB"/>
        </w:rPr>
        <w:t xml:space="preserve">, such as collecting customer data and processing and verifying their credit </w:t>
      </w:r>
      <w:proofErr w:type="gramStart"/>
      <w:r>
        <w:rPr>
          <w:rFonts w:ascii="Arial" w:eastAsia="Times New Roman" w:hAnsi="Arial" w:cs="Arial"/>
          <w:sz w:val="20"/>
          <w:szCs w:val="20"/>
          <w:lang w:val="en-GB"/>
        </w:rPr>
        <w:t>rating;</w:t>
      </w:r>
      <w:proofErr w:type="gramEnd"/>
    </w:p>
    <w:p w14:paraId="4626A5C6" w14:textId="77777777" w:rsidR="00666077" w:rsidRPr="00904D3B" w:rsidRDefault="00666077" w:rsidP="00430CD2">
      <w:pPr>
        <w:numPr>
          <w:ilvl w:val="0"/>
          <w:numId w:val="29"/>
        </w:numPr>
        <w:spacing w:line="260" w:lineRule="atLeast"/>
        <w:ind w:left="284" w:hanging="284"/>
        <w:jc w:val="both"/>
        <w:rPr>
          <w:rFonts w:ascii="Arial" w:eastAsia="Times New Roman" w:hAnsi="Arial" w:cs="Arial"/>
          <w:sz w:val="20"/>
          <w:szCs w:val="24"/>
        </w:rPr>
      </w:pPr>
      <w:r>
        <w:rPr>
          <w:rFonts w:ascii="Arial" w:eastAsia="Times New Roman" w:hAnsi="Arial" w:cs="Arial"/>
          <w:b/>
          <w:bCs/>
          <w:sz w:val="20"/>
          <w:szCs w:val="20"/>
          <w:lang w:val="en-GB"/>
        </w:rPr>
        <w:t>human resource activities,</w:t>
      </w:r>
      <w:r>
        <w:rPr>
          <w:rFonts w:ascii="Arial" w:eastAsia="Times New Roman" w:hAnsi="Arial" w:cs="Arial"/>
          <w:sz w:val="20"/>
          <w:szCs w:val="20"/>
          <w:lang w:val="en-GB"/>
        </w:rPr>
        <w:t xml:space="preserve"> such as staffing and recruitment (e.g. recruitment procedures, assistance in assessing and selecting candidates, staff appointment, recruitment, performance appraisal and career guidance, assistance with redundancy programmes); the training and development of employees (e.g. the assessment of training needs, the shaping of internal training and programme development, the creation of management skills and career development programmes); wage policy services (e.g. consulting and devising wage policies and bonuses for employees, such as healthcare and life insurance, share option plans and pension schemes; attendance and working hour checks, payroll services, including processing and tax consulting); the development and monitoring of data related to health, safety, environmental and other standards concerning employees and the working environment;</w:t>
      </w:r>
    </w:p>
    <w:p w14:paraId="53B268E8" w14:textId="77777777" w:rsidR="00666077" w:rsidRPr="00904D3B" w:rsidRDefault="00666077" w:rsidP="00430CD2">
      <w:pPr>
        <w:numPr>
          <w:ilvl w:val="0"/>
          <w:numId w:val="29"/>
        </w:numPr>
        <w:spacing w:line="260" w:lineRule="atLeast"/>
        <w:ind w:left="284" w:hanging="284"/>
        <w:jc w:val="both"/>
        <w:rPr>
          <w:rFonts w:ascii="Arial" w:eastAsia="Times New Roman" w:hAnsi="Arial" w:cs="Arial"/>
          <w:sz w:val="20"/>
          <w:szCs w:val="24"/>
        </w:rPr>
      </w:pPr>
      <w:r>
        <w:rPr>
          <w:rFonts w:ascii="Arial" w:eastAsia="Times New Roman" w:hAnsi="Arial" w:cs="Arial"/>
          <w:b/>
          <w:bCs/>
          <w:sz w:val="20"/>
          <w:szCs w:val="20"/>
          <w:lang w:val="en-GB"/>
        </w:rPr>
        <w:t xml:space="preserve">monitoring and collecting data relating to health, safety, environmental and other standards governing </w:t>
      </w:r>
      <w:proofErr w:type="gramStart"/>
      <w:r>
        <w:rPr>
          <w:rFonts w:ascii="Arial" w:eastAsia="Times New Roman" w:hAnsi="Arial" w:cs="Arial"/>
          <w:b/>
          <w:bCs/>
          <w:sz w:val="20"/>
          <w:szCs w:val="20"/>
          <w:lang w:val="en-GB"/>
        </w:rPr>
        <w:t>business;</w:t>
      </w:r>
      <w:proofErr w:type="gramEnd"/>
      <w:r>
        <w:rPr>
          <w:rFonts w:ascii="Arial" w:eastAsia="Times New Roman" w:hAnsi="Arial" w:cs="Arial"/>
          <w:sz w:val="20"/>
          <w:szCs w:val="20"/>
          <w:lang w:val="en-GB"/>
        </w:rPr>
        <w:t xml:space="preserve"> </w:t>
      </w:r>
    </w:p>
    <w:p w14:paraId="7E6F6D29" w14:textId="77777777" w:rsidR="00666077" w:rsidRPr="00904D3B" w:rsidRDefault="00666077" w:rsidP="00430CD2">
      <w:pPr>
        <w:numPr>
          <w:ilvl w:val="0"/>
          <w:numId w:val="29"/>
        </w:numPr>
        <w:spacing w:line="260" w:lineRule="atLeast"/>
        <w:ind w:left="284" w:hanging="284"/>
        <w:jc w:val="both"/>
        <w:rPr>
          <w:rFonts w:ascii="Arial" w:eastAsia="Times New Roman" w:hAnsi="Arial" w:cs="Arial"/>
          <w:sz w:val="20"/>
          <w:szCs w:val="24"/>
        </w:rPr>
      </w:pPr>
      <w:r>
        <w:rPr>
          <w:rFonts w:ascii="Arial" w:eastAsia="Times New Roman" w:hAnsi="Arial" w:cs="Arial"/>
          <w:b/>
          <w:bCs/>
          <w:sz w:val="20"/>
          <w:szCs w:val="20"/>
          <w:lang w:val="en-GB"/>
        </w:rPr>
        <w:t>information technology services,</w:t>
      </w:r>
      <w:r>
        <w:rPr>
          <w:rFonts w:ascii="Arial" w:eastAsia="Times New Roman" w:hAnsi="Arial" w:cs="Arial"/>
          <w:sz w:val="20"/>
          <w:szCs w:val="20"/>
          <w:lang w:val="en-GB"/>
        </w:rPr>
        <w:t xml:space="preserve"> if not part of the core business of the group, such as the installation, maintenance and updating of information systems used in the enterprise; information support (which may include an information system used in connection with accounting, production, customer relations, human resources, payment systems, e-mail); training on the use of information systems and related equipment used for the collection, processing and presentation of information; the development of guidelines for information technology, the provision of telecommunications services, the organisation of information services to help users, the implementation and maintenance of information technology security systems; network support, maintenance and control (the local area network, broadband network, and the Internet);</w:t>
      </w:r>
    </w:p>
    <w:p w14:paraId="13BBB8C8" w14:textId="77777777" w:rsidR="00666077" w:rsidRPr="00904D3B" w:rsidRDefault="00666077" w:rsidP="00430CD2">
      <w:pPr>
        <w:numPr>
          <w:ilvl w:val="0"/>
          <w:numId w:val="29"/>
        </w:numPr>
        <w:spacing w:line="260" w:lineRule="atLeast"/>
        <w:ind w:left="284" w:hanging="284"/>
        <w:jc w:val="both"/>
        <w:rPr>
          <w:rFonts w:ascii="Arial" w:eastAsia="Times New Roman" w:hAnsi="Arial" w:cs="Arial"/>
          <w:sz w:val="20"/>
          <w:szCs w:val="24"/>
        </w:rPr>
      </w:pPr>
      <w:r>
        <w:rPr>
          <w:rFonts w:ascii="Arial" w:eastAsia="Times New Roman" w:hAnsi="Arial" w:cs="Arial"/>
          <w:b/>
          <w:bCs/>
          <w:sz w:val="20"/>
          <w:szCs w:val="20"/>
          <w:lang w:val="en-GB"/>
        </w:rPr>
        <w:t>internal and external communication and public relations support</w:t>
      </w:r>
      <w:r>
        <w:rPr>
          <w:rFonts w:ascii="Arial" w:eastAsia="Times New Roman" w:hAnsi="Arial" w:cs="Arial"/>
          <w:sz w:val="20"/>
          <w:szCs w:val="20"/>
          <w:lang w:val="en-GB"/>
        </w:rPr>
        <w:t xml:space="preserve"> (but without specific advertising or marketing activities, such as the development of basic strategies</w:t>
      </w:r>
      <w:proofErr w:type="gramStart"/>
      <w:r>
        <w:rPr>
          <w:rFonts w:ascii="Arial" w:eastAsia="Times New Roman" w:hAnsi="Arial" w:cs="Arial"/>
          <w:sz w:val="20"/>
          <w:szCs w:val="20"/>
          <w:lang w:val="en-GB"/>
        </w:rPr>
        <w:t>);</w:t>
      </w:r>
      <w:proofErr w:type="gramEnd"/>
    </w:p>
    <w:p w14:paraId="23AC7FF0" w14:textId="77777777" w:rsidR="00666077" w:rsidRPr="00904D3B" w:rsidRDefault="00666077" w:rsidP="00430CD2">
      <w:pPr>
        <w:numPr>
          <w:ilvl w:val="0"/>
          <w:numId w:val="29"/>
        </w:numPr>
        <w:spacing w:line="260" w:lineRule="atLeast"/>
        <w:ind w:left="284" w:hanging="284"/>
        <w:jc w:val="both"/>
        <w:rPr>
          <w:rFonts w:ascii="Arial" w:eastAsia="Times New Roman" w:hAnsi="Arial" w:cs="Arial"/>
          <w:sz w:val="20"/>
          <w:szCs w:val="24"/>
        </w:rPr>
      </w:pPr>
      <w:r>
        <w:rPr>
          <w:rFonts w:ascii="Arial" w:eastAsia="Times New Roman" w:hAnsi="Arial" w:cs="Arial"/>
          <w:b/>
          <w:bCs/>
          <w:sz w:val="20"/>
          <w:szCs w:val="20"/>
          <w:lang w:val="en-GB"/>
        </w:rPr>
        <w:t xml:space="preserve">legal services, </w:t>
      </w:r>
      <w:r>
        <w:rPr>
          <w:rFonts w:ascii="Arial" w:eastAsia="Times New Roman" w:hAnsi="Arial" w:cs="Arial"/>
          <w:sz w:val="20"/>
          <w:szCs w:val="20"/>
          <w:lang w:val="en-GB"/>
        </w:rPr>
        <w:t>such as general legal services provided by international legal advisers employed by a multinational company group, including the drafting and reviewing of contracts, various agreements and other legal documents, legal advice and opinions, representing companies in litigation, arbitration and administrative proceedings, and legal and administrative work involving the registration and protection of intangible assets;</w:t>
      </w:r>
    </w:p>
    <w:p w14:paraId="2BB4E544" w14:textId="77777777" w:rsidR="00666077" w:rsidRPr="00904D3B" w:rsidRDefault="00666077" w:rsidP="00430CD2">
      <w:pPr>
        <w:numPr>
          <w:ilvl w:val="0"/>
          <w:numId w:val="29"/>
        </w:numPr>
        <w:spacing w:line="260" w:lineRule="atLeast"/>
        <w:ind w:left="284" w:hanging="284"/>
        <w:jc w:val="both"/>
        <w:rPr>
          <w:rFonts w:ascii="Arial" w:eastAsia="Times New Roman" w:hAnsi="Arial" w:cs="Arial"/>
          <w:sz w:val="20"/>
          <w:szCs w:val="24"/>
        </w:rPr>
      </w:pPr>
      <w:r>
        <w:rPr>
          <w:rFonts w:ascii="Arial" w:eastAsia="Times New Roman" w:hAnsi="Arial" w:cs="Arial"/>
          <w:b/>
          <w:bCs/>
          <w:sz w:val="20"/>
          <w:szCs w:val="20"/>
          <w:lang w:val="en-GB"/>
        </w:rPr>
        <w:t>activities related to tax liabilities,</w:t>
      </w:r>
      <w:r>
        <w:rPr>
          <w:rFonts w:ascii="Arial" w:eastAsia="Times New Roman" w:hAnsi="Arial" w:cs="Arial"/>
          <w:sz w:val="20"/>
          <w:szCs w:val="20"/>
          <w:lang w:val="en-GB"/>
        </w:rPr>
        <w:t xml:space="preserve"> such as collecting information and preparing tax returns (personal income tax, income tax, sales tax, VAT, property tax, customs and excise duties), paying taxes, cooperating in auditing tax administrations and advising on tax </w:t>
      </w:r>
      <w:proofErr w:type="gramStart"/>
      <w:r>
        <w:rPr>
          <w:rFonts w:ascii="Arial" w:eastAsia="Times New Roman" w:hAnsi="Arial" w:cs="Arial"/>
          <w:sz w:val="20"/>
          <w:szCs w:val="20"/>
          <w:lang w:val="en-GB"/>
        </w:rPr>
        <w:t>matters;</w:t>
      </w:r>
      <w:proofErr w:type="gramEnd"/>
    </w:p>
    <w:p w14:paraId="55CC3BB1" w14:textId="77777777" w:rsidR="00666077" w:rsidRPr="00904D3B" w:rsidRDefault="00666077" w:rsidP="00430CD2">
      <w:pPr>
        <w:numPr>
          <w:ilvl w:val="0"/>
          <w:numId w:val="29"/>
        </w:numPr>
        <w:spacing w:line="260" w:lineRule="atLeast"/>
        <w:ind w:left="284" w:hanging="284"/>
        <w:jc w:val="both"/>
        <w:rPr>
          <w:rFonts w:ascii="Arial" w:eastAsia="Times New Roman" w:hAnsi="Arial" w:cs="Arial"/>
          <w:sz w:val="20"/>
          <w:szCs w:val="24"/>
        </w:rPr>
      </w:pPr>
      <w:r>
        <w:rPr>
          <w:rFonts w:ascii="Arial" w:eastAsia="Times New Roman" w:hAnsi="Arial" w:cs="Arial"/>
          <w:b/>
          <w:bCs/>
          <w:sz w:val="20"/>
          <w:szCs w:val="20"/>
          <w:lang w:val="en-GB"/>
        </w:rPr>
        <w:t>general administrative or clerical services.</w:t>
      </w:r>
      <w:r>
        <w:rPr>
          <w:rFonts w:ascii="Arial" w:eastAsia="Times New Roman" w:hAnsi="Arial" w:cs="Arial"/>
          <w:sz w:val="20"/>
          <w:szCs w:val="20"/>
          <w:lang w:val="en-GB"/>
        </w:rPr>
        <w:t xml:space="preserve"> </w:t>
      </w:r>
    </w:p>
    <w:p w14:paraId="171AD4E9" w14:textId="77777777" w:rsidR="00666077" w:rsidRPr="00904D3B" w:rsidRDefault="00666077" w:rsidP="00430CD2">
      <w:pPr>
        <w:spacing w:line="260" w:lineRule="atLeast"/>
        <w:jc w:val="both"/>
        <w:rPr>
          <w:rFonts w:ascii="Arial" w:eastAsia="Times New Roman" w:hAnsi="Arial" w:cs="Arial"/>
          <w:sz w:val="16"/>
          <w:szCs w:val="16"/>
        </w:rPr>
      </w:pPr>
    </w:p>
    <w:p w14:paraId="7B66BFCA" w14:textId="29DFD485" w:rsidR="00666077" w:rsidRPr="00904D3B" w:rsidRDefault="00666077" w:rsidP="00430CD2">
      <w:pPr>
        <w:spacing w:line="260" w:lineRule="atLeast"/>
        <w:jc w:val="both"/>
        <w:rPr>
          <w:rFonts w:ascii="Arial" w:eastAsia="Times New Roman" w:hAnsi="Arial" w:cs="Arial"/>
          <w:sz w:val="20"/>
          <w:szCs w:val="24"/>
        </w:rPr>
      </w:pPr>
      <w:r>
        <w:rPr>
          <w:rFonts w:ascii="Arial" w:eastAsia="Times New Roman" w:hAnsi="Arial" w:cs="Arial"/>
          <w:sz w:val="20"/>
          <w:szCs w:val="24"/>
          <w:lang w:val="en-GB"/>
        </w:rPr>
        <w:t xml:space="preserve">The OECD Transfer Pricing Guidelines provide for a simplified pricing approach in line with the arm’s length principle for the </w:t>
      </w:r>
      <w:proofErr w:type="gramStart"/>
      <w:r>
        <w:rPr>
          <w:rFonts w:ascii="Arial" w:eastAsia="Times New Roman" w:hAnsi="Arial" w:cs="Arial"/>
          <w:sz w:val="20"/>
          <w:szCs w:val="24"/>
          <w:lang w:val="en-GB"/>
        </w:rPr>
        <w:t>aforementioned services</w:t>
      </w:r>
      <w:proofErr w:type="gramEnd"/>
      <w:r>
        <w:rPr>
          <w:rFonts w:ascii="Arial" w:eastAsia="Times New Roman" w:hAnsi="Arial" w:cs="Arial"/>
          <w:sz w:val="20"/>
          <w:szCs w:val="24"/>
          <w:lang w:val="en-GB"/>
        </w:rPr>
        <w:t xml:space="preserve">. When setting a price for low value-added services in accordance with the arm’s length principle, the service provider must charge a </w:t>
      </w:r>
      <w:r w:rsidR="003D06D8">
        <w:rPr>
          <w:rFonts w:ascii="Arial" w:eastAsia="Times New Roman" w:hAnsi="Arial" w:cs="Arial"/>
          <w:sz w:val="20"/>
          <w:szCs w:val="24"/>
          <w:lang w:val="en-GB"/>
        </w:rPr>
        <w:t>mark-up</w:t>
      </w:r>
      <w:r>
        <w:rPr>
          <w:rFonts w:ascii="Arial" w:eastAsia="Times New Roman" w:hAnsi="Arial" w:cs="Arial"/>
          <w:sz w:val="20"/>
          <w:szCs w:val="24"/>
          <w:lang w:val="en-GB"/>
        </w:rPr>
        <w:t xml:space="preserve"> </w:t>
      </w:r>
      <w:r w:rsidR="0026109F">
        <w:rPr>
          <w:rFonts w:ascii="Arial" w:eastAsia="Times New Roman" w:hAnsi="Arial" w:cs="Arial"/>
          <w:sz w:val="20"/>
          <w:szCs w:val="24"/>
          <w:lang w:val="en-GB"/>
        </w:rPr>
        <w:t>on</w:t>
      </w:r>
      <w:r>
        <w:rPr>
          <w:rFonts w:ascii="Arial" w:eastAsia="Times New Roman" w:hAnsi="Arial" w:cs="Arial"/>
          <w:sz w:val="20"/>
          <w:szCs w:val="24"/>
          <w:lang w:val="en-GB"/>
        </w:rPr>
        <w:t xml:space="preserve"> all costs (excluding the costs that a company merely re-invoices and are defined in paragraph 2.99 and 7.34 of the OECD Guidelines). The same surcharge on costs should apply to all low value-added services regardless of the service category. According to the OECD Guidelines, the surcharge should be </w:t>
      </w:r>
      <w:r>
        <w:rPr>
          <w:rFonts w:ascii="Arial" w:eastAsia="Times New Roman" w:hAnsi="Arial" w:cs="Arial"/>
          <w:b/>
          <w:bCs/>
          <w:sz w:val="20"/>
          <w:szCs w:val="24"/>
          <w:lang w:val="en-GB"/>
        </w:rPr>
        <w:t>5% on an appropriate cost basis</w:t>
      </w:r>
      <w:r>
        <w:rPr>
          <w:rFonts w:ascii="Arial" w:eastAsia="Times New Roman" w:hAnsi="Arial" w:cs="Arial"/>
          <w:sz w:val="20"/>
          <w:szCs w:val="24"/>
          <w:lang w:val="en-GB"/>
        </w:rPr>
        <w:t xml:space="preserve"> and, as provided for in the simplified approach, the taxable person does not have to prove it through a comparability analysis procedure. However, the taxable person must provide sufficient evidence in the transfer pricing documents that the utility test has shown that the services in question </w:t>
      </w:r>
      <w:proofErr w:type="gramStart"/>
      <w:r>
        <w:rPr>
          <w:rFonts w:ascii="Arial" w:eastAsia="Times New Roman" w:hAnsi="Arial" w:cs="Arial"/>
          <w:sz w:val="20"/>
          <w:szCs w:val="24"/>
          <w:lang w:val="en-GB"/>
        </w:rPr>
        <w:t>actually have</w:t>
      </w:r>
      <w:proofErr w:type="gramEnd"/>
      <w:r>
        <w:rPr>
          <w:rFonts w:ascii="Arial" w:eastAsia="Times New Roman" w:hAnsi="Arial" w:cs="Arial"/>
          <w:sz w:val="20"/>
          <w:szCs w:val="24"/>
          <w:lang w:val="en-GB"/>
        </w:rPr>
        <w:t xml:space="preserve"> the characteristics of low value-added services.</w:t>
      </w:r>
    </w:p>
    <w:p w14:paraId="2FD89DB9" w14:textId="77777777" w:rsidR="00464121" w:rsidRDefault="00464121" w:rsidP="00430CD2">
      <w:pPr>
        <w:spacing w:line="260" w:lineRule="atLeast"/>
        <w:jc w:val="both"/>
        <w:rPr>
          <w:rFonts w:ascii="Arial" w:eastAsia="Times New Roman" w:hAnsi="Arial" w:cs="Arial"/>
          <w:sz w:val="16"/>
          <w:szCs w:val="16"/>
        </w:rPr>
      </w:pPr>
    </w:p>
    <w:p w14:paraId="24278711" w14:textId="77777777" w:rsidR="00666664" w:rsidRDefault="00666664" w:rsidP="00430CD2">
      <w:pPr>
        <w:spacing w:line="260" w:lineRule="atLeast"/>
        <w:jc w:val="both"/>
        <w:rPr>
          <w:rFonts w:ascii="Arial" w:eastAsia="Times New Roman" w:hAnsi="Arial" w:cs="Arial"/>
          <w:sz w:val="16"/>
          <w:szCs w:val="16"/>
        </w:rPr>
      </w:pPr>
    </w:p>
    <w:p w14:paraId="1B756E3F" w14:textId="77777777" w:rsidR="00070888" w:rsidRPr="001F2D24" w:rsidRDefault="00070888" w:rsidP="00430CD2">
      <w:pPr>
        <w:pStyle w:val="Naslov1"/>
        <w:spacing w:line="260" w:lineRule="atLeast"/>
        <w:rPr>
          <w:szCs w:val="24"/>
        </w:rPr>
      </w:pPr>
      <w:bookmarkStart w:id="31" w:name="_Toc103257442"/>
      <w:bookmarkEnd w:id="8"/>
      <w:bookmarkEnd w:id="9"/>
      <w:bookmarkEnd w:id="10"/>
      <w:bookmarkEnd w:id="11"/>
      <w:bookmarkEnd w:id="12"/>
      <w:bookmarkEnd w:id="13"/>
      <w:r>
        <w:rPr>
          <w:bCs/>
          <w:szCs w:val="24"/>
          <w:lang w:val="en-GB"/>
        </w:rPr>
        <w:t>3. PROCEDURES FOR ELIMINATING DOUBLE TAXATION</w:t>
      </w:r>
      <w:bookmarkEnd w:id="31"/>
    </w:p>
    <w:p w14:paraId="03131CEA" w14:textId="77777777" w:rsidR="001A7369" w:rsidRPr="004F2499" w:rsidRDefault="001A7369" w:rsidP="00430CD2">
      <w:pPr>
        <w:spacing w:line="260" w:lineRule="atLeast"/>
        <w:rPr>
          <w:rFonts w:ascii="Arial" w:hAnsi="Arial" w:cs="Arial"/>
          <w:sz w:val="20"/>
        </w:rPr>
      </w:pPr>
    </w:p>
    <w:p w14:paraId="0F48EF10" w14:textId="77777777" w:rsidR="00666664" w:rsidRPr="004F2499" w:rsidRDefault="00666664" w:rsidP="00430CD2">
      <w:pPr>
        <w:spacing w:line="260" w:lineRule="atLeast"/>
        <w:rPr>
          <w:rFonts w:ascii="Arial" w:hAnsi="Arial" w:cs="Arial"/>
          <w:sz w:val="20"/>
        </w:rPr>
      </w:pPr>
    </w:p>
    <w:p w14:paraId="7C07F92D" w14:textId="77777777" w:rsidR="001A7369" w:rsidRPr="00A21DB3" w:rsidRDefault="006B1DC8" w:rsidP="00430CD2">
      <w:pPr>
        <w:pStyle w:val="Naslov2"/>
        <w:spacing w:before="0" w:after="0"/>
        <w:ind w:left="426" w:hanging="426"/>
        <w:rPr>
          <w:b w:val="0"/>
          <w:bCs w:val="0"/>
        </w:rPr>
      </w:pPr>
      <w:bookmarkStart w:id="32" w:name="_Toc53399859"/>
      <w:bookmarkStart w:id="33" w:name="_Toc103257443"/>
      <w:r>
        <w:rPr>
          <w:iCs w:val="0"/>
          <w:lang w:val="en-GB"/>
        </w:rPr>
        <w:t>3.1 THE MUTUAL AGREEMENT PROCEDURE FOR ELIMINATING DOUBLE TAXATION (MAP)</w:t>
      </w:r>
      <w:bookmarkEnd w:id="32"/>
      <w:bookmarkEnd w:id="33"/>
    </w:p>
    <w:p w14:paraId="58EF2550" w14:textId="77777777" w:rsidR="001A7369" w:rsidRPr="001A7369" w:rsidRDefault="001A7369" w:rsidP="00430CD2">
      <w:pPr>
        <w:pStyle w:val="Brezrazmikov"/>
        <w:spacing w:line="260" w:lineRule="atLeast"/>
      </w:pPr>
    </w:p>
    <w:p w14:paraId="6977528A" w14:textId="77777777" w:rsidR="001A7369" w:rsidRPr="001A7369" w:rsidRDefault="00C33766" w:rsidP="00430CD2">
      <w:pPr>
        <w:spacing w:line="260" w:lineRule="atLeast"/>
        <w:jc w:val="both"/>
        <w:rPr>
          <w:rFonts w:ascii="Arial" w:eastAsia="Times New Roman" w:hAnsi="Arial" w:cs="Arial"/>
          <w:sz w:val="20"/>
          <w:szCs w:val="24"/>
        </w:rPr>
      </w:pPr>
      <w:r>
        <w:rPr>
          <w:rFonts w:ascii="Arial" w:eastAsia="Times New Roman" w:hAnsi="Arial" w:cs="Arial"/>
          <w:sz w:val="20"/>
          <w:szCs w:val="24"/>
          <w:lang w:val="en-GB"/>
        </w:rPr>
        <w:t>In the event that a taxable person does not agree with the adjustment of the tax base due to the transfer prices in the tax audit procedure, a taxable person may, notwithstanding the legal remedies provided by national law, initiate a mutual agreement procedure pursuant to an international treaty that is binding on Slovenia. Thus, a taxable person who is considered a resident of the Republic of Slovenia and who considers that the decisions or actions of a tax authority or tax authority of another state have caused taxation that is not in accordance with an international treaty may submit a written request to FURS to initiate a mutual agreement procedure with the competent authority of another country (hereinafter: a request), within no later than three years (in the event that taxable persons file a request on the basis of an international treaty, they must verify the deadline for submitting the request in the international treaty concluded between the Republic of Slovenia and the country with which the transactions take place) from the date of:</w:t>
      </w:r>
    </w:p>
    <w:p w14:paraId="21A6683A" w14:textId="77777777" w:rsidR="001A7369" w:rsidRPr="004F2499" w:rsidRDefault="001A7369" w:rsidP="00430CD2">
      <w:pPr>
        <w:spacing w:line="260" w:lineRule="atLeast"/>
        <w:jc w:val="both"/>
        <w:rPr>
          <w:rFonts w:ascii="Arial" w:eastAsia="Times New Roman" w:hAnsi="Arial" w:cs="Arial"/>
          <w:sz w:val="10"/>
          <w:szCs w:val="24"/>
        </w:rPr>
      </w:pPr>
    </w:p>
    <w:p w14:paraId="07F948B9" w14:textId="77777777" w:rsidR="001A7369" w:rsidRPr="001A7369" w:rsidRDefault="001A7369" w:rsidP="00430CD2">
      <w:pPr>
        <w:numPr>
          <w:ilvl w:val="0"/>
          <w:numId w:val="7"/>
        </w:numPr>
        <w:spacing w:line="260" w:lineRule="atLeast"/>
        <w:jc w:val="both"/>
        <w:rPr>
          <w:rFonts w:ascii="Arial" w:eastAsia="Times New Roman" w:hAnsi="Arial" w:cs="Arial"/>
          <w:sz w:val="20"/>
          <w:szCs w:val="24"/>
        </w:rPr>
      </w:pPr>
      <w:r>
        <w:rPr>
          <w:rFonts w:ascii="Arial" w:eastAsia="Times New Roman" w:hAnsi="Arial" w:cs="Arial"/>
          <w:sz w:val="20"/>
          <w:szCs w:val="24"/>
          <w:lang w:val="en-GB"/>
        </w:rPr>
        <w:t>the submission of a tax return, or</w:t>
      </w:r>
    </w:p>
    <w:p w14:paraId="016797E9" w14:textId="77777777" w:rsidR="001A7369" w:rsidRPr="001A7369" w:rsidRDefault="001A7369" w:rsidP="00430CD2">
      <w:pPr>
        <w:numPr>
          <w:ilvl w:val="0"/>
          <w:numId w:val="7"/>
        </w:numPr>
        <w:spacing w:line="260" w:lineRule="atLeast"/>
        <w:jc w:val="both"/>
        <w:rPr>
          <w:rFonts w:ascii="Arial" w:eastAsia="Times New Roman" w:hAnsi="Arial" w:cs="Arial"/>
          <w:sz w:val="20"/>
          <w:szCs w:val="24"/>
        </w:rPr>
      </w:pPr>
      <w:r>
        <w:rPr>
          <w:rFonts w:ascii="Arial" w:eastAsia="Times New Roman" w:hAnsi="Arial" w:cs="Arial"/>
          <w:sz w:val="20"/>
          <w:szCs w:val="24"/>
          <w:lang w:val="en-GB"/>
        </w:rPr>
        <w:t xml:space="preserve">the submission of a tax return during the tax audit procedure, or </w:t>
      </w:r>
    </w:p>
    <w:p w14:paraId="7E3B69AE" w14:textId="77777777" w:rsidR="001A7369" w:rsidRPr="001A7369" w:rsidRDefault="001A7369" w:rsidP="00430CD2">
      <w:pPr>
        <w:numPr>
          <w:ilvl w:val="0"/>
          <w:numId w:val="7"/>
        </w:numPr>
        <w:spacing w:line="260" w:lineRule="atLeast"/>
        <w:jc w:val="both"/>
        <w:rPr>
          <w:rFonts w:ascii="Arial" w:eastAsia="Times New Roman" w:hAnsi="Arial" w:cs="Arial"/>
          <w:sz w:val="20"/>
          <w:szCs w:val="24"/>
        </w:rPr>
      </w:pPr>
      <w:r>
        <w:rPr>
          <w:rFonts w:ascii="Arial" w:eastAsia="Times New Roman" w:hAnsi="Arial" w:cs="Arial"/>
          <w:sz w:val="20"/>
          <w:szCs w:val="24"/>
          <w:lang w:val="en-GB"/>
        </w:rPr>
        <w:t>the service of the notice of assessment.</w:t>
      </w:r>
    </w:p>
    <w:p w14:paraId="48524693" w14:textId="77777777" w:rsidR="001A7369" w:rsidRDefault="001A7369" w:rsidP="00430CD2">
      <w:pPr>
        <w:spacing w:line="260" w:lineRule="atLeast"/>
        <w:jc w:val="both"/>
        <w:rPr>
          <w:rFonts w:ascii="Arial" w:hAnsi="Arial" w:cs="Arial"/>
          <w:sz w:val="20"/>
        </w:rPr>
      </w:pPr>
    </w:p>
    <w:p w14:paraId="176A5F47" w14:textId="77777777" w:rsidR="001A7369" w:rsidRPr="00E90E83" w:rsidRDefault="001A7369" w:rsidP="00430CD2">
      <w:pPr>
        <w:spacing w:line="260" w:lineRule="atLeast"/>
        <w:jc w:val="both"/>
        <w:rPr>
          <w:rStyle w:val="Hiperpovezava"/>
          <w:rFonts w:ascii="Arial" w:eastAsia="Times New Roman" w:hAnsi="Arial" w:cs="Arial"/>
          <w:sz w:val="20"/>
          <w:szCs w:val="20"/>
        </w:rPr>
      </w:pPr>
      <w:r>
        <w:rPr>
          <w:rFonts w:ascii="Arial" w:hAnsi="Arial" w:cs="Arial"/>
          <w:sz w:val="20"/>
          <w:szCs w:val="20"/>
          <w:lang w:val="en-GB"/>
        </w:rPr>
        <w:t xml:space="preserve">For more information on the mutual agreement procedure for eliminating double taxation, see: </w:t>
      </w:r>
      <w:hyperlink r:id="rId14" w:history="1">
        <w:r>
          <w:rPr>
            <w:rStyle w:val="Hiperpovezava"/>
            <w:rFonts w:ascii="Arial" w:eastAsia="Times New Roman" w:hAnsi="Arial" w:cs="Arial"/>
            <w:sz w:val="20"/>
            <w:szCs w:val="20"/>
            <w:lang w:val="en-GB"/>
          </w:rPr>
          <w:t>The mutual agreement procedure under international treaties for the avoidance of double taxation.</w:t>
        </w:r>
      </w:hyperlink>
    </w:p>
    <w:p w14:paraId="66D5F384" w14:textId="77777777" w:rsidR="00430CD2" w:rsidRDefault="00430CD2" w:rsidP="00430CD2">
      <w:pPr>
        <w:spacing w:line="260" w:lineRule="atLeast"/>
        <w:jc w:val="both"/>
        <w:rPr>
          <w:rFonts w:ascii="Arial" w:hAnsi="Arial" w:cs="Arial"/>
          <w:sz w:val="20"/>
        </w:rPr>
      </w:pPr>
    </w:p>
    <w:p w14:paraId="38EC0F28" w14:textId="77777777" w:rsidR="00412F52" w:rsidRDefault="00412F52" w:rsidP="00430CD2">
      <w:pPr>
        <w:spacing w:line="260" w:lineRule="atLeast"/>
        <w:jc w:val="both"/>
        <w:rPr>
          <w:rFonts w:ascii="Arial" w:hAnsi="Arial" w:cs="Arial"/>
          <w:sz w:val="20"/>
        </w:rPr>
      </w:pPr>
    </w:p>
    <w:p w14:paraId="530E4334" w14:textId="77777777" w:rsidR="001A7369" w:rsidRPr="00A21DB3" w:rsidRDefault="006B1DC8" w:rsidP="00430CD2">
      <w:pPr>
        <w:pStyle w:val="Naslov2"/>
        <w:spacing w:before="0" w:after="0"/>
      </w:pPr>
      <w:bookmarkStart w:id="34" w:name="_Toc53399860"/>
      <w:bookmarkStart w:id="35" w:name="_Toc103257444"/>
      <w:r>
        <w:rPr>
          <w:iCs w:val="0"/>
          <w:lang w:val="en-GB"/>
        </w:rPr>
        <w:t>3.2 ADVANCE PRICING ARRANGEMENTS (APA)</w:t>
      </w:r>
      <w:bookmarkEnd w:id="34"/>
      <w:bookmarkEnd w:id="35"/>
    </w:p>
    <w:p w14:paraId="6534FB47" w14:textId="77777777" w:rsidR="001A7369" w:rsidRDefault="001A7369" w:rsidP="00430CD2">
      <w:pPr>
        <w:pStyle w:val="Brezrazmikov"/>
        <w:spacing w:line="260" w:lineRule="atLeast"/>
      </w:pPr>
    </w:p>
    <w:p w14:paraId="3C98C762" w14:textId="5B64E4CD" w:rsidR="00F80CB8" w:rsidRDefault="00F80CB8" w:rsidP="00430CD2">
      <w:pPr>
        <w:autoSpaceDE w:val="0"/>
        <w:autoSpaceDN w:val="0"/>
        <w:adjustRightInd w:val="0"/>
        <w:spacing w:line="260" w:lineRule="atLeast"/>
        <w:jc w:val="both"/>
        <w:rPr>
          <w:rFonts w:ascii="Arial" w:eastAsia="Times New Roman" w:hAnsi="Arial" w:cs="Arial"/>
          <w:sz w:val="20"/>
          <w:szCs w:val="24"/>
          <w:lang w:val="en-GB"/>
        </w:rPr>
      </w:pPr>
      <w:r>
        <w:rPr>
          <w:rFonts w:ascii="Arial" w:eastAsia="Times New Roman" w:hAnsi="Arial" w:cs="Arial"/>
          <w:sz w:val="20"/>
          <w:szCs w:val="24"/>
          <w:lang w:val="en-GB"/>
        </w:rPr>
        <w:t xml:space="preserve">The Financial Administration Act also determines the conclusion of an APA as one of FURS’s tasks. FURS has been able to enter into such arrangements since 2017, </w:t>
      </w:r>
      <w:proofErr w:type="gramStart"/>
      <w:r>
        <w:rPr>
          <w:rFonts w:ascii="Arial" w:eastAsia="Times New Roman" w:hAnsi="Arial" w:cs="Arial"/>
          <w:sz w:val="20"/>
          <w:szCs w:val="24"/>
          <w:lang w:val="en-GB"/>
        </w:rPr>
        <w:t>i.e.</w:t>
      </w:r>
      <w:proofErr w:type="gramEnd"/>
      <w:r>
        <w:rPr>
          <w:rFonts w:ascii="Arial" w:eastAsia="Times New Roman" w:hAnsi="Arial" w:cs="Arial"/>
          <w:sz w:val="20"/>
          <w:szCs w:val="24"/>
          <w:lang w:val="en-GB"/>
        </w:rPr>
        <w:t xml:space="preserve"> after the adoption of the legal basis for it as set out in Articles 14a to 14g of the Tax Procedure Act (ZDavP-2).</w:t>
      </w:r>
    </w:p>
    <w:p w14:paraId="48AA6C4E" w14:textId="77777777" w:rsidR="00520D91" w:rsidRPr="00F80CB8" w:rsidRDefault="00520D91" w:rsidP="00430CD2">
      <w:pPr>
        <w:autoSpaceDE w:val="0"/>
        <w:autoSpaceDN w:val="0"/>
        <w:adjustRightInd w:val="0"/>
        <w:spacing w:line="260" w:lineRule="atLeast"/>
        <w:jc w:val="both"/>
        <w:rPr>
          <w:rFonts w:ascii="Arial" w:eastAsia="Times New Roman" w:hAnsi="Arial" w:cs="Arial"/>
          <w:sz w:val="20"/>
          <w:szCs w:val="24"/>
        </w:rPr>
      </w:pPr>
    </w:p>
    <w:p w14:paraId="4C25C65B" w14:textId="6470E9C5" w:rsidR="003931D4" w:rsidRPr="003931D4" w:rsidRDefault="003931D4" w:rsidP="00430CD2">
      <w:pPr>
        <w:spacing w:line="260" w:lineRule="atLeast"/>
        <w:jc w:val="both"/>
        <w:rPr>
          <w:rFonts w:ascii="Arial" w:eastAsia="Times New Roman" w:hAnsi="Arial" w:cs="Arial"/>
          <w:sz w:val="20"/>
          <w:szCs w:val="24"/>
        </w:rPr>
      </w:pPr>
      <w:r>
        <w:rPr>
          <w:rFonts w:ascii="Arial" w:eastAsia="Times New Roman" w:hAnsi="Arial" w:cs="Arial"/>
          <w:sz w:val="20"/>
          <w:szCs w:val="24"/>
          <w:lang w:val="en-GB"/>
        </w:rPr>
        <w:t xml:space="preserve">An APA is an agreement with which the methodology, critical </w:t>
      </w:r>
      <w:proofErr w:type="gramStart"/>
      <w:r>
        <w:rPr>
          <w:rFonts w:ascii="Arial" w:eastAsia="Times New Roman" w:hAnsi="Arial" w:cs="Arial"/>
          <w:sz w:val="20"/>
          <w:szCs w:val="24"/>
          <w:lang w:val="en-GB"/>
        </w:rPr>
        <w:t>assumptions</w:t>
      </w:r>
      <w:proofErr w:type="gramEnd"/>
      <w:r>
        <w:rPr>
          <w:rFonts w:ascii="Arial" w:eastAsia="Times New Roman" w:hAnsi="Arial" w:cs="Arial"/>
          <w:sz w:val="20"/>
          <w:szCs w:val="24"/>
          <w:lang w:val="en-GB"/>
        </w:rPr>
        <w:t xml:space="preserve"> and other appropriate criteria for determining the transfer pricing for these transactions and the period for which these criteria apply are defined before the execution of transactions between </w:t>
      </w:r>
      <w:r w:rsidR="003E0B4B">
        <w:rPr>
          <w:rFonts w:ascii="Arial" w:eastAsia="Times New Roman" w:hAnsi="Arial" w:cs="Arial"/>
          <w:sz w:val="20"/>
          <w:szCs w:val="24"/>
          <w:lang w:val="en-GB"/>
        </w:rPr>
        <w:t>associated</w:t>
      </w:r>
      <w:r>
        <w:rPr>
          <w:rFonts w:ascii="Arial" w:eastAsia="Times New Roman" w:hAnsi="Arial" w:cs="Arial"/>
          <w:sz w:val="20"/>
          <w:szCs w:val="24"/>
          <w:lang w:val="en-GB"/>
        </w:rPr>
        <w:t xml:space="preserve"> parties. </w:t>
      </w:r>
    </w:p>
    <w:p w14:paraId="60375D09" w14:textId="77777777" w:rsidR="003931D4" w:rsidRDefault="003931D4" w:rsidP="00430CD2">
      <w:pPr>
        <w:pStyle w:val="Brezrazmikov"/>
        <w:spacing w:line="260" w:lineRule="atLeast"/>
      </w:pPr>
    </w:p>
    <w:p w14:paraId="46F90327" w14:textId="77777777" w:rsidR="003931D4" w:rsidRPr="003931D4" w:rsidRDefault="003931D4" w:rsidP="00430CD2">
      <w:pPr>
        <w:spacing w:line="260" w:lineRule="atLeast"/>
        <w:jc w:val="both"/>
        <w:rPr>
          <w:rFonts w:ascii="Arial" w:eastAsia="Times New Roman" w:hAnsi="Arial" w:cs="Arial"/>
          <w:sz w:val="20"/>
          <w:szCs w:val="24"/>
        </w:rPr>
      </w:pPr>
      <w:r>
        <w:rPr>
          <w:rFonts w:ascii="Arial" w:eastAsia="Times New Roman" w:hAnsi="Arial" w:cs="Arial"/>
          <w:sz w:val="20"/>
          <w:szCs w:val="24"/>
          <w:lang w:val="en-GB"/>
        </w:rPr>
        <w:t xml:space="preserve">A taxable person may request the conclusion of a unilateral, bilateral or multilateral agreement. A unilateral agreement is concluded between the taxable person and the tax authority, and a bilateral or multilateral agreement is an agreement between the competent authorities of two or more countries concluded in a mutual agreement procedure. </w:t>
      </w:r>
    </w:p>
    <w:p w14:paraId="59FAC3B0" w14:textId="77777777" w:rsidR="003931D4" w:rsidRPr="003931D4" w:rsidRDefault="003931D4" w:rsidP="00430CD2">
      <w:pPr>
        <w:autoSpaceDE w:val="0"/>
        <w:autoSpaceDN w:val="0"/>
        <w:adjustRightInd w:val="0"/>
        <w:spacing w:line="260" w:lineRule="atLeast"/>
        <w:jc w:val="both"/>
        <w:rPr>
          <w:rFonts w:ascii="Arial" w:eastAsia="Times New Roman" w:hAnsi="Arial" w:cs="Arial"/>
          <w:sz w:val="20"/>
          <w:szCs w:val="24"/>
        </w:rPr>
      </w:pPr>
    </w:p>
    <w:p w14:paraId="04320C96" w14:textId="77777777" w:rsidR="00767214" w:rsidRPr="00767214" w:rsidRDefault="003931D4" w:rsidP="00430CD2">
      <w:pPr>
        <w:autoSpaceDE w:val="0"/>
        <w:autoSpaceDN w:val="0"/>
        <w:adjustRightInd w:val="0"/>
        <w:spacing w:line="260" w:lineRule="atLeast"/>
        <w:jc w:val="both"/>
        <w:rPr>
          <w:rFonts w:ascii="Arial" w:eastAsia="Times New Roman" w:hAnsi="Arial" w:cs="Arial"/>
          <w:sz w:val="20"/>
          <w:szCs w:val="24"/>
        </w:rPr>
      </w:pPr>
      <w:r>
        <w:rPr>
          <w:rFonts w:ascii="Arial" w:eastAsia="Times New Roman" w:hAnsi="Arial" w:cs="Times New Roman"/>
          <w:sz w:val="20"/>
          <w:szCs w:val="24"/>
          <w:lang w:val="en-GB"/>
        </w:rPr>
        <w:t xml:space="preserve">For more information on the APA, see: </w:t>
      </w:r>
      <w:hyperlink r:id="rId15" w:history="1">
        <w:r>
          <w:rPr>
            <w:rFonts w:ascii="Arial" w:eastAsia="Times New Roman" w:hAnsi="Arial" w:cs="Times New Roman"/>
            <w:color w:val="0000FF"/>
            <w:sz w:val="20"/>
            <w:szCs w:val="24"/>
            <w:u w:val="single"/>
            <w:lang w:val="en-GB"/>
          </w:rPr>
          <w:t>APA agre</w:t>
        </w:r>
        <w:r>
          <w:rPr>
            <w:rFonts w:ascii="Arial" w:eastAsia="Times New Roman" w:hAnsi="Arial" w:cs="Times New Roman"/>
            <w:color w:val="0000FF"/>
            <w:sz w:val="20"/>
            <w:szCs w:val="24"/>
            <w:u w:val="single"/>
            <w:lang w:val="en-GB"/>
          </w:rPr>
          <w:t>e</w:t>
        </w:r>
        <w:r>
          <w:rPr>
            <w:rFonts w:ascii="Arial" w:eastAsia="Times New Roman" w:hAnsi="Arial" w:cs="Times New Roman"/>
            <w:color w:val="0000FF"/>
            <w:sz w:val="20"/>
            <w:szCs w:val="24"/>
            <w:u w:val="single"/>
            <w:lang w:val="en-GB"/>
          </w:rPr>
          <w:t>ment</w:t>
        </w:r>
      </w:hyperlink>
    </w:p>
    <w:p w14:paraId="0F197B36" w14:textId="77777777" w:rsidR="003931D4" w:rsidRPr="001F2D24" w:rsidRDefault="003931D4" w:rsidP="00430CD2">
      <w:pPr>
        <w:spacing w:line="260" w:lineRule="atLeast"/>
        <w:jc w:val="both"/>
        <w:rPr>
          <w:rFonts w:ascii="Arial" w:hAnsi="Arial" w:cs="Arial"/>
          <w:sz w:val="20"/>
        </w:rPr>
      </w:pPr>
    </w:p>
    <w:sectPr w:rsidR="003931D4" w:rsidRPr="001F2D24" w:rsidSect="00666077">
      <w:headerReference w:type="default" r:id="rId16"/>
      <w:footerReference w:type="default" r:id="rId17"/>
      <w:headerReference w:type="first" r:id="rId18"/>
      <w:footerReference w:type="first" r:id="rId19"/>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0ACB7" w14:textId="77777777" w:rsidR="00BB1FF6" w:rsidRDefault="00BB1FF6" w:rsidP="00666077">
      <w:pPr>
        <w:spacing w:line="240" w:lineRule="auto"/>
      </w:pPr>
      <w:r>
        <w:separator/>
      </w:r>
    </w:p>
  </w:endnote>
  <w:endnote w:type="continuationSeparator" w:id="0">
    <w:p w14:paraId="519BD5B8" w14:textId="77777777" w:rsidR="00BB1FF6" w:rsidRDefault="00BB1FF6" w:rsidP="006660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n-ea">
    <w:panose1 w:val="00000000000000000000"/>
    <w:charset w:val="00"/>
    <w:family w:val="roman"/>
    <w:notTrueType/>
    <w:pitch w:val="default"/>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3" w:usb1="00000000" w:usb2="00000000" w:usb3="00000000" w:csb0="00000001"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83A6D" w14:textId="212109C0" w:rsidR="0018663B" w:rsidRDefault="0018663B" w:rsidP="00666077">
    <w:pPr>
      <w:pStyle w:val="Noga"/>
      <w:jc w:val="right"/>
    </w:pPr>
    <w:r>
      <w:rPr>
        <w:lang w:val="en-GB"/>
      </w:rPr>
      <w:fldChar w:fldCharType="begin"/>
    </w:r>
    <w:r>
      <w:rPr>
        <w:lang w:val="en-GB"/>
      </w:rPr>
      <w:instrText>PAGE   \* MERGEFORMAT</w:instrText>
    </w:r>
    <w:r>
      <w:rPr>
        <w:lang w:val="en-GB"/>
      </w:rPr>
      <w:fldChar w:fldCharType="separate"/>
    </w:r>
    <w:r>
      <w:rPr>
        <w:noProof/>
        <w:lang w:val="en-GB"/>
      </w:rPr>
      <w:t>31</w:t>
    </w:r>
    <w:r>
      <w:rPr>
        <w:lang w:val="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472C7" w14:textId="77777777" w:rsidR="0018663B" w:rsidRDefault="0018663B" w:rsidP="00666077">
    <w:pPr>
      <w:pStyle w:val="Nog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5F249" w14:textId="77777777" w:rsidR="00BB1FF6" w:rsidRDefault="00BB1FF6" w:rsidP="00666077">
      <w:pPr>
        <w:spacing w:line="240" w:lineRule="auto"/>
      </w:pPr>
      <w:r>
        <w:separator/>
      </w:r>
    </w:p>
  </w:footnote>
  <w:footnote w:type="continuationSeparator" w:id="0">
    <w:p w14:paraId="278ACC49" w14:textId="77777777" w:rsidR="00BB1FF6" w:rsidRDefault="00BB1FF6" w:rsidP="00666077">
      <w:pPr>
        <w:spacing w:line="240" w:lineRule="auto"/>
      </w:pPr>
      <w:r>
        <w:continuationSeparator/>
      </w:r>
    </w:p>
  </w:footnote>
  <w:footnote w:id="1">
    <w:p w14:paraId="42F29E15" w14:textId="48A16B66" w:rsidR="0018663B" w:rsidRPr="004D62D0" w:rsidRDefault="0018663B" w:rsidP="00666077">
      <w:pPr>
        <w:pStyle w:val="Sprotnaopomba-besedilo"/>
        <w:rPr>
          <w:rFonts w:ascii="Arial" w:hAnsi="Arial" w:cs="Arial"/>
          <w:i/>
          <w:iCs/>
          <w:color w:val="2910E0"/>
          <w:sz w:val="16"/>
          <w:szCs w:val="16"/>
        </w:rPr>
      </w:pPr>
      <w:r w:rsidRPr="004D62D0">
        <w:rPr>
          <w:rStyle w:val="Sprotnaopomba-sklic"/>
          <w:rFonts w:ascii="Arial" w:hAnsi="Arial" w:cs="Arial"/>
          <w:i/>
          <w:iCs/>
          <w:sz w:val="16"/>
          <w:szCs w:val="16"/>
          <w:lang w:val="en-GB"/>
        </w:rPr>
        <w:footnoteRef/>
      </w:r>
      <w:r w:rsidRPr="004D62D0">
        <w:rPr>
          <w:rFonts w:ascii="Arial" w:hAnsi="Arial" w:cs="Arial"/>
          <w:i/>
          <w:iCs/>
          <w:sz w:val="16"/>
          <w:szCs w:val="16"/>
          <w:lang w:val="en-GB"/>
        </w:rPr>
        <w:t xml:space="preserve">The translated OECD guidelines 2010 are available at: </w:t>
      </w:r>
      <w:r w:rsidRPr="004D62D0">
        <w:rPr>
          <w:rFonts w:ascii="Arial" w:hAnsi="Arial" w:cs="Arial"/>
          <w:i/>
          <w:iCs/>
          <w:color w:val="2910E0"/>
          <w:sz w:val="16"/>
          <w:szCs w:val="16"/>
          <w:lang w:val="en-GB"/>
        </w:rPr>
        <w:t>https://www.fu.gov.si/fileadmin/Internet/Davki_in_druge_dajatve/Podrocja/Mednarodno_obdavcenje/Opis/Smernice_OECD_za_dolocanje_transfernih_cen_za_mednarodna_podjetja_in_davcne_uprave_julij_2010.pdf</w:t>
      </w:r>
    </w:p>
  </w:footnote>
  <w:footnote w:id="2">
    <w:p w14:paraId="70A75DD3" w14:textId="77777777" w:rsidR="0018663B" w:rsidRPr="004D62D0" w:rsidRDefault="0018663B" w:rsidP="00666077">
      <w:pPr>
        <w:pStyle w:val="Sprotnaopomba-besedilo"/>
        <w:rPr>
          <w:rFonts w:ascii="Arial" w:hAnsi="Arial" w:cs="Arial"/>
          <w:i/>
          <w:iCs/>
          <w:color w:val="2910E0"/>
          <w:sz w:val="16"/>
          <w:szCs w:val="16"/>
        </w:rPr>
      </w:pPr>
      <w:r w:rsidRPr="004D62D0">
        <w:rPr>
          <w:rStyle w:val="Sprotnaopomba-sklic"/>
          <w:rFonts w:ascii="Arial" w:hAnsi="Arial" w:cs="Arial"/>
          <w:i/>
          <w:iCs/>
          <w:sz w:val="16"/>
          <w:szCs w:val="16"/>
          <w:lang w:val="en-GB"/>
        </w:rPr>
        <w:footnoteRef/>
      </w:r>
      <w:r w:rsidRPr="004D62D0">
        <w:rPr>
          <w:rFonts w:ascii="Arial" w:hAnsi="Arial" w:cs="Arial"/>
          <w:i/>
          <w:iCs/>
          <w:sz w:val="16"/>
          <w:szCs w:val="16"/>
          <w:lang w:val="en-GB"/>
        </w:rPr>
        <w:t xml:space="preserve">The ZDDPO-2 is available at: </w:t>
      </w:r>
      <w:r w:rsidRPr="004D62D0">
        <w:rPr>
          <w:rFonts w:ascii="Arial" w:hAnsi="Arial" w:cs="Arial"/>
          <w:i/>
          <w:iCs/>
          <w:color w:val="2910E0"/>
          <w:sz w:val="16"/>
          <w:szCs w:val="16"/>
          <w:lang w:val="en-GB"/>
        </w:rPr>
        <w:t>http://www.pisrs.si/Pis.web/pregledPredpisa?id=ZAKO4687</w:t>
      </w:r>
    </w:p>
  </w:footnote>
  <w:footnote w:id="3">
    <w:p w14:paraId="5FC74B75" w14:textId="77777777" w:rsidR="0018663B" w:rsidRPr="004D62D0" w:rsidRDefault="0018663B" w:rsidP="00666077">
      <w:pPr>
        <w:pStyle w:val="Sprotnaopomba-besedilo"/>
        <w:rPr>
          <w:i/>
          <w:iCs/>
          <w:color w:val="2910E0"/>
        </w:rPr>
      </w:pPr>
      <w:r w:rsidRPr="004D62D0">
        <w:rPr>
          <w:rStyle w:val="Sprotnaopomba-sklic"/>
          <w:rFonts w:ascii="Arial" w:hAnsi="Arial" w:cs="Arial"/>
          <w:i/>
          <w:iCs/>
          <w:sz w:val="16"/>
          <w:szCs w:val="16"/>
          <w:lang w:val="en-GB"/>
        </w:rPr>
        <w:footnoteRef/>
      </w:r>
      <w:r w:rsidRPr="004D62D0">
        <w:rPr>
          <w:rFonts w:ascii="Arial" w:hAnsi="Arial" w:cs="Arial"/>
          <w:i/>
          <w:iCs/>
          <w:sz w:val="16"/>
          <w:szCs w:val="16"/>
          <w:lang w:val="en-GB"/>
        </w:rPr>
        <w:t xml:space="preserve">The TPC is available at: </w:t>
      </w:r>
      <w:r w:rsidRPr="004D62D0">
        <w:rPr>
          <w:rFonts w:ascii="Arial" w:hAnsi="Arial" w:cs="Arial"/>
          <w:i/>
          <w:iCs/>
          <w:color w:val="2910E0"/>
          <w:sz w:val="16"/>
          <w:szCs w:val="16"/>
          <w:lang w:val="en-GB"/>
        </w:rPr>
        <w:t>http://www.pisrs.si/Pis.web/pregledPredpisa?id=PRAV7545</w:t>
      </w:r>
    </w:p>
  </w:footnote>
  <w:footnote w:id="4">
    <w:p w14:paraId="7BA69F3E" w14:textId="77777777" w:rsidR="0018663B" w:rsidRPr="00446AD2" w:rsidRDefault="0018663B" w:rsidP="00666077">
      <w:pPr>
        <w:pStyle w:val="Sprotnaopomba-besedilo"/>
        <w:rPr>
          <w:rFonts w:ascii="Arial" w:hAnsi="Arial" w:cs="Arial"/>
          <w:i/>
          <w:color w:val="2910E0"/>
          <w:sz w:val="16"/>
          <w:szCs w:val="16"/>
        </w:rPr>
      </w:pPr>
      <w:r w:rsidRPr="004D62D0">
        <w:rPr>
          <w:rStyle w:val="Sprotnaopomba-sklic"/>
          <w:rFonts w:ascii="Arial" w:hAnsi="Arial" w:cs="Arial"/>
          <w:i/>
          <w:iCs/>
          <w:sz w:val="16"/>
          <w:szCs w:val="16"/>
          <w:lang w:val="en-GB"/>
        </w:rPr>
        <w:footnoteRef/>
      </w:r>
      <w:r w:rsidRPr="004D62D0">
        <w:rPr>
          <w:rFonts w:ascii="Arial" w:hAnsi="Arial" w:cs="Arial"/>
          <w:i/>
          <w:iCs/>
          <w:sz w:val="16"/>
          <w:szCs w:val="16"/>
          <w:lang w:val="en-GB"/>
        </w:rPr>
        <w:t>The Rules on the Recognised Interest Rate are available at:</w:t>
      </w:r>
      <w:r w:rsidRPr="00446AD2">
        <w:rPr>
          <w:rFonts w:ascii="Arial" w:hAnsi="Arial" w:cs="Arial"/>
          <w:sz w:val="16"/>
          <w:szCs w:val="16"/>
          <w:lang w:val="en-GB"/>
        </w:rPr>
        <w:t xml:space="preserve"> </w:t>
      </w:r>
      <w:r w:rsidRPr="00446AD2">
        <w:rPr>
          <w:rFonts w:ascii="Arial" w:hAnsi="Arial" w:cs="Arial"/>
          <w:i/>
          <w:iCs/>
          <w:color w:val="2910E0"/>
          <w:sz w:val="16"/>
          <w:szCs w:val="16"/>
          <w:lang w:val="en-GB"/>
        </w:rPr>
        <w:t>http://www.pisrs.si/Pis.web/pregledPredpisa?id=PRAV7544</w:t>
      </w:r>
    </w:p>
  </w:footnote>
  <w:footnote w:id="5">
    <w:p w14:paraId="42380243" w14:textId="77777777" w:rsidR="0018663B" w:rsidRPr="00520D91" w:rsidRDefault="0018663B" w:rsidP="00666077">
      <w:pPr>
        <w:pStyle w:val="Sprotnaopomba-besedilo"/>
        <w:rPr>
          <w:rFonts w:ascii="Arial" w:hAnsi="Arial" w:cs="Arial"/>
          <w:color w:val="2910E0"/>
          <w:sz w:val="16"/>
          <w:szCs w:val="16"/>
        </w:rPr>
      </w:pPr>
      <w:r w:rsidRPr="00520D91">
        <w:rPr>
          <w:rStyle w:val="Sprotnaopomba-sklic"/>
          <w:rFonts w:ascii="Arial" w:hAnsi="Arial" w:cs="Arial"/>
          <w:sz w:val="16"/>
          <w:szCs w:val="16"/>
          <w:lang w:val="en-GB"/>
        </w:rPr>
        <w:footnoteRef/>
      </w:r>
      <w:r w:rsidRPr="00520D91">
        <w:rPr>
          <w:rFonts w:ascii="Arial" w:hAnsi="Arial" w:cs="Arial"/>
          <w:i/>
          <w:iCs/>
          <w:sz w:val="16"/>
          <w:szCs w:val="16"/>
          <w:lang w:val="en-GB"/>
        </w:rPr>
        <w:t xml:space="preserve">The CIT Calculation Rules with annexes are available at: </w:t>
      </w:r>
      <w:r w:rsidRPr="00520D91">
        <w:rPr>
          <w:rFonts w:ascii="Arial" w:hAnsi="Arial" w:cs="Arial"/>
          <w:i/>
          <w:iCs/>
          <w:color w:val="2910E0"/>
          <w:sz w:val="16"/>
          <w:szCs w:val="16"/>
          <w:lang w:val="en-GB"/>
        </w:rPr>
        <w:t>http://www.pisrs.si/Pis.web/pregledPredpisa?id=PRAV11756</w:t>
      </w:r>
    </w:p>
  </w:footnote>
  <w:footnote w:id="6">
    <w:p w14:paraId="79BB9E2D" w14:textId="77777777" w:rsidR="0018663B" w:rsidRPr="00520D91" w:rsidRDefault="0018663B" w:rsidP="006626F1">
      <w:pPr>
        <w:pStyle w:val="Sprotnaopomba-besedilo"/>
        <w:rPr>
          <w:rFonts w:ascii="Arial" w:hAnsi="Arial" w:cs="Arial"/>
          <w:i/>
          <w:sz w:val="16"/>
          <w:szCs w:val="16"/>
        </w:rPr>
      </w:pPr>
      <w:r w:rsidRPr="00520D91">
        <w:rPr>
          <w:rStyle w:val="Sprotnaopomba-sklic"/>
          <w:rFonts w:ascii="Arial" w:hAnsi="Arial" w:cs="Arial"/>
          <w:i/>
          <w:iCs/>
          <w:sz w:val="16"/>
          <w:szCs w:val="16"/>
          <w:lang w:val="en-GB"/>
        </w:rPr>
        <w:footnoteRef/>
      </w:r>
      <w:r w:rsidRPr="00520D91">
        <w:rPr>
          <w:rFonts w:ascii="Arial" w:hAnsi="Arial" w:cs="Arial"/>
          <w:i/>
          <w:iCs/>
          <w:sz w:val="16"/>
          <w:szCs w:val="16"/>
          <w:lang w:val="en-GB"/>
        </w:rPr>
        <w:t xml:space="preserve"> </w:t>
      </w:r>
      <w:r w:rsidRPr="00520D91">
        <w:rPr>
          <w:rFonts w:ascii="Arial" w:hAnsi="Arial" w:cs="Arial"/>
          <w:b/>
          <w:bCs/>
          <w:i/>
          <w:iCs/>
          <w:sz w:val="16"/>
          <w:szCs w:val="16"/>
          <w:lang w:val="en-GB"/>
        </w:rPr>
        <w:t>EBIT</w:t>
      </w:r>
      <w:r w:rsidRPr="00520D91">
        <w:rPr>
          <w:rFonts w:ascii="Arial" w:hAnsi="Arial" w:cs="Arial"/>
          <w:i/>
          <w:iCs/>
          <w:sz w:val="16"/>
          <w:szCs w:val="16"/>
          <w:lang w:val="en-GB"/>
        </w:rPr>
        <w:t xml:space="preserve"> – Earnings Before Interest and Tax – operating profit or loss determined before taking into account interest income and expenses and extraordinary items before calculating income tax.</w:t>
      </w:r>
    </w:p>
  </w:footnote>
  <w:footnote w:id="7">
    <w:p w14:paraId="2DB01C62" w14:textId="77777777" w:rsidR="0018663B" w:rsidRPr="00520D91" w:rsidRDefault="0018663B" w:rsidP="006626F1">
      <w:pPr>
        <w:pStyle w:val="Sprotnaopomba-besedilo"/>
        <w:rPr>
          <w:rFonts w:ascii="Arial" w:hAnsi="Arial" w:cs="Arial"/>
          <w:i/>
          <w:sz w:val="16"/>
          <w:szCs w:val="16"/>
        </w:rPr>
      </w:pPr>
      <w:r w:rsidRPr="00520D91">
        <w:rPr>
          <w:rStyle w:val="Sprotnaopomba-sklic"/>
          <w:rFonts w:ascii="Arial" w:hAnsi="Arial" w:cs="Arial"/>
          <w:i/>
          <w:iCs/>
          <w:sz w:val="16"/>
          <w:szCs w:val="16"/>
          <w:lang w:val="en-GB"/>
        </w:rPr>
        <w:footnoteRef/>
      </w:r>
      <w:r w:rsidRPr="00520D91">
        <w:rPr>
          <w:rFonts w:ascii="Arial" w:hAnsi="Arial" w:cs="Arial"/>
          <w:i/>
          <w:iCs/>
          <w:sz w:val="16"/>
          <w:szCs w:val="16"/>
          <w:lang w:val="en-GB"/>
        </w:rPr>
        <w:t xml:space="preserve"> </w:t>
      </w:r>
      <w:r w:rsidRPr="00520D91">
        <w:rPr>
          <w:rFonts w:ascii="Arial" w:hAnsi="Arial" w:cs="Arial"/>
          <w:b/>
          <w:bCs/>
          <w:i/>
          <w:iCs/>
          <w:sz w:val="16"/>
          <w:szCs w:val="16"/>
          <w:lang w:val="en-GB"/>
        </w:rPr>
        <w:t>ROA</w:t>
      </w:r>
      <w:r w:rsidRPr="00520D91">
        <w:rPr>
          <w:rFonts w:ascii="Arial" w:hAnsi="Arial" w:cs="Arial"/>
          <w:i/>
          <w:iCs/>
          <w:sz w:val="16"/>
          <w:szCs w:val="16"/>
          <w:lang w:val="en-GB"/>
        </w:rPr>
        <w:t xml:space="preserve"> – Return (net profit margin) on Assets – the ratio of the profitability of assets</w:t>
      </w:r>
    </w:p>
    <w:p w14:paraId="583DB524" w14:textId="77777777" w:rsidR="0018663B" w:rsidRPr="00520D91" w:rsidRDefault="0018663B" w:rsidP="006626F1">
      <w:pPr>
        <w:pStyle w:val="Sprotnaopomba-besedilo"/>
        <w:rPr>
          <w:rFonts w:ascii="Arial" w:hAnsi="Arial" w:cs="Arial"/>
          <w:i/>
          <w:sz w:val="16"/>
          <w:szCs w:val="16"/>
        </w:rPr>
      </w:pPr>
      <w:r w:rsidRPr="00520D91">
        <w:rPr>
          <w:rFonts w:ascii="Arial" w:hAnsi="Arial" w:cs="Arial"/>
          <w:i/>
          <w:iCs/>
          <w:sz w:val="16"/>
          <w:szCs w:val="16"/>
          <w:lang w:val="en-GB"/>
        </w:rPr>
        <w:t xml:space="preserve">  </w:t>
      </w:r>
      <w:r w:rsidRPr="00520D91">
        <w:rPr>
          <w:rFonts w:ascii="Arial" w:hAnsi="Arial" w:cs="Arial"/>
          <w:b/>
          <w:bCs/>
          <w:i/>
          <w:iCs/>
          <w:sz w:val="16"/>
          <w:szCs w:val="16"/>
          <w:lang w:val="en-GB"/>
        </w:rPr>
        <w:t>ROI</w:t>
      </w:r>
      <w:r w:rsidRPr="00520D91">
        <w:rPr>
          <w:rFonts w:ascii="Arial" w:hAnsi="Arial" w:cs="Arial"/>
          <w:i/>
          <w:iCs/>
          <w:sz w:val="16"/>
          <w:szCs w:val="16"/>
          <w:lang w:val="en-GB"/>
        </w:rPr>
        <w:t xml:space="preserve"> – Return (net profit margin) on Investment</w:t>
      </w:r>
    </w:p>
    <w:p w14:paraId="525B023D" w14:textId="0D25F928" w:rsidR="0018663B" w:rsidRDefault="0018663B" w:rsidP="006626F1">
      <w:pPr>
        <w:pStyle w:val="Sprotnaopomba-besedilo"/>
      </w:pPr>
      <w:r w:rsidRPr="0048619E">
        <w:rPr>
          <w:rFonts w:ascii="Arial" w:hAnsi="Arial" w:cs="Arial"/>
          <w:b/>
          <w:bCs/>
          <w:i/>
          <w:iCs/>
          <w:sz w:val="16"/>
          <w:szCs w:val="16"/>
          <w:lang w:val="en-GB"/>
        </w:rPr>
        <w:t xml:space="preserve">  R</w:t>
      </w:r>
      <w:r w:rsidRPr="00520D91">
        <w:rPr>
          <w:rFonts w:ascii="Arial" w:hAnsi="Arial" w:cs="Arial"/>
          <w:b/>
          <w:bCs/>
          <w:i/>
          <w:iCs/>
          <w:sz w:val="16"/>
          <w:szCs w:val="16"/>
          <w:lang w:val="en-GB"/>
        </w:rPr>
        <w:t>OCE</w:t>
      </w:r>
      <w:r w:rsidRPr="00520D91">
        <w:rPr>
          <w:rFonts w:ascii="Arial" w:hAnsi="Arial" w:cs="Arial"/>
          <w:i/>
          <w:iCs/>
          <w:sz w:val="16"/>
          <w:szCs w:val="16"/>
          <w:lang w:val="en-GB"/>
        </w:rPr>
        <w:t xml:space="preserve"> – Return on Capital Employed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76E19" w14:textId="77777777" w:rsidR="0018663B" w:rsidRPr="00110CBD" w:rsidRDefault="0018663B" w:rsidP="00666077">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18663B" w:rsidRPr="008F3500" w14:paraId="416B5573" w14:textId="77777777">
      <w:trPr>
        <w:cantSplit/>
        <w:trHeight w:hRule="exact" w:val="847"/>
      </w:trPr>
      <w:tc>
        <w:tcPr>
          <w:tcW w:w="567" w:type="dxa"/>
        </w:tcPr>
        <w:p w14:paraId="5AB70A14" w14:textId="77777777" w:rsidR="0018663B" w:rsidRDefault="0018663B" w:rsidP="00666077">
          <w:pPr>
            <w:autoSpaceDE w:val="0"/>
            <w:autoSpaceDN w:val="0"/>
            <w:adjustRightInd w:val="0"/>
            <w:spacing w:line="240" w:lineRule="auto"/>
            <w:rPr>
              <w:rFonts w:ascii="Republika" w:hAnsi="Republika"/>
              <w:color w:val="529DBA"/>
              <w:sz w:val="60"/>
              <w:szCs w:val="60"/>
            </w:rPr>
          </w:pPr>
          <w:r>
            <w:rPr>
              <w:rFonts w:ascii="Republika" w:hAnsi="Republika" w:cs="Republika"/>
              <w:color w:val="529DBA"/>
              <w:sz w:val="60"/>
              <w:szCs w:val="60"/>
              <w:lang w:val="en-GB"/>
            </w:rPr>
            <w:t></w:t>
          </w:r>
        </w:p>
        <w:p w14:paraId="3B0A7C61" w14:textId="77777777" w:rsidR="0018663B" w:rsidRPr="006D42D9" w:rsidRDefault="0018663B" w:rsidP="00666077">
          <w:pPr>
            <w:rPr>
              <w:rFonts w:ascii="Republika" w:hAnsi="Republika"/>
              <w:sz w:val="60"/>
              <w:szCs w:val="60"/>
            </w:rPr>
          </w:pPr>
        </w:p>
        <w:p w14:paraId="1C526A49" w14:textId="77777777" w:rsidR="0018663B" w:rsidRPr="006D42D9" w:rsidRDefault="0018663B" w:rsidP="00666077">
          <w:pPr>
            <w:rPr>
              <w:rFonts w:ascii="Republika" w:hAnsi="Republika"/>
              <w:sz w:val="60"/>
              <w:szCs w:val="60"/>
            </w:rPr>
          </w:pPr>
        </w:p>
        <w:p w14:paraId="20C42C37" w14:textId="77777777" w:rsidR="0018663B" w:rsidRPr="006D42D9" w:rsidRDefault="0018663B" w:rsidP="00666077">
          <w:pPr>
            <w:rPr>
              <w:rFonts w:ascii="Republika" w:hAnsi="Republika"/>
              <w:sz w:val="60"/>
              <w:szCs w:val="60"/>
            </w:rPr>
          </w:pPr>
        </w:p>
        <w:p w14:paraId="20E10E94" w14:textId="77777777" w:rsidR="0018663B" w:rsidRPr="006D42D9" w:rsidRDefault="0018663B" w:rsidP="00666077">
          <w:pPr>
            <w:rPr>
              <w:rFonts w:ascii="Republika" w:hAnsi="Republika"/>
              <w:sz w:val="60"/>
              <w:szCs w:val="60"/>
            </w:rPr>
          </w:pPr>
        </w:p>
        <w:p w14:paraId="74F8FA03" w14:textId="77777777" w:rsidR="0018663B" w:rsidRPr="006D42D9" w:rsidRDefault="0018663B" w:rsidP="00666077">
          <w:pPr>
            <w:rPr>
              <w:rFonts w:ascii="Republika" w:hAnsi="Republika"/>
              <w:sz w:val="60"/>
              <w:szCs w:val="60"/>
            </w:rPr>
          </w:pPr>
        </w:p>
        <w:p w14:paraId="0E9C326A" w14:textId="77777777" w:rsidR="0018663B" w:rsidRPr="006D42D9" w:rsidRDefault="0018663B" w:rsidP="00666077">
          <w:pPr>
            <w:rPr>
              <w:rFonts w:ascii="Republika" w:hAnsi="Republika"/>
              <w:sz w:val="60"/>
              <w:szCs w:val="60"/>
            </w:rPr>
          </w:pPr>
        </w:p>
        <w:p w14:paraId="1946C096" w14:textId="77777777" w:rsidR="0018663B" w:rsidRPr="006D42D9" w:rsidRDefault="0018663B" w:rsidP="00666077">
          <w:pPr>
            <w:rPr>
              <w:rFonts w:ascii="Republika" w:hAnsi="Republika"/>
              <w:sz w:val="60"/>
              <w:szCs w:val="60"/>
            </w:rPr>
          </w:pPr>
        </w:p>
        <w:p w14:paraId="4A56F72F" w14:textId="77777777" w:rsidR="0018663B" w:rsidRPr="006D42D9" w:rsidRDefault="0018663B" w:rsidP="00666077">
          <w:pPr>
            <w:rPr>
              <w:rFonts w:ascii="Republika" w:hAnsi="Republika"/>
              <w:sz w:val="60"/>
              <w:szCs w:val="60"/>
            </w:rPr>
          </w:pPr>
        </w:p>
        <w:p w14:paraId="0555A4DD" w14:textId="77777777" w:rsidR="0018663B" w:rsidRPr="006D42D9" w:rsidRDefault="0018663B" w:rsidP="00666077">
          <w:pPr>
            <w:rPr>
              <w:rFonts w:ascii="Republika" w:hAnsi="Republika"/>
              <w:sz w:val="60"/>
              <w:szCs w:val="60"/>
            </w:rPr>
          </w:pPr>
        </w:p>
        <w:p w14:paraId="41A25D25" w14:textId="77777777" w:rsidR="0018663B" w:rsidRPr="006D42D9" w:rsidRDefault="0018663B" w:rsidP="00666077">
          <w:pPr>
            <w:rPr>
              <w:rFonts w:ascii="Republika" w:hAnsi="Republika"/>
              <w:sz w:val="60"/>
              <w:szCs w:val="60"/>
            </w:rPr>
          </w:pPr>
        </w:p>
        <w:p w14:paraId="0CDC2A63" w14:textId="77777777" w:rsidR="0018663B" w:rsidRPr="006D42D9" w:rsidRDefault="0018663B" w:rsidP="00666077">
          <w:pPr>
            <w:rPr>
              <w:rFonts w:ascii="Republika" w:hAnsi="Republika"/>
              <w:sz w:val="60"/>
              <w:szCs w:val="60"/>
            </w:rPr>
          </w:pPr>
        </w:p>
        <w:p w14:paraId="7552D88D" w14:textId="77777777" w:rsidR="0018663B" w:rsidRPr="006D42D9" w:rsidRDefault="0018663B" w:rsidP="00666077">
          <w:pPr>
            <w:rPr>
              <w:rFonts w:ascii="Republika" w:hAnsi="Republika"/>
              <w:sz w:val="60"/>
              <w:szCs w:val="60"/>
            </w:rPr>
          </w:pPr>
        </w:p>
        <w:p w14:paraId="064A8918" w14:textId="77777777" w:rsidR="0018663B" w:rsidRPr="006D42D9" w:rsidRDefault="0018663B" w:rsidP="00666077">
          <w:pPr>
            <w:rPr>
              <w:rFonts w:ascii="Republika" w:hAnsi="Republika"/>
              <w:sz w:val="60"/>
              <w:szCs w:val="60"/>
            </w:rPr>
          </w:pPr>
        </w:p>
        <w:p w14:paraId="747A1889" w14:textId="77777777" w:rsidR="0018663B" w:rsidRPr="006D42D9" w:rsidRDefault="0018663B" w:rsidP="00666077">
          <w:pPr>
            <w:rPr>
              <w:rFonts w:ascii="Republika" w:hAnsi="Republika"/>
              <w:sz w:val="60"/>
              <w:szCs w:val="60"/>
            </w:rPr>
          </w:pPr>
        </w:p>
        <w:p w14:paraId="0B0C302A" w14:textId="77777777" w:rsidR="0018663B" w:rsidRPr="006D42D9" w:rsidRDefault="0018663B" w:rsidP="00666077">
          <w:pPr>
            <w:rPr>
              <w:rFonts w:ascii="Republika" w:hAnsi="Republika"/>
              <w:sz w:val="60"/>
              <w:szCs w:val="60"/>
            </w:rPr>
          </w:pPr>
        </w:p>
        <w:p w14:paraId="6DA0806A" w14:textId="77777777" w:rsidR="0018663B" w:rsidRPr="006D42D9" w:rsidRDefault="0018663B" w:rsidP="00666077">
          <w:pPr>
            <w:rPr>
              <w:rFonts w:ascii="Republika" w:hAnsi="Republika"/>
              <w:sz w:val="60"/>
              <w:szCs w:val="60"/>
            </w:rPr>
          </w:pPr>
        </w:p>
      </w:tc>
    </w:tr>
  </w:tbl>
  <w:p w14:paraId="4DB9E8D4" w14:textId="77777777" w:rsidR="0018663B" w:rsidRPr="008F3500" w:rsidRDefault="0018663B" w:rsidP="00666077">
    <w:pPr>
      <w:autoSpaceDE w:val="0"/>
      <w:autoSpaceDN w:val="0"/>
      <w:adjustRightInd w:val="0"/>
      <w:spacing w:line="240" w:lineRule="auto"/>
      <w:rPr>
        <w:rFonts w:ascii="Republika" w:hAnsi="Republika"/>
      </w:rPr>
    </w:pPr>
    <w:r>
      <w:rPr>
        <w:rFonts w:ascii="Republika" w:hAnsi="Republika"/>
        <w:noProof/>
        <w:szCs w:val="20"/>
        <w:lang w:eastAsia="sl-SI"/>
      </w:rPr>
      <mc:AlternateContent>
        <mc:Choice Requires="wps">
          <w:drawing>
            <wp:anchor distT="0" distB="0" distL="114300" distR="114300" simplePos="0" relativeHeight="251659264" behindDoc="1" locked="0" layoutInCell="0" allowOverlap="1" wp14:anchorId="4A114787" wp14:editId="13F1EBE0">
              <wp:simplePos x="0" y="0"/>
              <wp:positionH relativeFrom="column">
                <wp:posOffset>-431800</wp:posOffset>
              </wp:positionH>
              <wp:positionV relativeFrom="page">
                <wp:posOffset>3600450</wp:posOffset>
              </wp:positionV>
              <wp:extent cx="252095" cy="0"/>
              <wp:effectExtent l="10160" t="9525" r="13970" b="9525"/>
              <wp:wrapNone/>
              <wp:docPr id="26" name="Raven povezovalnik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2DACF6" id="Raven povezovalnik 2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" o:allowincell="f" strokecolor="#428299" strokeweight=".5pt">
              <w10:wrap anchory="page"/>
            </v:line>
          </w:pict>
        </mc:Fallback>
      </mc:AlternateContent>
    </w:r>
    <w:r>
      <w:rPr>
        <w:rFonts w:ascii="Republika" w:hAnsi="Republika"/>
        <w:lang w:val="en-GB"/>
      </w:rPr>
      <w:t>REPUBLIC OF SLOVENIA</w:t>
    </w:r>
  </w:p>
  <w:p w14:paraId="7025F4DD" w14:textId="77777777" w:rsidR="0018663B" w:rsidRPr="008F3500" w:rsidRDefault="0018663B" w:rsidP="00666077">
    <w:pPr>
      <w:pStyle w:val="Glava"/>
      <w:tabs>
        <w:tab w:val="clear" w:pos="4320"/>
        <w:tab w:val="clear" w:pos="8640"/>
        <w:tab w:val="left" w:pos="5112"/>
      </w:tabs>
      <w:spacing w:after="120" w:line="240" w:lineRule="exact"/>
      <w:rPr>
        <w:rFonts w:ascii="Republika Bold" w:hAnsi="Republika Bold"/>
        <w:b/>
        <w:caps/>
      </w:rPr>
    </w:pPr>
    <w:r>
      <w:rPr>
        <w:rFonts w:ascii="Republika Bold" w:hAnsi="Republika Bold"/>
        <w:b/>
        <w:bCs/>
        <w:caps/>
        <w:lang w:val="en-GB"/>
      </w:rPr>
      <w:t>The Ministry of Finance</w:t>
    </w:r>
  </w:p>
  <w:p w14:paraId="7B2FB90B" w14:textId="77777777" w:rsidR="0018663B" w:rsidRDefault="0018663B" w:rsidP="00666077">
    <w:pPr>
      <w:pStyle w:val="Glava"/>
      <w:tabs>
        <w:tab w:val="clear" w:pos="4320"/>
        <w:tab w:val="clear" w:pos="8640"/>
        <w:tab w:val="left" w:pos="5112"/>
      </w:tabs>
      <w:spacing w:before="120" w:after="120" w:line="240" w:lineRule="exact"/>
      <w:rPr>
        <w:rFonts w:ascii="Republika" w:hAnsi="Republika"/>
        <w:caps/>
      </w:rPr>
    </w:pPr>
    <w:r>
      <w:rPr>
        <w:rFonts w:ascii="Republika" w:hAnsi="Republika"/>
        <w:caps/>
        <w:lang w:val="en-GB"/>
      </w:rPr>
      <w:t>FINANČNA uprava Republike Slovenije</w:t>
    </w:r>
  </w:p>
  <w:p w14:paraId="70DAD773" w14:textId="77777777" w:rsidR="0018663B" w:rsidRPr="008F3500" w:rsidRDefault="0018663B" w:rsidP="00666077">
    <w:pPr>
      <w:pStyle w:val="Glava"/>
      <w:tabs>
        <w:tab w:val="clear" w:pos="4320"/>
        <w:tab w:val="clear" w:pos="8640"/>
        <w:tab w:val="left" w:pos="5112"/>
      </w:tabs>
      <w:spacing w:before="240" w:line="240" w:lineRule="exact"/>
      <w:rPr>
        <w:rFonts w:cs="Arial"/>
        <w:sz w:val="16"/>
      </w:rPr>
    </w:pPr>
    <w:r w:rsidRPr="00A74126">
      <w:rPr>
        <w:rFonts w:cs="Arial"/>
        <w:sz w:val="16"/>
      </w:rPr>
      <w:t xml:space="preserve">Šmartinska cesta 55, </w:t>
    </w:r>
    <w:proofErr w:type="spellStart"/>
    <w:r w:rsidRPr="00A74126">
      <w:rPr>
        <w:rFonts w:cs="Arial"/>
        <w:sz w:val="16"/>
      </w:rPr>
      <w:t>p.p</w:t>
    </w:r>
    <w:proofErr w:type="spellEnd"/>
    <w:r w:rsidRPr="00A74126">
      <w:rPr>
        <w:rFonts w:cs="Arial"/>
        <w:sz w:val="16"/>
      </w:rPr>
      <w:t>. 631, 1001 Ljubljana</w:t>
    </w:r>
    <w:r w:rsidRPr="00A74126">
      <w:rPr>
        <w:rFonts w:cs="Arial"/>
        <w:sz w:val="16"/>
      </w:rPr>
      <w:tab/>
      <w:t>T: 01 478 38 00</w:t>
    </w:r>
  </w:p>
  <w:p w14:paraId="16884BBE" w14:textId="77777777" w:rsidR="0018663B" w:rsidRPr="008F3500" w:rsidRDefault="0018663B" w:rsidP="00666077">
    <w:pPr>
      <w:pStyle w:val="Glava"/>
      <w:tabs>
        <w:tab w:val="clear" w:pos="4320"/>
        <w:tab w:val="clear" w:pos="8640"/>
        <w:tab w:val="left" w:pos="5112"/>
      </w:tabs>
      <w:spacing w:line="240" w:lineRule="exact"/>
      <w:rPr>
        <w:rFonts w:cs="Arial"/>
        <w:sz w:val="16"/>
      </w:rPr>
    </w:pPr>
    <w:r w:rsidRPr="00A74126">
      <w:rPr>
        <w:rFonts w:cs="Arial"/>
        <w:sz w:val="16"/>
      </w:rPr>
      <w:tab/>
    </w:r>
    <w:r w:rsidRPr="00A74126">
      <w:rPr>
        <w:rFonts w:cs="Arial"/>
        <w:sz w:val="16"/>
        <w:lang w:val="de-DE"/>
      </w:rPr>
      <w:t xml:space="preserve">F: 01 478 39 00 </w:t>
    </w:r>
  </w:p>
  <w:p w14:paraId="05CE8055" w14:textId="77777777" w:rsidR="0018663B" w:rsidRPr="008F3500" w:rsidRDefault="0018663B" w:rsidP="00666077">
    <w:pPr>
      <w:pStyle w:val="Glava"/>
      <w:tabs>
        <w:tab w:val="clear" w:pos="4320"/>
        <w:tab w:val="clear" w:pos="8640"/>
        <w:tab w:val="left" w:pos="5112"/>
      </w:tabs>
      <w:spacing w:line="240" w:lineRule="exact"/>
      <w:rPr>
        <w:rFonts w:cs="Arial"/>
        <w:sz w:val="16"/>
      </w:rPr>
    </w:pPr>
    <w:r w:rsidRPr="00A74126">
      <w:rPr>
        <w:rFonts w:cs="Arial"/>
        <w:sz w:val="16"/>
        <w:lang w:val="de-DE"/>
      </w:rPr>
      <w:tab/>
      <w:t>E: gfu.fu@gov.si</w:t>
    </w:r>
  </w:p>
  <w:p w14:paraId="5E1DFB38" w14:textId="77777777" w:rsidR="0018663B" w:rsidRPr="008F3500" w:rsidRDefault="0018663B" w:rsidP="00666077">
    <w:pPr>
      <w:pStyle w:val="Glava"/>
      <w:tabs>
        <w:tab w:val="clear" w:pos="4320"/>
        <w:tab w:val="clear" w:pos="8640"/>
        <w:tab w:val="left" w:pos="5112"/>
      </w:tabs>
      <w:spacing w:line="240" w:lineRule="exact"/>
      <w:rPr>
        <w:rFonts w:cs="Arial"/>
        <w:sz w:val="16"/>
      </w:rPr>
    </w:pPr>
    <w:r w:rsidRPr="00A74126">
      <w:rPr>
        <w:rFonts w:cs="Arial"/>
        <w:sz w:val="16"/>
        <w:lang w:val="de-DE"/>
      </w:rPr>
      <w:tab/>
    </w:r>
    <w:r>
      <w:rPr>
        <w:rFonts w:cs="Arial"/>
        <w:sz w:val="16"/>
        <w:lang w:val="en-GB"/>
      </w:rPr>
      <w:t>www.fu.gov.si</w:t>
    </w:r>
  </w:p>
  <w:p w14:paraId="3F3B71FB" w14:textId="77777777" w:rsidR="0018663B" w:rsidRPr="008F3500" w:rsidRDefault="0018663B" w:rsidP="00666077">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668FC"/>
    <w:multiLevelType w:val="hybridMultilevel"/>
    <w:tmpl w:val="11E020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BBF50BE"/>
    <w:multiLevelType w:val="hybridMultilevel"/>
    <w:tmpl w:val="914EE44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12BA3033"/>
    <w:multiLevelType w:val="hybridMultilevel"/>
    <w:tmpl w:val="5E565F1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234B34D5"/>
    <w:multiLevelType w:val="hybridMultilevel"/>
    <w:tmpl w:val="24DEC026"/>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4" w15:restartNumberingAfterBreak="0">
    <w:nsid w:val="2C3B17E5"/>
    <w:multiLevelType w:val="hybridMultilevel"/>
    <w:tmpl w:val="535A32C8"/>
    <w:lvl w:ilvl="0" w:tplc="20C20276">
      <w:start w:val="3"/>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D926AED"/>
    <w:multiLevelType w:val="hybridMultilevel"/>
    <w:tmpl w:val="A266B13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328F4F57"/>
    <w:multiLevelType w:val="hybridMultilevel"/>
    <w:tmpl w:val="F2CAC54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33225FE4"/>
    <w:multiLevelType w:val="hybridMultilevel"/>
    <w:tmpl w:val="26E0D65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42410D0"/>
    <w:multiLevelType w:val="hybridMultilevel"/>
    <w:tmpl w:val="6E82F2C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359D1267"/>
    <w:multiLevelType w:val="hybridMultilevel"/>
    <w:tmpl w:val="666466B8"/>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10" w15:restartNumberingAfterBreak="0">
    <w:nsid w:val="384743A5"/>
    <w:multiLevelType w:val="hybridMultilevel"/>
    <w:tmpl w:val="DFAC7A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C901C62"/>
    <w:multiLevelType w:val="hybridMultilevel"/>
    <w:tmpl w:val="4A40C70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DAF249A"/>
    <w:multiLevelType w:val="hybridMultilevel"/>
    <w:tmpl w:val="DC46E7B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3E0D3404"/>
    <w:multiLevelType w:val="hybridMultilevel"/>
    <w:tmpl w:val="8F42819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3E4343A7"/>
    <w:multiLevelType w:val="hybridMultilevel"/>
    <w:tmpl w:val="588E935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4039062A"/>
    <w:multiLevelType w:val="hybridMultilevel"/>
    <w:tmpl w:val="6C58ED6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1EE0844"/>
    <w:multiLevelType w:val="hybridMultilevel"/>
    <w:tmpl w:val="A296EEF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43380247"/>
    <w:multiLevelType w:val="hybridMultilevel"/>
    <w:tmpl w:val="9BC0A8F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45923D9D"/>
    <w:multiLevelType w:val="hybridMultilevel"/>
    <w:tmpl w:val="3C389FC4"/>
    <w:lvl w:ilvl="0" w:tplc="E0BC0E6A">
      <w:numFmt w:val="bullet"/>
      <w:lvlText w:val="-"/>
      <w:lvlJc w:val="left"/>
      <w:pPr>
        <w:ind w:left="720" w:hanging="360"/>
      </w:pPr>
      <w:rPr>
        <w:rFonts w:ascii="Calibri" w:eastAsia="Calibri" w:hAnsi="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9" w15:restartNumberingAfterBreak="0">
    <w:nsid w:val="46F31CB7"/>
    <w:multiLevelType w:val="hybridMultilevel"/>
    <w:tmpl w:val="87DA2CA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484F37D5"/>
    <w:multiLevelType w:val="hybridMultilevel"/>
    <w:tmpl w:val="D18692E2"/>
    <w:lvl w:ilvl="0" w:tplc="B2E216D2">
      <w:start w:val="3"/>
      <w:numFmt w:val="bullet"/>
      <w:lvlText w:val="-"/>
      <w:lvlJc w:val="left"/>
      <w:pPr>
        <w:ind w:left="2992" w:hanging="360"/>
      </w:pPr>
      <w:rPr>
        <w:rFonts w:ascii="Arial" w:eastAsia="Times New Roman" w:hAnsi="Arial" w:cs="Arial" w:hint="default"/>
      </w:rPr>
    </w:lvl>
    <w:lvl w:ilvl="1" w:tplc="04240003" w:tentative="1">
      <w:start w:val="1"/>
      <w:numFmt w:val="bullet"/>
      <w:lvlText w:val="o"/>
      <w:lvlJc w:val="left"/>
      <w:pPr>
        <w:ind w:left="3712" w:hanging="360"/>
      </w:pPr>
      <w:rPr>
        <w:rFonts w:ascii="Courier New" w:hAnsi="Courier New" w:cs="Courier New" w:hint="default"/>
      </w:rPr>
    </w:lvl>
    <w:lvl w:ilvl="2" w:tplc="04240005" w:tentative="1">
      <w:start w:val="1"/>
      <w:numFmt w:val="bullet"/>
      <w:lvlText w:val=""/>
      <w:lvlJc w:val="left"/>
      <w:pPr>
        <w:ind w:left="4432" w:hanging="360"/>
      </w:pPr>
      <w:rPr>
        <w:rFonts w:ascii="Wingdings" w:hAnsi="Wingdings" w:hint="default"/>
      </w:rPr>
    </w:lvl>
    <w:lvl w:ilvl="3" w:tplc="04240001" w:tentative="1">
      <w:start w:val="1"/>
      <w:numFmt w:val="bullet"/>
      <w:lvlText w:val=""/>
      <w:lvlJc w:val="left"/>
      <w:pPr>
        <w:ind w:left="5152" w:hanging="360"/>
      </w:pPr>
      <w:rPr>
        <w:rFonts w:ascii="Symbol" w:hAnsi="Symbol" w:hint="default"/>
      </w:rPr>
    </w:lvl>
    <w:lvl w:ilvl="4" w:tplc="04240003" w:tentative="1">
      <w:start w:val="1"/>
      <w:numFmt w:val="bullet"/>
      <w:lvlText w:val="o"/>
      <w:lvlJc w:val="left"/>
      <w:pPr>
        <w:ind w:left="5872" w:hanging="360"/>
      </w:pPr>
      <w:rPr>
        <w:rFonts w:ascii="Courier New" w:hAnsi="Courier New" w:cs="Courier New" w:hint="default"/>
      </w:rPr>
    </w:lvl>
    <w:lvl w:ilvl="5" w:tplc="04240005" w:tentative="1">
      <w:start w:val="1"/>
      <w:numFmt w:val="bullet"/>
      <w:lvlText w:val=""/>
      <w:lvlJc w:val="left"/>
      <w:pPr>
        <w:ind w:left="6592" w:hanging="360"/>
      </w:pPr>
      <w:rPr>
        <w:rFonts w:ascii="Wingdings" w:hAnsi="Wingdings" w:hint="default"/>
      </w:rPr>
    </w:lvl>
    <w:lvl w:ilvl="6" w:tplc="04240001" w:tentative="1">
      <w:start w:val="1"/>
      <w:numFmt w:val="bullet"/>
      <w:lvlText w:val=""/>
      <w:lvlJc w:val="left"/>
      <w:pPr>
        <w:ind w:left="7312" w:hanging="360"/>
      </w:pPr>
      <w:rPr>
        <w:rFonts w:ascii="Symbol" w:hAnsi="Symbol" w:hint="default"/>
      </w:rPr>
    </w:lvl>
    <w:lvl w:ilvl="7" w:tplc="04240003" w:tentative="1">
      <w:start w:val="1"/>
      <w:numFmt w:val="bullet"/>
      <w:lvlText w:val="o"/>
      <w:lvlJc w:val="left"/>
      <w:pPr>
        <w:ind w:left="8032" w:hanging="360"/>
      </w:pPr>
      <w:rPr>
        <w:rFonts w:ascii="Courier New" w:hAnsi="Courier New" w:cs="Courier New" w:hint="default"/>
      </w:rPr>
    </w:lvl>
    <w:lvl w:ilvl="8" w:tplc="04240005" w:tentative="1">
      <w:start w:val="1"/>
      <w:numFmt w:val="bullet"/>
      <w:lvlText w:val=""/>
      <w:lvlJc w:val="left"/>
      <w:pPr>
        <w:ind w:left="8752" w:hanging="360"/>
      </w:pPr>
      <w:rPr>
        <w:rFonts w:ascii="Wingdings" w:hAnsi="Wingdings" w:hint="default"/>
      </w:rPr>
    </w:lvl>
  </w:abstractNum>
  <w:abstractNum w:abstractNumId="21" w15:restartNumberingAfterBreak="0">
    <w:nsid w:val="4AF84B2B"/>
    <w:multiLevelType w:val="hybridMultilevel"/>
    <w:tmpl w:val="4886BD6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4BF661FD"/>
    <w:multiLevelType w:val="hybridMultilevel"/>
    <w:tmpl w:val="2FE01BA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4C425574"/>
    <w:multiLevelType w:val="hybridMultilevel"/>
    <w:tmpl w:val="0CCE8B2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5073008A"/>
    <w:multiLevelType w:val="hybridMultilevel"/>
    <w:tmpl w:val="97065302"/>
    <w:lvl w:ilvl="0" w:tplc="20C20276">
      <w:start w:val="3"/>
      <w:numFmt w:val="bullet"/>
      <w:lvlText w:val="-"/>
      <w:lvlJc w:val="left"/>
      <w:pPr>
        <w:ind w:left="1080" w:hanging="360"/>
      </w:pPr>
      <w:rPr>
        <w:rFonts w:ascii="Calibri" w:eastAsiaTheme="minorHAnsi" w:hAnsi="Calibri" w:cstheme="minorBid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5" w15:restartNumberingAfterBreak="0">
    <w:nsid w:val="50F45426"/>
    <w:multiLevelType w:val="hybridMultilevel"/>
    <w:tmpl w:val="56FC6C52"/>
    <w:lvl w:ilvl="0" w:tplc="20C20276">
      <w:start w:val="3"/>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51E2948"/>
    <w:multiLevelType w:val="hybridMultilevel"/>
    <w:tmpl w:val="25E0855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5A496E15"/>
    <w:multiLevelType w:val="hybridMultilevel"/>
    <w:tmpl w:val="24FEAD1E"/>
    <w:lvl w:ilvl="0" w:tplc="31168322">
      <w:numFmt w:val="bullet"/>
      <w:lvlText w:val="-"/>
      <w:lvlJc w:val="left"/>
      <w:pPr>
        <w:ind w:left="720" w:hanging="360"/>
      </w:pPr>
      <w:rPr>
        <w:rFonts w:ascii="Calibri" w:eastAsia="Calibri" w:hAnsi="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8" w15:restartNumberingAfterBreak="0">
    <w:nsid w:val="5BBA4056"/>
    <w:multiLevelType w:val="hybridMultilevel"/>
    <w:tmpl w:val="072C8CC2"/>
    <w:lvl w:ilvl="0" w:tplc="04240001">
      <w:start w:val="1"/>
      <w:numFmt w:val="bullet"/>
      <w:lvlText w:val=""/>
      <w:lvlJc w:val="left"/>
      <w:pPr>
        <w:ind w:left="644" w:hanging="360"/>
      </w:pPr>
      <w:rPr>
        <w:rFonts w:ascii="Symbol" w:hAnsi="Symbol"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29" w15:restartNumberingAfterBreak="0">
    <w:nsid w:val="5BE53673"/>
    <w:multiLevelType w:val="hybridMultilevel"/>
    <w:tmpl w:val="3E74550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5C421AC9"/>
    <w:multiLevelType w:val="hybridMultilevel"/>
    <w:tmpl w:val="7B063CC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5F341C34"/>
    <w:multiLevelType w:val="hybridMultilevel"/>
    <w:tmpl w:val="04E082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FF624AC"/>
    <w:multiLevelType w:val="hybridMultilevel"/>
    <w:tmpl w:val="0E320A6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60B42EBB"/>
    <w:multiLevelType w:val="hybridMultilevel"/>
    <w:tmpl w:val="77427A7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22329FB"/>
    <w:multiLevelType w:val="hybridMultilevel"/>
    <w:tmpl w:val="76E22534"/>
    <w:lvl w:ilvl="0" w:tplc="04240001">
      <w:start w:val="1"/>
      <w:numFmt w:val="bullet"/>
      <w:lvlText w:val=""/>
      <w:lvlJc w:val="left"/>
      <w:pPr>
        <w:ind w:left="644" w:hanging="360"/>
      </w:pPr>
      <w:rPr>
        <w:rFonts w:ascii="Symbol" w:hAnsi="Symbol"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35" w15:restartNumberingAfterBreak="0">
    <w:nsid w:val="63D77D01"/>
    <w:multiLevelType w:val="hybridMultilevel"/>
    <w:tmpl w:val="AA562106"/>
    <w:lvl w:ilvl="0" w:tplc="6AC226D2">
      <w:start w:val="1"/>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5D0369D"/>
    <w:multiLevelType w:val="hybridMultilevel"/>
    <w:tmpl w:val="866A25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667F5BA3"/>
    <w:multiLevelType w:val="hybridMultilevel"/>
    <w:tmpl w:val="7240635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6A516C4A"/>
    <w:multiLevelType w:val="hybridMultilevel"/>
    <w:tmpl w:val="509E3E24"/>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9" w15:restartNumberingAfterBreak="0">
    <w:nsid w:val="6D384D95"/>
    <w:multiLevelType w:val="hybridMultilevel"/>
    <w:tmpl w:val="2BC81CB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71853EB8"/>
    <w:multiLevelType w:val="hybridMultilevel"/>
    <w:tmpl w:val="76A29E42"/>
    <w:lvl w:ilvl="0" w:tplc="CFF6B8DC">
      <w:start w:val="1"/>
      <w:numFmt w:val="bullet"/>
      <w:pStyle w:val="tekstAlinejeTocke1"/>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6D47144"/>
    <w:multiLevelType w:val="hybridMultilevel"/>
    <w:tmpl w:val="D5E0AFF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2" w15:restartNumberingAfterBreak="0">
    <w:nsid w:val="79405C31"/>
    <w:multiLevelType w:val="hybridMultilevel"/>
    <w:tmpl w:val="2744D5D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7DE9376D"/>
    <w:multiLevelType w:val="hybridMultilevel"/>
    <w:tmpl w:val="0812F91C"/>
    <w:lvl w:ilvl="0" w:tplc="17883B12">
      <w:start w:val="1"/>
      <w:numFmt w:val="bullet"/>
      <w:pStyle w:val="tekstAlinejeTocke"/>
      <w:lvlText w:val="•"/>
      <w:lvlJc w:val="left"/>
      <w:pPr>
        <w:ind w:left="360" w:hanging="360"/>
      </w:pPr>
      <w:rPr>
        <w:rFonts w:ascii="Arial" w:hAnsi="Arial" w:hint="default"/>
      </w:rPr>
    </w:lvl>
    <w:lvl w:ilvl="1" w:tplc="4D92578E">
      <w:numFmt w:val="bullet"/>
      <w:lvlText w:val="–"/>
      <w:lvlJc w:val="left"/>
      <w:pPr>
        <w:ind w:left="1080" w:hanging="360"/>
      </w:pPr>
      <w:rPr>
        <w:rFonts w:ascii="Arial" w:eastAsia="Times New Roman"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37"/>
  </w:num>
  <w:num w:numId="2">
    <w:abstractNumId w:val="20"/>
  </w:num>
  <w:num w:numId="3">
    <w:abstractNumId w:val="33"/>
  </w:num>
  <w:num w:numId="4">
    <w:abstractNumId w:val="0"/>
  </w:num>
  <w:num w:numId="5">
    <w:abstractNumId w:val="9"/>
  </w:num>
  <w:num w:numId="6">
    <w:abstractNumId w:val="3"/>
  </w:num>
  <w:num w:numId="7">
    <w:abstractNumId w:val="22"/>
  </w:num>
  <w:num w:numId="8">
    <w:abstractNumId w:val="43"/>
  </w:num>
  <w:num w:numId="9">
    <w:abstractNumId w:val="40"/>
  </w:num>
  <w:num w:numId="10">
    <w:abstractNumId w:val="42"/>
  </w:num>
  <w:num w:numId="11">
    <w:abstractNumId w:val="8"/>
  </w:num>
  <w:num w:numId="12">
    <w:abstractNumId w:val="30"/>
  </w:num>
  <w:num w:numId="13">
    <w:abstractNumId w:val="11"/>
  </w:num>
  <w:num w:numId="14">
    <w:abstractNumId w:val="41"/>
  </w:num>
  <w:num w:numId="15">
    <w:abstractNumId w:val="2"/>
  </w:num>
  <w:num w:numId="16">
    <w:abstractNumId w:val="21"/>
  </w:num>
  <w:num w:numId="17">
    <w:abstractNumId w:val="26"/>
  </w:num>
  <w:num w:numId="18">
    <w:abstractNumId w:val="19"/>
  </w:num>
  <w:num w:numId="19">
    <w:abstractNumId w:val="5"/>
  </w:num>
  <w:num w:numId="20">
    <w:abstractNumId w:val="31"/>
  </w:num>
  <w:num w:numId="21">
    <w:abstractNumId w:val="23"/>
  </w:num>
  <w:num w:numId="22">
    <w:abstractNumId w:val="17"/>
  </w:num>
  <w:num w:numId="23">
    <w:abstractNumId w:val="13"/>
  </w:num>
  <w:num w:numId="24">
    <w:abstractNumId w:val="32"/>
  </w:num>
  <w:num w:numId="25">
    <w:abstractNumId w:val="39"/>
  </w:num>
  <w:num w:numId="26">
    <w:abstractNumId w:val="6"/>
  </w:num>
  <w:num w:numId="27">
    <w:abstractNumId w:val="14"/>
  </w:num>
  <w:num w:numId="28">
    <w:abstractNumId w:val="29"/>
  </w:num>
  <w:num w:numId="29">
    <w:abstractNumId w:val="1"/>
  </w:num>
  <w:num w:numId="30">
    <w:abstractNumId w:val="28"/>
  </w:num>
  <w:num w:numId="31">
    <w:abstractNumId w:val="15"/>
  </w:num>
  <w:num w:numId="32">
    <w:abstractNumId w:val="12"/>
  </w:num>
  <w:num w:numId="33">
    <w:abstractNumId w:val="36"/>
  </w:num>
  <w:num w:numId="34">
    <w:abstractNumId w:val="38"/>
  </w:num>
  <w:num w:numId="35">
    <w:abstractNumId w:val="10"/>
  </w:num>
  <w:num w:numId="36">
    <w:abstractNumId w:val="16"/>
  </w:num>
  <w:num w:numId="37">
    <w:abstractNumId w:val="34"/>
  </w:num>
  <w:num w:numId="38">
    <w:abstractNumId w:val="25"/>
  </w:num>
  <w:num w:numId="39">
    <w:abstractNumId w:val="4"/>
  </w:num>
  <w:num w:numId="40">
    <w:abstractNumId w:val="24"/>
  </w:num>
  <w:num w:numId="41">
    <w:abstractNumId w:val="7"/>
  </w:num>
  <w:num w:numId="42">
    <w:abstractNumId w:val="35"/>
  </w:num>
  <w:num w:numId="43">
    <w:abstractNumId w:val="27"/>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988"/>
    <w:rsid w:val="000015E5"/>
    <w:rsid w:val="00003998"/>
    <w:rsid w:val="0000726E"/>
    <w:rsid w:val="00016D99"/>
    <w:rsid w:val="000170D0"/>
    <w:rsid w:val="00024173"/>
    <w:rsid w:val="00026E5C"/>
    <w:rsid w:val="00033CA0"/>
    <w:rsid w:val="00035944"/>
    <w:rsid w:val="00044447"/>
    <w:rsid w:val="00047F66"/>
    <w:rsid w:val="0005289E"/>
    <w:rsid w:val="00053712"/>
    <w:rsid w:val="000610B3"/>
    <w:rsid w:val="00061988"/>
    <w:rsid w:val="000619FC"/>
    <w:rsid w:val="00062CEF"/>
    <w:rsid w:val="00070256"/>
    <w:rsid w:val="00070888"/>
    <w:rsid w:val="00071ECF"/>
    <w:rsid w:val="00095C84"/>
    <w:rsid w:val="000B344C"/>
    <w:rsid w:val="000C331A"/>
    <w:rsid w:val="000D7998"/>
    <w:rsid w:val="000E5730"/>
    <w:rsid w:val="0010134F"/>
    <w:rsid w:val="001064B1"/>
    <w:rsid w:val="00120383"/>
    <w:rsid w:val="00121AA2"/>
    <w:rsid w:val="00130A71"/>
    <w:rsid w:val="001314C1"/>
    <w:rsid w:val="00131CE8"/>
    <w:rsid w:val="00135F92"/>
    <w:rsid w:val="00153C73"/>
    <w:rsid w:val="00154A92"/>
    <w:rsid w:val="001558E8"/>
    <w:rsid w:val="0018663B"/>
    <w:rsid w:val="001935E7"/>
    <w:rsid w:val="00194E3F"/>
    <w:rsid w:val="00197DB3"/>
    <w:rsid w:val="001A6ADC"/>
    <w:rsid w:val="001A7369"/>
    <w:rsid w:val="001C5964"/>
    <w:rsid w:val="001E2046"/>
    <w:rsid w:val="001F2D24"/>
    <w:rsid w:val="001F7A12"/>
    <w:rsid w:val="002166A7"/>
    <w:rsid w:val="00227015"/>
    <w:rsid w:val="00227C1D"/>
    <w:rsid w:val="002347A0"/>
    <w:rsid w:val="00257BB8"/>
    <w:rsid w:val="0026109F"/>
    <w:rsid w:val="0027159E"/>
    <w:rsid w:val="00271BB4"/>
    <w:rsid w:val="00277477"/>
    <w:rsid w:val="00280D10"/>
    <w:rsid w:val="00297836"/>
    <w:rsid w:val="002B097B"/>
    <w:rsid w:val="002C65F0"/>
    <w:rsid w:val="002E3A7A"/>
    <w:rsid w:val="002F1186"/>
    <w:rsid w:val="002F4901"/>
    <w:rsid w:val="00300690"/>
    <w:rsid w:val="0030506A"/>
    <w:rsid w:val="00323B83"/>
    <w:rsid w:val="00331781"/>
    <w:rsid w:val="00332CFA"/>
    <w:rsid w:val="00354905"/>
    <w:rsid w:val="003560C0"/>
    <w:rsid w:val="00376610"/>
    <w:rsid w:val="003861C6"/>
    <w:rsid w:val="003931D4"/>
    <w:rsid w:val="003971AE"/>
    <w:rsid w:val="003B090E"/>
    <w:rsid w:val="003B4DB2"/>
    <w:rsid w:val="003C10D3"/>
    <w:rsid w:val="003C34CF"/>
    <w:rsid w:val="003D06D8"/>
    <w:rsid w:val="003E0B4B"/>
    <w:rsid w:val="003E424F"/>
    <w:rsid w:val="003E648D"/>
    <w:rsid w:val="003F1CC5"/>
    <w:rsid w:val="003F656B"/>
    <w:rsid w:val="00401899"/>
    <w:rsid w:val="00402F98"/>
    <w:rsid w:val="00405661"/>
    <w:rsid w:val="00412F52"/>
    <w:rsid w:val="00415D37"/>
    <w:rsid w:val="00430CD2"/>
    <w:rsid w:val="00444661"/>
    <w:rsid w:val="00446AD2"/>
    <w:rsid w:val="00464121"/>
    <w:rsid w:val="00464A31"/>
    <w:rsid w:val="004779AD"/>
    <w:rsid w:val="004850B8"/>
    <w:rsid w:val="0048619E"/>
    <w:rsid w:val="00486370"/>
    <w:rsid w:val="00493E7A"/>
    <w:rsid w:val="0049675A"/>
    <w:rsid w:val="004A09FF"/>
    <w:rsid w:val="004A7D62"/>
    <w:rsid w:val="004D3F08"/>
    <w:rsid w:val="004D62D0"/>
    <w:rsid w:val="004D7D0D"/>
    <w:rsid w:val="004E3481"/>
    <w:rsid w:val="004F2499"/>
    <w:rsid w:val="004F60DB"/>
    <w:rsid w:val="005025E8"/>
    <w:rsid w:val="00510812"/>
    <w:rsid w:val="00512591"/>
    <w:rsid w:val="00520D91"/>
    <w:rsid w:val="005258B7"/>
    <w:rsid w:val="005419CE"/>
    <w:rsid w:val="00546123"/>
    <w:rsid w:val="00570182"/>
    <w:rsid w:val="00585A93"/>
    <w:rsid w:val="005871DC"/>
    <w:rsid w:val="0059299B"/>
    <w:rsid w:val="00594901"/>
    <w:rsid w:val="00595CC0"/>
    <w:rsid w:val="005A0FFD"/>
    <w:rsid w:val="005A46F2"/>
    <w:rsid w:val="005B0476"/>
    <w:rsid w:val="005B4685"/>
    <w:rsid w:val="005B7306"/>
    <w:rsid w:val="005C0A4B"/>
    <w:rsid w:val="005D1C5E"/>
    <w:rsid w:val="005D58E6"/>
    <w:rsid w:val="005D6EEB"/>
    <w:rsid w:val="005E781A"/>
    <w:rsid w:val="005F4552"/>
    <w:rsid w:val="00600769"/>
    <w:rsid w:val="00614031"/>
    <w:rsid w:val="00616D90"/>
    <w:rsid w:val="006216F4"/>
    <w:rsid w:val="0062254D"/>
    <w:rsid w:val="006302A0"/>
    <w:rsid w:val="006353FE"/>
    <w:rsid w:val="006354DC"/>
    <w:rsid w:val="006362A9"/>
    <w:rsid w:val="00636DED"/>
    <w:rsid w:val="006410B3"/>
    <w:rsid w:val="00660732"/>
    <w:rsid w:val="006626F1"/>
    <w:rsid w:val="006634C2"/>
    <w:rsid w:val="00666077"/>
    <w:rsid w:val="00666664"/>
    <w:rsid w:val="006711A0"/>
    <w:rsid w:val="00693312"/>
    <w:rsid w:val="0069677E"/>
    <w:rsid w:val="006A5127"/>
    <w:rsid w:val="006B0062"/>
    <w:rsid w:val="006B1DC8"/>
    <w:rsid w:val="006B32D0"/>
    <w:rsid w:val="006D261C"/>
    <w:rsid w:val="006E62C6"/>
    <w:rsid w:val="006E7E4D"/>
    <w:rsid w:val="006F1190"/>
    <w:rsid w:val="006F191A"/>
    <w:rsid w:val="006F362F"/>
    <w:rsid w:val="006F4F92"/>
    <w:rsid w:val="006F5291"/>
    <w:rsid w:val="00700A76"/>
    <w:rsid w:val="00703129"/>
    <w:rsid w:val="0070433A"/>
    <w:rsid w:val="00706567"/>
    <w:rsid w:val="00715ADC"/>
    <w:rsid w:val="00716048"/>
    <w:rsid w:val="00730D50"/>
    <w:rsid w:val="007311BA"/>
    <w:rsid w:val="00736491"/>
    <w:rsid w:val="0074160C"/>
    <w:rsid w:val="007478CF"/>
    <w:rsid w:val="00756903"/>
    <w:rsid w:val="0076364A"/>
    <w:rsid w:val="00767214"/>
    <w:rsid w:val="00767C22"/>
    <w:rsid w:val="007724E1"/>
    <w:rsid w:val="00775D88"/>
    <w:rsid w:val="00777177"/>
    <w:rsid w:val="00795F3F"/>
    <w:rsid w:val="007A58AE"/>
    <w:rsid w:val="007B0B06"/>
    <w:rsid w:val="007B681B"/>
    <w:rsid w:val="007D0A9B"/>
    <w:rsid w:val="007D50D4"/>
    <w:rsid w:val="007E06ED"/>
    <w:rsid w:val="007E0FAF"/>
    <w:rsid w:val="007E2297"/>
    <w:rsid w:val="007F0D65"/>
    <w:rsid w:val="00806554"/>
    <w:rsid w:val="00812AFA"/>
    <w:rsid w:val="00814A2A"/>
    <w:rsid w:val="00816CF7"/>
    <w:rsid w:val="00821FFA"/>
    <w:rsid w:val="00831279"/>
    <w:rsid w:val="00846855"/>
    <w:rsid w:val="0085131D"/>
    <w:rsid w:val="00854956"/>
    <w:rsid w:val="00854C8E"/>
    <w:rsid w:val="00856D89"/>
    <w:rsid w:val="00865EDD"/>
    <w:rsid w:val="00882D6E"/>
    <w:rsid w:val="008A2393"/>
    <w:rsid w:val="008C0AA9"/>
    <w:rsid w:val="008C18C7"/>
    <w:rsid w:val="008D18B7"/>
    <w:rsid w:val="008D5D66"/>
    <w:rsid w:val="008E04D7"/>
    <w:rsid w:val="008F403F"/>
    <w:rsid w:val="009048B5"/>
    <w:rsid w:val="00904D3B"/>
    <w:rsid w:val="00914F67"/>
    <w:rsid w:val="0091504C"/>
    <w:rsid w:val="0091571D"/>
    <w:rsid w:val="00921A01"/>
    <w:rsid w:val="00925063"/>
    <w:rsid w:val="009363DB"/>
    <w:rsid w:val="00936EA8"/>
    <w:rsid w:val="00936F17"/>
    <w:rsid w:val="009373AC"/>
    <w:rsid w:val="009553C8"/>
    <w:rsid w:val="00955DC3"/>
    <w:rsid w:val="009602BE"/>
    <w:rsid w:val="0097464B"/>
    <w:rsid w:val="00994C7B"/>
    <w:rsid w:val="009961F5"/>
    <w:rsid w:val="00997F5C"/>
    <w:rsid w:val="009A7E3E"/>
    <w:rsid w:val="009C7C28"/>
    <w:rsid w:val="009D7C28"/>
    <w:rsid w:val="009E0190"/>
    <w:rsid w:val="00A11D3F"/>
    <w:rsid w:val="00A152D8"/>
    <w:rsid w:val="00A2040E"/>
    <w:rsid w:val="00A21DB3"/>
    <w:rsid w:val="00A248C1"/>
    <w:rsid w:val="00A25913"/>
    <w:rsid w:val="00A30FDA"/>
    <w:rsid w:val="00A4238D"/>
    <w:rsid w:val="00A52634"/>
    <w:rsid w:val="00A5517B"/>
    <w:rsid w:val="00A663DA"/>
    <w:rsid w:val="00A74126"/>
    <w:rsid w:val="00A81471"/>
    <w:rsid w:val="00A84293"/>
    <w:rsid w:val="00A849B7"/>
    <w:rsid w:val="00A84C7D"/>
    <w:rsid w:val="00A87982"/>
    <w:rsid w:val="00A95946"/>
    <w:rsid w:val="00AA1CD1"/>
    <w:rsid w:val="00AA2C04"/>
    <w:rsid w:val="00AC0A8A"/>
    <w:rsid w:val="00AC1C08"/>
    <w:rsid w:val="00AD0B3D"/>
    <w:rsid w:val="00AD51AA"/>
    <w:rsid w:val="00AE3F12"/>
    <w:rsid w:val="00AF4B52"/>
    <w:rsid w:val="00AF5BB9"/>
    <w:rsid w:val="00B02523"/>
    <w:rsid w:val="00B1138C"/>
    <w:rsid w:val="00B20325"/>
    <w:rsid w:val="00B22202"/>
    <w:rsid w:val="00B22872"/>
    <w:rsid w:val="00B33667"/>
    <w:rsid w:val="00B352B9"/>
    <w:rsid w:val="00B45AAA"/>
    <w:rsid w:val="00B50660"/>
    <w:rsid w:val="00B519B7"/>
    <w:rsid w:val="00B649C6"/>
    <w:rsid w:val="00B67A80"/>
    <w:rsid w:val="00B7419A"/>
    <w:rsid w:val="00B75FB7"/>
    <w:rsid w:val="00B82FA9"/>
    <w:rsid w:val="00B86BE0"/>
    <w:rsid w:val="00B86D81"/>
    <w:rsid w:val="00B92184"/>
    <w:rsid w:val="00B92DA8"/>
    <w:rsid w:val="00BB1FF6"/>
    <w:rsid w:val="00BB3592"/>
    <w:rsid w:val="00BB69BB"/>
    <w:rsid w:val="00BC0FCB"/>
    <w:rsid w:val="00BC4FAD"/>
    <w:rsid w:val="00BF4FEE"/>
    <w:rsid w:val="00C0135E"/>
    <w:rsid w:val="00C06EF9"/>
    <w:rsid w:val="00C1030E"/>
    <w:rsid w:val="00C33766"/>
    <w:rsid w:val="00C372E3"/>
    <w:rsid w:val="00C37C8E"/>
    <w:rsid w:val="00C37F9F"/>
    <w:rsid w:val="00C41BF5"/>
    <w:rsid w:val="00C42F80"/>
    <w:rsid w:val="00C44558"/>
    <w:rsid w:val="00C533C4"/>
    <w:rsid w:val="00C554F4"/>
    <w:rsid w:val="00C56118"/>
    <w:rsid w:val="00C6054C"/>
    <w:rsid w:val="00C761FB"/>
    <w:rsid w:val="00C83C8F"/>
    <w:rsid w:val="00C83F1E"/>
    <w:rsid w:val="00C91A50"/>
    <w:rsid w:val="00CB29C7"/>
    <w:rsid w:val="00CB77E3"/>
    <w:rsid w:val="00CC21F6"/>
    <w:rsid w:val="00CD2D54"/>
    <w:rsid w:val="00CD3A16"/>
    <w:rsid w:val="00CF1668"/>
    <w:rsid w:val="00D03695"/>
    <w:rsid w:val="00D05D19"/>
    <w:rsid w:val="00D202D9"/>
    <w:rsid w:val="00D2495F"/>
    <w:rsid w:val="00D37430"/>
    <w:rsid w:val="00D40C41"/>
    <w:rsid w:val="00D44187"/>
    <w:rsid w:val="00D455D6"/>
    <w:rsid w:val="00D52699"/>
    <w:rsid w:val="00D53E63"/>
    <w:rsid w:val="00D57FA5"/>
    <w:rsid w:val="00D652CE"/>
    <w:rsid w:val="00D710A8"/>
    <w:rsid w:val="00D832E2"/>
    <w:rsid w:val="00D94289"/>
    <w:rsid w:val="00D95DE3"/>
    <w:rsid w:val="00DA212F"/>
    <w:rsid w:val="00DA2203"/>
    <w:rsid w:val="00DA23A1"/>
    <w:rsid w:val="00DB26CA"/>
    <w:rsid w:val="00DB2E81"/>
    <w:rsid w:val="00DD2DDA"/>
    <w:rsid w:val="00DD2F45"/>
    <w:rsid w:val="00DE097D"/>
    <w:rsid w:val="00DE51DE"/>
    <w:rsid w:val="00DE5709"/>
    <w:rsid w:val="00DF1242"/>
    <w:rsid w:val="00E002CA"/>
    <w:rsid w:val="00E10DD8"/>
    <w:rsid w:val="00E479C1"/>
    <w:rsid w:val="00E50BC6"/>
    <w:rsid w:val="00E51E33"/>
    <w:rsid w:val="00E542EE"/>
    <w:rsid w:val="00E65834"/>
    <w:rsid w:val="00E70120"/>
    <w:rsid w:val="00E73F43"/>
    <w:rsid w:val="00E90E83"/>
    <w:rsid w:val="00E950F6"/>
    <w:rsid w:val="00E9741A"/>
    <w:rsid w:val="00EA6417"/>
    <w:rsid w:val="00EA651F"/>
    <w:rsid w:val="00EA7B20"/>
    <w:rsid w:val="00ED2DA5"/>
    <w:rsid w:val="00ED3F6E"/>
    <w:rsid w:val="00EF0C74"/>
    <w:rsid w:val="00EF1E1D"/>
    <w:rsid w:val="00EF7986"/>
    <w:rsid w:val="00F06AAC"/>
    <w:rsid w:val="00F11D62"/>
    <w:rsid w:val="00F12A27"/>
    <w:rsid w:val="00F20CD0"/>
    <w:rsid w:val="00F24F96"/>
    <w:rsid w:val="00F27413"/>
    <w:rsid w:val="00F348D9"/>
    <w:rsid w:val="00F353E6"/>
    <w:rsid w:val="00F420FD"/>
    <w:rsid w:val="00F45F03"/>
    <w:rsid w:val="00F601AC"/>
    <w:rsid w:val="00F63228"/>
    <w:rsid w:val="00F80CB8"/>
    <w:rsid w:val="00F8115B"/>
    <w:rsid w:val="00FA1FE9"/>
    <w:rsid w:val="00FA4D15"/>
    <w:rsid w:val="00FA60FD"/>
    <w:rsid w:val="00FB241E"/>
    <w:rsid w:val="00FC3334"/>
    <w:rsid w:val="00FC5DC6"/>
    <w:rsid w:val="00FE686B"/>
    <w:rsid w:val="00FF625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A9B791"/>
  <w15:chartTrackingRefBased/>
  <w15:docId w15:val="{35C9840F-80B2-416A-ACCA-602E9FB90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84C7D"/>
  </w:style>
  <w:style w:type="paragraph" w:styleId="Naslov1">
    <w:name w:val="heading 1"/>
    <w:aliases w:val="NASLOV"/>
    <w:basedOn w:val="Navaden"/>
    <w:next w:val="Navaden"/>
    <w:link w:val="Naslov1Znak"/>
    <w:autoRedefine/>
    <w:rsid w:val="00A84C7D"/>
    <w:pPr>
      <w:keepNext/>
      <w:ind w:left="426" w:hanging="426"/>
      <w:jc w:val="both"/>
      <w:outlineLvl w:val="0"/>
    </w:pPr>
    <w:rPr>
      <w:rFonts w:ascii="Arial" w:eastAsia="Times New Roman" w:hAnsi="Arial" w:cs="Times New Roman"/>
      <w:b/>
      <w:kern w:val="32"/>
      <w:sz w:val="24"/>
      <w:szCs w:val="32"/>
      <w:lang w:eastAsia="sl-SI"/>
    </w:rPr>
  </w:style>
  <w:style w:type="paragraph" w:styleId="Naslov2">
    <w:name w:val="heading 2"/>
    <w:basedOn w:val="Navaden"/>
    <w:next w:val="Navaden"/>
    <w:link w:val="Naslov2Znak"/>
    <w:unhideWhenUsed/>
    <w:qFormat/>
    <w:rsid w:val="00B75FB7"/>
    <w:pPr>
      <w:keepNext/>
      <w:spacing w:before="240" w:after="60" w:line="260" w:lineRule="atLeast"/>
      <w:jc w:val="both"/>
      <w:outlineLvl w:val="1"/>
    </w:pPr>
    <w:rPr>
      <w:rFonts w:ascii="Arial" w:eastAsia="Times New Roman" w:hAnsi="Arial" w:cs="Times New Roman"/>
      <w:b/>
      <w:bCs/>
      <w:iCs/>
      <w:sz w:val="20"/>
      <w:szCs w:val="28"/>
      <w:lang w:val="en-US"/>
    </w:rPr>
  </w:style>
  <w:style w:type="paragraph" w:styleId="Naslov3">
    <w:name w:val="heading 3"/>
    <w:basedOn w:val="Navaden"/>
    <w:next w:val="Navaden"/>
    <w:link w:val="Naslov3Znak"/>
    <w:unhideWhenUsed/>
    <w:qFormat/>
    <w:rsid w:val="003971AE"/>
    <w:pPr>
      <w:keepNext/>
      <w:spacing w:before="240" w:after="60" w:line="260" w:lineRule="atLeast"/>
      <w:jc w:val="both"/>
      <w:outlineLvl w:val="2"/>
    </w:pPr>
    <w:rPr>
      <w:rFonts w:ascii="Arial" w:eastAsia="Times New Roman" w:hAnsi="Arial" w:cs="Times New Roman"/>
      <w:b/>
      <w:bCs/>
      <w:sz w:val="20"/>
      <w:szCs w:val="26"/>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A84C7D"/>
    <w:rPr>
      <w:rFonts w:ascii="Arial" w:eastAsia="Times New Roman" w:hAnsi="Arial" w:cs="Times New Roman"/>
      <w:b/>
      <w:kern w:val="32"/>
      <w:sz w:val="24"/>
      <w:szCs w:val="32"/>
      <w:lang w:eastAsia="sl-SI"/>
    </w:rPr>
  </w:style>
  <w:style w:type="character" w:customStyle="1" w:styleId="Naslov2Znak">
    <w:name w:val="Naslov 2 Znak"/>
    <w:basedOn w:val="Privzetapisavaodstavka"/>
    <w:link w:val="Naslov2"/>
    <w:rsid w:val="00B75FB7"/>
    <w:rPr>
      <w:rFonts w:ascii="Arial" w:eastAsia="Times New Roman" w:hAnsi="Arial" w:cs="Times New Roman"/>
      <w:b/>
      <w:bCs/>
      <w:iCs/>
      <w:sz w:val="20"/>
      <w:szCs w:val="28"/>
      <w:lang w:val="en-US"/>
    </w:rPr>
  </w:style>
  <w:style w:type="character" w:customStyle="1" w:styleId="Naslov3Znak">
    <w:name w:val="Naslov 3 Znak"/>
    <w:basedOn w:val="Privzetapisavaodstavka"/>
    <w:link w:val="Naslov3"/>
    <w:rsid w:val="003971AE"/>
    <w:rPr>
      <w:rFonts w:ascii="Arial" w:eastAsia="Times New Roman" w:hAnsi="Arial" w:cs="Times New Roman"/>
      <w:b/>
      <w:bCs/>
      <w:sz w:val="20"/>
      <w:szCs w:val="26"/>
      <w:lang w:val="en-US"/>
    </w:rPr>
  </w:style>
  <w:style w:type="numbering" w:customStyle="1" w:styleId="Brezseznama1">
    <w:name w:val="Brez seznama1"/>
    <w:next w:val="Brezseznama"/>
    <w:semiHidden/>
    <w:rsid w:val="00666077"/>
  </w:style>
  <w:style w:type="paragraph" w:styleId="Glava">
    <w:name w:val="header"/>
    <w:basedOn w:val="Navaden"/>
    <w:link w:val="GlavaZnak"/>
    <w:rsid w:val="00666077"/>
    <w:pPr>
      <w:tabs>
        <w:tab w:val="center" w:pos="4320"/>
        <w:tab w:val="right" w:pos="8640"/>
      </w:tabs>
      <w:spacing w:line="260" w:lineRule="atLeast"/>
      <w:jc w:val="both"/>
    </w:pPr>
    <w:rPr>
      <w:rFonts w:ascii="Arial" w:eastAsia="Times New Roman" w:hAnsi="Arial" w:cs="Times New Roman"/>
      <w:sz w:val="20"/>
      <w:szCs w:val="24"/>
    </w:rPr>
  </w:style>
  <w:style w:type="character" w:customStyle="1" w:styleId="GlavaZnak">
    <w:name w:val="Glava Znak"/>
    <w:basedOn w:val="Privzetapisavaodstavka"/>
    <w:link w:val="Glava"/>
    <w:rsid w:val="00666077"/>
    <w:rPr>
      <w:rFonts w:ascii="Arial" w:eastAsia="Times New Roman" w:hAnsi="Arial" w:cs="Times New Roman"/>
      <w:sz w:val="20"/>
      <w:szCs w:val="24"/>
    </w:rPr>
  </w:style>
  <w:style w:type="paragraph" w:styleId="Noga">
    <w:name w:val="footer"/>
    <w:basedOn w:val="Navaden"/>
    <w:link w:val="NogaZnak"/>
    <w:uiPriority w:val="99"/>
    <w:rsid w:val="00666077"/>
    <w:pPr>
      <w:tabs>
        <w:tab w:val="center" w:pos="4320"/>
        <w:tab w:val="right" w:pos="8640"/>
      </w:tabs>
      <w:spacing w:line="260" w:lineRule="atLeast"/>
      <w:jc w:val="both"/>
    </w:pPr>
    <w:rPr>
      <w:rFonts w:ascii="Arial" w:eastAsia="Times New Roman" w:hAnsi="Arial" w:cs="Times New Roman"/>
      <w:sz w:val="20"/>
      <w:szCs w:val="24"/>
      <w:lang w:val="en-US"/>
    </w:rPr>
  </w:style>
  <w:style w:type="character" w:customStyle="1" w:styleId="NogaZnak">
    <w:name w:val="Noga Znak"/>
    <w:basedOn w:val="Privzetapisavaodstavka"/>
    <w:link w:val="Noga"/>
    <w:uiPriority w:val="99"/>
    <w:rsid w:val="00666077"/>
    <w:rPr>
      <w:rFonts w:ascii="Arial" w:eastAsia="Times New Roman" w:hAnsi="Arial" w:cs="Times New Roman"/>
      <w:sz w:val="20"/>
      <w:szCs w:val="24"/>
      <w:lang w:val="en-US"/>
    </w:rPr>
  </w:style>
  <w:style w:type="paragraph" w:styleId="Zgradbadokumenta">
    <w:name w:val="Document Map"/>
    <w:basedOn w:val="Navaden"/>
    <w:link w:val="ZgradbadokumentaZnak"/>
    <w:rsid w:val="00666077"/>
    <w:pPr>
      <w:spacing w:line="260" w:lineRule="atLeast"/>
      <w:jc w:val="both"/>
    </w:pPr>
    <w:rPr>
      <w:rFonts w:ascii="Tahoma" w:eastAsia="Times New Roman" w:hAnsi="Tahoma" w:cs="Times New Roman"/>
      <w:sz w:val="16"/>
      <w:szCs w:val="16"/>
      <w:lang w:val="en-US"/>
    </w:rPr>
  </w:style>
  <w:style w:type="character" w:customStyle="1" w:styleId="ZgradbadokumentaZnak">
    <w:name w:val="Zgradba dokumenta Znak"/>
    <w:basedOn w:val="Privzetapisavaodstavka"/>
    <w:link w:val="Zgradbadokumenta"/>
    <w:rsid w:val="00666077"/>
    <w:rPr>
      <w:rFonts w:ascii="Tahoma" w:eastAsia="Times New Roman" w:hAnsi="Tahoma" w:cs="Times New Roman"/>
      <w:sz w:val="16"/>
      <w:szCs w:val="16"/>
      <w:lang w:val="en-US"/>
    </w:rPr>
  </w:style>
  <w:style w:type="paragraph" w:customStyle="1" w:styleId="1">
    <w:name w:val="1"/>
    <w:uiPriority w:val="39"/>
    <w:rsid w:val="00666077"/>
    <w:pPr>
      <w:spacing w:line="240" w:lineRule="auto"/>
    </w:pPr>
    <w:rPr>
      <w:rFonts w:ascii="Times New Roman" w:eastAsia="Times New Roman" w:hAnsi="Times New Roman" w:cs="Times New Roman"/>
      <w:sz w:val="20"/>
      <w:szCs w:val="20"/>
      <w:lang w:eastAsia="sl-SI"/>
    </w:rPr>
  </w:style>
  <w:style w:type="paragraph" w:customStyle="1" w:styleId="datumtevilka">
    <w:name w:val="datum številka"/>
    <w:basedOn w:val="Navaden"/>
    <w:qFormat/>
    <w:rsid w:val="00666077"/>
    <w:pPr>
      <w:tabs>
        <w:tab w:val="left" w:pos="1701"/>
      </w:tabs>
      <w:spacing w:line="260" w:lineRule="atLeast"/>
      <w:jc w:val="both"/>
    </w:pPr>
    <w:rPr>
      <w:rFonts w:ascii="Arial" w:eastAsia="Times New Roman" w:hAnsi="Arial" w:cs="Times New Roman"/>
      <w:sz w:val="20"/>
      <w:szCs w:val="20"/>
      <w:lang w:eastAsia="sl-SI"/>
    </w:rPr>
  </w:style>
  <w:style w:type="paragraph" w:customStyle="1" w:styleId="ZADEVA">
    <w:name w:val="ZADEVA"/>
    <w:basedOn w:val="Navaden"/>
    <w:qFormat/>
    <w:rsid w:val="00666077"/>
    <w:pPr>
      <w:tabs>
        <w:tab w:val="left" w:pos="1701"/>
      </w:tabs>
      <w:spacing w:line="260" w:lineRule="atLeast"/>
      <w:ind w:left="1701" w:hanging="1701"/>
      <w:jc w:val="both"/>
    </w:pPr>
    <w:rPr>
      <w:rFonts w:ascii="Arial" w:eastAsia="Times New Roman" w:hAnsi="Arial" w:cs="Times New Roman"/>
      <w:b/>
      <w:sz w:val="20"/>
      <w:szCs w:val="24"/>
      <w:lang w:val="it-IT"/>
    </w:rPr>
  </w:style>
  <w:style w:type="character" w:styleId="Hiperpovezava">
    <w:name w:val="Hyperlink"/>
    <w:uiPriority w:val="99"/>
    <w:rsid w:val="00666077"/>
    <w:rPr>
      <w:color w:val="0000FF"/>
      <w:u w:val="single"/>
    </w:rPr>
  </w:style>
  <w:style w:type="paragraph" w:customStyle="1" w:styleId="podpisi">
    <w:name w:val="podpisi"/>
    <w:basedOn w:val="Navaden"/>
    <w:link w:val="podpisiZnak"/>
    <w:qFormat/>
    <w:rsid w:val="00666077"/>
    <w:pPr>
      <w:tabs>
        <w:tab w:val="left" w:pos="3402"/>
      </w:tabs>
      <w:spacing w:line="260" w:lineRule="atLeast"/>
      <w:jc w:val="both"/>
    </w:pPr>
    <w:rPr>
      <w:rFonts w:ascii="Arial" w:eastAsia="Times New Roman" w:hAnsi="Arial" w:cs="Times New Roman"/>
      <w:sz w:val="20"/>
      <w:szCs w:val="24"/>
      <w:lang w:val="it-IT"/>
    </w:rPr>
  </w:style>
  <w:style w:type="paragraph" w:customStyle="1" w:styleId="FURSnaslov1">
    <w:name w:val="FURS_naslov_1"/>
    <w:basedOn w:val="podpisi"/>
    <w:link w:val="FURSnaslov1Znak"/>
    <w:qFormat/>
    <w:rsid w:val="00666077"/>
    <w:pPr>
      <w:spacing w:before="360" w:after="120"/>
    </w:pPr>
    <w:rPr>
      <w:b/>
      <w:sz w:val="24"/>
      <w:lang w:val="x-none"/>
    </w:rPr>
  </w:style>
  <w:style w:type="paragraph" w:styleId="NaslovTOC">
    <w:name w:val="TOC Heading"/>
    <w:basedOn w:val="Naslov1"/>
    <w:next w:val="Navaden"/>
    <w:uiPriority w:val="39"/>
    <w:unhideWhenUsed/>
    <w:qFormat/>
    <w:rsid w:val="00666077"/>
    <w:pPr>
      <w:keepLines/>
      <w:spacing w:before="480" w:line="276" w:lineRule="auto"/>
      <w:outlineLvl w:val="9"/>
    </w:pPr>
    <w:rPr>
      <w:rFonts w:ascii="Cambria" w:hAnsi="Cambria"/>
      <w:bCs/>
      <w:color w:val="365F91"/>
      <w:kern w:val="0"/>
      <w:szCs w:val="28"/>
    </w:rPr>
  </w:style>
  <w:style w:type="character" w:customStyle="1" w:styleId="podpisiZnak">
    <w:name w:val="podpisi Znak"/>
    <w:link w:val="podpisi"/>
    <w:rsid w:val="00666077"/>
    <w:rPr>
      <w:rFonts w:ascii="Arial" w:eastAsia="Times New Roman" w:hAnsi="Arial" w:cs="Times New Roman"/>
      <w:sz w:val="20"/>
      <w:szCs w:val="24"/>
      <w:lang w:val="it-IT"/>
    </w:rPr>
  </w:style>
  <w:style w:type="character" w:customStyle="1" w:styleId="FURSnaslov1Znak">
    <w:name w:val="FURS_naslov_1 Znak"/>
    <w:link w:val="FURSnaslov1"/>
    <w:rsid w:val="00666077"/>
    <w:rPr>
      <w:rFonts w:ascii="Arial" w:eastAsia="Times New Roman" w:hAnsi="Arial" w:cs="Times New Roman"/>
      <w:b/>
      <w:sz w:val="24"/>
      <w:szCs w:val="24"/>
      <w:lang w:val="x-none"/>
    </w:rPr>
  </w:style>
  <w:style w:type="paragraph" w:styleId="Kazalovsebine1">
    <w:name w:val="toc 1"/>
    <w:basedOn w:val="Navaden"/>
    <w:next w:val="Navaden"/>
    <w:autoRedefine/>
    <w:uiPriority w:val="39"/>
    <w:qFormat/>
    <w:rsid w:val="00666664"/>
    <w:pPr>
      <w:tabs>
        <w:tab w:val="right" w:leader="dot" w:pos="8498"/>
      </w:tabs>
      <w:spacing w:line="276" w:lineRule="auto"/>
      <w:ind w:left="284" w:hanging="283"/>
    </w:pPr>
    <w:rPr>
      <w:rFonts w:ascii="Arial" w:eastAsia="Times New Roman" w:hAnsi="Arial" w:cs="Arial"/>
      <w:b/>
      <w:bCs/>
      <w:sz w:val="20"/>
      <w:szCs w:val="24"/>
    </w:rPr>
  </w:style>
  <w:style w:type="paragraph" w:styleId="Kazalovsebine2">
    <w:name w:val="toc 2"/>
    <w:basedOn w:val="Navaden"/>
    <w:next w:val="Navaden"/>
    <w:autoRedefine/>
    <w:uiPriority w:val="39"/>
    <w:unhideWhenUsed/>
    <w:qFormat/>
    <w:rsid w:val="00666664"/>
    <w:pPr>
      <w:tabs>
        <w:tab w:val="right" w:leader="dot" w:pos="8488"/>
      </w:tabs>
      <w:spacing w:line="280" w:lineRule="atLeast"/>
      <w:ind w:left="851" w:hanging="709"/>
      <w:jc w:val="both"/>
    </w:pPr>
    <w:rPr>
      <w:rFonts w:ascii="Arial" w:eastAsia="Times New Roman" w:hAnsi="Arial" w:cs="Times New Roman"/>
      <w:sz w:val="20"/>
      <w:lang w:eastAsia="sl-SI"/>
    </w:rPr>
  </w:style>
  <w:style w:type="paragraph" w:styleId="Kazalovsebine3">
    <w:name w:val="toc 3"/>
    <w:basedOn w:val="Navaden"/>
    <w:next w:val="Navaden"/>
    <w:autoRedefine/>
    <w:uiPriority w:val="39"/>
    <w:unhideWhenUsed/>
    <w:qFormat/>
    <w:rsid w:val="00666077"/>
    <w:pPr>
      <w:tabs>
        <w:tab w:val="right" w:leader="dot" w:pos="8488"/>
      </w:tabs>
      <w:spacing w:line="280" w:lineRule="atLeast"/>
      <w:ind w:left="851"/>
      <w:jc w:val="both"/>
    </w:pPr>
    <w:rPr>
      <w:rFonts w:ascii="Arial" w:eastAsia="Times New Roman" w:hAnsi="Arial" w:cs="Times New Roman"/>
      <w:sz w:val="20"/>
      <w:lang w:eastAsia="sl-SI"/>
    </w:rPr>
  </w:style>
  <w:style w:type="paragraph" w:styleId="Besedilooblaka">
    <w:name w:val="Balloon Text"/>
    <w:basedOn w:val="Navaden"/>
    <w:link w:val="BesedilooblakaZnak"/>
    <w:rsid w:val="00666077"/>
    <w:pPr>
      <w:spacing w:line="240" w:lineRule="auto"/>
      <w:jc w:val="both"/>
    </w:pPr>
    <w:rPr>
      <w:rFonts w:ascii="Tahoma" w:eastAsia="Times New Roman" w:hAnsi="Tahoma" w:cs="Times New Roman"/>
      <w:sz w:val="16"/>
      <w:szCs w:val="16"/>
      <w:lang w:val="en-US"/>
    </w:rPr>
  </w:style>
  <w:style w:type="character" w:customStyle="1" w:styleId="BesedilooblakaZnak">
    <w:name w:val="Besedilo oblačka Znak"/>
    <w:basedOn w:val="Privzetapisavaodstavka"/>
    <w:link w:val="Besedilooblaka"/>
    <w:rsid w:val="00666077"/>
    <w:rPr>
      <w:rFonts w:ascii="Tahoma" w:eastAsia="Times New Roman" w:hAnsi="Tahoma" w:cs="Times New Roman"/>
      <w:sz w:val="16"/>
      <w:szCs w:val="16"/>
      <w:lang w:val="en-US"/>
    </w:rPr>
  </w:style>
  <w:style w:type="paragraph" w:customStyle="1" w:styleId="FURSnaslov2">
    <w:name w:val="FURS_naslov_2"/>
    <w:basedOn w:val="podpisi"/>
    <w:link w:val="FURSnaslov2Znak"/>
    <w:qFormat/>
    <w:rsid w:val="00666077"/>
    <w:pPr>
      <w:spacing w:before="240" w:after="120"/>
    </w:pPr>
    <w:rPr>
      <w:b/>
      <w:sz w:val="24"/>
      <w:lang w:val="x-none"/>
    </w:rPr>
  </w:style>
  <w:style w:type="character" w:styleId="Krepko">
    <w:name w:val="Strong"/>
    <w:uiPriority w:val="22"/>
    <w:qFormat/>
    <w:rsid w:val="00666077"/>
    <w:rPr>
      <w:b/>
      <w:bCs/>
    </w:rPr>
  </w:style>
  <w:style w:type="character" w:customStyle="1" w:styleId="FURSnaslov2Znak">
    <w:name w:val="FURS_naslov_2 Znak"/>
    <w:link w:val="FURSnaslov2"/>
    <w:rsid w:val="00666077"/>
    <w:rPr>
      <w:rFonts w:ascii="Arial" w:eastAsia="Times New Roman" w:hAnsi="Arial" w:cs="Times New Roman"/>
      <w:b/>
      <w:sz w:val="24"/>
      <w:szCs w:val="24"/>
      <w:lang w:val="x-none"/>
    </w:rPr>
  </w:style>
  <w:style w:type="paragraph" w:customStyle="1" w:styleId="align-justify">
    <w:name w:val="align-justify"/>
    <w:basedOn w:val="Navaden"/>
    <w:rsid w:val="00666077"/>
    <w:pPr>
      <w:spacing w:before="100" w:beforeAutospacing="1" w:after="100" w:afterAutospacing="1" w:line="240" w:lineRule="auto"/>
      <w:jc w:val="both"/>
    </w:pPr>
    <w:rPr>
      <w:rFonts w:ascii="Times New Roman" w:eastAsia="Times New Roman" w:hAnsi="Times New Roman" w:cs="Times New Roman"/>
      <w:sz w:val="24"/>
      <w:szCs w:val="24"/>
      <w:lang w:eastAsia="sl-SI"/>
    </w:rPr>
  </w:style>
  <w:style w:type="paragraph" w:styleId="Navadensplet">
    <w:name w:val="Normal (Web)"/>
    <w:basedOn w:val="Navaden"/>
    <w:uiPriority w:val="99"/>
    <w:unhideWhenUsed/>
    <w:rsid w:val="00666077"/>
    <w:pPr>
      <w:spacing w:before="100" w:beforeAutospacing="1" w:after="100" w:afterAutospacing="1" w:line="240" w:lineRule="auto"/>
      <w:jc w:val="both"/>
    </w:pPr>
    <w:rPr>
      <w:rFonts w:ascii="Times New Roman" w:eastAsia="Times New Roman" w:hAnsi="Times New Roman" w:cs="Times New Roman"/>
      <w:sz w:val="24"/>
      <w:szCs w:val="24"/>
      <w:lang w:eastAsia="sl-SI"/>
    </w:rPr>
  </w:style>
  <w:style w:type="character" w:styleId="Poudarek">
    <w:name w:val="Emphasis"/>
    <w:uiPriority w:val="20"/>
    <w:qFormat/>
    <w:rsid w:val="00666077"/>
    <w:rPr>
      <w:i/>
      <w:iCs/>
    </w:rPr>
  </w:style>
  <w:style w:type="paragraph" w:customStyle="1" w:styleId="align-left">
    <w:name w:val="align-left"/>
    <w:basedOn w:val="Navaden"/>
    <w:rsid w:val="00666077"/>
    <w:pPr>
      <w:spacing w:before="100" w:beforeAutospacing="1" w:after="100" w:afterAutospacing="1" w:line="240" w:lineRule="auto"/>
      <w:jc w:val="both"/>
    </w:pPr>
    <w:rPr>
      <w:rFonts w:ascii="Times New Roman" w:eastAsia="Times New Roman" w:hAnsi="Times New Roman" w:cs="Times New Roman"/>
      <w:sz w:val="24"/>
      <w:szCs w:val="24"/>
      <w:lang w:eastAsia="sl-SI"/>
    </w:rPr>
  </w:style>
  <w:style w:type="paragraph" w:customStyle="1" w:styleId="poudarjenapovezava">
    <w:name w:val="poudarjena_povezava"/>
    <w:basedOn w:val="Navaden"/>
    <w:rsid w:val="00666077"/>
    <w:pPr>
      <w:spacing w:before="100" w:beforeAutospacing="1" w:after="100" w:afterAutospacing="1" w:line="240" w:lineRule="auto"/>
      <w:jc w:val="both"/>
    </w:pPr>
    <w:rPr>
      <w:rFonts w:ascii="Times New Roman" w:eastAsia="Times New Roman" w:hAnsi="Times New Roman" w:cs="Times New Roman"/>
      <w:b/>
      <w:bCs/>
      <w:color w:val="529CBA"/>
      <w:sz w:val="24"/>
      <w:szCs w:val="24"/>
      <w:u w:val="single"/>
      <w:lang w:eastAsia="sl-SI"/>
    </w:rPr>
  </w:style>
  <w:style w:type="paragraph" w:customStyle="1" w:styleId="contentzone">
    <w:name w:val="contentzone"/>
    <w:basedOn w:val="Navaden"/>
    <w:rsid w:val="00666077"/>
    <w:pPr>
      <w:spacing w:before="100" w:beforeAutospacing="1" w:after="100" w:afterAutospacing="1" w:line="240" w:lineRule="auto"/>
      <w:jc w:val="both"/>
    </w:pPr>
    <w:rPr>
      <w:rFonts w:ascii="Times New Roman" w:eastAsia="Times New Roman" w:hAnsi="Times New Roman" w:cs="Times New Roman"/>
      <w:sz w:val="24"/>
      <w:szCs w:val="24"/>
      <w:lang w:eastAsia="sl-SI"/>
    </w:rPr>
  </w:style>
  <w:style w:type="paragraph" w:styleId="Odstavekseznama">
    <w:name w:val="List Paragraph"/>
    <w:basedOn w:val="Navaden"/>
    <w:uiPriority w:val="34"/>
    <w:qFormat/>
    <w:rsid w:val="00666077"/>
    <w:pPr>
      <w:spacing w:line="240" w:lineRule="auto"/>
      <w:ind w:left="720"/>
      <w:jc w:val="both"/>
    </w:pPr>
    <w:rPr>
      <w:rFonts w:ascii="Calibri" w:eastAsia="Calibri" w:hAnsi="Calibri" w:cs="Times New Roman"/>
      <w:lang w:eastAsia="sl-SI"/>
    </w:rPr>
  </w:style>
  <w:style w:type="paragraph" w:styleId="Naslov">
    <w:name w:val="Title"/>
    <w:aliases w:val="FURS_naslov_3"/>
    <w:basedOn w:val="Navaden"/>
    <w:next w:val="Navaden"/>
    <w:link w:val="NaslovZnak"/>
    <w:qFormat/>
    <w:rsid w:val="00666077"/>
    <w:pPr>
      <w:spacing w:before="120" w:after="120" w:line="260" w:lineRule="atLeast"/>
      <w:outlineLvl w:val="0"/>
    </w:pPr>
    <w:rPr>
      <w:rFonts w:ascii="Arial" w:eastAsia="Times New Roman" w:hAnsi="Arial" w:cs="Times New Roman"/>
      <w:b/>
      <w:bCs/>
      <w:kern w:val="28"/>
      <w:sz w:val="24"/>
      <w:szCs w:val="32"/>
      <w:lang w:val="x-none"/>
    </w:rPr>
  </w:style>
  <w:style w:type="character" w:customStyle="1" w:styleId="NaslovZnak">
    <w:name w:val="Naslov Znak"/>
    <w:aliases w:val="FURS_naslov_3 Znak"/>
    <w:basedOn w:val="Privzetapisavaodstavka"/>
    <w:link w:val="Naslov"/>
    <w:rsid w:val="00666077"/>
    <w:rPr>
      <w:rFonts w:ascii="Arial" w:eastAsia="Times New Roman" w:hAnsi="Arial" w:cs="Times New Roman"/>
      <w:b/>
      <w:bCs/>
      <w:kern w:val="28"/>
      <w:sz w:val="24"/>
      <w:szCs w:val="32"/>
      <w:lang w:val="x-none"/>
    </w:rPr>
  </w:style>
  <w:style w:type="character" w:styleId="SledenaHiperpovezava">
    <w:name w:val="FollowedHyperlink"/>
    <w:rsid w:val="00666077"/>
    <w:rPr>
      <w:color w:val="800080"/>
      <w:u w:val="single"/>
    </w:rPr>
  </w:style>
  <w:style w:type="paragraph" w:styleId="Stvarnokazalo1">
    <w:name w:val="index 1"/>
    <w:basedOn w:val="Navaden"/>
    <w:next w:val="Navaden"/>
    <w:autoRedefine/>
    <w:rsid w:val="00666077"/>
    <w:pPr>
      <w:spacing w:line="260" w:lineRule="atLeast"/>
      <w:ind w:left="200" w:hanging="200"/>
      <w:jc w:val="both"/>
    </w:pPr>
    <w:rPr>
      <w:rFonts w:ascii="Arial" w:eastAsia="Times New Roman" w:hAnsi="Arial" w:cs="Times New Roman"/>
      <w:sz w:val="20"/>
      <w:szCs w:val="24"/>
    </w:rPr>
  </w:style>
  <w:style w:type="paragraph" w:customStyle="1" w:styleId="odstavek1">
    <w:name w:val="odstavek1"/>
    <w:basedOn w:val="Navaden"/>
    <w:rsid w:val="00666077"/>
    <w:pPr>
      <w:spacing w:before="240" w:line="240" w:lineRule="auto"/>
      <w:ind w:firstLine="1021"/>
      <w:jc w:val="both"/>
    </w:pPr>
    <w:rPr>
      <w:rFonts w:ascii="Arial" w:eastAsia="Times New Roman" w:hAnsi="Arial" w:cs="Arial"/>
      <w:lang w:eastAsia="sl-SI"/>
    </w:rPr>
  </w:style>
  <w:style w:type="paragraph" w:styleId="Brezrazmikov">
    <w:name w:val="No Spacing"/>
    <w:basedOn w:val="Navaden"/>
    <w:uiPriority w:val="1"/>
    <w:qFormat/>
    <w:rsid w:val="00666077"/>
    <w:pPr>
      <w:spacing w:line="240" w:lineRule="auto"/>
      <w:jc w:val="both"/>
    </w:pPr>
    <w:rPr>
      <w:rFonts w:ascii="Arial" w:eastAsia="Times New Roman" w:hAnsi="Arial" w:cs="Times New Roman"/>
      <w:sz w:val="20"/>
      <w:lang w:bidi="en-US"/>
    </w:rPr>
  </w:style>
  <w:style w:type="paragraph" w:customStyle="1" w:styleId="lennaslov1">
    <w:name w:val="lennaslov1"/>
    <w:basedOn w:val="Navaden"/>
    <w:rsid w:val="00666077"/>
    <w:pPr>
      <w:spacing w:line="240" w:lineRule="auto"/>
      <w:jc w:val="center"/>
    </w:pPr>
    <w:rPr>
      <w:rFonts w:ascii="Arial" w:eastAsia="Times New Roman" w:hAnsi="Arial" w:cs="Arial"/>
      <w:b/>
      <w:bCs/>
      <w:lang w:eastAsia="sl-SI"/>
    </w:rPr>
  </w:style>
  <w:style w:type="paragraph" w:styleId="Sprotnaopomba-besedilo">
    <w:name w:val="footnote text"/>
    <w:basedOn w:val="Navaden"/>
    <w:link w:val="Sprotnaopomba-besediloZnak"/>
    <w:uiPriority w:val="99"/>
    <w:unhideWhenUsed/>
    <w:qFormat/>
    <w:rsid w:val="00666077"/>
    <w:pPr>
      <w:spacing w:line="240" w:lineRule="auto"/>
    </w:pPr>
    <w:rPr>
      <w:rFonts w:ascii="Calibri" w:eastAsia="Calibri" w:hAnsi="Calibri" w:cs="Times New Roman"/>
      <w:sz w:val="20"/>
      <w:szCs w:val="20"/>
    </w:rPr>
  </w:style>
  <w:style w:type="character" w:customStyle="1" w:styleId="Sprotnaopomba-besediloZnak">
    <w:name w:val="Sprotna opomba - besedilo Znak"/>
    <w:basedOn w:val="Privzetapisavaodstavka"/>
    <w:link w:val="Sprotnaopomba-besedilo"/>
    <w:uiPriority w:val="99"/>
    <w:rsid w:val="00666077"/>
    <w:rPr>
      <w:rFonts w:ascii="Calibri" w:eastAsia="Calibri" w:hAnsi="Calibri" w:cs="Times New Roman"/>
      <w:sz w:val="20"/>
      <w:szCs w:val="20"/>
    </w:rPr>
  </w:style>
  <w:style w:type="character" w:styleId="Sprotnaopomba-sklic">
    <w:name w:val="footnote reference"/>
    <w:uiPriority w:val="99"/>
    <w:unhideWhenUsed/>
    <w:qFormat/>
    <w:rsid w:val="00666077"/>
    <w:rPr>
      <w:rFonts w:ascii="Times New Roman" w:hAnsi="Times New Roman" w:cs="Times New Roman" w:hint="default"/>
      <w:sz w:val="22"/>
      <w:vertAlign w:val="superscript"/>
    </w:rPr>
  </w:style>
  <w:style w:type="table" w:customStyle="1" w:styleId="Tabelamrea1">
    <w:name w:val="Tabela – mreža1"/>
    <w:basedOn w:val="Navadnatabela"/>
    <w:next w:val="Tabelamrea"/>
    <w:rsid w:val="00666077"/>
    <w:pPr>
      <w:spacing w:before="120" w:line="260" w:lineRule="exact"/>
      <w:jc w:val="both"/>
    </w:pPr>
    <w:rPr>
      <w:rFonts w:ascii="Calibri" w:eastAsia="Times New Roman" w:hAnsi="Calibri" w:cs="Times New Roman"/>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AlinejeTocke">
    <w:name w:val="tekst Alineje Tocke"/>
    <w:basedOn w:val="Navaden"/>
    <w:qFormat/>
    <w:rsid w:val="00666077"/>
    <w:pPr>
      <w:numPr>
        <w:numId w:val="8"/>
      </w:numPr>
      <w:tabs>
        <w:tab w:val="left" w:pos="284"/>
      </w:tabs>
      <w:spacing w:before="120" w:line="240" w:lineRule="auto"/>
      <w:ind w:left="284" w:hanging="284"/>
      <w:jc w:val="both"/>
    </w:pPr>
    <w:rPr>
      <w:rFonts w:ascii="Arial" w:eastAsia="Times New Roman" w:hAnsi="Arial" w:cs="Calibri"/>
      <w:snapToGrid w:val="0"/>
      <w:color w:val="000000"/>
      <w:kern w:val="24"/>
      <w:lang w:eastAsia="sl-SI"/>
    </w:rPr>
  </w:style>
  <w:style w:type="paragraph" w:customStyle="1" w:styleId="tekstAlinejeTocke1">
    <w:name w:val="tekst Alineje Tocke 1"/>
    <w:basedOn w:val="Navaden"/>
    <w:qFormat/>
    <w:rsid w:val="00666077"/>
    <w:pPr>
      <w:numPr>
        <w:numId w:val="9"/>
      </w:numPr>
      <w:spacing w:before="60" w:line="240" w:lineRule="auto"/>
      <w:jc w:val="both"/>
    </w:pPr>
    <w:rPr>
      <w:rFonts w:ascii="Arial" w:eastAsia="Times New Roman" w:hAnsi="Arial" w:cs="Calibri"/>
      <w:snapToGrid w:val="0"/>
      <w:color w:val="000000"/>
      <w:kern w:val="24"/>
      <w:lang w:eastAsia="sl-SI"/>
    </w:rPr>
  </w:style>
  <w:style w:type="paragraph" w:customStyle="1" w:styleId="Default">
    <w:name w:val="Default"/>
    <w:rsid w:val="00666077"/>
    <w:pPr>
      <w:autoSpaceDE w:val="0"/>
      <w:autoSpaceDN w:val="0"/>
      <w:adjustRightInd w:val="0"/>
      <w:spacing w:line="240" w:lineRule="auto"/>
    </w:pPr>
    <w:rPr>
      <w:rFonts w:ascii="Times New Roman" w:eastAsia="Calibri" w:hAnsi="Times New Roman" w:cs="Times New Roman"/>
      <w:color w:val="000000"/>
      <w:sz w:val="24"/>
      <w:szCs w:val="24"/>
    </w:rPr>
  </w:style>
  <w:style w:type="character" w:customStyle="1" w:styleId="tlid-translation">
    <w:name w:val="tlid-translation"/>
    <w:rsid w:val="00666077"/>
  </w:style>
  <w:style w:type="paragraph" w:customStyle="1" w:styleId="alineazaodstavkom1">
    <w:name w:val="alineazaodstavkom1"/>
    <w:basedOn w:val="Navaden"/>
    <w:rsid w:val="00666077"/>
    <w:pPr>
      <w:spacing w:line="240" w:lineRule="auto"/>
      <w:ind w:left="425" w:hanging="425"/>
      <w:jc w:val="both"/>
    </w:pPr>
    <w:rPr>
      <w:rFonts w:ascii="Arial" w:eastAsia="Times New Roman" w:hAnsi="Arial" w:cs="Arial"/>
      <w:lang w:eastAsia="sl-SI"/>
    </w:rPr>
  </w:style>
  <w:style w:type="paragraph" w:styleId="Konnaopomba-besedilo">
    <w:name w:val="endnote text"/>
    <w:basedOn w:val="Navaden"/>
    <w:link w:val="Konnaopomba-besediloZnak"/>
    <w:rsid w:val="00666077"/>
    <w:pPr>
      <w:spacing w:line="260" w:lineRule="atLeast"/>
      <w:jc w:val="both"/>
    </w:pPr>
    <w:rPr>
      <w:rFonts w:ascii="Arial" w:eastAsia="Times New Roman" w:hAnsi="Arial" w:cs="Times New Roman"/>
      <w:sz w:val="20"/>
      <w:szCs w:val="20"/>
    </w:rPr>
  </w:style>
  <w:style w:type="character" w:customStyle="1" w:styleId="Konnaopomba-besediloZnak">
    <w:name w:val="Končna opomba - besedilo Znak"/>
    <w:basedOn w:val="Privzetapisavaodstavka"/>
    <w:link w:val="Konnaopomba-besedilo"/>
    <w:rsid w:val="00666077"/>
    <w:rPr>
      <w:rFonts w:ascii="Arial" w:eastAsia="Times New Roman" w:hAnsi="Arial" w:cs="Times New Roman"/>
      <w:sz w:val="20"/>
      <w:szCs w:val="20"/>
    </w:rPr>
  </w:style>
  <w:style w:type="character" w:styleId="Konnaopomba-sklic">
    <w:name w:val="endnote reference"/>
    <w:rsid w:val="00666077"/>
    <w:rPr>
      <w:vertAlign w:val="superscript"/>
    </w:rPr>
  </w:style>
  <w:style w:type="paragraph" w:customStyle="1" w:styleId="N2Podpoglavje">
    <w:name w:val="N2 Podpoglavje"/>
    <w:basedOn w:val="Navaden"/>
    <w:next w:val="Navaden"/>
    <w:qFormat/>
    <w:rsid w:val="00666077"/>
    <w:pPr>
      <w:keepNext/>
      <w:keepLines/>
      <w:widowControl w:val="0"/>
      <w:suppressAutoHyphens/>
      <w:spacing w:before="480" w:line="240" w:lineRule="auto"/>
      <w:outlineLvl w:val="1"/>
    </w:pPr>
    <w:rPr>
      <w:rFonts w:ascii="Arial" w:eastAsia="Times New Roman" w:hAnsi="Arial" w:cs="Times New Roman"/>
      <w:b/>
      <w:color w:val="0070C0"/>
      <w:sz w:val="30"/>
      <w:szCs w:val="26"/>
      <w:lang w:eastAsia="sl-SI"/>
    </w:rPr>
  </w:style>
  <w:style w:type="character" w:customStyle="1" w:styleId="Sidrosprotneopombe">
    <w:name w:val="Sidro sprotne opombe"/>
    <w:rsid w:val="00666077"/>
    <w:rPr>
      <w:rFonts w:ascii="Arial" w:hAnsi="Arial"/>
      <w:sz w:val="22"/>
      <w:vertAlign w:val="superscript"/>
    </w:rPr>
  </w:style>
  <w:style w:type="character" w:customStyle="1" w:styleId="FootnoteCharacters">
    <w:name w:val="Footnote Characters"/>
    <w:uiPriority w:val="99"/>
    <w:qFormat/>
    <w:locked/>
    <w:rsid w:val="00666077"/>
    <w:rPr>
      <w:rFonts w:ascii="Arial" w:hAnsi="Arial"/>
      <w:sz w:val="22"/>
      <w:vertAlign w:val="superscript"/>
    </w:rPr>
  </w:style>
  <w:style w:type="character" w:customStyle="1" w:styleId="Znakisprotnihopomb">
    <w:name w:val="Znaki sprotnih opomb"/>
    <w:qFormat/>
    <w:rsid w:val="00666077"/>
  </w:style>
  <w:style w:type="paragraph" w:customStyle="1" w:styleId="SredinskoPK">
    <w:name w:val="Sredinsko PK"/>
    <w:basedOn w:val="Navaden"/>
    <w:rsid w:val="00666077"/>
    <w:pPr>
      <w:keepNext/>
      <w:suppressAutoHyphens/>
      <w:spacing w:before="240" w:after="60" w:line="240" w:lineRule="auto"/>
      <w:jc w:val="center"/>
    </w:pPr>
    <w:rPr>
      <w:rFonts w:ascii="Arial" w:eastAsia="Times New Roman" w:hAnsi="Arial" w:cs="Times New Roman"/>
      <w:b/>
      <w:kern w:val="24"/>
      <w:sz w:val="24"/>
      <w:szCs w:val="20"/>
      <w:lang w:eastAsia="sl-SI"/>
    </w:rPr>
  </w:style>
  <w:style w:type="character" w:styleId="Pripombasklic">
    <w:name w:val="annotation reference"/>
    <w:rsid w:val="00666077"/>
    <w:rPr>
      <w:sz w:val="16"/>
      <w:szCs w:val="16"/>
    </w:rPr>
  </w:style>
  <w:style w:type="paragraph" w:styleId="Pripombabesedilo">
    <w:name w:val="annotation text"/>
    <w:basedOn w:val="Navaden"/>
    <w:link w:val="PripombabesediloZnak"/>
    <w:rsid w:val="00666077"/>
    <w:pPr>
      <w:spacing w:line="260" w:lineRule="atLeast"/>
      <w:jc w:val="both"/>
    </w:pPr>
    <w:rPr>
      <w:rFonts w:ascii="Arial" w:eastAsia="Times New Roman" w:hAnsi="Arial" w:cs="Times New Roman"/>
      <w:sz w:val="20"/>
      <w:szCs w:val="20"/>
    </w:rPr>
  </w:style>
  <w:style w:type="character" w:customStyle="1" w:styleId="PripombabesediloZnak">
    <w:name w:val="Pripomba – besedilo Znak"/>
    <w:basedOn w:val="Privzetapisavaodstavka"/>
    <w:link w:val="Pripombabesedilo"/>
    <w:rsid w:val="00666077"/>
    <w:rPr>
      <w:rFonts w:ascii="Arial" w:eastAsia="Times New Roman" w:hAnsi="Arial" w:cs="Times New Roman"/>
      <w:sz w:val="20"/>
      <w:szCs w:val="20"/>
    </w:rPr>
  </w:style>
  <w:style w:type="paragraph" w:styleId="Zadevapripombe">
    <w:name w:val="annotation subject"/>
    <w:basedOn w:val="Pripombabesedilo"/>
    <w:next w:val="Pripombabesedilo"/>
    <w:link w:val="ZadevapripombeZnak"/>
    <w:rsid w:val="00666077"/>
    <w:rPr>
      <w:b/>
      <w:bCs/>
    </w:rPr>
  </w:style>
  <w:style w:type="character" w:customStyle="1" w:styleId="ZadevapripombeZnak">
    <w:name w:val="Zadeva pripombe Znak"/>
    <w:basedOn w:val="PripombabesediloZnak"/>
    <w:link w:val="Zadevapripombe"/>
    <w:rsid w:val="00666077"/>
    <w:rPr>
      <w:rFonts w:ascii="Arial" w:eastAsia="Times New Roman" w:hAnsi="Arial" w:cs="Times New Roman"/>
      <w:b/>
      <w:bCs/>
      <w:sz w:val="20"/>
      <w:szCs w:val="20"/>
    </w:rPr>
  </w:style>
  <w:style w:type="table" w:styleId="Tabelamrea">
    <w:name w:val="Table Grid"/>
    <w:basedOn w:val="Navadnatabela"/>
    <w:uiPriority w:val="39"/>
    <w:rsid w:val="0066607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6626F1"/>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u.gov.si/poslovni_dogodki_podjetja/obracun_davka_od_dohodkov_pravnih_oseb/"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fu.gov.si/fileadmin/Internet/Nadzor/Podrocja/Financni_nadzor/Opis/Davcni_inspekcijski_nadzor_transfernih_cen.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u.gov.si/davki_in_druge_dajatve/podrocja/mednarodno_obdavcenje/" TargetMode="External"/><Relationship Id="rId5" Type="http://schemas.openxmlformats.org/officeDocument/2006/relationships/numbering" Target="numbering.xml"/><Relationship Id="rId15" Type="http://schemas.openxmlformats.org/officeDocument/2006/relationships/hyperlink" Target="https://www.fu.gov.si/davki_in_druge_dajatve/poslovanje_z_nami/apa_sporazum/"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si/assets/ministrstva/MF/Davcni-direktorat/DOKUMENTI/Postopek-skupnega-dogovarjanja-po-mednarodnih-pogodbah-o-izogibanju-dvojnega-obdavcevanja.pdf"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D61932027AEC749ABB2580DEDFCD3A5" ma:contentTypeVersion="2" ma:contentTypeDescription="Ustvari nov dokument." ma:contentTypeScope="" ma:versionID="cf75436856ac7f243a2ef36115a218b3">
  <xsd:schema xmlns:xsd="http://www.w3.org/2001/XMLSchema" xmlns:xs="http://www.w3.org/2001/XMLSchema" xmlns:p="http://schemas.microsoft.com/office/2006/metadata/properties" targetNamespace="http://schemas.microsoft.com/office/2006/metadata/properties" ma:root="true" ma:fieldsID="072397d5e72a23114344c22dbe7941c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Vrsta vsebine"/>
        <xsd:element ref="dc:title" minOccurs="0" maxOccurs="1" ma:index="3"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F187ECCC-5F26-4FF0-B1E3-AAA26B722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3F79DEA-F280-48FD-940D-27B06B6E368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DE070CA-A002-4A07-9F43-ABB6DAAF1749}">
  <ds:schemaRefs>
    <ds:schemaRef ds:uri="http://schemas.openxmlformats.org/officeDocument/2006/bibliography"/>
  </ds:schemaRefs>
</ds:datastoreItem>
</file>

<file path=customXml/itemProps4.xml><?xml version="1.0" encoding="utf-8"?>
<ds:datastoreItem xmlns:ds="http://schemas.openxmlformats.org/officeDocument/2006/customXml" ds:itemID="{1B2BC8F7-C716-4F46-9A55-FCFD1D9E40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31</Pages>
  <Words>14767</Words>
  <Characters>84177</Characters>
  <Application>Microsoft Office Word</Application>
  <DocSecurity>0</DocSecurity>
  <Lines>701</Lines>
  <Paragraphs>197</Paragraphs>
  <ScaleCrop>false</ScaleCrop>
  <HeadingPairs>
    <vt:vector size="2" baseType="variant">
      <vt:variant>
        <vt:lpstr>Naslov</vt:lpstr>
      </vt:variant>
      <vt:variant>
        <vt:i4>1</vt:i4>
      </vt:variant>
    </vt:vector>
  </HeadingPairs>
  <TitlesOfParts>
    <vt:vector size="1" baseType="lpstr">
      <vt:lpstr/>
    </vt:vector>
  </TitlesOfParts>
  <Company>Finančna Uprava RS</Company>
  <LinksUpToDate>false</LinksUpToDate>
  <CharactersWithSpaces>98747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Janja Rebec</dc:creator>
  <cp:keywords/>
  <dc:description/>
  <cp:lastModifiedBy>Jana Nagode</cp:lastModifiedBy>
  <cp:revision>4</cp:revision>
  <cp:lastPrinted>2022-01-31T13:20:00Z</cp:lastPrinted>
  <dcterms:created xsi:type="dcterms:W3CDTF">2022-07-27T12:48:00Z</dcterms:created>
  <dcterms:modified xsi:type="dcterms:W3CDTF">2022-07-28T06:32:00Z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0x0101006D61932027AEC749ABB2580DEDFCD3A5</vt:lpwstr>
  </property>
</Properties>
</file>