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48D0" w14:textId="77777777" w:rsidR="00166298" w:rsidRDefault="008A013F">
      <w:pPr>
        <w:shd w:val="clear" w:color="auto" w:fill="FFFFFF"/>
        <w:spacing w:line="260" w:lineRule="exact"/>
        <w:jc w:val="center"/>
        <w:rPr>
          <w:rFonts w:ascii="Arial" w:hAnsi="Arial" w:cs="Arial"/>
          <w:b/>
          <w:bCs/>
          <w:sz w:val="20"/>
          <w:szCs w:val="20"/>
        </w:rPr>
      </w:pPr>
      <w:r>
        <w:rPr>
          <w:rFonts w:ascii="Arial" w:hAnsi="Arial" w:cs="Arial"/>
          <w:b/>
          <w:bCs/>
          <w:sz w:val="20"/>
          <w:szCs w:val="20"/>
        </w:rPr>
        <w:t>Obvestilo za davčne zavezance, fizične osebe, ki so delnice ali deleže družbe odsvojili v okviru pridobivanja lastnih delnic ali deležev družbe v letih 2020 in 2021, izplačano vrednost za odsvojene delnice ali deleže pa prejeli v letu 2022</w:t>
      </w:r>
    </w:p>
    <w:p w14:paraId="3BAD1FFD" w14:textId="77777777" w:rsidR="00166298" w:rsidRDefault="00166298">
      <w:pPr>
        <w:shd w:val="clear" w:color="auto" w:fill="FFFFFF"/>
        <w:spacing w:line="260" w:lineRule="exact"/>
        <w:jc w:val="both"/>
      </w:pPr>
    </w:p>
    <w:p w14:paraId="7BB1113C" w14:textId="77777777" w:rsidR="00166298" w:rsidRDefault="00166298">
      <w:pPr>
        <w:shd w:val="clear" w:color="auto" w:fill="FFFFFF"/>
        <w:spacing w:line="260" w:lineRule="exact"/>
        <w:jc w:val="both"/>
      </w:pPr>
    </w:p>
    <w:p w14:paraId="52EF3351" w14:textId="77777777" w:rsidR="00166298" w:rsidRDefault="00517E15">
      <w:pPr>
        <w:shd w:val="clear" w:color="auto" w:fill="FFFFFF"/>
        <w:spacing w:line="260" w:lineRule="exact"/>
        <w:jc w:val="both"/>
      </w:pPr>
      <w:hyperlink r:id="rId7" w:history="1">
        <w:r w:rsidR="008A013F">
          <w:rPr>
            <w:rStyle w:val="Hiperpovezava"/>
            <w:rFonts w:ascii="Arial" w:hAnsi="Arial" w:cs="Arial"/>
            <w:sz w:val="20"/>
            <w:szCs w:val="20"/>
          </w:rPr>
          <w:t>Zakon o spremembah in dopolnitvah Zakona o dohodnini (ZDoh-2AA)</w:t>
        </w:r>
      </w:hyperlink>
      <w:r w:rsidR="008A013F">
        <w:rPr>
          <w:rFonts w:ascii="Arial" w:hAnsi="Arial" w:cs="Arial"/>
          <w:sz w:val="20"/>
          <w:szCs w:val="20"/>
        </w:rPr>
        <w:t xml:space="preserve"> vsebuje prehodno določbo (17. člen ZDoh-2AA), ki zadeva davčne zavezance, fizične osebe, ki so delnice ali deleže družbe odsvojeni v okviru pridobivanja lastnih delnic ali deležev družbe v letih 2020 in 2021, ko se je tak dohodek po ZDoh-2 obdavčeval kot dividenda, izplačilo vrednosti teh delnic ali deležev pa je bilo izvedeno v letu 2022, ko se določba 6. točke četrtega odstavka 90. člena zakona ni več uporabljala. Ob upoštevanju dejstva, da z ZDoh-2Z za taka izplačila ni bila določena oprostitev dohodnine, se obročna oziroma odložena izplačila takega dohodka, izplačana v obdobju od 1. januarja 2022 do 31.12. 2022, vštevajo med druge dohodke po poglavju III.7. Drugi dohodki ter obdavčijo od davčne osnove, ki je enaka izplačanemu dohodku, sintetično in po progresivnih stopnjah dohodnine.</w:t>
      </w:r>
    </w:p>
    <w:p w14:paraId="3D908278" w14:textId="77777777" w:rsidR="00166298" w:rsidRDefault="00166298">
      <w:pPr>
        <w:shd w:val="clear" w:color="auto" w:fill="FFFFFF"/>
        <w:spacing w:line="260" w:lineRule="exact"/>
        <w:ind w:left="709"/>
        <w:jc w:val="both"/>
        <w:rPr>
          <w:rFonts w:ascii="Arial" w:hAnsi="Arial" w:cs="Arial"/>
          <w:sz w:val="20"/>
          <w:szCs w:val="20"/>
        </w:rPr>
      </w:pPr>
    </w:p>
    <w:p w14:paraId="6BE9F97A" w14:textId="77777777" w:rsidR="00166298" w:rsidRDefault="008A013F">
      <w:pPr>
        <w:shd w:val="clear" w:color="auto" w:fill="FFFFFF"/>
        <w:spacing w:line="260" w:lineRule="exact"/>
        <w:jc w:val="both"/>
      </w:pPr>
      <w:r>
        <w:rPr>
          <w:rFonts w:ascii="Arial" w:hAnsi="Arial" w:cs="Arial"/>
          <w:sz w:val="20"/>
          <w:szCs w:val="20"/>
        </w:rPr>
        <w:t xml:space="preserve">Davčnim zavezancem se tako omogoča, da se v primeru obročnih oziroma odloženih izplačil vrednosti delnic ali deležev, odsvojenih v okviru pridobivanja lastnih delnic oziroma deležev družbe v letih 2020 in 2021, za taka izplačila v letu 2022 </w:t>
      </w:r>
      <w:r>
        <w:rPr>
          <w:rFonts w:ascii="Arial" w:hAnsi="Arial" w:cs="Arial"/>
          <w:b/>
          <w:bCs/>
          <w:sz w:val="20"/>
          <w:szCs w:val="20"/>
        </w:rPr>
        <w:t xml:space="preserve">odločijo za ugotovitev davčne osnove in izračun dohodnine, kot ureja nova 6. točka četrtega odstavka 90. člena ZDoh-2, ki se uporablja od 1. 1. 2023 (tj. </w:t>
      </w:r>
      <w:proofErr w:type="spellStart"/>
      <w:r>
        <w:rPr>
          <w:rFonts w:ascii="Arial" w:hAnsi="Arial" w:cs="Arial"/>
          <w:b/>
          <w:bCs/>
          <w:sz w:val="20"/>
          <w:szCs w:val="20"/>
        </w:rPr>
        <w:t>cedularna</w:t>
      </w:r>
      <w:proofErr w:type="spellEnd"/>
      <w:r>
        <w:rPr>
          <w:rFonts w:ascii="Arial" w:hAnsi="Arial" w:cs="Arial"/>
          <w:b/>
          <w:bCs/>
          <w:sz w:val="20"/>
          <w:szCs w:val="20"/>
        </w:rPr>
        <w:t xml:space="preserve"> obdavčitev oziroma obdavčitev kot dividenda po proporcionalni davčni stopnji kot dokončnim davkom, od davčne osnove, zmanjšane za nabavno vrednost odsvojenih delnic ali deležev), </w:t>
      </w:r>
      <w:r>
        <w:rPr>
          <w:rFonts w:ascii="Arial" w:hAnsi="Arial" w:cs="Arial"/>
          <w:sz w:val="20"/>
          <w:szCs w:val="20"/>
        </w:rPr>
        <w:t xml:space="preserve">ter s tem tudi vračilo morebitne razlike med tako izračunano dohodnino ter med letom izračunano in odtegnjeno dohodnino ali odmerjeno akontacijo dohodnine. </w:t>
      </w:r>
    </w:p>
    <w:p w14:paraId="0A14ACE4" w14:textId="77777777" w:rsidR="00166298" w:rsidRDefault="00166298">
      <w:pPr>
        <w:shd w:val="clear" w:color="auto" w:fill="FFFFFF"/>
        <w:spacing w:line="260" w:lineRule="exact"/>
        <w:ind w:left="709"/>
        <w:contextualSpacing/>
        <w:jc w:val="both"/>
        <w:rPr>
          <w:rFonts w:ascii="Arial" w:hAnsi="Arial" w:cs="Arial"/>
          <w:sz w:val="20"/>
          <w:szCs w:val="20"/>
        </w:rPr>
      </w:pPr>
    </w:p>
    <w:p w14:paraId="56396C23" w14:textId="77777777" w:rsidR="00166298" w:rsidRDefault="008A013F">
      <w:pPr>
        <w:shd w:val="clear" w:color="auto" w:fill="FFFFFF"/>
        <w:spacing w:line="260" w:lineRule="exact"/>
        <w:jc w:val="both"/>
      </w:pPr>
      <w:r>
        <w:rPr>
          <w:rFonts w:ascii="Arial" w:hAnsi="Arial" w:cs="Arial"/>
          <w:b/>
          <w:bCs/>
          <w:sz w:val="20"/>
          <w:szCs w:val="20"/>
        </w:rPr>
        <w:t xml:space="preserve">Davčni zavezanec, fizična oseba, mora tako odločitev uveljavljati z vlogo, ki jo je potrebno vložiti pri pristojnem finančnem uradu </w:t>
      </w:r>
      <w:r>
        <w:rPr>
          <w:rFonts w:ascii="Arial" w:hAnsi="Arial" w:cs="Arial"/>
          <w:b/>
          <w:bCs/>
          <w:i/>
          <w:iCs/>
          <w:sz w:val="20"/>
          <w:szCs w:val="20"/>
          <w:u w:val="single"/>
        </w:rPr>
        <w:t>najpozneje do 5. februarja 2023</w:t>
      </w:r>
      <w:r>
        <w:rPr>
          <w:rFonts w:ascii="Arial" w:hAnsi="Arial" w:cs="Arial"/>
          <w:b/>
          <w:bCs/>
          <w:sz w:val="20"/>
          <w:szCs w:val="20"/>
        </w:rPr>
        <w:t xml:space="preserve">. Po tem roku te odločitve ne bo mogoče nikjer več uveljavljati. </w:t>
      </w:r>
    </w:p>
    <w:p w14:paraId="73F6553A" w14:textId="77777777" w:rsidR="00166298" w:rsidRDefault="00166298">
      <w:pPr>
        <w:shd w:val="clear" w:color="auto" w:fill="FFFFFF"/>
        <w:spacing w:line="260" w:lineRule="exact"/>
        <w:jc w:val="both"/>
        <w:rPr>
          <w:rFonts w:ascii="Arial" w:hAnsi="Arial" w:cs="Arial"/>
          <w:b/>
          <w:bCs/>
          <w:i/>
          <w:iCs/>
          <w:sz w:val="20"/>
          <w:szCs w:val="20"/>
          <w:u w:val="single"/>
          <w:shd w:val="clear" w:color="auto" w:fill="FFFF00"/>
        </w:rPr>
      </w:pPr>
    </w:p>
    <w:p w14:paraId="4C307C18" w14:textId="77777777" w:rsidR="00166298" w:rsidRDefault="008A013F">
      <w:pPr>
        <w:shd w:val="clear" w:color="auto" w:fill="FFFFFF"/>
        <w:spacing w:line="260" w:lineRule="exact"/>
        <w:jc w:val="both"/>
      </w:pPr>
      <w:r>
        <w:rPr>
          <w:rFonts w:ascii="Arial" w:hAnsi="Arial" w:cs="Arial"/>
          <w:sz w:val="20"/>
          <w:szCs w:val="20"/>
        </w:rPr>
        <w:t>Poseben obrazec vloge ni predpisan. Lahko pa se v ta namen uporabi</w:t>
      </w:r>
      <w:hyperlink r:id="rId8" w:history="1">
        <w:r>
          <w:rPr>
            <w:rStyle w:val="Hiperpovezava"/>
            <w:rFonts w:ascii="Arial" w:hAnsi="Arial" w:cs="Arial"/>
            <w:sz w:val="20"/>
            <w:szCs w:val="20"/>
            <w:u w:val="none"/>
          </w:rPr>
          <w:t xml:space="preserve"> Zahtevek za uveljavljanje zmanjšanja izplačane vrednosti delnic ali deležev v primeru odsvojitve (durs.si)</w:t>
        </w:r>
      </w:hyperlink>
      <w:r>
        <w:rPr>
          <w:rFonts w:ascii="Arial" w:hAnsi="Arial" w:cs="Arial"/>
          <w:sz w:val="20"/>
          <w:szCs w:val="20"/>
        </w:rPr>
        <w:t xml:space="preserve">, s katerim davčni zavezanec uveljavlja zmanjšanje izplačane vrednosti delnic ali deležev za nabavno vrednost odsvojenih delnic ali deležev. </w:t>
      </w:r>
    </w:p>
    <w:p w14:paraId="7B157F74" w14:textId="77777777" w:rsidR="00166298" w:rsidRDefault="00166298">
      <w:pPr>
        <w:shd w:val="clear" w:color="auto" w:fill="FFFFFF"/>
        <w:spacing w:line="260" w:lineRule="exact"/>
        <w:jc w:val="both"/>
        <w:rPr>
          <w:rFonts w:ascii="Arial" w:hAnsi="Arial" w:cs="Arial"/>
          <w:sz w:val="20"/>
          <w:szCs w:val="20"/>
        </w:rPr>
      </w:pPr>
    </w:p>
    <w:p w14:paraId="02C78413" w14:textId="77777777" w:rsidR="00166298" w:rsidRDefault="008A013F">
      <w:pPr>
        <w:shd w:val="clear" w:color="auto" w:fill="FFFFFF"/>
        <w:spacing w:line="260" w:lineRule="exact"/>
        <w:jc w:val="both"/>
      </w:pPr>
      <w:r>
        <w:rPr>
          <w:rFonts w:ascii="Arial" w:hAnsi="Arial" w:cs="Arial"/>
          <w:sz w:val="20"/>
          <w:szCs w:val="20"/>
        </w:rPr>
        <w:t>Na ta zahtevek naj davčni zavezanec jasno zapiše svojo odločitev, glede davčne obravnave izplačane vrednostni delnica ali deležev v letu 2022, ki so bile odsvojene v letih 2020 in 2021, primeroma:</w:t>
      </w:r>
    </w:p>
    <w:p w14:paraId="3B2274FD" w14:textId="77777777" w:rsidR="00166298" w:rsidRDefault="008A013F">
      <w:pPr>
        <w:pStyle w:val="Odstavekseznama"/>
        <w:numPr>
          <w:ilvl w:val="0"/>
          <w:numId w:val="1"/>
        </w:numPr>
        <w:shd w:val="clear" w:color="auto" w:fill="FFFFFF"/>
        <w:suppressAutoHyphens w:val="0"/>
        <w:spacing w:line="260" w:lineRule="exact"/>
        <w:contextualSpacing w:val="0"/>
        <w:jc w:val="both"/>
        <w:rPr>
          <w:rFonts w:ascii="Arial" w:hAnsi="Arial" w:cs="Arial"/>
          <w:sz w:val="20"/>
          <w:szCs w:val="20"/>
        </w:rPr>
      </w:pPr>
      <w:r>
        <w:rPr>
          <w:rFonts w:ascii="Arial" w:hAnsi="Arial" w:cs="Arial"/>
          <w:sz w:val="20"/>
          <w:szCs w:val="20"/>
        </w:rPr>
        <w:t>ugotavljanje davčne osnove in izračun dohodnine, kot jo ureja nova 6. točka četrtega odstavka 90. člena ZDoh-2, ki se uporablja od 1. 1. 2023,</w:t>
      </w:r>
    </w:p>
    <w:p w14:paraId="33EEEE92" w14:textId="77777777" w:rsidR="00166298" w:rsidRDefault="008A013F">
      <w:pPr>
        <w:pStyle w:val="Odstavekseznama"/>
        <w:numPr>
          <w:ilvl w:val="0"/>
          <w:numId w:val="1"/>
        </w:numPr>
        <w:shd w:val="clear" w:color="auto" w:fill="FFFFFF"/>
        <w:suppressAutoHyphens w:val="0"/>
        <w:spacing w:line="260" w:lineRule="exact"/>
        <w:contextualSpacing w:val="0"/>
        <w:jc w:val="both"/>
        <w:rPr>
          <w:rFonts w:ascii="Arial" w:hAnsi="Arial" w:cs="Arial"/>
          <w:sz w:val="20"/>
          <w:szCs w:val="20"/>
        </w:rPr>
      </w:pPr>
      <w:r>
        <w:rPr>
          <w:rFonts w:ascii="Arial" w:hAnsi="Arial" w:cs="Arial"/>
          <w:sz w:val="20"/>
          <w:szCs w:val="20"/>
        </w:rPr>
        <w:t>vračilo morebitne razlike,</w:t>
      </w:r>
    </w:p>
    <w:p w14:paraId="70432DA7" w14:textId="77777777" w:rsidR="00166298" w:rsidRDefault="008A013F">
      <w:pPr>
        <w:pStyle w:val="Odstavekseznama"/>
        <w:numPr>
          <w:ilvl w:val="0"/>
          <w:numId w:val="1"/>
        </w:numPr>
        <w:shd w:val="clear" w:color="auto" w:fill="FFFFFF"/>
        <w:suppressAutoHyphens w:val="0"/>
        <w:spacing w:line="260" w:lineRule="exact"/>
        <w:contextualSpacing w:val="0"/>
        <w:jc w:val="both"/>
        <w:rPr>
          <w:rFonts w:ascii="Arial" w:hAnsi="Arial" w:cs="Arial"/>
          <w:sz w:val="20"/>
          <w:szCs w:val="20"/>
        </w:rPr>
      </w:pPr>
      <w:r>
        <w:rPr>
          <w:rFonts w:ascii="Arial" w:hAnsi="Arial" w:cs="Arial"/>
          <w:sz w:val="20"/>
          <w:szCs w:val="20"/>
        </w:rPr>
        <w:t xml:space="preserve">zmanjšanje izplačane vrednosti za nabavno vrednost. </w:t>
      </w:r>
    </w:p>
    <w:p w14:paraId="5C3B5EF8" w14:textId="77777777" w:rsidR="00166298" w:rsidRDefault="00166298">
      <w:pPr>
        <w:shd w:val="clear" w:color="auto" w:fill="FFFFFF"/>
        <w:spacing w:line="260" w:lineRule="exact"/>
        <w:jc w:val="both"/>
        <w:rPr>
          <w:rFonts w:ascii="Arial" w:hAnsi="Arial" w:cs="Arial"/>
          <w:sz w:val="20"/>
          <w:szCs w:val="20"/>
        </w:rPr>
      </w:pPr>
    </w:p>
    <w:p w14:paraId="6CB7414F" w14:textId="77777777" w:rsidR="00166298" w:rsidRDefault="00166298">
      <w:pPr>
        <w:rPr>
          <w:rFonts w:ascii="Arial" w:hAnsi="Arial" w:cs="Arial"/>
          <w:sz w:val="20"/>
          <w:szCs w:val="20"/>
        </w:rPr>
      </w:pPr>
    </w:p>
    <w:sectPr w:rsidR="00166298">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D88C" w14:textId="77777777" w:rsidR="00517E15" w:rsidRDefault="00517E15">
      <w:r>
        <w:separator/>
      </w:r>
    </w:p>
  </w:endnote>
  <w:endnote w:type="continuationSeparator" w:id="0">
    <w:p w14:paraId="0AFCA432" w14:textId="77777777" w:rsidR="00517E15" w:rsidRDefault="0051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A216" w14:textId="77777777" w:rsidR="00517E15" w:rsidRDefault="00517E15">
      <w:r>
        <w:rPr>
          <w:color w:val="000000"/>
        </w:rPr>
        <w:separator/>
      </w:r>
    </w:p>
  </w:footnote>
  <w:footnote w:type="continuationSeparator" w:id="0">
    <w:p w14:paraId="40B420D4" w14:textId="77777777" w:rsidR="00517E15" w:rsidRDefault="0051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B7C58" w14:paraId="6473C56C" w14:textId="77777777" w:rsidTr="00B36B37">
      <w:trPr>
        <w:cantSplit/>
        <w:trHeight w:hRule="exact" w:val="847"/>
      </w:trPr>
      <w:tc>
        <w:tcPr>
          <w:tcW w:w="567" w:type="dxa"/>
        </w:tcPr>
        <w:p w14:paraId="50D8DE96" w14:textId="77777777" w:rsidR="00AB7C58" w:rsidRDefault="00AB7C58" w:rsidP="00AB7C58">
          <w:pPr>
            <w:autoSpaceDE w:val="0"/>
            <w:adjustRightInd w:val="0"/>
            <w:rPr>
              <w:rFonts w:ascii="Republika" w:hAnsi="Republika"/>
              <w:color w:val="529DBA"/>
              <w:sz w:val="60"/>
              <w:szCs w:val="60"/>
            </w:rPr>
          </w:pPr>
          <w:bookmarkStart w:id="0" w:name="_Hlk123818302"/>
          <w:r w:rsidRPr="008F3500">
            <w:rPr>
              <w:rFonts w:ascii="Republika" w:hAnsi="Republika" w:cs="Republika"/>
              <w:color w:val="529DBA"/>
              <w:sz w:val="60"/>
              <w:szCs w:val="60"/>
              <w:lang w:eastAsia="sl-SI"/>
            </w:rPr>
            <w:t></w:t>
          </w:r>
        </w:p>
        <w:p w14:paraId="2AE006E2" w14:textId="77777777" w:rsidR="00AB7C58" w:rsidRPr="006D42D9" w:rsidRDefault="00AB7C58" w:rsidP="00AB7C58">
          <w:pPr>
            <w:rPr>
              <w:rFonts w:ascii="Republika" w:hAnsi="Republika"/>
              <w:sz w:val="60"/>
              <w:szCs w:val="60"/>
            </w:rPr>
          </w:pPr>
        </w:p>
        <w:p w14:paraId="6F74DAEC" w14:textId="77777777" w:rsidR="00AB7C58" w:rsidRPr="006D42D9" w:rsidRDefault="00AB7C58" w:rsidP="00AB7C58">
          <w:pPr>
            <w:rPr>
              <w:rFonts w:ascii="Republika" w:hAnsi="Republika"/>
              <w:sz w:val="60"/>
              <w:szCs w:val="60"/>
            </w:rPr>
          </w:pPr>
        </w:p>
        <w:p w14:paraId="70FF933B" w14:textId="77777777" w:rsidR="00AB7C58" w:rsidRPr="006D42D9" w:rsidRDefault="00AB7C58" w:rsidP="00AB7C58">
          <w:pPr>
            <w:rPr>
              <w:rFonts w:ascii="Republika" w:hAnsi="Republika"/>
              <w:sz w:val="60"/>
              <w:szCs w:val="60"/>
            </w:rPr>
          </w:pPr>
        </w:p>
        <w:p w14:paraId="17C0363F" w14:textId="77777777" w:rsidR="00AB7C58" w:rsidRPr="006D42D9" w:rsidRDefault="00AB7C58" w:rsidP="00AB7C58">
          <w:pPr>
            <w:rPr>
              <w:rFonts w:ascii="Republika" w:hAnsi="Republika"/>
              <w:sz w:val="60"/>
              <w:szCs w:val="60"/>
            </w:rPr>
          </w:pPr>
        </w:p>
        <w:p w14:paraId="43EDD372" w14:textId="77777777" w:rsidR="00AB7C58" w:rsidRPr="006D42D9" w:rsidRDefault="00AB7C58" w:rsidP="00AB7C58">
          <w:pPr>
            <w:rPr>
              <w:rFonts w:ascii="Republika" w:hAnsi="Republika"/>
              <w:sz w:val="60"/>
              <w:szCs w:val="60"/>
            </w:rPr>
          </w:pPr>
        </w:p>
        <w:p w14:paraId="15D59DF9" w14:textId="77777777" w:rsidR="00AB7C58" w:rsidRPr="006D42D9" w:rsidRDefault="00AB7C58" w:rsidP="00AB7C58">
          <w:pPr>
            <w:rPr>
              <w:rFonts w:ascii="Republika" w:hAnsi="Republika"/>
              <w:sz w:val="60"/>
              <w:szCs w:val="60"/>
            </w:rPr>
          </w:pPr>
        </w:p>
        <w:p w14:paraId="3F1A1FF7" w14:textId="77777777" w:rsidR="00AB7C58" w:rsidRPr="006D42D9" w:rsidRDefault="00AB7C58" w:rsidP="00AB7C58">
          <w:pPr>
            <w:rPr>
              <w:rFonts w:ascii="Republika" w:hAnsi="Republika"/>
              <w:sz w:val="60"/>
              <w:szCs w:val="60"/>
            </w:rPr>
          </w:pPr>
        </w:p>
        <w:p w14:paraId="68491DA5" w14:textId="77777777" w:rsidR="00AB7C58" w:rsidRPr="006D42D9" w:rsidRDefault="00AB7C58" w:rsidP="00AB7C58">
          <w:pPr>
            <w:rPr>
              <w:rFonts w:ascii="Republika" w:hAnsi="Republika"/>
              <w:sz w:val="60"/>
              <w:szCs w:val="60"/>
            </w:rPr>
          </w:pPr>
        </w:p>
        <w:p w14:paraId="580337C1" w14:textId="77777777" w:rsidR="00AB7C58" w:rsidRPr="006D42D9" w:rsidRDefault="00AB7C58" w:rsidP="00AB7C58">
          <w:pPr>
            <w:rPr>
              <w:rFonts w:ascii="Republika" w:hAnsi="Republika"/>
              <w:sz w:val="60"/>
              <w:szCs w:val="60"/>
            </w:rPr>
          </w:pPr>
        </w:p>
        <w:p w14:paraId="0E7EC7C6" w14:textId="77777777" w:rsidR="00AB7C58" w:rsidRPr="006D42D9" w:rsidRDefault="00AB7C58" w:rsidP="00AB7C58">
          <w:pPr>
            <w:rPr>
              <w:rFonts w:ascii="Republika" w:hAnsi="Republika"/>
              <w:sz w:val="60"/>
              <w:szCs w:val="60"/>
            </w:rPr>
          </w:pPr>
        </w:p>
        <w:p w14:paraId="30C2B68C" w14:textId="77777777" w:rsidR="00AB7C58" w:rsidRPr="006D42D9" w:rsidRDefault="00AB7C58" w:rsidP="00AB7C58">
          <w:pPr>
            <w:rPr>
              <w:rFonts w:ascii="Republika" w:hAnsi="Republika"/>
              <w:sz w:val="60"/>
              <w:szCs w:val="60"/>
            </w:rPr>
          </w:pPr>
        </w:p>
        <w:p w14:paraId="38E1D481" w14:textId="77777777" w:rsidR="00AB7C58" w:rsidRPr="006D42D9" w:rsidRDefault="00AB7C58" w:rsidP="00AB7C58">
          <w:pPr>
            <w:rPr>
              <w:rFonts w:ascii="Republika" w:hAnsi="Republika"/>
              <w:sz w:val="60"/>
              <w:szCs w:val="60"/>
            </w:rPr>
          </w:pPr>
        </w:p>
        <w:p w14:paraId="4AA222D1" w14:textId="77777777" w:rsidR="00AB7C58" w:rsidRPr="006D42D9" w:rsidRDefault="00AB7C58" w:rsidP="00AB7C58">
          <w:pPr>
            <w:rPr>
              <w:rFonts w:ascii="Republika" w:hAnsi="Republika"/>
              <w:sz w:val="60"/>
              <w:szCs w:val="60"/>
            </w:rPr>
          </w:pPr>
        </w:p>
        <w:p w14:paraId="491E907B" w14:textId="77777777" w:rsidR="00AB7C58" w:rsidRPr="006D42D9" w:rsidRDefault="00AB7C58" w:rsidP="00AB7C58">
          <w:pPr>
            <w:rPr>
              <w:rFonts w:ascii="Republika" w:hAnsi="Republika"/>
              <w:sz w:val="60"/>
              <w:szCs w:val="60"/>
            </w:rPr>
          </w:pPr>
        </w:p>
        <w:p w14:paraId="34998F62" w14:textId="77777777" w:rsidR="00AB7C58" w:rsidRPr="006D42D9" w:rsidRDefault="00AB7C58" w:rsidP="00AB7C58">
          <w:pPr>
            <w:rPr>
              <w:rFonts w:ascii="Republika" w:hAnsi="Republika"/>
              <w:sz w:val="60"/>
              <w:szCs w:val="60"/>
            </w:rPr>
          </w:pPr>
        </w:p>
        <w:p w14:paraId="021E6E22" w14:textId="77777777" w:rsidR="00AB7C58" w:rsidRPr="006D42D9" w:rsidRDefault="00AB7C58" w:rsidP="00AB7C58">
          <w:pPr>
            <w:rPr>
              <w:rFonts w:ascii="Republika" w:hAnsi="Republika"/>
              <w:sz w:val="60"/>
              <w:szCs w:val="60"/>
            </w:rPr>
          </w:pPr>
        </w:p>
      </w:tc>
    </w:tr>
  </w:tbl>
  <w:p w14:paraId="4869AD7B" w14:textId="77777777" w:rsidR="00AB7C58" w:rsidRPr="00077A24" w:rsidRDefault="00AB7C58" w:rsidP="00AB7C58">
    <w:pPr>
      <w:autoSpaceDE w:val="0"/>
      <w:adjustRightInd w:val="0"/>
      <w:rPr>
        <w:rFonts w:ascii="Republika" w:hAnsi="Republika"/>
        <w:sz w:val="20"/>
        <w:szCs w:val="20"/>
      </w:rPr>
    </w:pPr>
    <w:r w:rsidRPr="00077A24">
      <w:rPr>
        <w:noProof/>
        <w:sz w:val="20"/>
        <w:szCs w:val="20"/>
        <w:lang w:eastAsia="ko-KR"/>
      </w:rPr>
      <mc:AlternateContent>
        <mc:Choice Requires="wps">
          <w:drawing>
            <wp:anchor distT="0" distB="0" distL="114300" distR="114300" simplePos="0" relativeHeight="251659264" behindDoc="1" locked="0" layoutInCell="0" allowOverlap="1" wp14:anchorId="24024B05" wp14:editId="0704D68B">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39B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077A24">
      <w:rPr>
        <w:rFonts w:ascii="Republika" w:hAnsi="Republika"/>
        <w:sz w:val="20"/>
        <w:szCs w:val="20"/>
      </w:rPr>
      <w:t>REPUBLIKA SLOVENIJA</w:t>
    </w:r>
  </w:p>
  <w:p w14:paraId="19313216" w14:textId="77777777" w:rsidR="00AB7C58" w:rsidRPr="00077A24" w:rsidRDefault="00AB7C58" w:rsidP="00AB7C58">
    <w:pPr>
      <w:pStyle w:val="Glava"/>
      <w:tabs>
        <w:tab w:val="left" w:pos="5112"/>
      </w:tabs>
      <w:spacing w:after="120" w:line="240" w:lineRule="exact"/>
      <w:rPr>
        <w:rFonts w:ascii="Republika" w:hAnsi="Republika"/>
        <w:b/>
        <w:caps/>
        <w:sz w:val="20"/>
        <w:szCs w:val="20"/>
      </w:rPr>
    </w:pPr>
    <w:r w:rsidRPr="00077A24">
      <w:rPr>
        <w:rFonts w:ascii="Republika" w:hAnsi="Republika"/>
        <w:b/>
        <w:caps/>
        <w:sz w:val="20"/>
        <w:szCs w:val="20"/>
      </w:rPr>
      <w:t>Ministrstvo za finance</w:t>
    </w:r>
  </w:p>
  <w:p w14:paraId="0F5B26C6" w14:textId="77777777" w:rsidR="00AB7C58" w:rsidRPr="00077A24" w:rsidRDefault="00AB7C58" w:rsidP="00AB7C58">
    <w:pPr>
      <w:pStyle w:val="Glava"/>
      <w:tabs>
        <w:tab w:val="left" w:pos="5112"/>
      </w:tabs>
      <w:spacing w:before="120" w:after="120" w:line="240" w:lineRule="exact"/>
      <w:rPr>
        <w:rFonts w:ascii="Republika" w:hAnsi="Republika"/>
        <w:caps/>
        <w:sz w:val="20"/>
        <w:szCs w:val="20"/>
      </w:rPr>
    </w:pPr>
    <w:r w:rsidRPr="00077A24">
      <w:rPr>
        <w:rFonts w:ascii="Republika" w:hAnsi="Republika"/>
        <w:caps/>
        <w:sz w:val="20"/>
        <w:szCs w:val="20"/>
      </w:rPr>
      <w:t>FINANČNA uprava Republike Slovenije</w:t>
    </w:r>
  </w:p>
  <w:p w14:paraId="36EB36EC" w14:textId="77777777" w:rsidR="00AB7C58" w:rsidRPr="00077A24" w:rsidRDefault="00AB7C58" w:rsidP="00AB7C58">
    <w:pPr>
      <w:pStyle w:val="Glava"/>
      <w:tabs>
        <w:tab w:val="left" w:pos="5112"/>
      </w:tabs>
      <w:spacing w:before="120" w:line="240" w:lineRule="exact"/>
      <w:rPr>
        <w:rFonts w:ascii="Republika" w:hAnsi="Republika"/>
        <w:caps/>
        <w:sz w:val="20"/>
        <w:szCs w:val="20"/>
      </w:rPr>
    </w:pPr>
    <w:r w:rsidRPr="00077A24">
      <w:rPr>
        <w:rFonts w:ascii="Republika" w:hAnsi="Republika"/>
        <w:sz w:val="20"/>
        <w:szCs w:val="20"/>
      </w:rPr>
      <w:t>Generalni finančni urad</w:t>
    </w:r>
  </w:p>
  <w:p w14:paraId="78A6D007" w14:textId="77777777" w:rsidR="00AB7C58" w:rsidRPr="00077A24" w:rsidRDefault="00AB7C58" w:rsidP="00077A24">
    <w:pPr>
      <w:pStyle w:val="Glava"/>
      <w:tabs>
        <w:tab w:val="clear" w:pos="4536"/>
        <w:tab w:val="left" w:pos="5103"/>
      </w:tabs>
      <w:spacing w:before="240" w:line="240" w:lineRule="exact"/>
      <w:rPr>
        <w:rFonts w:ascii="Arial" w:hAnsi="Arial" w:cs="Arial"/>
        <w:sz w:val="16"/>
      </w:rPr>
    </w:pPr>
    <w:r w:rsidRPr="00077A24">
      <w:rPr>
        <w:rFonts w:ascii="Arial" w:hAnsi="Arial" w:cs="Arial"/>
        <w:sz w:val="16"/>
      </w:rPr>
      <w:t xml:space="preserve">Šmartinska cesta 55, </w:t>
    </w:r>
    <w:proofErr w:type="spellStart"/>
    <w:r w:rsidRPr="00077A24">
      <w:rPr>
        <w:rFonts w:ascii="Arial" w:hAnsi="Arial" w:cs="Arial"/>
        <w:sz w:val="16"/>
      </w:rPr>
      <w:t>p.p</w:t>
    </w:r>
    <w:proofErr w:type="spellEnd"/>
    <w:r w:rsidRPr="00077A24">
      <w:rPr>
        <w:rFonts w:ascii="Arial" w:hAnsi="Arial" w:cs="Arial"/>
        <w:sz w:val="16"/>
      </w:rPr>
      <w:t>. 631, 1001 Ljubljana</w:t>
    </w:r>
    <w:r w:rsidRPr="00077A24">
      <w:rPr>
        <w:rFonts w:ascii="Arial" w:hAnsi="Arial" w:cs="Arial"/>
        <w:sz w:val="16"/>
      </w:rPr>
      <w:tab/>
      <w:t>T: 01 478 38 00</w:t>
    </w:r>
  </w:p>
  <w:p w14:paraId="328783A5" w14:textId="77777777" w:rsidR="00AB7C58" w:rsidRPr="00077A24" w:rsidRDefault="00AB7C58" w:rsidP="00077A24">
    <w:pPr>
      <w:pStyle w:val="Glava"/>
      <w:tabs>
        <w:tab w:val="clear" w:pos="4536"/>
        <w:tab w:val="left" w:pos="5103"/>
      </w:tabs>
      <w:spacing w:line="240" w:lineRule="exact"/>
      <w:rPr>
        <w:rFonts w:ascii="Arial" w:hAnsi="Arial" w:cs="Arial"/>
        <w:sz w:val="16"/>
      </w:rPr>
    </w:pPr>
    <w:r w:rsidRPr="00077A24">
      <w:rPr>
        <w:rFonts w:ascii="Arial" w:hAnsi="Arial" w:cs="Arial"/>
        <w:sz w:val="16"/>
      </w:rPr>
      <w:tab/>
      <w:t>E: gfu.fu@gov.si</w:t>
    </w:r>
  </w:p>
  <w:p w14:paraId="13D22863" w14:textId="77777777" w:rsidR="00AB7C58" w:rsidRPr="00077A24" w:rsidRDefault="00AB7C58" w:rsidP="00077A24">
    <w:pPr>
      <w:pStyle w:val="Glava"/>
      <w:tabs>
        <w:tab w:val="clear" w:pos="4536"/>
        <w:tab w:val="left" w:pos="5103"/>
      </w:tabs>
      <w:spacing w:line="240" w:lineRule="exact"/>
      <w:rPr>
        <w:rFonts w:ascii="Arial" w:hAnsi="Arial" w:cs="Arial"/>
        <w:sz w:val="16"/>
      </w:rPr>
    </w:pPr>
    <w:r w:rsidRPr="00077A24">
      <w:rPr>
        <w:rFonts w:ascii="Arial" w:hAnsi="Arial" w:cs="Arial"/>
        <w:sz w:val="16"/>
      </w:rPr>
      <w:tab/>
      <w:t>www.fu.gov.si</w:t>
    </w:r>
  </w:p>
  <w:p w14:paraId="00641079" w14:textId="77777777" w:rsidR="00AB7C58" w:rsidRDefault="00AB7C58" w:rsidP="00AB7C58">
    <w:pPr>
      <w:pStyle w:val="Glava"/>
      <w:tabs>
        <w:tab w:val="left" w:pos="5112"/>
      </w:tabs>
    </w:pPr>
  </w:p>
  <w:bookmarkEnd w:id="0"/>
  <w:p w14:paraId="14CE0D88" w14:textId="77777777" w:rsidR="00AB7C58" w:rsidRDefault="00AB7C5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E225B"/>
    <w:multiLevelType w:val="multilevel"/>
    <w:tmpl w:val="8AD6D4C8"/>
    <w:lvl w:ilvl="0">
      <w:numFmt w:val="bullet"/>
      <w:lvlText w:val="-"/>
      <w:lvlJc w:val="left"/>
      <w:pPr>
        <w:ind w:left="720" w:hanging="360"/>
      </w:pPr>
      <w:rPr>
        <w:rFonts w:ascii="Arial" w:eastAsia="Calibri" w:hAnsi="Arial" w:cs="Aria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98"/>
    <w:rsid w:val="00077A24"/>
    <w:rsid w:val="000A3790"/>
    <w:rsid w:val="00166298"/>
    <w:rsid w:val="00517E15"/>
    <w:rsid w:val="00732702"/>
    <w:rsid w:val="008A013F"/>
    <w:rsid w:val="00AB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3B34"/>
  <w15:docId w15:val="{2E707E18-C0F1-4E5D-9A03-C3B2FC22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0" w:line="240" w:lineRule="auto"/>
    </w:pPr>
    <w:rPr>
      <w:rFonts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563C1"/>
      <w:u w:val="single"/>
    </w:rPr>
  </w:style>
  <w:style w:type="paragraph" w:styleId="Odstavekseznama">
    <w:name w:val="List Paragraph"/>
    <w:basedOn w:val="Navaden"/>
    <w:pPr>
      <w:ind w:left="720"/>
      <w:contextualSpacing/>
    </w:pPr>
  </w:style>
  <w:style w:type="paragraph" w:styleId="Glava">
    <w:name w:val="header"/>
    <w:basedOn w:val="Navaden"/>
    <w:link w:val="GlavaZnak"/>
    <w:unhideWhenUsed/>
    <w:rsid w:val="00AB7C58"/>
    <w:pPr>
      <w:tabs>
        <w:tab w:val="center" w:pos="4536"/>
        <w:tab w:val="right" w:pos="9072"/>
      </w:tabs>
    </w:pPr>
  </w:style>
  <w:style w:type="character" w:customStyle="1" w:styleId="GlavaZnak">
    <w:name w:val="Glava Znak"/>
    <w:basedOn w:val="Privzetapisavaodstavka"/>
    <w:link w:val="Glava"/>
    <w:uiPriority w:val="99"/>
    <w:rsid w:val="00AB7C58"/>
    <w:rPr>
      <w:rFonts w:cs="Calibri"/>
    </w:rPr>
  </w:style>
  <w:style w:type="paragraph" w:styleId="Noga">
    <w:name w:val="footer"/>
    <w:basedOn w:val="Navaden"/>
    <w:link w:val="NogaZnak"/>
    <w:uiPriority w:val="99"/>
    <w:unhideWhenUsed/>
    <w:rsid w:val="00AB7C58"/>
    <w:pPr>
      <w:tabs>
        <w:tab w:val="center" w:pos="4536"/>
        <w:tab w:val="right" w:pos="9072"/>
      </w:tabs>
    </w:pPr>
  </w:style>
  <w:style w:type="character" w:customStyle="1" w:styleId="NogaZnak">
    <w:name w:val="Noga Znak"/>
    <w:basedOn w:val="Privzetapisavaodstavka"/>
    <w:link w:val="Noga"/>
    <w:uiPriority w:val="99"/>
    <w:rsid w:val="00AB7C5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zahtevek_zmanjsanje_vrednosti_delnic_delezev_fo" TargetMode="External"/><Relationship Id="rId3" Type="http://schemas.openxmlformats.org/officeDocument/2006/relationships/settings" Target="settings.xml"/><Relationship Id="rId7" Type="http://schemas.openxmlformats.org/officeDocument/2006/relationships/hyperlink" Target="https://zakonodaja.ulinfotok.si/glasilo-uradni-list-rs/vsebina/2022-01-4017/zakon-o-spremembah-in-dopolnitvah-zakona-o-dohodnini-zdoh-2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2655</Characters>
  <Application>Microsoft Office Word</Application>
  <DocSecurity>0</DocSecurity>
  <Lines>22</Lines>
  <Paragraphs>6</Paragraphs>
  <ScaleCrop>false</ScaleCrop>
  <Company>FURS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Klepac</dc:creator>
  <dc:description/>
  <cp:lastModifiedBy>FURS</cp:lastModifiedBy>
  <cp:revision>4</cp:revision>
  <dcterms:created xsi:type="dcterms:W3CDTF">2023-01-05T12:43:00Z</dcterms:created>
  <dcterms:modified xsi:type="dcterms:W3CDTF">2023-01-05T12:45:00Z</dcterms:modified>
</cp:coreProperties>
</file>