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Pr="001D2C7B" w:rsidRDefault="00887E1E" w:rsidP="00CA699D">
      <w:pPr>
        <w:pStyle w:val="datumtevilka"/>
        <w:jc w:val="center"/>
        <w:rPr>
          <w:lang w:val="en-GB"/>
        </w:rPr>
      </w:pPr>
    </w:p>
    <w:p w:rsidR="002143F1" w:rsidRDefault="002143F1" w:rsidP="002143F1">
      <w:pPr>
        <w:keepNext/>
        <w:spacing w:line="288" w:lineRule="auto"/>
        <w:jc w:val="both"/>
        <w:outlineLvl w:val="0"/>
        <w:rPr>
          <w:rFonts w:cs="Arial"/>
          <w:b/>
          <w:kern w:val="32"/>
          <w:szCs w:val="20"/>
          <w:lang w:val="en-GB" w:eastAsia="sl-SI"/>
        </w:rPr>
      </w:pPr>
    </w:p>
    <w:p w:rsidR="00802F51" w:rsidRDefault="00802F51" w:rsidP="002143F1">
      <w:pPr>
        <w:keepNext/>
        <w:spacing w:line="288" w:lineRule="auto"/>
        <w:jc w:val="both"/>
        <w:outlineLvl w:val="0"/>
        <w:rPr>
          <w:rFonts w:cs="Arial"/>
          <w:b/>
          <w:kern w:val="32"/>
          <w:szCs w:val="20"/>
          <w:lang w:val="en-GB" w:eastAsia="sl-SI"/>
        </w:rPr>
      </w:pPr>
    </w:p>
    <w:p w:rsidR="00802F51" w:rsidRDefault="00802F51" w:rsidP="002143F1">
      <w:pPr>
        <w:keepNext/>
        <w:spacing w:line="288" w:lineRule="auto"/>
        <w:jc w:val="both"/>
        <w:outlineLvl w:val="0"/>
        <w:rPr>
          <w:rFonts w:cs="Arial"/>
          <w:b/>
          <w:kern w:val="32"/>
          <w:szCs w:val="20"/>
          <w:lang w:val="en-GB" w:eastAsia="sl-SI"/>
        </w:rPr>
      </w:pPr>
    </w:p>
    <w:p w:rsidR="00924A99" w:rsidRDefault="00924A99" w:rsidP="002143F1">
      <w:pPr>
        <w:keepNext/>
        <w:spacing w:line="288" w:lineRule="auto"/>
        <w:jc w:val="both"/>
        <w:outlineLvl w:val="0"/>
        <w:rPr>
          <w:rFonts w:cs="Arial"/>
          <w:b/>
          <w:kern w:val="32"/>
          <w:szCs w:val="20"/>
          <w:lang w:val="en-GB" w:eastAsia="sl-SI"/>
        </w:rPr>
      </w:pPr>
    </w:p>
    <w:p w:rsidR="00924A99" w:rsidRDefault="00924A99" w:rsidP="002143F1">
      <w:pPr>
        <w:keepNext/>
        <w:spacing w:line="288" w:lineRule="auto"/>
        <w:jc w:val="both"/>
        <w:outlineLvl w:val="0"/>
        <w:rPr>
          <w:rFonts w:cs="Arial"/>
          <w:b/>
          <w:kern w:val="32"/>
          <w:szCs w:val="20"/>
          <w:lang w:val="en-GB" w:eastAsia="sl-SI"/>
        </w:rPr>
      </w:pPr>
    </w:p>
    <w:p w:rsidR="00802F51" w:rsidRDefault="00802F51" w:rsidP="00802F51">
      <w:pPr>
        <w:pStyle w:val="datumtevilka"/>
        <w:jc w:val="center"/>
        <w:rPr>
          <w:b/>
          <w:bCs/>
          <w:sz w:val="32"/>
          <w:szCs w:val="32"/>
          <w:lang w:val="en-GB"/>
        </w:rPr>
      </w:pPr>
    </w:p>
    <w:p w:rsidR="00802F51" w:rsidRPr="00802F51" w:rsidRDefault="00A81C0A" w:rsidP="00802F51">
      <w:pPr>
        <w:pStyle w:val="datumtevilka"/>
        <w:jc w:val="center"/>
        <w:rPr>
          <w:b/>
          <w:bCs/>
          <w:sz w:val="32"/>
          <w:szCs w:val="32"/>
          <w:lang w:val="en-GB"/>
        </w:rPr>
      </w:pPr>
      <w:r w:rsidRPr="00A81C0A">
        <w:rPr>
          <w:b/>
          <w:bCs/>
          <w:sz w:val="32"/>
          <w:szCs w:val="32"/>
          <w:lang w:val="en-GB"/>
        </w:rPr>
        <w:t>SAFETY OF NON-FOOD PRODUCTS</w:t>
      </w:r>
    </w:p>
    <w:p w:rsidR="00802F51" w:rsidRPr="00A81C0A" w:rsidRDefault="00802F51" w:rsidP="001F1545">
      <w:pPr>
        <w:pStyle w:val="datumtevilka"/>
        <w:jc w:val="center"/>
        <w:rPr>
          <w:b/>
          <w:sz w:val="28"/>
          <w:szCs w:val="28"/>
          <w:lang w:val="en-US"/>
        </w:rPr>
      </w:pPr>
      <w:bookmarkStart w:id="0" w:name="_Toc432063876"/>
      <w:bookmarkStart w:id="1" w:name="_Toc432063969"/>
      <w:bookmarkStart w:id="2" w:name="_Toc432063982"/>
      <w:bookmarkStart w:id="3" w:name="_Toc432064135"/>
      <w:bookmarkStart w:id="4" w:name="_Toc432065650"/>
      <w:r w:rsidRPr="00A81C0A">
        <w:rPr>
          <w:b/>
          <w:sz w:val="28"/>
          <w:szCs w:val="28"/>
          <w:lang w:val="en-US"/>
        </w:rPr>
        <w:t>Control procedures carried out by customs authorities</w:t>
      </w:r>
      <w:bookmarkEnd w:id="0"/>
      <w:bookmarkEnd w:id="1"/>
      <w:bookmarkEnd w:id="2"/>
      <w:bookmarkEnd w:id="3"/>
      <w:bookmarkEnd w:id="4"/>
    </w:p>
    <w:p w:rsidR="002143F1" w:rsidRDefault="002143F1" w:rsidP="002143F1">
      <w:pPr>
        <w:keepNext/>
        <w:spacing w:line="288" w:lineRule="auto"/>
        <w:jc w:val="both"/>
        <w:outlineLvl w:val="0"/>
        <w:rPr>
          <w:rFonts w:cs="Arial"/>
          <w:b/>
          <w:kern w:val="32"/>
          <w:szCs w:val="20"/>
          <w:lang w:val="en-GB" w:eastAsia="sl-SI"/>
        </w:rPr>
      </w:pPr>
    </w:p>
    <w:p w:rsidR="00604D58" w:rsidRDefault="00604D58" w:rsidP="00604D58">
      <w:pPr>
        <w:jc w:val="both"/>
        <w:rPr>
          <w:rFonts w:cs="Arial"/>
          <w:szCs w:val="20"/>
          <w:highlight w:val="yellow"/>
        </w:rPr>
      </w:pPr>
    </w:p>
    <w:p w:rsidR="002143F1" w:rsidRDefault="002143F1" w:rsidP="00604D58">
      <w:pPr>
        <w:jc w:val="both"/>
        <w:rPr>
          <w:rFonts w:cs="Arial"/>
          <w:szCs w:val="20"/>
          <w:highlight w:val="yellow"/>
        </w:rPr>
      </w:pPr>
    </w:p>
    <w:p w:rsidR="00E120C3" w:rsidRDefault="00E120C3"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Pr="00802F51" w:rsidRDefault="00802F51" w:rsidP="00802F51">
      <w:pPr>
        <w:autoSpaceDE w:val="0"/>
        <w:autoSpaceDN w:val="0"/>
        <w:adjustRightInd w:val="0"/>
        <w:spacing w:line="240" w:lineRule="auto"/>
        <w:rPr>
          <w:rFonts w:cs="Arial"/>
          <w:color w:val="000000"/>
          <w:sz w:val="24"/>
          <w:lang w:val="sl-SI" w:eastAsia="sl-SI"/>
        </w:rPr>
      </w:pPr>
    </w:p>
    <w:p w:rsidR="00802F51" w:rsidRPr="003B4B35" w:rsidRDefault="00802F51" w:rsidP="00802F51">
      <w:pPr>
        <w:jc w:val="center"/>
        <w:rPr>
          <w:rFonts w:cs="Arial"/>
        </w:rPr>
      </w:pPr>
      <w:r w:rsidRPr="003B4B35">
        <w:rPr>
          <w:rFonts w:cs="Arial"/>
          <w:b/>
          <w:bCs/>
          <w:color w:val="000000"/>
          <w:sz w:val="28"/>
          <w:szCs w:val="28"/>
          <w:lang w:eastAsia="sl-SI"/>
        </w:rPr>
        <w:t>Detailed description</w:t>
      </w: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802F51" w:rsidRDefault="00802F51" w:rsidP="00E120C3">
      <w:pPr>
        <w:jc w:val="both"/>
        <w:rPr>
          <w:rFonts w:cs="Arial"/>
        </w:rPr>
      </w:pPr>
    </w:p>
    <w:p w:rsidR="00DB69F4" w:rsidRDefault="00802F51" w:rsidP="00924A99">
      <w:pPr>
        <w:ind w:left="1080"/>
        <w:jc w:val="center"/>
        <w:rPr>
          <w:rFonts w:cs="Arial"/>
          <w:b/>
        </w:rPr>
      </w:pPr>
      <w:r w:rsidRPr="00802F51">
        <w:rPr>
          <w:rFonts w:cs="Arial"/>
          <w:b/>
        </w:rPr>
        <w:t>1</w:t>
      </w:r>
      <w:r w:rsidRPr="00802F51">
        <w:rPr>
          <w:rFonts w:cs="Arial"/>
          <w:b/>
          <w:vertAlign w:val="superscript"/>
        </w:rPr>
        <w:t>st</w:t>
      </w:r>
      <w:r w:rsidRPr="00802F51">
        <w:rPr>
          <w:rFonts w:cs="Arial"/>
          <w:b/>
        </w:rPr>
        <w:t xml:space="preserve"> version, October 2015</w:t>
      </w:r>
    </w:p>
    <w:p w:rsidR="001F1545" w:rsidRDefault="001F1545" w:rsidP="00924A99">
      <w:pPr>
        <w:ind w:left="1080"/>
        <w:jc w:val="center"/>
        <w:rPr>
          <w:rFonts w:cs="Arial"/>
          <w:b/>
        </w:rPr>
      </w:pPr>
    </w:p>
    <w:p w:rsidR="00330CDE" w:rsidRPr="009E6516" w:rsidRDefault="001F1545" w:rsidP="009E6516">
      <w:pPr>
        <w:pStyle w:val="Kazalovsebine1"/>
      </w:pPr>
      <w:r w:rsidRPr="009E6516">
        <w:lastRenderedPageBreak/>
        <w:t>TABLE OF CONTENTS</w:t>
      </w:r>
    </w:p>
    <w:p w:rsidR="00A81C0A" w:rsidRPr="009E6516" w:rsidRDefault="001F1545" w:rsidP="009E6516">
      <w:pPr>
        <w:pStyle w:val="Kazalovsebine1"/>
        <w:rPr>
          <w:b w:val="0"/>
        </w:rPr>
      </w:pPr>
      <w:r w:rsidRPr="009E6516">
        <w:rPr>
          <w:b w:val="0"/>
        </w:rPr>
        <w:fldChar w:fldCharType="begin"/>
      </w:r>
      <w:r w:rsidRPr="009E6516">
        <w:rPr>
          <w:b w:val="0"/>
        </w:rPr>
        <w:instrText xml:space="preserve"> TOC \o "1-3" \h \z \u </w:instrText>
      </w:r>
      <w:r w:rsidRPr="009E6516">
        <w:rPr>
          <w:b w:val="0"/>
        </w:rPr>
        <w:fldChar w:fldCharType="separate"/>
      </w:r>
    </w:p>
    <w:p w:rsidR="00A81C0A" w:rsidRPr="009E6516" w:rsidRDefault="00895655" w:rsidP="009E6516">
      <w:pPr>
        <w:pStyle w:val="Kazalovsebine1"/>
        <w:rPr>
          <w:rFonts w:asciiTheme="minorHAnsi" w:eastAsiaTheme="minorEastAsia" w:hAnsiTheme="minorHAnsi" w:cstheme="minorBidi"/>
          <w:b w:val="0"/>
          <w:lang w:val="sl-SI" w:eastAsia="sl-SI"/>
        </w:rPr>
      </w:pPr>
      <w:hyperlink w:anchor="_Toc432066163" w:history="1">
        <w:r w:rsidR="00A81C0A" w:rsidRPr="009E6516">
          <w:rPr>
            <w:rStyle w:val="Hiperpovezava"/>
            <w:b w:val="0"/>
          </w:rPr>
          <w:t>1.</w:t>
        </w:r>
        <w:r w:rsidR="00A81C0A" w:rsidRPr="009E6516">
          <w:rPr>
            <w:rFonts w:asciiTheme="minorHAnsi" w:eastAsiaTheme="minorEastAsia" w:hAnsiTheme="minorHAnsi" w:cstheme="minorBidi"/>
            <w:b w:val="0"/>
            <w:lang w:val="sl-SI" w:eastAsia="sl-SI"/>
          </w:rPr>
          <w:tab/>
        </w:r>
        <w:r w:rsidR="00A81C0A" w:rsidRPr="009E6516">
          <w:rPr>
            <w:rStyle w:val="Hiperpovezava"/>
            <w:b w:val="0"/>
          </w:rPr>
          <w:t>GENERAL</w:t>
        </w:r>
        <w:r w:rsidR="00A81C0A" w:rsidRPr="009E6516">
          <w:rPr>
            <w:b w:val="0"/>
            <w:webHidden/>
          </w:rPr>
          <w:tab/>
        </w:r>
        <w:r w:rsidR="00A81C0A" w:rsidRPr="009E6516">
          <w:rPr>
            <w:b w:val="0"/>
            <w:webHidden/>
          </w:rPr>
          <w:fldChar w:fldCharType="begin"/>
        </w:r>
        <w:r w:rsidR="00A81C0A" w:rsidRPr="009E6516">
          <w:rPr>
            <w:b w:val="0"/>
            <w:webHidden/>
          </w:rPr>
          <w:instrText xml:space="preserve"> PAGEREF _Toc432066163 \h </w:instrText>
        </w:r>
        <w:r w:rsidR="00A81C0A" w:rsidRPr="009E6516">
          <w:rPr>
            <w:b w:val="0"/>
            <w:webHidden/>
          </w:rPr>
        </w:r>
        <w:r w:rsidR="00A81C0A" w:rsidRPr="009E6516">
          <w:rPr>
            <w:b w:val="0"/>
            <w:webHidden/>
          </w:rPr>
          <w:fldChar w:fldCharType="separate"/>
        </w:r>
        <w:r w:rsidR="00A81C0A" w:rsidRPr="009E6516">
          <w:rPr>
            <w:b w:val="0"/>
            <w:webHidden/>
          </w:rPr>
          <w:t>3</w:t>
        </w:r>
        <w:r w:rsidR="00A81C0A" w:rsidRPr="009E6516">
          <w:rPr>
            <w:b w:val="0"/>
            <w:webHidden/>
          </w:rPr>
          <w:fldChar w:fldCharType="end"/>
        </w:r>
      </w:hyperlink>
    </w:p>
    <w:p w:rsidR="00DB69F4" w:rsidRDefault="001F1545" w:rsidP="00F74356">
      <w:pPr>
        <w:rPr>
          <w:rFonts w:cs="Arial"/>
          <w:b/>
        </w:rPr>
      </w:pPr>
      <w:r w:rsidRPr="009E6516">
        <w:rPr>
          <w:rFonts w:cs="Arial"/>
          <w:sz w:val="24"/>
        </w:rPr>
        <w:fldChar w:fldCharType="end"/>
      </w: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DB69F4" w:rsidRDefault="00DB69F4" w:rsidP="00802F51">
      <w:pPr>
        <w:ind w:left="1080"/>
        <w:jc w:val="center"/>
        <w:rPr>
          <w:rFonts w:cs="Arial"/>
          <w:b/>
        </w:rPr>
      </w:pPr>
    </w:p>
    <w:p w:rsidR="00924A99" w:rsidRDefault="00924A99" w:rsidP="00802F51">
      <w:pPr>
        <w:ind w:left="1080"/>
        <w:jc w:val="center"/>
        <w:rPr>
          <w:rFonts w:cs="Arial"/>
          <w:b/>
        </w:rPr>
      </w:pPr>
    </w:p>
    <w:p w:rsidR="00924A99" w:rsidRDefault="00924A99" w:rsidP="00802F51">
      <w:pPr>
        <w:ind w:left="1080"/>
        <w:jc w:val="center"/>
        <w:rPr>
          <w:rFonts w:cs="Arial"/>
          <w:b/>
        </w:rPr>
      </w:pPr>
    </w:p>
    <w:p w:rsidR="00924A99" w:rsidRDefault="00924A99" w:rsidP="00802F51">
      <w:pPr>
        <w:ind w:left="1080"/>
        <w:jc w:val="center"/>
        <w:rPr>
          <w:rFonts w:cs="Arial"/>
          <w:b/>
        </w:rPr>
      </w:pPr>
    </w:p>
    <w:p w:rsidR="00924A99" w:rsidRDefault="00924A99" w:rsidP="00802F51">
      <w:pPr>
        <w:ind w:left="1080"/>
        <w:jc w:val="center"/>
        <w:rPr>
          <w:rFonts w:cs="Arial"/>
          <w:b/>
        </w:rPr>
      </w:pPr>
    </w:p>
    <w:p w:rsidR="00924A99" w:rsidRDefault="00924A99"/>
    <w:p w:rsidR="00A81C0A" w:rsidRDefault="00A81C0A">
      <w:bookmarkStart w:id="5" w:name="_GoBack"/>
      <w:bookmarkEnd w:id="5"/>
    </w:p>
    <w:p w:rsidR="00802F51" w:rsidRPr="001F1545" w:rsidRDefault="00802F51" w:rsidP="001F1545">
      <w:pPr>
        <w:pStyle w:val="Naslov"/>
        <w:numPr>
          <w:ilvl w:val="0"/>
          <w:numId w:val="43"/>
        </w:numPr>
        <w:ind w:left="567" w:hanging="567"/>
        <w:jc w:val="left"/>
        <w:rPr>
          <w:rFonts w:ascii="Arial" w:hAnsi="Arial" w:cs="Arial"/>
          <w:sz w:val="24"/>
          <w:szCs w:val="24"/>
        </w:rPr>
      </w:pPr>
      <w:bookmarkStart w:id="6" w:name="_Toc432066163"/>
      <w:r w:rsidRPr="001F1545">
        <w:rPr>
          <w:rFonts w:ascii="Arial" w:hAnsi="Arial" w:cs="Arial"/>
          <w:sz w:val="24"/>
          <w:szCs w:val="24"/>
        </w:rPr>
        <w:lastRenderedPageBreak/>
        <w:t>GENERAL</w:t>
      </w:r>
      <w:bookmarkEnd w:id="6"/>
    </w:p>
    <w:p w:rsidR="00924A99" w:rsidRPr="003B4B35" w:rsidRDefault="00924A99" w:rsidP="00924A99">
      <w:pPr>
        <w:spacing w:line="288" w:lineRule="auto"/>
        <w:jc w:val="both"/>
        <w:rPr>
          <w:rFonts w:cs="Arial"/>
          <w:b/>
          <w:sz w:val="24"/>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 xml:space="preserve">During their regular controls, customs authorities perform checks of products or ranges of products to establish if these products display characteristics which give cause to suspect that they, when properly used, present a serious risk to health and safety of consumers. Furthermore, customs authorities check whether the product is accompanied by the required documentation, whether the CE marking has been affixed to the product and whether the product is entitled to the CE marking and the supporting documentation. </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 xml:space="preserve">Customs authorities suspend the release of a product for free circulation, when they establish that the product displays characteristics which give cause to believe that the product, when properly installed, maintained and used, presents a serious risk to health, safety, the environment or any other public interest, or that the product is not accompanied by the prescribed declaration of conformity or that the CE marking has not been affixed to the product or has been affixed in a false or misleading manner. In any of the above situations, customs authorities immediately notify the market surveillance authority and suspend the release of such a product for three working days. </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Customs authorities inform the regional office of the Market Inspectorate of the Republic of Slovenia in cases in which the release of any of the below mentioned products has been suspended:</w:t>
      </w:r>
    </w:p>
    <w:p w:rsidR="00A81C0A" w:rsidRPr="009F627D" w:rsidRDefault="00A81C0A" w:rsidP="00A81C0A">
      <w:pPr>
        <w:numPr>
          <w:ilvl w:val="0"/>
          <w:numId w:val="44"/>
        </w:numPr>
        <w:spacing w:line="264" w:lineRule="auto"/>
        <w:ind w:left="357" w:hanging="357"/>
        <w:jc w:val="both"/>
        <w:rPr>
          <w:rFonts w:cs="Arial"/>
          <w:szCs w:val="20"/>
          <w:lang w:val="en-GB" w:eastAsia="sl-SI"/>
        </w:rPr>
      </w:pPr>
      <w:r w:rsidRPr="009F627D">
        <w:rPr>
          <w:rFonts w:cs="Arial"/>
          <w:szCs w:val="20"/>
          <w:lang w:val="en-GB" w:eastAsia="sl-SI"/>
        </w:rPr>
        <w:t>electrical and electronic equipment;</w:t>
      </w:r>
    </w:p>
    <w:p w:rsidR="00A81C0A" w:rsidRPr="009F627D" w:rsidRDefault="00A81C0A" w:rsidP="00A81C0A">
      <w:pPr>
        <w:numPr>
          <w:ilvl w:val="0"/>
          <w:numId w:val="44"/>
        </w:numPr>
        <w:spacing w:line="264" w:lineRule="auto"/>
        <w:ind w:left="357" w:hanging="357"/>
        <w:jc w:val="both"/>
        <w:rPr>
          <w:rFonts w:cs="Arial"/>
          <w:szCs w:val="20"/>
          <w:lang w:val="en-GB" w:eastAsia="sl-SI"/>
        </w:rPr>
      </w:pPr>
      <w:r w:rsidRPr="009F627D">
        <w:rPr>
          <w:rFonts w:cs="Arial"/>
          <w:szCs w:val="20"/>
          <w:lang w:val="en-GB" w:eastAsia="sl-SI"/>
        </w:rPr>
        <w:t>machines;</w:t>
      </w:r>
    </w:p>
    <w:p w:rsidR="00A81C0A" w:rsidRPr="009F627D" w:rsidRDefault="00A81C0A" w:rsidP="00A81C0A">
      <w:pPr>
        <w:numPr>
          <w:ilvl w:val="0"/>
          <w:numId w:val="44"/>
        </w:numPr>
        <w:spacing w:line="264" w:lineRule="auto"/>
        <w:ind w:left="357" w:hanging="357"/>
        <w:jc w:val="both"/>
        <w:rPr>
          <w:rFonts w:cs="Arial"/>
          <w:szCs w:val="20"/>
          <w:lang w:val="en-GB" w:eastAsia="sl-SI"/>
        </w:rPr>
      </w:pPr>
      <w:r w:rsidRPr="009F627D">
        <w:rPr>
          <w:rFonts w:cs="Arial"/>
          <w:szCs w:val="20"/>
          <w:lang w:val="en-GB" w:eastAsia="sl-SI"/>
        </w:rPr>
        <w:t xml:space="preserve">gas appliances; </w:t>
      </w:r>
    </w:p>
    <w:p w:rsidR="00A81C0A" w:rsidRPr="009F627D" w:rsidRDefault="00A81C0A" w:rsidP="00A81C0A">
      <w:pPr>
        <w:numPr>
          <w:ilvl w:val="0"/>
          <w:numId w:val="44"/>
        </w:numPr>
        <w:spacing w:line="264" w:lineRule="auto"/>
        <w:ind w:left="357" w:hanging="357"/>
        <w:jc w:val="both"/>
        <w:rPr>
          <w:rFonts w:cs="Arial"/>
          <w:szCs w:val="20"/>
          <w:lang w:val="en-GB" w:eastAsia="sl-SI"/>
        </w:rPr>
      </w:pPr>
      <w:r w:rsidRPr="009F627D">
        <w:rPr>
          <w:rFonts w:cs="Arial"/>
          <w:szCs w:val="20"/>
          <w:lang w:val="en-GB" w:eastAsia="sl-SI"/>
        </w:rPr>
        <w:t>personal protective equipment;</w:t>
      </w:r>
    </w:p>
    <w:p w:rsidR="00A81C0A" w:rsidRPr="009F627D" w:rsidRDefault="00A81C0A" w:rsidP="00A81C0A">
      <w:pPr>
        <w:numPr>
          <w:ilvl w:val="0"/>
          <w:numId w:val="44"/>
        </w:numPr>
        <w:spacing w:line="264" w:lineRule="auto"/>
        <w:ind w:left="357" w:hanging="357"/>
        <w:jc w:val="both"/>
        <w:rPr>
          <w:rFonts w:cs="Arial"/>
          <w:szCs w:val="20"/>
          <w:lang w:val="en-GB" w:eastAsia="sl-SI"/>
        </w:rPr>
      </w:pPr>
      <w:r w:rsidRPr="009F627D">
        <w:rPr>
          <w:rFonts w:cs="Arial"/>
          <w:szCs w:val="20"/>
          <w:lang w:val="en-GB" w:eastAsia="sl-SI"/>
        </w:rPr>
        <w:t xml:space="preserve">radio and telecommunication terminal equipment; </w:t>
      </w:r>
    </w:p>
    <w:p w:rsidR="00A81C0A" w:rsidRPr="009F627D" w:rsidRDefault="00A81C0A" w:rsidP="00A81C0A">
      <w:pPr>
        <w:numPr>
          <w:ilvl w:val="0"/>
          <w:numId w:val="44"/>
        </w:numPr>
        <w:spacing w:line="264" w:lineRule="auto"/>
        <w:ind w:left="357" w:hanging="357"/>
        <w:jc w:val="both"/>
        <w:rPr>
          <w:rFonts w:cs="Arial"/>
          <w:szCs w:val="20"/>
          <w:lang w:val="en-GB" w:eastAsia="sl-SI"/>
        </w:rPr>
      </w:pPr>
      <w:r w:rsidRPr="009F627D">
        <w:rPr>
          <w:rFonts w:cs="Arial"/>
          <w:szCs w:val="20"/>
          <w:lang w:val="en-GB" w:eastAsia="sl-SI"/>
        </w:rPr>
        <w:t>construction products;</w:t>
      </w:r>
    </w:p>
    <w:p w:rsidR="00A81C0A" w:rsidRPr="009F627D" w:rsidRDefault="00A81C0A" w:rsidP="00A81C0A">
      <w:pPr>
        <w:numPr>
          <w:ilvl w:val="0"/>
          <w:numId w:val="44"/>
        </w:numPr>
        <w:spacing w:line="264" w:lineRule="auto"/>
        <w:ind w:left="357" w:hanging="357"/>
        <w:jc w:val="both"/>
        <w:rPr>
          <w:rFonts w:cs="Arial"/>
          <w:szCs w:val="20"/>
          <w:lang w:val="en-GB" w:eastAsia="sl-SI"/>
        </w:rPr>
      </w:pPr>
      <w:proofErr w:type="gramStart"/>
      <w:r w:rsidRPr="009F627D">
        <w:rPr>
          <w:rFonts w:cs="Arial"/>
          <w:szCs w:val="20"/>
          <w:lang w:val="en-GB" w:eastAsia="sl-SI"/>
        </w:rPr>
        <w:t>recreational</w:t>
      </w:r>
      <w:proofErr w:type="gramEnd"/>
      <w:r w:rsidRPr="009F627D">
        <w:rPr>
          <w:rFonts w:cs="Arial"/>
          <w:szCs w:val="20"/>
          <w:lang w:val="en-GB" w:eastAsia="sl-SI"/>
        </w:rPr>
        <w:t xml:space="preserve"> crafts.</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 xml:space="preserve">With regard to the above mentioned products, harmonisation legislation has been adopted according to which the CE marking must be affixed to all the above products. Customs authorities inform the regional office of the Market Inspectorate also in cases in which they perform controls of cigarette lighters and baby equipment. The legislation in force does not provide for the CE marking and declarations of conformity regarding these two categories of products, which must, nevertheless, be produced in compliance with the general safety requirements. </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 xml:space="preserve">In cases in which customs authorities temporarily suspend the release of toys for free circulation, they inform the regional unit of the Health Inspectorate of the Republic of Slovenia (hereinafter referred to as: the ZIRS). Baby soothers do not belong to the category of toys, but they are, nevertheless, inspected by the ZIRS who also check the content of various chemicals in plastic materials used in the production of toys, such as dolls.  </w:t>
      </w:r>
    </w:p>
    <w:p w:rsidR="00A81C0A" w:rsidRPr="009F627D" w:rsidRDefault="00A81C0A" w:rsidP="00A81C0A">
      <w:pPr>
        <w:spacing w:line="264" w:lineRule="auto"/>
        <w:jc w:val="both"/>
        <w:rPr>
          <w:rFonts w:cs="Arial"/>
          <w:szCs w:val="20"/>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 xml:space="preserve">When customs authorities temporarily suspend the release for free circulation of other products due to their content of a prohibited or controlled chemical substance, they inform the Chemical Office of the Republic of Slovenia. </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In cases in which customs authorities temporarily suspend the release of medical devices for free circulation, they inform the Agency of the Republic of Slovenia for Medical Products and Medical Devices. However, when the release of transportable pressure equipment and simple pressure vessels is suspended, customs authorities cooperate with the Inspectorate for Infrastructure of the Republic of Slovenia and inform their regional office.</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highlight w:val="yellow"/>
          <w:lang w:val="en-GB" w:eastAsia="sl-SI"/>
        </w:rPr>
      </w:pPr>
      <w:r w:rsidRPr="009F627D">
        <w:rPr>
          <w:rFonts w:cs="Arial"/>
          <w:szCs w:val="20"/>
          <w:lang w:val="en-GB" w:eastAsia="sl-SI"/>
        </w:rPr>
        <w:lastRenderedPageBreak/>
        <w:t xml:space="preserve">If customs authorities have not been notified of any action taken by the market surveillance authorities, they release a product for free circulation within three working days of the suspension of release, provided that all other requirements regarding such release have been fulfilled. A product is released for free circulation also in cases in which the market surveillance authorities find that the product in question does not present a serious risk to health and safety of consumers or protection of the environment and is not in breach of Community harmonisation legislation. </w:t>
      </w:r>
    </w:p>
    <w:p w:rsidR="00A81C0A" w:rsidRPr="009F627D" w:rsidRDefault="00A81C0A" w:rsidP="00A81C0A">
      <w:pPr>
        <w:spacing w:line="264" w:lineRule="auto"/>
        <w:jc w:val="both"/>
        <w:rPr>
          <w:rFonts w:cs="Arial"/>
          <w:szCs w:val="20"/>
          <w:highlight w:val="yellow"/>
          <w:lang w:val="en-GB" w:eastAsia="sl-SI"/>
        </w:rPr>
      </w:pPr>
    </w:p>
    <w:p w:rsidR="00A81C0A" w:rsidRPr="009F627D" w:rsidRDefault="00A81C0A" w:rsidP="00A81C0A">
      <w:pPr>
        <w:spacing w:line="264" w:lineRule="auto"/>
        <w:jc w:val="both"/>
        <w:rPr>
          <w:rFonts w:cs="Arial"/>
          <w:szCs w:val="20"/>
          <w:lang w:val="en-GB" w:eastAsia="sl-SI"/>
        </w:rPr>
      </w:pPr>
      <w:r w:rsidRPr="009F627D">
        <w:rPr>
          <w:rFonts w:cs="Arial"/>
          <w:szCs w:val="20"/>
          <w:lang w:val="en-GB" w:eastAsia="sl-SI"/>
        </w:rPr>
        <w:t>Where the market surveillance authorities find that a product presents a serious risk to consumers or the environment or that it is in breach of harmonisation legislation, they take appropriate measures to prohibit that product from being placed on the market. In such cases, customs authorities refuse the release of the product for free circulation and include the following endorsement on the accompanying documents: “Dangerous product — release for free circulation not authorised — Regulation (EC) No 765/2008”.</w:t>
      </w:r>
    </w:p>
    <w:p w:rsidR="00A81C0A" w:rsidRPr="002143F1" w:rsidRDefault="00A81C0A" w:rsidP="00A81C0A">
      <w:pPr>
        <w:spacing w:line="288" w:lineRule="auto"/>
        <w:jc w:val="both"/>
        <w:rPr>
          <w:rFonts w:cs="Arial"/>
          <w:szCs w:val="20"/>
          <w:lang w:val="en-GB" w:eastAsia="sl-SI"/>
        </w:rPr>
      </w:pPr>
    </w:p>
    <w:p w:rsidR="002143F1" w:rsidRPr="002143F1" w:rsidRDefault="002143F1" w:rsidP="002143F1">
      <w:pPr>
        <w:spacing w:line="288" w:lineRule="auto"/>
        <w:jc w:val="both"/>
        <w:rPr>
          <w:rFonts w:cs="Arial"/>
          <w:szCs w:val="20"/>
          <w:lang w:val="en-GB" w:eastAsia="sl-SI"/>
        </w:rPr>
      </w:pPr>
    </w:p>
    <w:p w:rsidR="009B573F" w:rsidRPr="0026576C" w:rsidRDefault="009B573F" w:rsidP="00E120C3">
      <w:pPr>
        <w:pStyle w:val="FURSnaslov1"/>
        <w:jc w:val="both"/>
        <w:rPr>
          <w:lang w:val="en-GB"/>
        </w:rPr>
      </w:pPr>
    </w:p>
    <w:p w:rsidR="009B573F" w:rsidRPr="0026576C" w:rsidRDefault="009B573F" w:rsidP="009B573F">
      <w:pPr>
        <w:ind w:left="720"/>
        <w:jc w:val="both"/>
        <w:rPr>
          <w:lang w:val="en-GB"/>
        </w:rPr>
      </w:pPr>
    </w:p>
    <w:sectPr w:rsidR="009B573F" w:rsidRPr="0026576C"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55" w:rsidRDefault="00895655">
      <w:r>
        <w:separator/>
      </w:r>
    </w:p>
  </w:endnote>
  <w:endnote w:type="continuationSeparator" w:id="0">
    <w:p w:rsidR="00895655" w:rsidRDefault="0089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B" w:rsidRDefault="009F30FB" w:rsidP="009F30FB">
    <w:pPr>
      <w:pStyle w:val="Noga"/>
      <w:jc w:val="right"/>
    </w:pPr>
    <w:r>
      <w:fldChar w:fldCharType="begin"/>
    </w:r>
    <w:r>
      <w:instrText>PAGE   \* MERGEFORMAT</w:instrText>
    </w:r>
    <w:r>
      <w:fldChar w:fldCharType="separate"/>
    </w:r>
    <w:r w:rsidR="009E6516" w:rsidRPr="009E6516">
      <w:rPr>
        <w:noProof/>
        <w:lang w:val="sl-SI"/>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55" w:rsidRDefault="00895655">
      <w:r>
        <w:separator/>
      </w:r>
    </w:p>
  </w:footnote>
  <w:footnote w:type="continuationSeparator" w:id="0">
    <w:p w:rsidR="00895655" w:rsidRDefault="0089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A81C0A"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w:t>
    </w:r>
    <w:r w:rsidR="00A65CEB">
      <w:rPr>
        <w:rFonts w:ascii="Republika" w:hAnsi="Republika"/>
        <w:lang w:val="sl-SI"/>
      </w:rPr>
      <w:t>C OF SLOVENI</w:t>
    </w:r>
    <w:r w:rsidR="00CA699D" w:rsidRPr="008F3500">
      <w:rPr>
        <w:rFonts w:ascii="Republika" w:hAnsi="Republika"/>
        <w:lang w:val="sl-SI"/>
      </w:rPr>
      <w:t>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w:t>
    </w:r>
    <w:r w:rsidR="00A65CEB">
      <w:rPr>
        <w:rFonts w:ascii="Republika Bold" w:hAnsi="Republika Bold"/>
        <w:b/>
        <w:caps/>
        <w:lang w:val="sl-SI"/>
      </w:rPr>
      <w:t>Y</w:t>
    </w:r>
    <w:r>
      <w:rPr>
        <w:rFonts w:ascii="Republika Bold" w:hAnsi="Republika Bold"/>
        <w:b/>
        <w:caps/>
        <w:lang w:val="sl-SI"/>
      </w:rPr>
      <w:t xml:space="preserve"> </w:t>
    </w:r>
    <w:r w:rsidR="00A65CEB">
      <w:rPr>
        <w:rFonts w:ascii="Republika Bold" w:hAnsi="Republika Bold"/>
        <w:b/>
        <w:caps/>
        <w:lang w:val="sl-SI"/>
      </w:rPr>
      <w:t>OF</w:t>
    </w:r>
    <w:r>
      <w:rPr>
        <w:rFonts w:ascii="Republika Bold" w:hAnsi="Republika Bold"/>
        <w:b/>
        <w:caps/>
        <w:lang w:val="sl-SI"/>
      </w:rPr>
      <w:t xml:space="preserve">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w:t>
    </w:r>
    <w:r w:rsidR="00A65CEB">
      <w:rPr>
        <w:rFonts w:ascii="Republika" w:hAnsi="Republika"/>
        <w:caps/>
        <w:lang w:val="sl-SI"/>
      </w:rPr>
      <w:t>CIAL</w:t>
    </w:r>
    <w:r>
      <w:rPr>
        <w:rFonts w:ascii="Republika" w:hAnsi="Republika"/>
        <w:caps/>
        <w:lang w:val="sl-SI"/>
      </w:rPr>
      <w:t xml:space="preserve"> </w:t>
    </w:r>
    <w:r w:rsidR="00A65CEB">
      <w:rPr>
        <w:rFonts w:ascii="Republika" w:hAnsi="Republika"/>
        <w:caps/>
        <w:lang w:val="sl-SI"/>
      </w:rPr>
      <w:t>ADMINISTRATION OF THE</w:t>
    </w:r>
    <w:r>
      <w:rPr>
        <w:rFonts w:ascii="Republika" w:hAnsi="Republika"/>
        <w:caps/>
        <w:lang w:val="sl-SI"/>
      </w:rPr>
      <w:t xml:space="preserve"> Republi</w:t>
    </w:r>
    <w:r w:rsidR="00A65CEB">
      <w:rPr>
        <w:rFonts w:ascii="Republika" w:hAnsi="Republika"/>
        <w:caps/>
        <w:lang w:val="sl-SI"/>
      </w:rPr>
      <w:t>C OF SloveniA</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r w:rsidR="00A65CEB">
      <w:rPr>
        <w:rFonts w:cs="Arial"/>
        <w:sz w:val="16"/>
        <w:lang w:val="sl-SI"/>
      </w:rPr>
      <w:t xml:space="preserve">PO </w:t>
    </w:r>
    <w:r w:rsidR="00A65CEB" w:rsidRPr="00A65CEB">
      <w:rPr>
        <w:rFonts w:cs="Arial"/>
        <w:sz w:val="16"/>
        <w:lang w:val="en-GB"/>
      </w:rPr>
      <w:t>Box</w:t>
    </w:r>
    <w:r>
      <w:rPr>
        <w:rFonts w:cs="Arial"/>
        <w:sz w:val="16"/>
        <w:lang w:val="sl-SI"/>
      </w:rPr>
      <w:t xml:space="preserve"> 631</w:t>
    </w:r>
    <w:r w:rsidRPr="008F3500">
      <w:rPr>
        <w:rFonts w:cs="Arial"/>
        <w:sz w:val="16"/>
        <w:lang w:val="sl-SI"/>
      </w:rPr>
      <w:t xml:space="preserve">, </w:t>
    </w:r>
    <w:r>
      <w:rPr>
        <w:rFonts w:cs="Arial"/>
        <w:sz w:val="16"/>
        <w:lang w:val="sl-SI"/>
      </w:rPr>
      <w:t>1001 Ljubljana</w:t>
    </w:r>
    <w:r w:rsidR="00A65CEB">
      <w:rPr>
        <w:rFonts w:cs="Arial"/>
        <w:sz w:val="16"/>
        <w:lang w:val="sl-SI"/>
      </w:rPr>
      <w:t xml:space="preserve">, </w:t>
    </w:r>
    <w:r w:rsidR="00A65CEB" w:rsidRPr="00A65CEB">
      <w:rPr>
        <w:rFonts w:cs="Arial"/>
        <w:sz w:val="16"/>
        <w:lang w:val="en-GB"/>
      </w:rPr>
      <w:t>Slovenia</w:t>
    </w:r>
    <w:r w:rsidRPr="008F3500">
      <w:rPr>
        <w:rFonts w:cs="Arial"/>
        <w:sz w:val="16"/>
        <w:lang w:val="sl-SI"/>
      </w:rPr>
      <w:tab/>
      <w:t xml:space="preserve">T: </w:t>
    </w:r>
    <w:r w:rsidR="00A65CEB">
      <w:rPr>
        <w:rFonts w:cs="Arial"/>
        <w:sz w:val="16"/>
        <w:lang w:val="sl-SI"/>
      </w:rPr>
      <w:t xml:space="preserve">+386 </w:t>
    </w:r>
    <w:r>
      <w:rPr>
        <w:rFonts w:cs="Arial"/>
        <w:sz w:val="16"/>
        <w:lang w:val="sl-SI"/>
      </w:rPr>
      <w:t>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65CEB">
      <w:rPr>
        <w:rFonts w:cs="Arial"/>
        <w:sz w:val="16"/>
        <w:lang w:val="sl-SI"/>
      </w:rPr>
      <w:t xml:space="preserve">+386 </w:t>
    </w:r>
    <w:r>
      <w:rPr>
        <w:rFonts w:cs="Arial"/>
        <w:sz w:val="16"/>
        <w:lang w:val="sl-SI"/>
      </w:rPr>
      <w:t>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1" w:history="1">
      <w:r w:rsidR="00A65CEB" w:rsidRPr="00BF5B0D">
        <w:rPr>
          <w:rStyle w:val="Hiperpovezava"/>
          <w:rFonts w:cs="Arial"/>
          <w:sz w:val="16"/>
          <w:lang w:val="sl-SI"/>
        </w:rPr>
        <w:t>gfu.fu@gov.si</w:t>
      </w:r>
    </w:hyperlink>
    <w:r w:rsidR="00A65CEB">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A65CEB" w:rsidRPr="00BF5B0D">
        <w:rPr>
          <w:rStyle w:val="Hiperpovezava"/>
          <w:rFonts w:cs="Arial"/>
          <w:sz w:val="16"/>
          <w:lang w:val="sl-SI"/>
        </w:rPr>
        <w:t>www.fu.gov.si</w:t>
      </w:r>
    </w:hyperlink>
    <w:r w:rsidR="00A65CEB">
      <w:rPr>
        <w:rFonts w:cs="Arial"/>
        <w:sz w:val="16"/>
        <w:lang w:val="sl-SI"/>
      </w:rPr>
      <w:t xml:space="preserve"> </w:t>
    </w:r>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DE2"/>
    <w:multiLevelType w:val="hybridMultilevel"/>
    <w:tmpl w:val="AFBC672E"/>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C556DF"/>
    <w:multiLevelType w:val="hybridMultilevel"/>
    <w:tmpl w:val="4FCA65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AF39B7"/>
    <w:multiLevelType w:val="hybridMultilevel"/>
    <w:tmpl w:val="A8402E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CE71BAC"/>
    <w:multiLevelType w:val="hybridMultilevel"/>
    <w:tmpl w:val="1E8C2B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9FC1E81"/>
    <w:multiLevelType w:val="hybridMultilevel"/>
    <w:tmpl w:val="E3861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BE7CEE"/>
    <w:multiLevelType w:val="hybridMultilevel"/>
    <w:tmpl w:val="4476F7C6"/>
    <w:lvl w:ilvl="0" w:tplc="57D84CD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1EF1391D"/>
    <w:multiLevelType w:val="hybridMultilevel"/>
    <w:tmpl w:val="79A2C8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E067FC"/>
    <w:multiLevelType w:val="hybridMultilevel"/>
    <w:tmpl w:val="761695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nsid w:val="254751C8"/>
    <w:multiLevelType w:val="hybridMultilevel"/>
    <w:tmpl w:val="458A2F62"/>
    <w:lvl w:ilvl="0" w:tplc="6B143DA8">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BF53FF"/>
    <w:multiLevelType w:val="hybridMultilevel"/>
    <w:tmpl w:val="41CC7B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27842196"/>
    <w:multiLevelType w:val="hybridMultilevel"/>
    <w:tmpl w:val="0F044F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82D07C1"/>
    <w:multiLevelType w:val="hybridMultilevel"/>
    <w:tmpl w:val="5E08DD00"/>
    <w:lvl w:ilvl="0" w:tplc="6B143DA8">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E21437"/>
    <w:multiLevelType w:val="hybridMultilevel"/>
    <w:tmpl w:val="0E2C1F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1524B1C"/>
    <w:multiLevelType w:val="hybridMultilevel"/>
    <w:tmpl w:val="5D260884"/>
    <w:lvl w:ilvl="0" w:tplc="BBAEBCE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285919"/>
    <w:multiLevelType w:val="hybridMultilevel"/>
    <w:tmpl w:val="A2C28DF2"/>
    <w:lvl w:ilvl="0" w:tplc="4224C77C">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3E6E23"/>
    <w:multiLevelType w:val="hybridMultilevel"/>
    <w:tmpl w:val="6BD0A0B4"/>
    <w:lvl w:ilvl="0" w:tplc="4224C77C">
      <w:start w:val="9"/>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nsid w:val="3D71597D"/>
    <w:multiLevelType w:val="hybridMultilevel"/>
    <w:tmpl w:val="C510A238"/>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EC24992"/>
    <w:multiLevelType w:val="hybridMultilevel"/>
    <w:tmpl w:val="0F3A7894"/>
    <w:lvl w:ilvl="0" w:tplc="13E810B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3FCA5F0F"/>
    <w:multiLevelType w:val="hybridMultilevel"/>
    <w:tmpl w:val="DAAED226"/>
    <w:lvl w:ilvl="0" w:tplc="AB685B4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8E44DB"/>
    <w:multiLevelType w:val="hybridMultilevel"/>
    <w:tmpl w:val="8E22497A"/>
    <w:lvl w:ilvl="0" w:tplc="97FC2A84">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409A155F"/>
    <w:multiLevelType w:val="hybridMultilevel"/>
    <w:tmpl w:val="FED8383C"/>
    <w:lvl w:ilvl="0" w:tplc="4224C77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1AE60CA"/>
    <w:multiLevelType w:val="hybridMultilevel"/>
    <w:tmpl w:val="EB163FAA"/>
    <w:lvl w:ilvl="0" w:tplc="20C44E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9D1DF5"/>
    <w:multiLevelType w:val="hybridMultilevel"/>
    <w:tmpl w:val="D9C88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2FE0EF3"/>
    <w:multiLevelType w:val="hybridMultilevel"/>
    <w:tmpl w:val="6B1ED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217454"/>
    <w:multiLevelType w:val="hybridMultilevel"/>
    <w:tmpl w:val="26CCD460"/>
    <w:lvl w:ilvl="0" w:tplc="85BC1FA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5D3037BF"/>
    <w:multiLevelType w:val="hybridMultilevel"/>
    <w:tmpl w:val="ADF89BE8"/>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D8C20B6"/>
    <w:multiLevelType w:val="hybridMultilevel"/>
    <w:tmpl w:val="1730F78A"/>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CD05A6"/>
    <w:multiLevelType w:val="hybridMultilevel"/>
    <w:tmpl w:val="295C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FD9589A"/>
    <w:multiLevelType w:val="hybridMultilevel"/>
    <w:tmpl w:val="84B48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F26CD2"/>
    <w:multiLevelType w:val="hybridMultilevel"/>
    <w:tmpl w:val="FE162FB6"/>
    <w:lvl w:ilvl="0" w:tplc="9BC2F65E">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635803B0"/>
    <w:multiLevelType w:val="hybridMultilevel"/>
    <w:tmpl w:val="12187D1E"/>
    <w:lvl w:ilvl="0" w:tplc="FA264366">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65A54AD"/>
    <w:multiLevelType w:val="hybridMultilevel"/>
    <w:tmpl w:val="95263D7A"/>
    <w:lvl w:ilvl="0" w:tplc="72FA7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84B51C8"/>
    <w:multiLevelType w:val="hybridMultilevel"/>
    <w:tmpl w:val="58705C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90072CB"/>
    <w:multiLevelType w:val="hybridMultilevel"/>
    <w:tmpl w:val="179ABB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96B68BA"/>
    <w:multiLevelType w:val="hybridMultilevel"/>
    <w:tmpl w:val="5D2AA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ADE58D8"/>
    <w:multiLevelType w:val="hybridMultilevel"/>
    <w:tmpl w:val="31D4E6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C5C2C3C"/>
    <w:multiLevelType w:val="hybridMultilevel"/>
    <w:tmpl w:val="805CE2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4378C8"/>
    <w:multiLevelType w:val="hybridMultilevel"/>
    <w:tmpl w:val="57863F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4"/>
  </w:num>
  <w:num w:numId="3">
    <w:abstractNumId w:val="26"/>
  </w:num>
  <w:num w:numId="4">
    <w:abstractNumId w:val="3"/>
  </w:num>
  <w:num w:numId="5">
    <w:abstractNumId w:val="5"/>
  </w:num>
  <w:num w:numId="6">
    <w:abstractNumId w:val="17"/>
  </w:num>
  <w:num w:numId="7">
    <w:abstractNumId w:val="1"/>
  </w:num>
  <w:num w:numId="8">
    <w:abstractNumId w:val="2"/>
  </w:num>
  <w:num w:numId="9">
    <w:abstractNumId w:val="35"/>
  </w:num>
  <w:num w:numId="10">
    <w:abstractNumId w:val="8"/>
  </w:num>
  <w:num w:numId="11">
    <w:abstractNumId w:val="42"/>
  </w:num>
  <w:num w:numId="12">
    <w:abstractNumId w:val="6"/>
  </w:num>
  <w:num w:numId="13">
    <w:abstractNumId w:val="40"/>
  </w:num>
  <w:num w:numId="14">
    <w:abstractNumId w:val="23"/>
  </w:num>
  <w:num w:numId="15">
    <w:abstractNumId w:val="19"/>
  </w:num>
  <w:num w:numId="16">
    <w:abstractNumId w:val="0"/>
  </w:num>
  <w:num w:numId="17">
    <w:abstractNumId w:val="20"/>
  </w:num>
  <w:num w:numId="18">
    <w:abstractNumId w:val="22"/>
  </w:num>
  <w:num w:numId="19">
    <w:abstractNumId w:val="31"/>
  </w:num>
  <w:num w:numId="20">
    <w:abstractNumId w:val="18"/>
  </w:num>
  <w:num w:numId="21">
    <w:abstractNumId w:val="24"/>
  </w:num>
  <w:num w:numId="22">
    <w:abstractNumId w:val="32"/>
  </w:num>
  <w:num w:numId="23">
    <w:abstractNumId w:val="38"/>
  </w:num>
  <w:num w:numId="24">
    <w:abstractNumId w:val="30"/>
  </w:num>
  <w:num w:numId="25">
    <w:abstractNumId w:val="15"/>
  </w:num>
  <w:num w:numId="26">
    <w:abstractNumId w:val="28"/>
  </w:num>
  <w:num w:numId="27">
    <w:abstractNumId w:val="34"/>
  </w:num>
  <w:num w:numId="28">
    <w:abstractNumId w:val="10"/>
  </w:num>
  <w:num w:numId="29">
    <w:abstractNumId w:val="33"/>
  </w:num>
  <w:num w:numId="30">
    <w:abstractNumId w:val="25"/>
  </w:num>
  <w:num w:numId="31">
    <w:abstractNumId w:val="37"/>
  </w:num>
  <w:num w:numId="32">
    <w:abstractNumId w:val="13"/>
  </w:num>
  <w:num w:numId="33">
    <w:abstractNumId w:val="27"/>
  </w:num>
  <w:num w:numId="34">
    <w:abstractNumId w:val="11"/>
  </w:num>
  <w:num w:numId="35">
    <w:abstractNumId w:val="9"/>
  </w:num>
  <w:num w:numId="36">
    <w:abstractNumId w:val="43"/>
  </w:num>
  <w:num w:numId="37">
    <w:abstractNumId w:val="16"/>
  </w:num>
  <w:num w:numId="38">
    <w:abstractNumId w:val="21"/>
  </w:num>
  <w:num w:numId="39">
    <w:abstractNumId w:val="7"/>
  </w:num>
  <w:num w:numId="40">
    <w:abstractNumId w:val="12"/>
  </w:num>
  <w:num w:numId="41">
    <w:abstractNumId w:val="41"/>
  </w:num>
  <w:num w:numId="42">
    <w:abstractNumId w:val="4"/>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5FEF"/>
    <w:rsid w:val="000063FF"/>
    <w:rsid w:val="00023A88"/>
    <w:rsid w:val="000253F5"/>
    <w:rsid w:val="00030608"/>
    <w:rsid w:val="00030850"/>
    <w:rsid w:val="000404B4"/>
    <w:rsid w:val="000517B6"/>
    <w:rsid w:val="00061BC8"/>
    <w:rsid w:val="000747C0"/>
    <w:rsid w:val="000805EA"/>
    <w:rsid w:val="00080C42"/>
    <w:rsid w:val="0008352D"/>
    <w:rsid w:val="000A2A79"/>
    <w:rsid w:val="000A3AF3"/>
    <w:rsid w:val="000A488B"/>
    <w:rsid w:val="000A7238"/>
    <w:rsid w:val="000B0B21"/>
    <w:rsid w:val="000B3088"/>
    <w:rsid w:val="000B7436"/>
    <w:rsid w:val="000C203D"/>
    <w:rsid w:val="000C2273"/>
    <w:rsid w:val="000C46E2"/>
    <w:rsid w:val="000C7716"/>
    <w:rsid w:val="000D2E22"/>
    <w:rsid w:val="000F0F9F"/>
    <w:rsid w:val="000F2D09"/>
    <w:rsid w:val="000F3933"/>
    <w:rsid w:val="00115FF2"/>
    <w:rsid w:val="001264D7"/>
    <w:rsid w:val="0013427D"/>
    <w:rsid w:val="001343B0"/>
    <w:rsid w:val="001357B2"/>
    <w:rsid w:val="00145CF7"/>
    <w:rsid w:val="00146622"/>
    <w:rsid w:val="00146DDF"/>
    <w:rsid w:val="001541BB"/>
    <w:rsid w:val="00180C63"/>
    <w:rsid w:val="00195333"/>
    <w:rsid w:val="001A3BA5"/>
    <w:rsid w:val="001A533C"/>
    <w:rsid w:val="001B0853"/>
    <w:rsid w:val="001B33F4"/>
    <w:rsid w:val="001C2D67"/>
    <w:rsid w:val="001D2C7B"/>
    <w:rsid w:val="001D76CB"/>
    <w:rsid w:val="001F1545"/>
    <w:rsid w:val="001F4287"/>
    <w:rsid w:val="001F5CF6"/>
    <w:rsid w:val="001F7308"/>
    <w:rsid w:val="001F7577"/>
    <w:rsid w:val="001F7BC0"/>
    <w:rsid w:val="00202A77"/>
    <w:rsid w:val="002143F1"/>
    <w:rsid w:val="002248EB"/>
    <w:rsid w:val="002302D9"/>
    <w:rsid w:val="0026576C"/>
    <w:rsid w:val="00266742"/>
    <w:rsid w:val="00271CE5"/>
    <w:rsid w:val="002740A5"/>
    <w:rsid w:val="00276637"/>
    <w:rsid w:val="0028152B"/>
    <w:rsid w:val="00281A23"/>
    <w:rsid w:val="00282020"/>
    <w:rsid w:val="00284B5B"/>
    <w:rsid w:val="00286550"/>
    <w:rsid w:val="00295E2D"/>
    <w:rsid w:val="002A5510"/>
    <w:rsid w:val="002B0025"/>
    <w:rsid w:val="002D3285"/>
    <w:rsid w:val="00304546"/>
    <w:rsid w:val="003131B1"/>
    <w:rsid w:val="003205C5"/>
    <w:rsid w:val="00330CDE"/>
    <w:rsid w:val="0033164D"/>
    <w:rsid w:val="00335AA9"/>
    <w:rsid w:val="00337AD8"/>
    <w:rsid w:val="00342BA0"/>
    <w:rsid w:val="00347B1C"/>
    <w:rsid w:val="0035318A"/>
    <w:rsid w:val="003636BF"/>
    <w:rsid w:val="00365633"/>
    <w:rsid w:val="00370AA7"/>
    <w:rsid w:val="003741AB"/>
    <w:rsid w:val="0037479F"/>
    <w:rsid w:val="003838DE"/>
    <w:rsid w:val="003845B4"/>
    <w:rsid w:val="00387B1A"/>
    <w:rsid w:val="00393C77"/>
    <w:rsid w:val="003A187D"/>
    <w:rsid w:val="003B4B35"/>
    <w:rsid w:val="003C2EFF"/>
    <w:rsid w:val="003C5AA5"/>
    <w:rsid w:val="003D5C40"/>
    <w:rsid w:val="003D7E8B"/>
    <w:rsid w:val="003E1C74"/>
    <w:rsid w:val="003F0E9F"/>
    <w:rsid w:val="004126AD"/>
    <w:rsid w:val="00414BEA"/>
    <w:rsid w:val="004217A3"/>
    <w:rsid w:val="00423D43"/>
    <w:rsid w:val="0042676C"/>
    <w:rsid w:val="00427C38"/>
    <w:rsid w:val="00433672"/>
    <w:rsid w:val="00436510"/>
    <w:rsid w:val="00443B53"/>
    <w:rsid w:val="00444277"/>
    <w:rsid w:val="00447EB6"/>
    <w:rsid w:val="00451BE0"/>
    <w:rsid w:val="00471586"/>
    <w:rsid w:val="0047352B"/>
    <w:rsid w:val="004812E7"/>
    <w:rsid w:val="00482117"/>
    <w:rsid w:val="004836D9"/>
    <w:rsid w:val="00486A50"/>
    <w:rsid w:val="004A7E14"/>
    <w:rsid w:val="004B112D"/>
    <w:rsid w:val="004B17AF"/>
    <w:rsid w:val="004C0208"/>
    <w:rsid w:val="004C4719"/>
    <w:rsid w:val="004C5257"/>
    <w:rsid w:val="004D228C"/>
    <w:rsid w:val="004D289E"/>
    <w:rsid w:val="00512EFB"/>
    <w:rsid w:val="00516A62"/>
    <w:rsid w:val="00526246"/>
    <w:rsid w:val="00533E5D"/>
    <w:rsid w:val="00543109"/>
    <w:rsid w:val="00544917"/>
    <w:rsid w:val="00544B3B"/>
    <w:rsid w:val="00562B98"/>
    <w:rsid w:val="00567106"/>
    <w:rsid w:val="005873E3"/>
    <w:rsid w:val="00595C06"/>
    <w:rsid w:val="00595FE8"/>
    <w:rsid w:val="005A2401"/>
    <w:rsid w:val="005A50AA"/>
    <w:rsid w:val="005A5584"/>
    <w:rsid w:val="005C6611"/>
    <w:rsid w:val="005D4DF6"/>
    <w:rsid w:val="005E0189"/>
    <w:rsid w:val="005E1D3C"/>
    <w:rsid w:val="005E3296"/>
    <w:rsid w:val="00601049"/>
    <w:rsid w:val="00604D58"/>
    <w:rsid w:val="00611FBF"/>
    <w:rsid w:val="00616D3C"/>
    <w:rsid w:val="006255A2"/>
    <w:rsid w:val="00632253"/>
    <w:rsid w:val="006340BD"/>
    <w:rsid w:val="00642714"/>
    <w:rsid w:val="00643C4E"/>
    <w:rsid w:val="006455CE"/>
    <w:rsid w:val="00666FE7"/>
    <w:rsid w:val="00667BB9"/>
    <w:rsid w:val="00677C3B"/>
    <w:rsid w:val="006C1718"/>
    <w:rsid w:val="006D2FCD"/>
    <w:rsid w:val="006D42D9"/>
    <w:rsid w:val="006F4EC4"/>
    <w:rsid w:val="00703D12"/>
    <w:rsid w:val="00711096"/>
    <w:rsid w:val="00712A08"/>
    <w:rsid w:val="00726463"/>
    <w:rsid w:val="007302B0"/>
    <w:rsid w:val="00733017"/>
    <w:rsid w:val="00735A68"/>
    <w:rsid w:val="00737F04"/>
    <w:rsid w:val="00751D38"/>
    <w:rsid w:val="0075405C"/>
    <w:rsid w:val="007653B9"/>
    <w:rsid w:val="00770A66"/>
    <w:rsid w:val="00774771"/>
    <w:rsid w:val="0077567E"/>
    <w:rsid w:val="007809B2"/>
    <w:rsid w:val="00783310"/>
    <w:rsid w:val="00787893"/>
    <w:rsid w:val="00787B2D"/>
    <w:rsid w:val="0079472D"/>
    <w:rsid w:val="007A0FAD"/>
    <w:rsid w:val="007A4A6D"/>
    <w:rsid w:val="007A5733"/>
    <w:rsid w:val="007B1AA0"/>
    <w:rsid w:val="007B204B"/>
    <w:rsid w:val="007D1BCF"/>
    <w:rsid w:val="007D75CF"/>
    <w:rsid w:val="007E121A"/>
    <w:rsid w:val="007E1321"/>
    <w:rsid w:val="007E1A9E"/>
    <w:rsid w:val="007E6DC5"/>
    <w:rsid w:val="00802F51"/>
    <w:rsid w:val="00812AB8"/>
    <w:rsid w:val="00820814"/>
    <w:rsid w:val="0083566A"/>
    <w:rsid w:val="00854C7F"/>
    <w:rsid w:val="00871FA3"/>
    <w:rsid w:val="00876FD2"/>
    <w:rsid w:val="008775AE"/>
    <w:rsid w:val="0088043C"/>
    <w:rsid w:val="00886DF3"/>
    <w:rsid w:val="00887E1E"/>
    <w:rsid w:val="008906C9"/>
    <w:rsid w:val="008908EB"/>
    <w:rsid w:val="00895655"/>
    <w:rsid w:val="00897CBB"/>
    <w:rsid w:val="008A22FB"/>
    <w:rsid w:val="008B56BF"/>
    <w:rsid w:val="008B5BE8"/>
    <w:rsid w:val="008C5738"/>
    <w:rsid w:val="008D04F0"/>
    <w:rsid w:val="008D5F52"/>
    <w:rsid w:val="008E0160"/>
    <w:rsid w:val="008E0ECC"/>
    <w:rsid w:val="008E5B36"/>
    <w:rsid w:val="008E6032"/>
    <w:rsid w:val="008F01D5"/>
    <w:rsid w:val="008F026E"/>
    <w:rsid w:val="008F24FC"/>
    <w:rsid w:val="008F3500"/>
    <w:rsid w:val="0090663B"/>
    <w:rsid w:val="00906E4C"/>
    <w:rsid w:val="00917469"/>
    <w:rsid w:val="00920CBA"/>
    <w:rsid w:val="009215F0"/>
    <w:rsid w:val="00923C38"/>
    <w:rsid w:val="00924A99"/>
    <w:rsid w:val="00924E3C"/>
    <w:rsid w:val="00931E50"/>
    <w:rsid w:val="009357E4"/>
    <w:rsid w:val="00935C9B"/>
    <w:rsid w:val="009477FA"/>
    <w:rsid w:val="00954197"/>
    <w:rsid w:val="009541F3"/>
    <w:rsid w:val="009612BB"/>
    <w:rsid w:val="00967974"/>
    <w:rsid w:val="00981DBE"/>
    <w:rsid w:val="0098429D"/>
    <w:rsid w:val="009A7E2A"/>
    <w:rsid w:val="009B41E0"/>
    <w:rsid w:val="009B573F"/>
    <w:rsid w:val="009C37C5"/>
    <w:rsid w:val="009C6A5E"/>
    <w:rsid w:val="009D310B"/>
    <w:rsid w:val="009E6516"/>
    <w:rsid w:val="009E6AC6"/>
    <w:rsid w:val="009F30FB"/>
    <w:rsid w:val="009F6D94"/>
    <w:rsid w:val="00A000F2"/>
    <w:rsid w:val="00A108DA"/>
    <w:rsid w:val="00A125C5"/>
    <w:rsid w:val="00A12D5C"/>
    <w:rsid w:val="00A15325"/>
    <w:rsid w:val="00A212A7"/>
    <w:rsid w:val="00A3375E"/>
    <w:rsid w:val="00A3418F"/>
    <w:rsid w:val="00A3658F"/>
    <w:rsid w:val="00A5039D"/>
    <w:rsid w:val="00A55589"/>
    <w:rsid w:val="00A55883"/>
    <w:rsid w:val="00A60904"/>
    <w:rsid w:val="00A61123"/>
    <w:rsid w:val="00A61FCF"/>
    <w:rsid w:val="00A634FC"/>
    <w:rsid w:val="00A65CEB"/>
    <w:rsid w:val="00A65E41"/>
    <w:rsid w:val="00A65EE7"/>
    <w:rsid w:val="00A70133"/>
    <w:rsid w:val="00A7092E"/>
    <w:rsid w:val="00A72EBC"/>
    <w:rsid w:val="00A74438"/>
    <w:rsid w:val="00A778F1"/>
    <w:rsid w:val="00A81C0A"/>
    <w:rsid w:val="00A83FD8"/>
    <w:rsid w:val="00A90089"/>
    <w:rsid w:val="00A91A2D"/>
    <w:rsid w:val="00A93AAD"/>
    <w:rsid w:val="00A960A1"/>
    <w:rsid w:val="00AA1929"/>
    <w:rsid w:val="00AA536E"/>
    <w:rsid w:val="00AB25D2"/>
    <w:rsid w:val="00AB76A0"/>
    <w:rsid w:val="00AC53BC"/>
    <w:rsid w:val="00AC5659"/>
    <w:rsid w:val="00AC5C16"/>
    <w:rsid w:val="00AC5C6E"/>
    <w:rsid w:val="00AC7736"/>
    <w:rsid w:val="00B02364"/>
    <w:rsid w:val="00B069F9"/>
    <w:rsid w:val="00B11045"/>
    <w:rsid w:val="00B12F67"/>
    <w:rsid w:val="00B1337D"/>
    <w:rsid w:val="00B17141"/>
    <w:rsid w:val="00B22895"/>
    <w:rsid w:val="00B27607"/>
    <w:rsid w:val="00B31575"/>
    <w:rsid w:val="00B32412"/>
    <w:rsid w:val="00B3600C"/>
    <w:rsid w:val="00B43FA2"/>
    <w:rsid w:val="00B46132"/>
    <w:rsid w:val="00B46E22"/>
    <w:rsid w:val="00B47AF6"/>
    <w:rsid w:val="00B53904"/>
    <w:rsid w:val="00B53EF5"/>
    <w:rsid w:val="00B62F70"/>
    <w:rsid w:val="00B64ED8"/>
    <w:rsid w:val="00B70BD7"/>
    <w:rsid w:val="00B7141F"/>
    <w:rsid w:val="00B72CCA"/>
    <w:rsid w:val="00B75E53"/>
    <w:rsid w:val="00B82980"/>
    <w:rsid w:val="00B8547D"/>
    <w:rsid w:val="00B966E9"/>
    <w:rsid w:val="00BB5FBE"/>
    <w:rsid w:val="00BC01A3"/>
    <w:rsid w:val="00BD06AF"/>
    <w:rsid w:val="00BD0D43"/>
    <w:rsid w:val="00BE094A"/>
    <w:rsid w:val="00BF5114"/>
    <w:rsid w:val="00C00FDE"/>
    <w:rsid w:val="00C01EB4"/>
    <w:rsid w:val="00C04AD0"/>
    <w:rsid w:val="00C065EC"/>
    <w:rsid w:val="00C115AE"/>
    <w:rsid w:val="00C148F1"/>
    <w:rsid w:val="00C242CE"/>
    <w:rsid w:val="00C250D5"/>
    <w:rsid w:val="00C45A2F"/>
    <w:rsid w:val="00C47F8D"/>
    <w:rsid w:val="00C502DA"/>
    <w:rsid w:val="00C636AA"/>
    <w:rsid w:val="00C64874"/>
    <w:rsid w:val="00C75B9B"/>
    <w:rsid w:val="00C75EDF"/>
    <w:rsid w:val="00C81391"/>
    <w:rsid w:val="00C90C4F"/>
    <w:rsid w:val="00C92898"/>
    <w:rsid w:val="00CA699D"/>
    <w:rsid w:val="00CB29B5"/>
    <w:rsid w:val="00CB36FA"/>
    <w:rsid w:val="00CC179C"/>
    <w:rsid w:val="00CC4C84"/>
    <w:rsid w:val="00CE5F5B"/>
    <w:rsid w:val="00CE72B1"/>
    <w:rsid w:val="00CE7514"/>
    <w:rsid w:val="00CF12FC"/>
    <w:rsid w:val="00CF27A6"/>
    <w:rsid w:val="00D06AFD"/>
    <w:rsid w:val="00D248DE"/>
    <w:rsid w:val="00D249DD"/>
    <w:rsid w:val="00D27C3A"/>
    <w:rsid w:val="00D4477F"/>
    <w:rsid w:val="00D46D1B"/>
    <w:rsid w:val="00D527A6"/>
    <w:rsid w:val="00D54B6D"/>
    <w:rsid w:val="00D6021A"/>
    <w:rsid w:val="00D60A4F"/>
    <w:rsid w:val="00D6515F"/>
    <w:rsid w:val="00D71E11"/>
    <w:rsid w:val="00D74D13"/>
    <w:rsid w:val="00D8542D"/>
    <w:rsid w:val="00DA2C9A"/>
    <w:rsid w:val="00DB1A97"/>
    <w:rsid w:val="00DB4032"/>
    <w:rsid w:val="00DB69F4"/>
    <w:rsid w:val="00DC6A71"/>
    <w:rsid w:val="00DD3AC1"/>
    <w:rsid w:val="00DE5B46"/>
    <w:rsid w:val="00DF3B55"/>
    <w:rsid w:val="00E0357D"/>
    <w:rsid w:val="00E120C3"/>
    <w:rsid w:val="00E1591F"/>
    <w:rsid w:val="00E1739F"/>
    <w:rsid w:val="00E22091"/>
    <w:rsid w:val="00E24EC2"/>
    <w:rsid w:val="00E444DE"/>
    <w:rsid w:val="00E44513"/>
    <w:rsid w:val="00E52A93"/>
    <w:rsid w:val="00E57198"/>
    <w:rsid w:val="00E572FE"/>
    <w:rsid w:val="00E57671"/>
    <w:rsid w:val="00E651B8"/>
    <w:rsid w:val="00E65C10"/>
    <w:rsid w:val="00E67A76"/>
    <w:rsid w:val="00E7039C"/>
    <w:rsid w:val="00E81389"/>
    <w:rsid w:val="00E853E8"/>
    <w:rsid w:val="00EB1800"/>
    <w:rsid w:val="00EB48B1"/>
    <w:rsid w:val="00ED457F"/>
    <w:rsid w:val="00ED7E82"/>
    <w:rsid w:val="00EE6836"/>
    <w:rsid w:val="00F069AC"/>
    <w:rsid w:val="00F079C5"/>
    <w:rsid w:val="00F107EB"/>
    <w:rsid w:val="00F11C41"/>
    <w:rsid w:val="00F22E93"/>
    <w:rsid w:val="00F240BB"/>
    <w:rsid w:val="00F25168"/>
    <w:rsid w:val="00F46724"/>
    <w:rsid w:val="00F56583"/>
    <w:rsid w:val="00F57FED"/>
    <w:rsid w:val="00F74356"/>
    <w:rsid w:val="00F75F95"/>
    <w:rsid w:val="00F7768F"/>
    <w:rsid w:val="00F825FF"/>
    <w:rsid w:val="00F907E8"/>
    <w:rsid w:val="00F9531B"/>
    <w:rsid w:val="00F95CD9"/>
    <w:rsid w:val="00FC106B"/>
    <w:rsid w:val="00FC3635"/>
    <w:rsid w:val="00FD198F"/>
    <w:rsid w:val="00FD2B79"/>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115AE"/>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E6516"/>
    <w:pPr>
      <w:tabs>
        <w:tab w:val="left" w:pos="880"/>
        <w:tab w:val="right" w:leader="dot" w:pos="8488"/>
      </w:tabs>
      <w:ind w:left="284"/>
    </w:pPr>
    <w:rPr>
      <w:rFonts w:cs="Arial"/>
      <w:b/>
      <w:noProof/>
      <w:sz w:val="24"/>
    </w:r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533E5D"/>
    <w:rPr>
      <w:color w:val="954F72"/>
      <w:u w:val="single"/>
    </w:rPr>
  </w:style>
  <w:style w:type="character" w:customStyle="1" w:styleId="FURSnaslov2Znak">
    <w:name w:val="FURS_naslov_2 Znak"/>
    <w:link w:val="FURSnaslov2"/>
    <w:rsid w:val="00F079C5"/>
    <w:rPr>
      <w:rFonts w:ascii="Arial" w:hAnsi="Arial"/>
      <w:b/>
      <w:sz w:val="24"/>
      <w:szCs w:val="24"/>
      <w:lang w:val="it-IT" w:eastAsia="en-US"/>
    </w:rPr>
  </w:style>
  <w:style w:type="character" w:styleId="Pripombasklic">
    <w:name w:val="annotation reference"/>
    <w:rsid w:val="005A2401"/>
    <w:rPr>
      <w:sz w:val="16"/>
      <w:szCs w:val="16"/>
    </w:rPr>
  </w:style>
  <w:style w:type="paragraph" w:styleId="Pripombabesedilo">
    <w:name w:val="annotation text"/>
    <w:basedOn w:val="Navaden"/>
    <w:link w:val="PripombabesediloZnak"/>
    <w:rsid w:val="005A2401"/>
    <w:rPr>
      <w:szCs w:val="20"/>
    </w:rPr>
  </w:style>
  <w:style w:type="character" w:customStyle="1" w:styleId="PripombabesediloZnak">
    <w:name w:val="Pripomba – besedilo Znak"/>
    <w:link w:val="Pripombabesedilo"/>
    <w:rsid w:val="005A2401"/>
    <w:rPr>
      <w:rFonts w:ascii="Arial" w:hAnsi="Arial"/>
      <w:lang w:val="en-US" w:eastAsia="en-US"/>
    </w:rPr>
  </w:style>
  <w:style w:type="paragraph" w:styleId="Zadevapripombe">
    <w:name w:val="annotation subject"/>
    <w:basedOn w:val="Pripombabesedilo"/>
    <w:next w:val="Pripombabesedilo"/>
    <w:link w:val="ZadevapripombeZnak"/>
    <w:rsid w:val="005A2401"/>
    <w:rPr>
      <w:b/>
      <w:bCs/>
    </w:rPr>
  </w:style>
  <w:style w:type="character" w:customStyle="1" w:styleId="ZadevapripombeZnak">
    <w:name w:val="Zadeva pripombe Znak"/>
    <w:link w:val="Zadevapripombe"/>
    <w:rsid w:val="005A2401"/>
    <w:rPr>
      <w:rFonts w:ascii="Arial" w:hAnsi="Arial"/>
      <w:b/>
      <w:bCs/>
      <w:lang w:val="en-US" w:eastAsia="en-US"/>
    </w:rPr>
  </w:style>
  <w:style w:type="paragraph" w:styleId="Odstavekseznama">
    <w:name w:val="List Paragraph"/>
    <w:basedOn w:val="Navaden"/>
    <w:uiPriority w:val="34"/>
    <w:qFormat/>
    <w:rsid w:val="00A93AAD"/>
    <w:pPr>
      <w:spacing w:line="240" w:lineRule="auto"/>
      <w:ind w:left="720"/>
    </w:pPr>
    <w:rPr>
      <w:rFonts w:ascii="Calibri" w:eastAsia="Calibri" w:hAnsi="Calibri" w:cs="Calibri"/>
      <w:sz w:val="22"/>
      <w:szCs w:val="22"/>
      <w:lang w:val="sl-SI"/>
    </w:rPr>
  </w:style>
  <w:style w:type="paragraph" w:customStyle="1" w:styleId="Default">
    <w:name w:val="Default"/>
    <w:rsid w:val="00CB29B5"/>
    <w:pPr>
      <w:autoSpaceDE w:val="0"/>
      <w:autoSpaceDN w:val="0"/>
      <w:adjustRightInd w:val="0"/>
    </w:pPr>
    <w:rPr>
      <w:rFonts w:ascii="Arial" w:eastAsia="Calibri" w:hAnsi="Arial" w:cs="Arial"/>
      <w:color w:val="000000"/>
      <w:sz w:val="24"/>
      <w:szCs w:val="24"/>
      <w:lang w:eastAsia="en-US"/>
    </w:rPr>
  </w:style>
  <w:style w:type="paragraph" w:styleId="Stvarnokazalo1">
    <w:name w:val="index 1"/>
    <w:basedOn w:val="Navaden"/>
    <w:next w:val="Navaden"/>
    <w:autoRedefine/>
    <w:uiPriority w:val="99"/>
    <w:rsid w:val="00F74356"/>
    <w:pPr>
      <w:ind w:left="200" w:hanging="200"/>
    </w:pPr>
  </w:style>
  <w:style w:type="paragraph" w:styleId="Naslov">
    <w:name w:val="Title"/>
    <w:basedOn w:val="Navaden"/>
    <w:next w:val="Navaden"/>
    <w:link w:val="NaslovZnak"/>
    <w:qFormat/>
    <w:rsid w:val="001F1545"/>
    <w:pPr>
      <w:spacing w:before="240" w:after="60"/>
      <w:jc w:val="center"/>
      <w:outlineLvl w:val="0"/>
    </w:pPr>
    <w:rPr>
      <w:rFonts w:ascii="Cambria" w:hAnsi="Cambria"/>
      <w:b/>
      <w:bCs/>
      <w:kern w:val="28"/>
      <w:sz w:val="32"/>
      <w:szCs w:val="32"/>
    </w:rPr>
  </w:style>
  <w:style w:type="character" w:customStyle="1" w:styleId="NaslovZnak">
    <w:name w:val="Naslov Znak"/>
    <w:link w:val="Naslov"/>
    <w:rsid w:val="001F1545"/>
    <w:rPr>
      <w:rFonts w:ascii="Cambria" w:eastAsia="Times New Roman" w:hAnsi="Cambria" w:cs="Times New Roman"/>
      <w:b/>
      <w:bCs/>
      <w:kern w:val="28"/>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115AE"/>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E6516"/>
    <w:pPr>
      <w:tabs>
        <w:tab w:val="left" w:pos="880"/>
        <w:tab w:val="right" w:leader="dot" w:pos="8488"/>
      </w:tabs>
      <w:ind w:left="284"/>
    </w:pPr>
    <w:rPr>
      <w:rFonts w:cs="Arial"/>
      <w:b/>
      <w:noProof/>
      <w:sz w:val="24"/>
    </w:r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533E5D"/>
    <w:rPr>
      <w:color w:val="954F72"/>
      <w:u w:val="single"/>
    </w:rPr>
  </w:style>
  <w:style w:type="character" w:customStyle="1" w:styleId="FURSnaslov2Znak">
    <w:name w:val="FURS_naslov_2 Znak"/>
    <w:link w:val="FURSnaslov2"/>
    <w:rsid w:val="00F079C5"/>
    <w:rPr>
      <w:rFonts w:ascii="Arial" w:hAnsi="Arial"/>
      <w:b/>
      <w:sz w:val="24"/>
      <w:szCs w:val="24"/>
      <w:lang w:val="it-IT" w:eastAsia="en-US"/>
    </w:rPr>
  </w:style>
  <w:style w:type="character" w:styleId="Pripombasklic">
    <w:name w:val="annotation reference"/>
    <w:rsid w:val="005A2401"/>
    <w:rPr>
      <w:sz w:val="16"/>
      <w:szCs w:val="16"/>
    </w:rPr>
  </w:style>
  <w:style w:type="paragraph" w:styleId="Pripombabesedilo">
    <w:name w:val="annotation text"/>
    <w:basedOn w:val="Navaden"/>
    <w:link w:val="PripombabesediloZnak"/>
    <w:rsid w:val="005A2401"/>
    <w:rPr>
      <w:szCs w:val="20"/>
    </w:rPr>
  </w:style>
  <w:style w:type="character" w:customStyle="1" w:styleId="PripombabesediloZnak">
    <w:name w:val="Pripomba – besedilo Znak"/>
    <w:link w:val="Pripombabesedilo"/>
    <w:rsid w:val="005A2401"/>
    <w:rPr>
      <w:rFonts w:ascii="Arial" w:hAnsi="Arial"/>
      <w:lang w:val="en-US" w:eastAsia="en-US"/>
    </w:rPr>
  </w:style>
  <w:style w:type="paragraph" w:styleId="Zadevapripombe">
    <w:name w:val="annotation subject"/>
    <w:basedOn w:val="Pripombabesedilo"/>
    <w:next w:val="Pripombabesedilo"/>
    <w:link w:val="ZadevapripombeZnak"/>
    <w:rsid w:val="005A2401"/>
    <w:rPr>
      <w:b/>
      <w:bCs/>
    </w:rPr>
  </w:style>
  <w:style w:type="character" w:customStyle="1" w:styleId="ZadevapripombeZnak">
    <w:name w:val="Zadeva pripombe Znak"/>
    <w:link w:val="Zadevapripombe"/>
    <w:rsid w:val="005A2401"/>
    <w:rPr>
      <w:rFonts w:ascii="Arial" w:hAnsi="Arial"/>
      <w:b/>
      <w:bCs/>
      <w:lang w:val="en-US" w:eastAsia="en-US"/>
    </w:rPr>
  </w:style>
  <w:style w:type="paragraph" w:styleId="Odstavekseznama">
    <w:name w:val="List Paragraph"/>
    <w:basedOn w:val="Navaden"/>
    <w:uiPriority w:val="34"/>
    <w:qFormat/>
    <w:rsid w:val="00A93AAD"/>
    <w:pPr>
      <w:spacing w:line="240" w:lineRule="auto"/>
      <w:ind w:left="720"/>
    </w:pPr>
    <w:rPr>
      <w:rFonts w:ascii="Calibri" w:eastAsia="Calibri" w:hAnsi="Calibri" w:cs="Calibri"/>
      <w:sz w:val="22"/>
      <w:szCs w:val="22"/>
      <w:lang w:val="sl-SI"/>
    </w:rPr>
  </w:style>
  <w:style w:type="paragraph" w:customStyle="1" w:styleId="Default">
    <w:name w:val="Default"/>
    <w:rsid w:val="00CB29B5"/>
    <w:pPr>
      <w:autoSpaceDE w:val="0"/>
      <w:autoSpaceDN w:val="0"/>
      <w:adjustRightInd w:val="0"/>
    </w:pPr>
    <w:rPr>
      <w:rFonts w:ascii="Arial" w:eastAsia="Calibri" w:hAnsi="Arial" w:cs="Arial"/>
      <w:color w:val="000000"/>
      <w:sz w:val="24"/>
      <w:szCs w:val="24"/>
      <w:lang w:eastAsia="en-US"/>
    </w:rPr>
  </w:style>
  <w:style w:type="paragraph" w:styleId="Stvarnokazalo1">
    <w:name w:val="index 1"/>
    <w:basedOn w:val="Navaden"/>
    <w:next w:val="Navaden"/>
    <w:autoRedefine/>
    <w:uiPriority w:val="99"/>
    <w:rsid w:val="00F74356"/>
    <w:pPr>
      <w:ind w:left="200" w:hanging="200"/>
    </w:pPr>
  </w:style>
  <w:style w:type="paragraph" w:styleId="Naslov">
    <w:name w:val="Title"/>
    <w:basedOn w:val="Navaden"/>
    <w:next w:val="Navaden"/>
    <w:link w:val="NaslovZnak"/>
    <w:qFormat/>
    <w:rsid w:val="001F1545"/>
    <w:pPr>
      <w:spacing w:before="240" w:after="60"/>
      <w:jc w:val="center"/>
      <w:outlineLvl w:val="0"/>
    </w:pPr>
    <w:rPr>
      <w:rFonts w:ascii="Cambria" w:hAnsi="Cambria"/>
      <w:b/>
      <w:bCs/>
      <w:kern w:val="28"/>
      <w:sz w:val="32"/>
      <w:szCs w:val="32"/>
    </w:rPr>
  </w:style>
  <w:style w:type="character" w:customStyle="1" w:styleId="NaslovZnak">
    <w:name w:val="Naslov Znak"/>
    <w:link w:val="Naslov"/>
    <w:rsid w:val="001F1545"/>
    <w:rPr>
      <w:rFonts w:ascii="Cambria" w:eastAsia="Times New Roman" w:hAnsi="Cambria"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768453632">
      <w:bodyDiv w:val="1"/>
      <w:marLeft w:val="0"/>
      <w:marRight w:val="0"/>
      <w:marTop w:val="0"/>
      <w:marBottom w:val="0"/>
      <w:divBdr>
        <w:top w:val="none" w:sz="0" w:space="0" w:color="auto"/>
        <w:left w:val="none" w:sz="0" w:space="0" w:color="auto"/>
        <w:bottom w:val="none" w:sz="0" w:space="0" w:color="auto"/>
        <w:right w:val="none" w:sz="0" w:space="0" w:color="auto"/>
      </w:divBdr>
    </w:div>
    <w:div w:id="19505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fu.gov.si" TargetMode="External"/><Relationship Id="rId1" Type="http://schemas.openxmlformats.org/officeDocument/2006/relationships/hyperlink" Target="mailto:gfu.f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AC5886-C345-4601-ABC3-4519EEAA0D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1B87E-1531-47E5-A69E-F0E98EE0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4709</CharactersWithSpaces>
  <SharedDoc>false</SharedDoc>
  <HLinks>
    <vt:vector size="42" baseType="variant">
      <vt:variant>
        <vt:i4>5701758</vt:i4>
      </vt:variant>
      <vt:variant>
        <vt:i4>24</vt:i4>
      </vt:variant>
      <vt:variant>
        <vt:i4>0</vt:i4>
      </vt:variant>
      <vt:variant>
        <vt:i4>5</vt:i4>
      </vt:variant>
      <vt:variant>
        <vt:lpwstr>http://www.fu.gov.si/fileadmin/Internet/Carina/Prepovedi_in_omejitve/Ozonu_skodljive_snovi/Opis/EN_Ozonu_skodljive_snovi_Seznam_izdelkov_in_opreme_ki_vsebujejo_nadzorovane_snov.pdf</vt:lpwstr>
      </vt:variant>
      <vt:variant>
        <vt:lpwstr/>
      </vt:variant>
      <vt:variant>
        <vt:i4>3342396</vt:i4>
      </vt:variant>
      <vt:variant>
        <vt:i4>21</vt:i4>
      </vt:variant>
      <vt:variant>
        <vt:i4>0</vt:i4>
      </vt:variant>
      <vt:variant>
        <vt:i4>5</vt:i4>
      </vt:variant>
      <vt:variant>
        <vt:lpwstr>http://www.fu.gov.si/fileadmin/Internet/Carina/Prepovedi_in_omejitve/Ozonu_skodljive_snovi/Opis/EN_Ozonu_skodljive_snovi_Seznam_nadzorovanih_snovi.pdf</vt:lpwstr>
      </vt:variant>
      <vt:variant>
        <vt:lpwstr/>
      </vt:variant>
      <vt:variant>
        <vt:i4>1376312</vt:i4>
      </vt:variant>
      <vt:variant>
        <vt:i4>14</vt:i4>
      </vt:variant>
      <vt:variant>
        <vt:i4>0</vt:i4>
      </vt:variant>
      <vt:variant>
        <vt:i4>5</vt:i4>
      </vt:variant>
      <vt:variant>
        <vt:lpwstr/>
      </vt:variant>
      <vt:variant>
        <vt:lpwstr>_Toc432065840</vt:lpwstr>
      </vt:variant>
      <vt:variant>
        <vt:i4>1179704</vt:i4>
      </vt:variant>
      <vt:variant>
        <vt:i4>8</vt:i4>
      </vt:variant>
      <vt:variant>
        <vt:i4>0</vt:i4>
      </vt:variant>
      <vt:variant>
        <vt:i4>5</vt:i4>
      </vt:variant>
      <vt:variant>
        <vt:lpwstr/>
      </vt:variant>
      <vt:variant>
        <vt:lpwstr>_Toc432065839</vt:lpwstr>
      </vt:variant>
      <vt:variant>
        <vt:i4>1179704</vt:i4>
      </vt:variant>
      <vt:variant>
        <vt:i4>2</vt:i4>
      </vt:variant>
      <vt:variant>
        <vt:i4>0</vt:i4>
      </vt:variant>
      <vt:variant>
        <vt:i4>5</vt:i4>
      </vt:variant>
      <vt:variant>
        <vt:lpwstr/>
      </vt:variant>
      <vt:variant>
        <vt:lpwstr>_Toc432065838</vt:lpwstr>
      </vt:variant>
      <vt:variant>
        <vt:i4>4915271</vt:i4>
      </vt:variant>
      <vt:variant>
        <vt:i4>6</vt:i4>
      </vt:variant>
      <vt:variant>
        <vt:i4>0</vt:i4>
      </vt:variant>
      <vt:variant>
        <vt:i4>5</vt:i4>
      </vt:variant>
      <vt:variant>
        <vt:lpwstr>http://www.fu.gov.si/</vt:lpwstr>
      </vt:variant>
      <vt:variant>
        <vt:lpwstr/>
      </vt:variant>
      <vt:variant>
        <vt:i4>8257557</vt:i4>
      </vt:variant>
      <vt:variant>
        <vt:i4>3</vt:i4>
      </vt:variant>
      <vt:variant>
        <vt:i4>0</vt:i4>
      </vt:variant>
      <vt:variant>
        <vt:i4>5</vt:i4>
      </vt:variant>
      <vt:variant>
        <vt:lpwstr>mailto:gfu.fu@gov.si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David Piščanec</cp:lastModifiedBy>
  <cp:revision>6</cp:revision>
  <cp:lastPrinted>2015-10-08T09:10:00Z</cp:lastPrinted>
  <dcterms:created xsi:type="dcterms:W3CDTF">2015-10-08T09:14:00Z</dcterms:created>
  <dcterms:modified xsi:type="dcterms:W3CDTF">2015-10-08T12:22:00Z</dcterms:modified>
</cp:coreProperties>
</file>