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1E" w:rsidRDefault="00887E1E" w:rsidP="00CA699D">
      <w:pPr>
        <w:pStyle w:val="datumtevilka"/>
        <w:jc w:val="center"/>
      </w:pPr>
    </w:p>
    <w:p w:rsidR="00887E1E" w:rsidRDefault="00887E1E"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datumtevilka"/>
        <w:jc w:val="center"/>
      </w:pPr>
    </w:p>
    <w:p w:rsidR="00887E1E" w:rsidRDefault="00887E1E" w:rsidP="00CA699D">
      <w:pPr>
        <w:pStyle w:val="datumtevilka"/>
        <w:jc w:val="center"/>
      </w:pPr>
    </w:p>
    <w:p w:rsidR="00887E1E" w:rsidRDefault="00675F47" w:rsidP="00E853E8">
      <w:pPr>
        <w:pStyle w:val="datumtevilka"/>
        <w:jc w:val="center"/>
        <w:rPr>
          <w:b/>
          <w:sz w:val="32"/>
          <w:szCs w:val="32"/>
        </w:rPr>
      </w:pPr>
      <w:r>
        <w:rPr>
          <w:b/>
          <w:sz w:val="32"/>
          <w:szCs w:val="32"/>
        </w:rPr>
        <w:t>ODPADKI</w:t>
      </w:r>
    </w:p>
    <w:p w:rsidR="00E853E8" w:rsidRPr="00E853E8" w:rsidRDefault="00675F47" w:rsidP="00E853E8">
      <w:pPr>
        <w:pStyle w:val="datumtevilka"/>
        <w:jc w:val="center"/>
        <w:rPr>
          <w:b/>
          <w:sz w:val="32"/>
          <w:szCs w:val="32"/>
        </w:rPr>
      </w:pPr>
      <w:r w:rsidRPr="00675F47">
        <w:rPr>
          <w:b/>
          <w:sz w:val="32"/>
          <w:szCs w:val="32"/>
        </w:rPr>
        <w:t>Postopka pošiljanja odpadkov preko meja in njuna uporaba glede na carinski postopek in vrsto obdelave odpadkov</w:t>
      </w:r>
    </w:p>
    <w:p w:rsidR="00887E1E" w:rsidRDefault="00887E1E"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887E1E" w:rsidRDefault="00887E1E" w:rsidP="00E853E8">
      <w:pPr>
        <w:pStyle w:val="datumtevilka"/>
        <w:jc w:val="center"/>
      </w:pPr>
    </w:p>
    <w:p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rsidR="00F825FF" w:rsidRDefault="00F825FF" w:rsidP="00E853E8">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podpisi"/>
        <w:jc w:val="center"/>
        <w:rPr>
          <w:lang w:val="sl-SI"/>
        </w:rPr>
      </w:pPr>
    </w:p>
    <w:p w:rsidR="00F825FF" w:rsidRDefault="00F825FF"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887E1E" w:rsidRDefault="00887E1E" w:rsidP="00675F47">
      <w:pPr>
        <w:pStyle w:val="podpisi"/>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CA699D" w:rsidRDefault="00E853E8" w:rsidP="00F825FF">
      <w:pPr>
        <w:pStyle w:val="podpisi"/>
        <w:jc w:val="center"/>
        <w:rPr>
          <w:b/>
          <w:sz w:val="28"/>
          <w:lang w:val="sl-SI"/>
        </w:rPr>
      </w:pPr>
      <w:r>
        <w:rPr>
          <w:b/>
          <w:sz w:val="28"/>
          <w:lang w:val="sl-SI"/>
        </w:rPr>
        <w:t xml:space="preserve">1. izdaja, </w:t>
      </w:r>
      <w:r w:rsidR="00675F47">
        <w:rPr>
          <w:b/>
          <w:sz w:val="28"/>
          <w:lang w:val="sl-SI"/>
        </w:rPr>
        <w:t>MAREC 2015</w:t>
      </w:r>
    </w:p>
    <w:p w:rsidR="00CE15DF" w:rsidRPr="00EA5013" w:rsidRDefault="00CA699D" w:rsidP="00675F47">
      <w:pPr>
        <w:rPr>
          <w:b/>
          <w:sz w:val="28"/>
          <w:szCs w:val="28"/>
        </w:rPr>
      </w:pPr>
      <w:r>
        <w:rPr>
          <w:sz w:val="28"/>
        </w:rPr>
        <w:br w:type="page"/>
      </w:r>
      <w:r w:rsidR="00675F47">
        <w:rPr>
          <w:sz w:val="28"/>
        </w:rPr>
        <w:lastRenderedPageBreak/>
        <w:t xml:space="preserve"> </w:t>
      </w:r>
      <w:r w:rsidR="00CE15DF" w:rsidRPr="00EA5013">
        <w:rPr>
          <w:b/>
          <w:sz w:val="28"/>
          <w:szCs w:val="28"/>
        </w:rPr>
        <w:t>KAZALO</w:t>
      </w:r>
    </w:p>
    <w:p w:rsidR="00CE15DF" w:rsidRDefault="00CE15DF" w:rsidP="00675F47">
      <w:pPr>
        <w:rPr>
          <w:sz w:val="28"/>
        </w:rPr>
      </w:pPr>
    </w:p>
    <w:p w:rsidR="00CE15DF" w:rsidRPr="00EA5013" w:rsidRDefault="00CE15DF" w:rsidP="00EA5013">
      <w:pPr>
        <w:pStyle w:val="Kazalovsebine1"/>
        <w:rPr>
          <w:rFonts w:asciiTheme="minorHAnsi" w:eastAsiaTheme="minorEastAsia" w:hAnsiTheme="minorHAnsi" w:cstheme="minorBidi"/>
          <w:noProof/>
          <w:sz w:val="24"/>
          <w:lang w:val="sl-SI" w:eastAsia="sl-SI"/>
        </w:rPr>
      </w:pPr>
      <w:r>
        <w:rPr>
          <w:sz w:val="28"/>
        </w:rPr>
        <w:fldChar w:fldCharType="begin"/>
      </w:r>
      <w:r>
        <w:rPr>
          <w:sz w:val="28"/>
        </w:rPr>
        <w:instrText xml:space="preserve"> TOC \o "1-3" \h \z \u </w:instrText>
      </w:r>
      <w:r>
        <w:rPr>
          <w:sz w:val="28"/>
        </w:rPr>
        <w:fldChar w:fldCharType="separate"/>
      </w:r>
      <w:hyperlink w:anchor="_Toc432074002" w:history="1">
        <w:r w:rsidRPr="00EA5013">
          <w:rPr>
            <w:rStyle w:val="Hiperpovezava"/>
            <w:rFonts w:cs="Arial"/>
            <w:noProof/>
            <w:sz w:val="24"/>
          </w:rPr>
          <w:t>1.0</w:t>
        </w:r>
        <w:r w:rsidRPr="00EA5013">
          <w:rPr>
            <w:rFonts w:asciiTheme="minorHAnsi" w:eastAsiaTheme="minorEastAsia" w:hAnsiTheme="minorHAnsi" w:cstheme="minorBidi"/>
            <w:noProof/>
            <w:sz w:val="24"/>
            <w:lang w:val="sl-SI" w:eastAsia="sl-SI"/>
          </w:rPr>
          <w:tab/>
        </w:r>
        <w:r w:rsidRPr="00EA5013">
          <w:rPr>
            <w:rStyle w:val="Hiperpovezava"/>
            <w:rFonts w:cs="Arial"/>
            <w:noProof/>
            <w:sz w:val="24"/>
          </w:rPr>
          <w:t>POSTOPKA POŠILJANJA ODPADKOV PREKO MEJA</w:t>
        </w:r>
        <w:r w:rsidRPr="00EA5013">
          <w:rPr>
            <w:noProof/>
            <w:webHidden/>
            <w:sz w:val="24"/>
          </w:rPr>
          <w:tab/>
        </w:r>
        <w:r w:rsidRPr="00EA5013">
          <w:rPr>
            <w:noProof/>
            <w:webHidden/>
            <w:sz w:val="24"/>
          </w:rPr>
          <w:fldChar w:fldCharType="begin"/>
        </w:r>
        <w:r w:rsidRPr="00EA5013">
          <w:rPr>
            <w:noProof/>
            <w:webHidden/>
            <w:sz w:val="24"/>
          </w:rPr>
          <w:instrText xml:space="preserve"> PAGEREF _Toc432074002 \h </w:instrText>
        </w:r>
        <w:r w:rsidRPr="00EA5013">
          <w:rPr>
            <w:noProof/>
            <w:webHidden/>
            <w:sz w:val="24"/>
          </w:rPr>
        </w:r>
        <w:r w:rsidRPr="00EA5013">
          <w:rPr>
            <w:noProof/>
            <w:webHidden/>
            <w:sz w:val="24"/>
          </w:rPr>
          <w:fldChar w:fldCharType="separate"/>
        </w:r>
        <w:r w:rsidR="00242143" w:rsidRPr="00EA5013">
          <w:rPr>
            <w:noProof/>
            <w:webHidden/>
            <w:sz w:val="24"/>
          </w:rPr>
          <w:t>3</w:t>
        </w:r>
        <w:r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03" w:history="1">
        <w:r w:rsidR="00CE15DF" w:rsidRPr="00EA5013">
          <w:rPr>
            <w:rStyle w:val="Hiperpovezava"/>
            <w:rFonts w:cs="Arial"/>
            <w:noProof/>
            <w:sz w:val="24"/>
          </w:rPr>
          <w:t>1.1</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Splošna zahteva po informacijah</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_Toc432074003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3</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04" w:history="1">
        <w:r w:rsidR="00CE15DF" w:rsidRPr="00EA5013">
          <w:rPr>
            <w:rStyle w:val="Hiperpovezava"/>
            <w:rFonts w:cs="Arial"/>
            <w:noProof/>
            <w:sz w:val="24"/>
          </w:rPr>
          <w:t>1.2</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Predhodna pisna prijava in soglasje</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_Toc432074004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3</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06" w:history="1">
        <w:r w:rsidR="00CE15DF" w:rsidRPr="00EA5013">
          <w:rPr>
            <w:rStyle w:val="Hiperpovezava"/>
            <w:rFonts w:cs="Arial"/>
            <w:noProof/>
            <w:sz w:val="24"/>
            <w:lang w:val="sl-SI" w:eastAsia="sl-SI"/>
          </w:rPr>
          <w:t>2.0</w:t>
        </w:r>
        <w:r w:rsidR="00CE15DF" w:rsidRPr="00EA5013">
          <w:rPr>
            <w:rFonts w:asciiTheme="minorHAnsi" w:eastAsiaTheme="minorEastAsia" w:hAnsiTheme="minorHAnsi" w:cstheme="minorBidi"/>
            <w:noProof/>
            <w:sz w:val="24"/>
            <w:lang w:val="sl-SI" w:eastAsia="sl-SI"/>
          </w:rPr>
          <w:tab/>
        </w:r>
        <w:r w:rsidR="00CE15DF" w:rsidRPr="00EA5013">
          <w:rPr>
            <w:rStyle w:val="Hiperpovezava"/>
            <w:rFonts w:cs="Arial"/>
            <w:noProof/>
            <w:sz w:val="24"/>
            <w:lang w:val="sl-SI" w:eastAsia="sl-SI"/>
          </w:rPr>
          <w:t>IZVOZ</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_Toc432074006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4</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08" w:history="1">
        <w:r w:rsidR="00CE15DF" w:rsidRPr="00EA5013">
          <w:rPr>
            <w:rStyle w:val="Hiperpovezava"/>
            <w:rFonts w:cs="Arial"/>
            <w:noProof/>
            <w:sz w:val="24"/>
          </w:rPr>
          <w:t>2.1</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Odstranjevanje</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_Toc432074008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4</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09" w:history="1">
        <w:r w:rsidR="00CE15DF" w:rsidRPr="00EA5013">
          <w:rPr>
            <w:rStyle w:val="Hiperpovezava"/>
            <w:rFonts w:cs="Arial"/>
            <w:noProof/>
            <w:sz w:val="24"/>
          </w:rPr>
          <w:t>2.2</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Predelava</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_Toc432074009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4</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0" w:history="1">
        <w:r w:rsidR="00CE15DF" w:rsidRPr="00EA5013">
          <w:rPr>
            <w:rStyle w:val="Hiperpovezava"/>
            <w:rFonts w:cs="Arial"/>
            <w:noProof/>
            <w:sz w:val="24"/>
          </w:rPr>
          <w:t>2.3</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Izjeme</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_Toc432074010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5</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1" w:history="1">
        <w:r w:rsidR="00CE15DF" w:rsidRPr="00EA5013">
          <w:rPr>
            <w:rStyle w:val="Hiperpovezava"/>
            <w:rFonts w:cs="Arial"/>
            <w:noProof/>
            <w:sz w:val="24"/>
            <w:lang w:val="sl-SI" w:eastAsia="sl-SI"/>
          </w:rPr>
          <w:t>3.0</w:t>
        </w:r>
        <w:r w:rsidR="00CE15DF" w:rsidRPr="00EA5013">
          <w:rPr>
            <w:rFonts w:asciiTheme="minorHAnsi" w:eastAsiaTheme="minorEastAsia" w:hAnsiTheme="minorHAnsi" w:cstheme="minorBidi"/>
            <w:noProof/>
            <w:sz w:val="24"/>
            <w:lang w:val="sl-SI" w:eastAsia="sl-SI"/>
          </w:rPr>
          <w:tab/>
        </w:r>
        <w:r w:rsidR="00CE15DF" w:rsidRPr="00EA5013">
          <w:rPr>
            <w:rStyle w:val="Hiperpovezava"/>
            <w:rFonts w:cs="Arial"/>
            <w:noProof/>
            <w:sz w:val="24"/>
            <w:lang w:val="sl-SI" w:eastAsia="sl-SI"/>
          </w:rPr>
          <w:t>UVOZ</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_Toc432074011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5</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2" w:history="1">
        <w:r w:rsidR="00CE15DF" w:rsidRPr="00EA5013">
          <w:rPr>
            <w:rStyle w:val="Hiperpovezava"/>
            <w:rFonts w:cs="Arial"/>
            <w:noProof/>
            <w:sz w:val="24"/>
          </w:rPr>
          <w:t>3.1</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Odstranjevanje</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_Toc432074012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5</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3" w:history="1">
        <w:r w:rsidR="00CE15DF" w:rsidRPr="00EA5013">
          <w:rPr>
            <w:rStyle w:val="Hiperpovezava"/>
            <w:rFonts w:cs="Arial"/>
            <w:noProof/>
            <w:sz w:val="24"/>
          </w:rPr>
          <w:t>3.2</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Predelava</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_Toc432074013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5</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4" w:history="1">
        <w:r w:rsidR="00CE15DF" w:rsidRPr="00EA5013">
          <w:rPr>
            <w:rStyle w:val="Hiperpovezava"/>
            <w:rFonts w:cs="Arial"/>
            <w:noProof/>
            <w:sz w:val="24"/>
            <w:lang w:val="sl-SI" w:eastAsia="sl-SI"/>
          </w:rPr>
          <w:t>4.0</w:t>
        </w:r>
        <w:r w:rsidR="00CE15DF" w:rsidRPr="00EA5013">
          <w:rPr>
            <w:rFonts w:asciiTheme="minorHAnsi" w:eastAsiaTheme="minorEastAsia" w:hAnsiTheme="minorHAnsi" w:cstheme="minorBidi"/>
            <w:noProof/>
            <w:sz w:val="24"/>
            <w:lang w:val="sl-SI" w:eastAsia="sl-SI"/>
          </w:rPr>
          <w:tab/>
        </w:r>
        <w:r w:rsidR="00CE15DF" w:rsidRPr="00EA5013">
          <w:rPr>
            <w:rStyle w:val="Hiperpovezava"/>
            <w:rFonts w:cs="Arial"/>
            <w:noProof/>
            <w:sz w:val="24"/>
            <w:lang w:val="sl-SI" w:eastAsia="sl-SI"/>
          </w:rPr>
          <w:t>TRA</w:t>
        </w:r>
        <w:r w:rsidR="00CE15DF" w:rsidRPr="00EA5013">
          <w:rPr>
            <w:rStyle w:val="Hiperpovezava"/>
            <w:rFonts w:cs="Arial"/>
            <w:noProof/>
            <w:sz w:val="24"/>
            <w:lang w:val="sl-SI" w:eastAsia="sl-SI"/>
          </w:rPr>
          <w:t>N</w:t>
        </w:r>
        <w:r w:rsidR="00CE15DF" w:rsidRPr="00EA5013">
          <w:rPr>
            <w:rStyle w:val="Hiperpovezava"/>
            <w:rFonts w:cs="Arial"/>
            <w:noProof/>
            <w:sz w:val="24"/>
            <w:lang w:val="sl-SI" w:eastAsia="sl-SI"/>
          </w:rPr>
          <w:t>ZIT</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_Toc432074014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6</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5" w:history="1">
        <w:r w:rsidR="00CE15DF" w:rsidRPr="00EA5013">
          <w:rPr>
            <w:rStyle w:val="Hiperpovezava"/>
            <w:rFonts w:cs="Arial"/>
            <w:noProof/>
            <w:sz w:val="24"/>
          </w:rPr>
          <w:t>4.1</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Odstranjevanje</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_Toc432074015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6</w:t>
        </w:r>
        <w:r w:rsidR="00CE15DF" w:rsidRPr="00EA5013">
          <w:rPr>
            <w:noProof/>
            <w:webHidden/>
            <w:sz w:val="24"/>
          </w:rPr>
          <w:fldChar w:fldCharType="end"/>
        </w:r>
      </w:hyperlink>
    </w:p>
    <w:p w:rsidR="00CE15DF" w:rsidRPr="00EA5013" w:rsidRDefault="00174D2E" w:rsidP="00EA5013">
      <w:pPr>
        <w:pStyle w:val="Kazalovsebine1"/>
        <w:rPr>
          <w:rFonts w:asciiTheme="minorHAnsi" w:eastAsiaTheme="minorEastAsia" w:hAnsiTheme="minorHAnsi" w:cstheme="minorBidi"/>
          <w:noProof/>
          <w:sz w:val="24"/>
          <w:lang w:val="sl-SI" w:eastAsia="sl-SI"/>
        </w:rPr>
      </w:pPr>
      <w:hyperlink w:anchor="_Toc432074016" w:history="1">
        <w:r w:rsidR="00CE15DF" w:rsidRPr="00EA5013">
          <w:rPr>
            <w:rStyle w:val="Hiperpovezava"/>
            <w:rFonts w:cs="Arial"/>
            <w:noProof/>
            <w:sz w:val="24"/>
          </w:rPr>
          <w:t>4.2</w:t>
        </w:r>
        <w:r w:rsidR="00CE15DF" w:rsidRPr="00EA5013">
          <w:rPr>
            <w:rFonts w:asciiTheme="minorHAnsi" w:eastAsiaTheme="minorEastAsia" w:hAnsiTheme="minorHAnsi" w:cstheme="minorBidi"/>
            <w:noProof/>
            <w:sz w:val="24"/>
            <w:lang w:val="sl-SI" w:eastAsia="sl-SI"/>
          </w:rPr>
          <w:tab/>
        </w:r>
        <w:r w:rsidR="00CE15DF" w:rsidRPr="00EA5013">
          <w:rPr>
            <w:rStyle w:val="Hiperpovezava"/>
            <w:noProof/>
            <w:sz w:val="24"/>
          </w:rPr>
          <w:t>Predelava</w:t>
        </w:r>
        <w:r w:rsidR="00CE15DF" w:rsidRPr="00EA5013">
          <w:rPr>
            <w:noProof/>
            <w:webHidden/>
            <w:sz w:val="24"/>
          </w:rPr>
          <w:tab/>
        </w:r>
        <w:r w:rsidR="00CE15DF" w:rsidRPr="00EA5013">
          <w:rPr>
            <w:noProof/>
            <w:webHidden/>
            <w:sz w:val="24"/>
          </w:rPr>
          <w:fldChar w:fldCharType="begin"/>
        </w:r>
        <w:r w:rsidR="00CE15DF" w:rsidRPr="00EA5013">
          <w:rPr>
            <w:noProof/>
            <w:webHidden/>
            <w:sz w:val="24"/>
          </w:rPr>
          <w:instrText xml:space="preserve"> PAGEREF _Toc432074016 \h </w:instrText>
        </w:r>
        <w:r w:rsidR="00CE15DF" w:rsidRPr="00EA5013">
          <w:rPr>
            <w:noProof/>
            <w:webHidden/>
            <w:sz w:val="24"/>
          </w:rPr>
        </w:r>
        <w:r w:rsidR="00CE15DF" w:rsidRPr="00EA5013">
          <w:rPr>
            <w:noProof/>
            <w:webHidden/>
            <w:sz w:val="24"/>
          </w:rPr>
          <w:fldChar w:fldCharType="separate"/>
        </w:r>
        <w:r w:rsidR="00242143" w:rsidRPr="00EA5013">
          <w:rPr>
            <w:noProof/>
            <w:webHidden/>
            <w:sz w:val="24"/>
          </w:rPr>
          <w:t>6</w:t>
        </w:r>
        <w:r w:rsidR="00CE15DF" w:rsidRPr="00EA5013">
          <w:rPr>
            <w:noProof/>
            <w:webHidden/>
            <w:sz w:val="24"/>
          </w:rPr>
          <w:fldChar w:fldCharType="end"/>
        </w:r>
      </w:hyperlink>
    </w:p>
    <w:p w:rsidR="00675F47" w:rsidRDefault="00CE15DF" w:rsidP="00675F47">
      <w:pPr>
        <w:rPr>
          <w:sz w:val="28"/>
        </w:rPr>
      </w:pPr>
      <w:r>
        <w:rPr>
          <w:sz w:val="28"/>
        </w:rPr>
        <w:fldChar w:fldCharType="end"/>
      </w:r>
    </w:p>
    <w:p w:rsidR="00675F47" w:rsidRPr="00224B53" w:rsidRDefault="00DA2C9A" w:rsidP="00224B53">
      <w:pPr>
        <w:pStyle w:val="Naslov"/>
        <w:numPr>
          <w:ilvl w:val="0"/>
          <w:numId w:val="13"/>
        </w:numPr>
        <w:ind w:left="567" w:hanging="567"/>
        <w:jc w:val="left"/>
        <w:rPr>
          <w:rFonts w:ascii="Arial" w:hAnsi="Arial" w:cs="Arial"/>
          <w:sz w:val="24"/>
          <w:szCs w:val="24"/>
        </w:rPr>
      </w:pPr>
      <w:r>
        <w:br w:type="page"/>
      </w:r>
      <w:bookmarkStart w:id="0" w:name="_Toc432074002"/>
      <w:r w:rsidR="00224B53">
        <w:rPr>
          <w:rFonts w:ascii="Arial" w:hAnsi="Arial" w:cs="Arial"/>
          <w:sz w:val="24"/>
          <w:szCs w:val="24"/>
        </w:rPr>
        <w:lastRenderedPageBreak/>
        <w:t>POSTOPKA POŠILJANJA ODPADKOV PREKO MEJA</w:t>
      </w:r>
      <w:bookmarkEnd w:id="0"/>
    </w:p>
    <w:p w:rsidR="00675F47" w:rsidRPr="00224B53" w:rsidRDefault="00675F47" w:rsidP="00675F47">
      <w:pPr>
        <w:spacing w:line="281" w:lineRule="auto"/>
        <w:jc w:val="both"/>
        <w:rPr>
          <w:sz w:val="24"/>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Poznamo dva postopka, ki se uporabljata za pošiljanje odpadkov preko meja: postopek splošne zahteve po informacijah ter postopek predhodne pisne prijave in soglasja. Oba se uporabljata tudi za pošiljke odpadkov, ki vstopajo na območje Evropske unije oziroma zapuščajo to območje. Njuna uporaba je odvisna od porekla, cilja in poti pošiljke, vrste poslanih odpadkov in vrste obdelave, ki se uporablja za odpadke na njihovem cilju.</w:t>
      </w:r>
    </w:p>
    <w:p w:rsidR="00675F47" w:rsidRPr="00675F47" w:rsidRDefault="00675F47" w:rsidP="00675F47">
      <w:pPr>
        <w:spacing w:line="281" w:lineRule="auto"/>
        <w:jc w:val="both"/>
        <w:rPr>
          <w:rFonts w:cs="Arial"/>
          <w:szCs w:val="20"/>
          <w:lang w:val="sl-SI" w:eastAsia="sl-SI"/>
        </w:rPr>
      </w:pPr>
    </w:p>
    <w:p w:rsidR="00675F47" w:rsidRPr="00224B53" w:rsidRDefault="00675F47" w:rsidP="00242143">
      <w:pPr>
        <w:pStyle w:val="Naslov1"/>
      </w:pPr>
      <w:bookmarkStart w:id="1" w:name="_Toc280788016"/>
      <w:bookmarkStart w:id="2" w:name="_Toc432074003"/>
      <w:r w:rsidRPr="00224B53">
        <w:t>Splošna zahteva po informacijah</w:t>
      </w:r>
      <w:bookmarkEnd w:id="1"/>
      <w:bookmarkEnd w:id="2"/>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Postopek splošne zahteve po informacijah se uporablja za naslednje pošiljke odpadkov, če so ti namenjeni nadaljnji predelavi in </w:t>
      </w:r>
      <w:proofErr w:type="spellStart"/>
      <w:r w:rsidRPr="00675F47">
        <w:rPr>
          <w:rFonts w:cs="Arial"/>
          <w:szCs w:val="20"/>
          <w:lang w:val="sl-SI" w:eastAsia="sl-SI"/>
        </w:rPr>
        <w:t>odpremljeni</w:t>
      </w:r>
      <w:proofErr w:type="spellEnd"/>
      <w:r w:rsidRPr="00675F47">
        <w:rPr>
          <w:rFonts w:cs="Arial"/>
          <w:szCs w:val="20"/>
          <w:lang w:val="sl-SI" w:eastAsia="sl-SI"/>
        </w:rPr>
        <w:t xml:space="preserve"> v količini, ki presega 20 kg: </w:t>
      </w:r>
    </w:p>
    <w:p w:rsidR="00675F47" w:rsidRPr="00675F47" w:rsidRDefault="00675F47" w:rsidP="00675F47">
      <w:pPr>
        <w:numPr>
          <w:ilvl w:val="0"/>
          <w:numId w:val="7"/>
        </w:numPr>
        <w:spacing w:after="200" w:line="281" w:lineRule="auto"/>
        <w:ind w:left="426" w:hanging="426"/>
        <w:contextualSpacing/>
        <w:jc w:val="both"/>
        <w:rPr>
          <w:rFonts w:cs="Arial"/>
          <w:szCs w:val="20"/>
          <w:lang w:val="sl-SI" w:eastAsia="sl-SI"/>
        </w:rPr>
      </w:pPr>
      <w:r w:rsidRPr="00675F47">
        <w:rPr>
          <w:rFonts w:cs="Arial"/>
          <w:szCs w:val="20"/>
          <w:lang w:val="sl-SI" w:eastAsia="sl-SI"/>
        </w:rPr>
        <w:t>odpadke, navedene v prilogi III uredbe 1013/06 – t. i. zeleni seznam odpadkov (nenevarni odpadki);</w:t>
      </w:r>
    </w:p>
    <w:p w:rsidR="00675F47" w:rsidRPr="00675F47" w:rsidRDefault="00675F47" w:rsidP="00675F47">
      <w:pPr>
        <w:numPr>
          <w:ilvl w:val="0"/>
          <w:numId w:val="7"/>
        </w:numPr>
        <w:spacing w:after="200" w:line="281" w:lineRule="auto"/>
        <w:ind w:left="426" w:hanging="426"/>
        <w:contextualSpacing/>
        <w:jc w:val="both"/>
        <w:rPr>
          <w:rFonts w:cs="Arial"/>
          <w:szCs w:val="20"/>
          <w:lang w:val="sl-SI" w:eastAsia="sl-SI"/>
        </w:rPr>
      </w:pPr>
      <w:r w:rsidRPr="00675F47">
        <w:rPr>
          <w:rFonts w:cs="Arial"/>
          <w:szCs w:val="20"/>
          <w:lang w:val="sl-SI" w:eastAsia="sl-SI"/>
        </w:rPr>
        <w:t>odpadke, navedene v prilogi IIIA uredbe 1013/06 – mešanice dveh ali več vrst odpadkov, ki so na zelenem seznamu odpadkov in niso uvrščene pod klasifikacijsko številko s tega seznama;</w:t>
      </w:r>
    </w:p>
    <w:p w:rsidR="00675F47" w:rsidRPr="00675F47" w:rsidRDefault="00675F47" w:rsidP="00675F47">
      <w:pPr>
        <w:numPr>
          <w:ilvl w:val="0"/>
          <w:numId w:val="7"/>
        </w:numPr>
        <w:spacing w:after="200" w:line="281" w:lineRule="auto"/>
        <w:ind w:left="426" w:hanging="426"/>
        <w:contextualSpacing/>
        <w:jc w:val="both"/>
        <w:rPr>
          <w:rFonts w:cs="Arial"/>
          <w:szCs w:val="20"/>
          <w:lang w:val="sl-SI" w:eastAsia="sl-SI"/>
        </w:rPr>
      </w:pPr>
      <w:r w:rsidRPr="00675F47">
        <w:rPr>
          <w:rFonts w:cs="Arial"/>
          <w:szCs w:val="20"/>
          <w:lang w:val="sl-SI" w:eastAsia="sl-SI"/>
        </w:rPr>
        <w:t>odpadke, navedene v prilogi IIIB uredbe 1013/06 – dodatni odpadki na zelenem seznamu, ki čakajo na vključitev v ustrezne priloge k Baselski konvenciji ali sklepu OECD.</w:t>
      </w:r>
    </w:p>
    <w:p w:rsidR="00675F47" w:rsidRPr="00675F47" w:rsidRDefault="00675F47" w:rsidP="00675F47">
      <w:pPr>
        <w:spacing w:line="281" w:lineRule="auto"/>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Splošne zahteve po informacijah veljajo tudi za pošiljke odpadkov, za katere naj bi veljal postopek predhodne pisne prijave in soglasja, če njihova količina ne presega 25 kg in so izrecno namenjeni laboratorijski analizi, s katero se bodo ocenile njihove fizikalne ali kemične lastnosti ali določila njihova primernost za postopke predelave ali odstranjevanja.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Zaradi lažjega sledenja odpadkov, za katere velja postopek splošne zahteve po informacijah, mora pošiljko takih odpadkov spremljati dokument iz priloge VII uredbe 1013/06. Pred začetkom pošiljanja teh odpadkov mora oseba v pristojnosti države odpreme, ki pošiljanje organizira, dokument izpolniti in overiti ter zagotoviti, da ta spremlja pošiljko odpadkov do njenega prejemnika.</w:t>
      </w:r>
    </w:p>
    <w:p w:rsidR="00675F47" w:rsidRPr="00675F47" w:rsidRDefault="00675F47" w:rsidP="00675F47">
      <w:pPr>
        <w:spacing w:line="281" w:lineRule="auto"/>
        <w:contextualSpacing/>
        <w:rPr>
          <w:rFonts w:cs="Arial"/>
          <w:szCs w:val="20"/>
          <w:lang w:val="sl-SI" w:eastAsia="sl-SI"/>
        </w:rPr>
      </w:pPr>
    </w:p>
    <w:p w:rsidR="00675F47" w:rsidRPr="00675F47" w:rsidRDefault="00675F47" w:rsidP="00242143">
      <w:pPr>
        <w:pStyle w:val="Naslov1"/>
      </w:pPr>
      <w:bookmarkStart w:id="3" w:name="_Toc432074004"/>
      <w:r w:rsidRPr="00675F47">
        <w:t>Predhodna pisna prijava in soglasje</w:t>
      </w:r>
      <w:bookmarkEnd w:id="3"/>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Postopek predhodne pisne prijave in soglasja velja za pošiljke naslednjih odpadkov:</w:t>
      </w:r>
    </w:p>
    <w:p w:rsidR="00675F47" w:rsidRPr="00675F47" w:rsidRDefault="00675F47" w:rsidP="00675F47">
      <w:pPr>
        <w:numPr>
          <w:ilvl w:val="0"/>
          <w:numId w:val="8"/>
        </w:numPr>
        <w:spacing w:after="200" w:line="281" w:lineRule="auto"/>
        <w:ind w:left="426" w:hanging="426"/>
        <w:contextualSpacing/>
        <w:jc w:val="both"/>
        <w:rPr>
          <w:rFonts w:cs="Arial"/>
          <w:szCs w:val="20"/>
          <w:lang w:val="sl-SI" w:eastAsia="sl-SI"/>
        </w:rPr>
      </w:pPr>
      <w:r w:rsidRPr="00675F47">
        <w:rPr>
          <w:rFonts w:cs="Arial"/>
          <w:szCs w:val="20"/>
          <w:lang w:val="sl-SI" w:eastAsia="sl-SI"/>
        </w:rPr>
        <w:t>vse odpadke, ki so namenjeni odstranjevanju;</w:t>
      </w:r>
    </w:p>
    <w:p w:rsidR="00675F47" w:rsidRPr="00675F47" w:rsidRDefault="00675F47" w:rsidP="00675F47">
      <w:pPr>
        <w:numPr>
          <w:ilvl w:val="0"/>
          <w:numId w:val="8"/>
        </w:numPr>
        <w:spacing w:after="200" w:line="281" w:lineRule="auto"/>
        <w:ind w:left="426" w:hanging="426"/>
        <w:contextualSpacing/>
        <w:jc w:val="both"/>
        <w:rPr>
          <w:rFonts w:cs="Arial"/>
          <w:szCs w:val="20"/>
          <w:lang w:val="sl-SI" w:eastAsia="sl-SI"/>
        </w:rPr>
      </w:pPr>
      <w:r w:rsidRPr="00675F47">
        <w:rPr>
          <w:rFonts w:cs="Arial"/>
          <w:szCs w:val="20"/>
          <w:lang w:val="sl-SI" w:eastAsia="sl-SI"/>
        </w:rPr>
        <w:t>odpadke, navedene v prilogi IV uredbe 1013/06 – t. i. oranžni seznam odpadkov (nevarni odpadki);</w:t>
      </w:r>
    </w:p>
    <w:p w:rsidR="00675F47" w:rsidRPr="00675F47" w:rsidRDefault="00675F47" w:rsidP="00675F47">
      <w:pPr>
        <w:numPr>
          <w:ilvl w:val="0"/>
          <w:numId w:val="8"/>
        </w:numPr>
        <w:spacing w:after="200" w:line="281" w:lineRule="auto"/>
        <w:ind w:left="426" w:hanging="426"/>
        <w:contextualSpacing/>
        <w:jc w:val="both"/>
        <w:rPr>
          <w:rFonts w:cs="Arial"/>
          <w:szCs w:val="20"/>
          <w:lang w:val="sl-SI" w:eastAsia="sl-SI"/>
        </w:rPr>
      </w:pPr>
      <w:r w:rsidRPr="00675F47">
        <w:rPr>
          <w:rFonts w:cs="Arial"/>
          <w:szCs w:val="20"/>
          <w:lang w:val="sl-SI" w:eastAsia="sl-SI"/>
        </w:rPr>
        <w:t>odpadke, navedene v prilogi IVA uredbe 1013/06 – odpadki iz priloge III, za katere se zaradi ugotovljenih nevarnih lastnosti uporablja ta postopek;</w:t>
      </w:r>
    </w:p>
    <w:p w:rsidR="00675F47" w:rsidRPr="00675F47" w:rsidRDefault="00675F47" w:rsidP="00675F47">
      <w:pPr>
        <w:numPr>
          <w:ilvl w:val="0"/>
          <w:numId w:val="8"/>
        </w:numPr>
        <w:spacing w:after="200" w:line="281" w:lineRule="auto"/>
        <w:ind w:left="426" w:hanging="426"/>
        <w:contextualSpacing/>
        <w:jc w:val="both"/>
        <w:rPr>
          <w:rFonts w:cs="Arial"/>
          <w:szCs w:val="20"/>
          <w:lang w:val="sl-SI" w:eastAsia="sl-SI"/>
        </w:rPr>
      </w:pPr>
      <w:r w:rsidRPr="00675F47">
        <w:rPr>
          <w:rFonts w:cs="Arial"/>
          <w:szCs w:val="20"/>
          <w:lang w:val="sl-SI" w:eastAsia="sl-SI"/>
        </w:rPr>
        <w:t>odpadke, ki niso uvrščeni pod klasifikacijsko številko iz prilog III, IIIB, IV ali IVA uredbe 1013/06;</w:t>
      </w:r>
    </w:p>
    <w:p w:rsidR="00675F47" w:rsidRPr="00675F47" w:rsidRDefault="00675F47" w:rsidP="00675F47">
      <w:pPr>
        <w:numPr>
          <w:ilvl w:val="0"/>
          <w:numId w:val="8"/>
        </w:numPr>
        <w:spacing w:after="200" w:line="281" w:lineRule="auto"/>
        <w:ind w:left="426" w:hanging="426"/>
        <w:contextualSpacing/>
        <w:jc w:val="both"/>
        <w:rPr>
          <w:rFonts w:cs="Arial"/>
          <w:szCs w:val="20"/>
          <w:lang w:val="sl-SI" w:eastAsia="sl-SI"/>
        </w:rPr>
      </w:pPr>
      <w:r w:rsidRPr="00675F47">
        <w:rPr>
          <w:rFonts w:cs="Arial"/>
          <w:szCs w:val="20"/>
          <w:lang w:val="sl-SI" w:eastAsia="sl-SI"/>
        </w:rPr>
        <w:t>mešanice odpadkov, ki niso uvrščene pod klasifikacijsko številko iz prilog III, IIIB, IV ali IVA, razen če so navedene v prilogi IIIA uredbe 1013/06.</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highlight w:val="yellow"/>
          <w:lang w:val="sl-SI" w:eastAsia="sl-SI"/>
        </w:rPr>
      </w:pPr>
      <w:r w:rsidRPr="00675F47">
        <w:rPr>
          <w:rFonts w:cs="Arial"/>
          <w:szCs w:val="20"/>
          <w:lang w:val="sl-SI" w:eastAsia="sl-SI"/>
        </w:rPr>
        <w:t>Postopek predhodne pisne prijave in soglasja se uporablja tudi za izvozne pošiljke odpadkov iz priloge III uredbe 1013/06, kadar se za ta postopek odloči ciljna država, za katero se sklep OECD ne uporablja. To velja tudi za izvoz odpadkov, navedenih v prilogi IIIA, ter vseh mešanih odpadkov, ki niso navedeni niti v prilogi III niti IIIA uredbe 1013/06.</w:t>
      </w:r>
    </w:p>
    <w:p w:rsidR="00675F47" w:rsidRPr="00675F47" w:rsidRDefault="00675F47" w:rsidP="00675F47">
      <w:pPr>
        <w:spacing w:line="281" w:lineRule="auto"/>
        <w:jc w:val="both"/>
        <w:rPr>
          <w:rFonts w:cs="Arial"/>
          <w:szCs w:val="20"/>
          <w:highlight w:val="yellow"/>
          <w:lang w:val="sl-SI" w:eastAsia="sl-SI"/>
        </w:rPr>
      </w:pPr>
    </w:p>
    <w:p w:rsidR="00675F47" w:rsidRPr="00675F47" w:rsidRDefault="00675F47" w:rsidP="00675F47">
      <w:pPr>
        <w:spacing w:line="281" w:lineRule="auto"/>
        <w:jc w:val="both"/>
        <w:rPr>
          <w:rFonts w:cs="Arial"/>
          <w:szCs w:val="20"/>
          <w:highlight w:val="yellow"/>
          <w:lang w:val="sl-SI" w:eastAsia="sl-SI"/>
        </w:rPr>
      </w:pPr>
      <w:r w:rsidRPr="00675F47">
        <w:rPr>
          <w:rFonts w:cs="Arial"/>
          <w:szCs w:val="20"/>
          <w:lang w:val="sl-SI" w:eastAsia="sl-SI"/>
        </w:rPr>
        <w:t xml:space="preserve">Pred začetkom pošiljanja tovrstnih pošiljk odpadkov je treba Agenciji RS za okolje predložiti pisno prijavo. Prijava se izvede s prijavnim dokumentom iz priloge IA in transportnim dokumentom iz priloge IB uredbe 1013/06.  </w:t>
      </w:r>
    </w:p>
    <w:p w:rsidR="00675F47" w:rsidRPr="00675F47" w:rsidRDefault="00675F47" w:rsidP="00675F47">
      <w:pPr>
        <w:spacing w:line="281" w:lineRule="auto"/>
        <w:jc w:val="both"/>
        <w:rPr>
          <w:rFonts w:cs="Arial"/>
          <w:szCs w:val="20"/>
          <w:highlight w:val="yellow"/>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Pošiljanje predvidene pošiljke odpadkov se lahko začne, ko prijavitelj ustrezno izpolni transportni dokument na podlagi prejetih soglasij pristojnih organov države odpreme, ciljne države in tranzitnih držav.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Ustrezno izpolnjen izvod transportnega dokumenta in izvodi prijavnega dokumenta, ki vsebujejo soglasja zadevnih pristojnih organov, morajo spremljati vsak prevoz odpadkov.</w:t>
      </w:r>
    </w:p>
    <w:p w:rsidR="00675F47" w:rsidRPr="00675F47" w:rsidRDefault="00675F47" w:rsidP="00675F47">
      <w:pPr>
        <w:keepNext/>
        <w:spacing w:line="281" w:lineRule="auto"/>
        <w:jc w:val="both"/>
        <w:outlineLvl w:val="0"/>
        <w:rPr>
          <w:rFonts w:cs="Arial"/>
          <w:b/>
          <w:kern w:val="32"/>
          <w:sz w:val="24"/>
          <w:lang w:val="sl-SI" w:eastAsia="sl-SI"/>
        </w:rPr>
      </w:pPr>
      <w:bookmarkStart w:id="4" w:name="_Toc280788017"/>
    </w:p>
    <w:p w:rsidR="00675F47" w:rsidRPr="00675F47" w:rsidRDefault="00675F47" w:rsidP="00675F47">
      <w:pPr>
        <w:keepNext/>
        <w:spacing w:line="281" w:lineRule="auto"/>
        <w:jc w:val="both"/>
        <w:outlineLvl w:val="0"/>
        <w:rPr>
          <w:rFonts w:cs="Arial"/>
          <w:kern w:val="32"/>
          <w:szCs w:val="20"/>
          <w:lang w:val="sl-SI" w:eastAsia="sl-SI"/>
        </w:rPr>
      </w:pPr>
      <w:bookmarkStart w:id="5" w:name="_Toc432073934"/>
      <w:bookmarkStart w:id="6" w:name="_Toc432074005"/>
      <w:r w:rsidRPr="00675F47">
        <w:rPr>
          <w:rFonts w:cs="Arial"/>
          <w:kern w:val="32"/>
          <w:szCs w:val="20"/>
          <w:lang w:val="sl-SI" w:eastAsia="sl-SI"/>
        </w:rPr>
        <w:t>Prej omenjena postopka pošiljanja odpadkov preko meja se glede na carinski postopek in vrsto obdelave uporabljata, kot sledi v nadaljevanju.</w:t>
      </w:r>
      <w:bookmarkEnd w:id="5"/>
      <w:bookmarkEnd w:id="6"/>
      <w:r w:rsidRPr="00675F47">
        <w:rPr>
          <w:rFonts w:cs="Arial"/>
          <w:kern w:val="32"/>
          <w:szCs w:val="20"/>
          <w:lang w:val="sl-SI" w:eastAsia="sl-SI"/>
        </w:rPr>
        <w:t xml:space="preserve"> </w:t>
      </w:r>
    </w:p>
    <w:p w:rsidR="00675F47" w:rsidRPr="00675F47" w:rsidRDefault="00675F47" w:rsidP="00675F47">
      <w:pPr>
        <w:keepNext/>
        <w:tabs>
          <w:tab w:val="num" w:pos="1288"/>
        </w:tabs>
        <w:spacing w:line="281" w:lineRule="auto"/>
        <w:jc w:val="both"/>
        <w:outlineLvl w:val="0"/>
        <w:rPr>
          <w:rFonts w:cs="Arial"/>
          <w:kern w:val="32"/>
          <w:szCs w:val="20"/>
          <w:lang w:val="sl-SI" w:eastAsia="sl-SI"/>
        </w:rPr>
      </w:pPr>
    </w:p>
    <w:p w:rsidR="00675F47" w:rsidRPr="00224B53" w:rsidRDefault="00224B53" w:rsidP="00224B53">
      <w:pPr>
        <w:pStyle w:val="Naslov"/>
        <w:numPr>
          <w:ilvl w:val="0"/>
          <w:numId w:val="13"/>
        </w:numPr>
        <w:ind w:left="567" w:hanging="567"/>
        <w:jc w:val="left"/>
        <w:rPr>
          <w:rFonts w:ascii="Arial" w:hAnsi="Arial" w:cs="Arial"/>
          <w:sz w:val="24"/>
          <w:szCs w:val="24"/>
          <w:lang w:val="sl-SI" w:eastAsia="sl-SI"/>
        </w:rPr>
      </w:pPr>
      <w:bookmarkStart w:id="7" w:name="_Toc432074006"/>
      <w:r w:rsidRPr="00224B53">
        <w:rPr>
          <w:rFonts w:ascii="Arial" w:hAnsi="Arial" w:cs="Arial"/>
          <w:sz w:val="24"/>
          <w:szCs w:val="24"/>
          <w:lang w:val="sl-SI" w:eastAsia="sl-SI"/>
        </w:rPr>
        <w:t>IZVOZ</w:t>
      </w:r>
      <w:bookmarkEnd w:id="4"/>
      <w:bookmarkEnd w:id="7"/>
    </w:p>
    <w:p w:rsidR="00224B53" w:rsidRPr="00675F47" w:rsidRDefault="00224B53" w:rsidP="00675F47">
      <w:pPr>
        <w:keepNext/>
        <w:tabs>
          <w:tab w:val="num" w:pos="1288"/>
        </w:tabs>
        <w:spacing w:line="281" w:lineRule="auto"/>
        <w:jc w:val="both"/>
        <w:outlineLvl w:val="0"/>
        <w:rPr>
          <w:rFonts w:cs="Arial"/>
          <w:kern w:val="32"/>
          <w:sz w:val="24"/>
          <w:lang w:val="sl-SI" w:eastAsia="sl-SI"/>
        </w:rPr>
      </w:pPr>
    </w:p>
    <w:p w:rsidR="00675F47" w:rsidRPr="00675F47" w:rsidRDefault="00675F47" w:rsidP="00675F47">
      <w:pPr>
        <w:keepNext/>
        <w:tabs>
          <w:tab w:val="num" w:pos="1288"/>
        </w:tabs>
        <w:spacing w:line="281" w:lineRule="auto"/>
        <w:jc w:val="both"/>
        <w:outlineLvl w:val="0"/>
        <w:rPr>
          <w:rFonts w:cs="Arial"/>
          <w:kern w:val="32"/>
          <w:szCs w:val="20"/>
          <w:lang w:val="sl-SI" w:eastAsia="sl-SI"/>
        </w:rPr>
      </w:pPr>
      <w:bookmarkStart w:id="8" w:name="_Toc432073936"/>
      <w:bookmarkStart w:id="9" w:name="_Toc432074007"/>
      <w:r w:rsidRPr="00675F47">
        <w:rPr>
          <w:rFonts w:cs="Arial"/>
          <w:kern w:val="32"/>
          <w:szCs w:val="20"/>
          <w:lang w:val="sl-SI" w:eastAsia="sl-SI"/>
        </w:rPr>
        <w:t>Izvoz pomeni dejanje, ko odpadki zapustijo EU, brez upoštevanja tranzita preko carinskega območja EU.</w:t>
      </w:r>
      <w:bookmarkEnd w:id="8"/>
      <w:bookmarkEnd w:id="9"/>
    </w:p>
    <w:p w:rsidR="00675F47" w:rsidRPr="00675F47" w:rsidRDefault="00675F47" w:rsidP="00675F47">
      <w:pPr>
        <w:keepNext/>
        <w:tabs>
          <w:tab w:val="num" w:pos="1288"/>
        </w:tabs>
        <w:spacing w:line="281" w:lineRule="auto"/>
        <w:jc w:val="both"/>
        <w:outlineLvl w:val="0"/>
        <w:rPr>
          <w:rFonts w:cs="Arial"/>
          <w:kern w:val="32"/>
          <w:sz w:val="24"/>
          <w:lang w:val="sl-SI" w:eastAsia="sl-SI"/>
        </w:rPr>
      </w:pPr>
    </w:p>
    <w:p w:rsidR="00675F47" w:rsidRPr="00224B53" w:rsidRDefault="00675F47" w:rsidP="00242143">
      <w:pPr>
        <w:pStyle w:val="Naslov1"/>
      </w:pPr>
      <w:bookmarkStart w:id="10" w:name="_Toc432074008"/>
      <w:r w:rsidRPr="00675F47">
        <w:t>Odstranjevanje</w:t>
      </w:r>
      <w:bookmarkEnd w:id="10"/>
    </w:p>
    <w:p w:rsidR="00224B53" w:rsidRPr="00675F47" w:rsidRDefault="00224B53" w:rsidP="00675F47">
      <w:pPr>
        <w:spacing w:line="281" w:lineRule="auto"/>
        <w:jc w:val="both"/>
        <w:rPr>
          <w:rFonts w:cs="Arial"/>
          <w:szCs w:val="20"/>
          <w:u w:val="single"/>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Izvoz vseh odpadkov na postopke odstranjevanja razen v države EFTE</w:t>
      </w:r>
      <w:r w:rsidRPr="00675F47">
        <w:rPr>
          <w:rFonts w:cs="Arial"/>
          <w:szCs w:val="20"/>
          <w:vertAlign w:val="superscript"/>
          <w:lang w:val="sl-SI" w:eastAsia="sl-SI"/>
        </w:rPr>
        <w:footnoteReference w:id="1"/>
      </w:r>
      <w:r w:rsidRPr="00675F47">
        <w:rPr>
          <w:rFonts w:cs="Arial"/>
          <w:szCs w:val="20"/>
          <w:lang w:val="sl-SI" w:eastAsia="sl-SI"/>
        </w:rPr>
        <w:t xml:space="preserve"> je prepovedan. Izvoz v te države je mogoč na podlagi postopka predhodne pisne prijave in soglasja.</w:t>
      </w:r>
    </w:p>
    <w:p w:rsidR="00675F47" w:rsidRPr="00675F47" w:rsidRDefault="00675F47" w:rsidP="00675F47">
      <w:pPr>
        <w:spacing w:line="281" w:lineRule="auto"/>
        <w:jc w:val="both"/>
        <w:rPr>
          <w:rFonts w:cs="Arial"/>
          <w:szCs w:val="20"/>
          <w:lang w:val="sl-SI" w:eastAsia="sl-SI"/>
        </w:rPr>
      </w:pPr>
    </w:p>
    <w:p w:rsidR="00675F47" w:rsidRPr="00224B53" w:rsidRDefault="00675F47" w:rsidP="00242143">
      <w:pPr>
        <w:pStyle w:val="Naslov1"/>
      </w:pPr>
      <w:bookmarkStart w:id="11" w:name="_Toc432074009"/>
      <w:r w:rsidRPr="00675F47">
        <w:t>Predelava</w:t>
      </w:r>
      <w:bookmarkEnd w:id="11"/>
    </w:p>
    <w:p w:rsidR="00224B53" w:rsidRPr="00675F47" w:rsidRDefault="00224B53" w:rsidP="00675F47">
      <w:pPr>
        <w:spacing w:line="281" w:lineRule="auto"/>
        <w:jc w:val="both"/>
        <w:rPr>
          <w:rFonts w:cs="Arial"/>
          <w:szCs w:val="20"/>
          <w:u w:val="single"/>
          <w:lang w:val="sl-SI" w:eastAsia="sl-SI"/>
        </w:rPr>
      </w:pPr>
    </w:p>
    <w:p w:rsidR="00224B53" w:rsidRPr="00675F47" w:rsidRDefault="00675F47" w:rsidP="00675F47">
      <w:pPr>
        <w:spacing w:line="281" w:lineRule="auto"/>
        <w:jc w:val="both"/>
        <w:rPr>
          <w:rFonts w:cs="Arial"/>
          <w:i/>
          <w:szCs w:val="20"/>
          <w:lang w:val="sl-SI" w:eastAsia="sl-SI"/>
        </w:rPr>
      </w:pPr>
      <w:r w:rsidRPr="00675F47">
        <w:rPr>
          <w:rFonts w:cs="Arial"/>
          <w:i/>
          <w:szCs w:val="20"/>
          <w:lang w:val="sl-SI" w:eastAsia="sl-SI"/>
        </w:rPr>
        <w:t>Države, za katere se sklep OECD ne uporablja</w:t>
      </w: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Za te države je izvoz na predelavo odpadkov, ki so v prilogi V uredbe 1013/06 opredeljeni kot nevarni, prepovedan.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Pri izvozu odpadkov iz priloge IV uredbe 1013/06 se uporablja postopek predhodne pisne prijave in soglasja.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Postopek izvoza odpadkov iz priloge III in IIIA uredbe 1013/06 je odvisen od posamezne ciljne države, saj se te države lahko odločijo za enega naslednjih postopkov:</w:t>
      </w:r>
    </w:p>
    <w:p w:rsidR="00675F47" w:rsidRPr="00675F47" w:rsidRDefault="00675F47" w:rsidP="00675F47">
      <w:pPr>
        <w:numPr>
          <w:ilvl w:val="0"/>
          <w:numId w:val="10"/>
        </w:numPr>
        <w:spacing w:after="200" w:line="281" w:lineRule="auto"/>
        <w:ind w:left="426" w:hanging="426"/>
        <w:contextualSpacing/>
        <w:jc w:val="both"/>
        <w:rPr>
          <w:rFonts w:cs="Arial"/>
          <w:szCs w:val="20"/>
          <w:lang w:val="sl-SI" w:eastAsia="sl-SI"/>
        </w:rPr>
      </w:pPr>
      <w:r w:rsidRPr="00675F47">
        <w:rPr>
          <w:rFonts w:cs="Arial"/>
          <w:szCs w:val="20"/>
          <w:lang w:val="sl-SI" w:eastAsia="sl-SI"/>
        </w:rPr>
        <w:t>prepoved uvoza,</w:t>
      </w:r>
    </w:p>
    <w:p w:rsidR="00675F47" w:rsidRPr="00675F47" w:rsidRDefault="00675F47" w:rsidP="00675F47">
      <w:pPr>
        <w:numPr>
          <w:ilvl w:val="0"/>
          <w:numId w:val="10"/>
        </w:numPr>
        <w:spacing w:after="200" w:line="281" w:lineRule="auto"/>
        <w:ind w:left="426" w:hanging="426"/>
        <w:contextualSpacing/>
        <w:jc w:val="both"/>
        <w:rPr>
          <w:rFonts w:cs="Arial"/>
          <w:szCs w:val="20"/>
          <w:lang w:val="sl-SI" w:eastAsia="sl-SI"/>
        </w:rPr>
      </w:pPr>
      <w:r w:rsidRPr="00675F47">
        <w:rPr>
          <w:rFonts w:cs="Arial"/>
          <w:szCs w:val="20"/>
          <w:lang w:val="sl-SI" w:eastAsia="sl-SI"/>
        </w:rPr>
        <w:t>postopek predhodne pisne prijave in soglasja,</w:t>
      </w:r>
    </w:p>
    <w:p w:rsidR="00675F47" w:rsidRPr="00675F47" w:rsidRDefault="00675F47" w:rsidP="00675F47">
      <w:pPr>
        <w:numPr>
          <w:ilvl w:val="0"/>
          <w:numId w:val="10"/>
        </w:numPr>
        <w:spacing w:after="200" w:line="281" w:lineRule="auto"/>
        <w:ind w:left="426" w:hanging="426"/>
        <w:contextualSpacing/>
        <w:jc w:val="both"/>
        <w:rPr>
          <w:rFonts w:cs="Arial"/>
          <w:szCs w:val="20"/>
          <w:lang w:val="sl-SI" w:eastAsia="sl-SI"/>
        </w:rPr>
      </w:pPr>
      <w:r w:rsidRPr="00675F47">
        <w:rPr>
          <w:rFonts w:cs="Arial"/>
          <w:szCs w:val="20"/>
          <w:lang w:val="sl-SI" w:eastAsia="sl-SI"/>
        </w:rPr>
        <w:t>brez izvedbe kontrole pri uvozu (čeprav ciljna država ob uvozu ne izvaja nobenega od predhodno navedenih postopkov, se pri izvozu iz EU uporablja postopek splošne zahteve po informacijah).</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Odločitve držav in s tem postopek, ki se uporablja glede na posamezno klasifikacijsko številko odpadka, je opredeljen v prilogi uredbe 1418/07. Za države, ki se niso odločile za enega od mogočih postopkov in v tej prilogi niso navedene, se uporablja postopek predhodne pisne prijave in soglasja.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i/>
          <w:szCs w:val="20"/>
          <w:lang w:val="sl-SI" w:eastAsia="sl-SI"/>
        </w:rPr>
      </w:pPr>
      <w:r w:rsidRPr="00675F47">
        <w:rPr>
          <w:rFonts w:cs="Arial"/>
          <w:i/>
          <w:szCs w:val="20"/>
          <w:lang w:val="sl-SI" w:eastAsia="sl-SI"/>
        </w:rPr>
        <w:t>Države, za katere se uporablja sklep OECD</w:t>
      </w:r>
      <w:r w:rsidRPr="00675F47">
        <w:rPr>
          <w:rFonts w:cs="Arial"/>
          <w:i/>
          <w:szCs w:val="20"/>
          <w:vertAlign w:val="superscript"/>
          <w:lang w:val="sl-SI" w:eastAsia="sl-SI"/>
        </w:rPr>
        <w:footnoteReference w:id="2"/>
      </w: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Pri izvozu odpadkov iz priloge III uredbe 1013/06 v te države se uporablja postopek splošne zahteve po informacijah.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Za pošiljke odpadkov iz priloge IIIA uredbe 1013/06, ki so namenjeni na vmesne postopke predelave (R12, R13), vendar ti postopki ne bodo potekali v državah članicah OECD, je potreben postopek predhodne pisne prijave in soglasja.</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Pri izvozu odpadkov iz priloge IV uredbe 1013/06 se uporablja postopek predhodne pisne prijave in soglasja. </w:t>
      </w:r>
    </w:p>
    <w:p w:rsidR="00675F47" w:rsidRPr="00675F47" w:rsidRDefault="00675F47" w:rsidP="00675F47">
      <w:pPr>
        <w:spacing w:line="281" w:lineRule="auto"/>
        <w:jc w:val="both"/>
        <w:rPr>
          <w:rFonts w:cs="Arial"/>
          <w:szCs w:val="20"/>
          <w:lang w:val="sl-SI" w:eastAsia="sl-SI"/>
        </w:rPr>
      </w:pPr>
    </w:p>
    <w:p w:rsidR="00675F47" w:rsidRPr="00CE15DF" w:rsidRDefault="00675F47" w:rsidP="00242143">
      <w:pPr>
        <w:pStyle w:val="Naslov1"/>
      </w:pPr>
      <w:bookmarkStart w:id="12" w:name="_Toc432074010"/>
      <w:r w:rsidRPr="00675F47">
        <w:t>Izjeme</w:t>
      </w:r>
      <w:bookmarkEnd w:id="12"/>
    </w:p>
    <w:p w:rsidR="00CE15DF" w:rsidRPr="00675F47" w:rsidRDefault="00CE15DF" w:rsidP="00675F47">
      <w:pPr>
        <w:spacing w:line="281" w:lineRule="auto"/>
        <w:jc w:val="both"/>
        <w:rPr>
          <w:rFonts w:cs="Arial"/>
          <w:szCs w:val="20"/>
          <w:u w:val="single"/>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Izvoz vseh odpadkov na Antarktiko zaradi odstranjevanja in predelave je prepovedan. </w:t>
      </w:r>
    </w:p>
    <w:p w:rsidR="00675F47" w:rsidRPr="00675F47" w:rsidRDefault="00675F47" w:rsidP="00675F47">
      <w:pPr>
        <w:keepNext/>
        <w:tabs>
          <w:tab w:val="num" w:pos="1288"/>
        </w:tabs>
        <w:spacing w:line="281" w:lineRule="auto"/>
        <w:outlineLvl w:val="0"/>
        <w:rPr>
          <w:rFonts w:cs="Arial"/>
          <w:i/>
          <w:kern w:val="32"/>
          <w:sz w:val="24"/>
          <w:lang w:val="sl-SI" w:eastAsia="sl-SI"/>
        </w:rPr>
      </w:pPr>
      <w:bookmarkStart w:id="13" w:name="_Toc280788018"/>
    </w:p>
    <w:p w:rsidR="00675F47" w:rsidRPr="00224B53" w:rsidRDefault="00675F47" w:rsidP="00224B53">
      <w:pPr>
        <w:pStyle w:val="Naslov"/>
        <w:numPr>
          <w:ilvl w:val="0"/>
          <w:numId w:val="13"/>
        </w:numPr>
        <w:ind w:left="567" w:hanging="567"/>
        <w:jc w:val="left"/>
        <w:rPr>
          <w:rFonts w:ascii="Arial" w:hAnsi="Arial" w:cs="Arial"/>
          <w:sz w:val="24"/>
          <w:szCs w:val="24"/>
          <w:lang w:val="sl-SI" w:eastAsia="sl-SI"/>
        </w:rPr>
      </w:pPr>
      <w:bookmarkStart w:id="14" w:name="_Toc432074011"/>
      <w:r w:rsidRPr="00224B53">
        <w:rPr>
          <w:rFonts w:ascii="Arial" w:hAnsi="Arial" w:cs="Arial"/>
          <w:sz w:val="24"/>
          <w:szCs w:val="24"/>
          <w:lang w:val="sl-SI" w:eastAsia="sl-SI"/>
        </w:rPr>
        <w:t>U</w:t>
      </w:r>
      <w:bookmarkEnd w:id="13"/>
      <w:r w:rsidR="00224B53">
        <w:rPr>
          <w:rFonts w:ascii="Arial" w:hAnsi="Arial" w:cs="Arial"/>
          <w:sz w:val="24"/>
          <w:szCs w:val="24"/>
          <w:lang w:val="sl-SI" w:eastAsia="sl-SI"/>
        </w:rPr>
        <w:t>VOZ</w:t>
      </w:r>
      <w:bookmarkEnd w:id="14"/>
    </w:p>
    <w:p w:rsidR="00224B53" w:rsidRPr="00675F47" w:rsidRDefault="00224B53" w:rsidP="00675F47">
      <w:pPr>
        <w:keepNext/>
        <w:tabs>
          <w:tab w:val="num" w:pos="1288"/>
        </w:tabs>
        <w:spacing w:line="281" w:lineRule="auto"/>
        <w:outlineLvl w:val="0"/>
        <w:rPr>
          <w:rFonts w:cs="Arial"/>
          <w:kern w:val="32"/>
          <w:sz w:val="24"/>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Uvoz pomeni vsak vstop odpadkov v EU, brez namena uporabe tranzita skozi EU.</w:t>
      </w:r>
    </w:p>
    <w:p w:rsidR="00675F47" w:rsidRPr="00675F47" w:rsidRDefault="00675F47" w:rsidP="00675F47">
      <w:pPr>
        <w:spacing w:line="281" w:lineRule="auto"/>
        <w:jc w:val="both"/>
        <w:rPr>
          <w:rFonts w:cs="Arial"/>
          <w:szCs w:val="20"/>
          <w:lang w:val="sl-SI" w:eastAsia="sl-SI"/>
        </w:rPr>
      </w:pPr>
    </w:p>
    <w:p w:rsidR="00675F47" w:rsidRPr="00224B53" w:rsidRDefault="00675F47" w:rsidP="00242143">
      <w:pPr>
        <w:pStyle w:val="Naslov1"/>
      </w:pPr>
      <w:bookmarkStart w:id="15" w:name="_Toc432074012"/>
      <w:r w:rsidRPr="00675F47">
        <w:t>Odstranjevanje</w:t>
      </w:r>
      <w:bookmarkEnd w:id="15"/>
    </w:p>
    <w:p w:rsidR="00224B53" w:rsidRPr="00675F47" w:rsidRDefault="00224B53" w:rsidP="00675F47">
      <w:pPr>
        <w:spacing w:line="281" w:lineRule="auto"/>
        <w:jc w:val="both"/>
        <w:rPr>
          <w:rFonts w:cs="Arial"/>
          <w:szCs w:val="20"/>
          <w:u w:val="single"/>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Uvoz vseh odpadkov na postopke odstranjevanja je prepovedan, razen iz </w:t>
      </w:r>
      <w:hyperlink r:id="rId12" w:history="1">
        <w:r w:rsidRPr="00675F47">
          <w:rPr>
            <w:rFonts w:cs="Arial"/>
            <w:color w:val="0000FF"/>
            <w:szCs w:val="20"/>
            <w:u w:val="single"/>
            <w:lang w:val="sl-SI" w:eastAsia="sl-SI"/>
          </w:rPr>
          <w:t>držav pogodbenic Baselske konvencije</w:t>
        </w:r>
      </w:hyperlink>
      <w:r w:rsidRPr="00675F47">
        <w:rPr>
          <w:rFonts w:cs="Arial"/>
          <w:szCs w:val="20"/>
          <w:lang w:val="sl-SI" w:eastAsia="sl-SI"/>
        </w:rPr>
        <w:t xml:space="preserve"> oziroma iz tistih držav, s katerimi je bil sklenjen poseben sporazum, ali iz drugih držav oziroma območij v kriznih ali vojnih razmerah. Omenjeni uvoz je mogoč na podlagi postopka predhodne pisne prijave in soglasja. </w:t>
      </w:r>
    </w:p>
    <w:p w:rsidR="00675F47" w:rsidRPr="00675F47" w:rsidRDefault="00675F47" w:rsidP="00675F47">
      <w:pPr>
        <w:spacing w:line="281" w:lineRule="auto"/>
        <w:jc w:val="both"/>
        <w:rPr>
          <w:rFonts w:cs="Arial"/>
          <w:szCs w:val="20"/>
          <w:lang w:val="sl-SI" w:eastAsia="sl-SI"/>
        </w:rPr>
      </w:pPr>
    </w:p>
    <w:p w:rsidR="00675F47" w:rsidRPr="00224B53" w:rsidRDefault="00675F47" w:rsidP="00242143">
      <w:pPr>
        <w:pStyle w:val="Naslov1"/>
      </w:pPr>
      <w:bookmarkStart w:id="16" w:name="_Toc432074013"/>
      <w:r w:rsidRPr="00675F47">
        <w:t>Predelava</w:t>
      </w:r>
      <w:bookmarkEnd w:id="16"/>
    </w:p>
    <w:p w:rsidR="00224B53" w:rsidRPr="00675F47" w:rsidRDefault="00224B53" w:rsidP="00675F47">
      <w:pPr>
        <w:spacing w:line="281" w:lineRule="auto"/>
        <w:jc w:val="both"/>
        <w:rPr>
          <w:rFonts w:cs="Arial"/>
          <w:szCs w:val="20"/>
          <w:u w:val="single"/>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Uvoz vseh odpadkov na postopke predelave je prepovedan, razen iz držav, za katere se uporablja sklep OECD, držav pogodbenic Baselske konvencije oziroma držav, s katerimi je bil sklenjen poseben sporazum, ali iz drugih držav oziroma območij v kriznih ali vojnih razmerah.</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Pri uvozu odpadkov iz prilog III in IIIA uredbe 1013/06 se uporablja postopek splošne zahteve po informacijah, medtem, ko je uvoz odpadkov iz priloge IV iste uredbe mogoč na podlagi postopka predhodne pisne prijave in soglasja.</w:t>
      </w:r>
    </w:p>
    <w:p w:rsidR="00675F47" w:rsidRDefault="00675F47" w:rsidP="00675F47">
      <w:pPr>
        <w:spacing w:line="281" w:lineRule="auto"/>
        <w:jc w:val="both"/>
        <w:rPr>
          <w:rFonts w:cs="Arial"/>
          <w:szCs w:val="20"/>
          <w:lang w:val="sl-SI" w:eastAsia="sl-SI"/>
        </w:rPr>
      </w:pPr>
    </w:p>
    <w:p w:rsidR="00CE15DF" w:rsidRDefault="00CE15DF" w:rsidP="00675F47">
      <w:pPr>
        <w:spacing w:line="281" w:lineRule="auto"/>
        <w:jc w:val="both"/>
        <w:rPr>
          <w:rFonts w:cs="Arial"/>
          <w:szCs w:val="20"/>
          <w:lang w:val="sl-SI" w:eastAsia="sl-SI"/>
        </w:rPr>
      </w:pPr>
    </w:p>
    <w:p w:rsidR="00CE15DF" w:rsidRPr="00675F47" w:rsidRDefault="00CE15DF" w:rsidP="00675F47">
      <w:pPr>
        <w:spacing w:line="281" w:lineRule="auto"/>
        <w:jc w:val="both"/>
        <w:rPr>
          <w:rFonts w:cs="Arial"/>
          <w:szCs w:val="20"/>
          <w:lang w:val="sl-SI" w:eastAsia="sl-SI"/>
        </w:rPr>
      </w:pPr>
    </w:p>
    <w:p w:rsidR="00675F47" w:rsidRPr="00CE15DF" w:rsidRDefault="00CE15DF" w:rsidP="00CE15DF">
      <w:pPr>
        <w:pStyle w:val="Naslov"/>
        <w:numPr>
          <w:ilvl w:val="0"/>
          <w:numId w:val="13"/>
        </w:numPr>
        <w:ind w:left="567" w:hanging="567"/>
        <w:jc w:val="left"/>
        <w:rPr>
          <w:rFonts w:ascii="Arial" w:hAnsi="Arial" w:cs="Arial"/>
          <w:sz w:val="24"/>
          <w:szCs w:val="24"/>
          <w:lang w:val="sl-SI" w:eastAsia="sl-SI"/>
        </w:rPr>
      </w:pPr>
      <w:bookmarkStart w:id="17" w:name="_Toc280788019"/>
      <w:bookmarkStart w:id="18" w:name="_Toc432074014"/>
      <w:bookmarkStart w:id="19" w:name="_GoBack"/>
      <w:bookmarkEnd w:id="19"/>
      <w:r w:rsidRPr="00CE15DF">
        <w:rPr>
          <w:rFonts w:ascii="Arial" w:hAnsi="Arial" w:cs="Arial"/>
          <w:sz w:val="24"/>
          <w:szCs w:val="24"/>
          <w:lang w:val="sl-SI" w:eastAsia="sl-SI"/>
        </w:rPr>
        <w:lastRenderedPageBreak/>
        <w:t>TRANZIT</w:t>
      </w:r>
      <w:bookmarkEnd w:id="17"/>
      <w:bookmarkEnd w:id="18"/>
    </w:p>
    <w:p w:rsidR="00224B53" w:rsidRPr="00675F47" w:rsidRDefault="00224B53" w:rsidP="00675F47">
      <w:pPr>
        <w:keepNext/>
        <w:tabs>
          <w:tab w:val="num" w:pos="1288"/>
        </w:tabs>
        <w:spacing w:line="281" w:lineRule="auto"/>
        <w:outlineLvl w:val="0"/>
        <w:rPr>
          <w:rFonts w:cs="Arial"/>
          <w:i/>
          <w:kern w:val="32"/>
          <w:sz w:val="24"/>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Tranzit pomeni pošiljanje odpadkov čez območje Evropske unije, iz ene tretje države v drugo tretjo državo.</w:t>
      </w:r>
    </w:p>
    <w:p w:rsidR="00675F47" w:rsidRPr="00675F47" w:rsidRDefault="00675F47" w:rsidP="00675F47">
      <w:pPr>
        <w:spacing w:line="281" w:lineRule="auto"/>
        <w:jc w:val="both"/>
        <w:rPr>
          <w:rFonts w:cs="Arial"/>
          <w:szCs w:val="20"/>
          <w:lang w:val="sl-SI" w:eastAsia="sl-SI"/>
        </w:rPr>
      </w:pPr>
    </w:p>
    <w:p w:rsidR="00675F47" w:rsidRPr="00CE15DF" w:rsidRDefault="00675F47" w:rsidP="00242143">
      <w:pPr>
        <w:pStyle w:val="Naslov1"/>
      </w:pPr>
      <w:bookmarkStart w:id="20" w:name="_Toc432074015"/>
      <w:r w:rsidRPr="00675F47">
        <w:t>Odstranjevanje</w:t>
      </w:r>
      <w:bookmarkEnd w:id="20"/>
    </w:p>
    <w:p w:rsidR="00CE15DF" w:rsidRPr="00675F47" w:rsidRDefault="00CE15DF" w:rsidP="00675F47">
      <w:pPr>
        <w:spacing w:line="281" w:lineRule="auto"/>
        <w:jc w:val="both"/>
        <w:rPr>
          <w:rFonts w:cs="Arial"/>
          <w:szCs w:val="20"/>
          <w:u w:val="single"/>
          <w:lang w:val="sl-SI" w:eastAsia="sl-SI"/>
        </w:rPr>
      </w:pP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Pri tranzitu vseh odpadkov se uporablja postopek predhodne pisne prijave in soglasja. </w:t>
      </w:r>
    </w:p>
    <w:p w:rsidR="00675F47" w:rsidRPr="00675F47" w:rsidRDefault="00675F47" w:rsidP="00675F47">
      <w:pPr>
        <w:spacing w:line="281" w:lineRule="auto"/>
        <w:jc w:val="both"/>
        <w:rPr>
          <w:rFonts w:cs="Arial"/>
          <w:szCs w:val="20"/>
          <w:lang w:val="sl-SI" w:eastAsia="sl-SI"/>
        </w:rPr>
      </w:pPr>
    </w:p>
    <w:p w:rsidR="00675F47" w:rsidRPr="00CE15DF" w:rsidRDefault="00675F47" w:rsidP="00242143">
      <w:pPr>
        <w:pStyle w:val="Naslov1"/>
      </w:pPr>
      <w:bookmarkStart w:id="21" w:name="_Toc432074016"/>
      <w:r w:rsidRPr="00675F47">
        <w:t>Predelava</w:t>
      </w:r>
      <w:bookmarkEnd w:id="21"/>
    </w:p>
    <w:p w:rsidR="00CE15DF" w:rsidRPr="00675F47" w:rsidRDefault="00CE15DF" w:rsidP="00675F47">
      <w:pPr>
        <w:spacing w:line="281" w:lineRule="auto"/>
        <w:jc w:val="both"/>
        <w:rPr>
          <w:rFonts w:cs="Arial"/>
          <w:szCs w:val="20"/>
          <w:u w:val="single"/>
          <w:lang w:val="sl-SI" w:eastAsia="sl-SI"/>
        </w:rPr>
      </w:pPr>
    </w:p>
    <w:p w:rsidR="00675F47" w:rsidRPr="00675F47" w:rsidRDefault="00675F47" w:rsidP="00675F47">
      <w:pPr>
        <w:spacing w:line="281" w:lineRule="auto"/>
        <w:jc w:val="both"/>
        <w:rPr>
          <w:rFonts w:cs="Arial"/>
          <w:i/>
          <w:szCs w:val="20"/>
          <w:lang w:val="sl-SI" w:eastAsia="sl-SI"/>
        </w:rPr>
      </w:pPr>
      <w:r w:rsidRPr="00675F47">
        <w:rPr>
          <w:rFonts w:cs="Arial"/>
          <w:i/>
          <w:szCs w:val="20"/>
          <w:lang w:val="sl-SI" w:eastAsia="sl-SI"/>
        </w:rPr>
        <w:t>Za ciljno državo se sklep OECD ne uporablja</w:t>
      </w: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Za tranzit odpadkov iz priloge III in IIIA uredbe 1013/06 čez ozemlje Evropske unije v ciljno državo  se uporablja postopek splošne zahteve po informacijah, za vse druge odpadke pa postopek predhodne pisne prijave in soglasja. </w:t>
      </w:r>
    </w:p>
    <w:p w:rsidR="00675F47" w:rsidRPr="00675F47" w:rsidRDefault="00675F47" w:rsidP="00675F47">
      <w:pPr>
        <w:spacing w:line="281" w:lineRule="auto"/>
        <w:jc w:val="both"/>
        <w:rPr>
          <w:rFonts w:cs="Arial"/>
          <w:szCs w:val="20"/>
          <w:lang w:val="sl-SI" w:eastAsia="sl-SI"/>
        </w:rPr>
      </w:pPr>
    </w:p>
    <w:p w:rsidR="00675F47" w:rsidRPr="00675F47" w:rsidRDefault="00675F47" w:rsidP="00675F47">
      <w:pPr>
        <w:spacing w:line="281" w:lineRule="auto"/>
        <w:jc w:val="both"/>
        <w:rPr>
          <w:rFonts w:cs="Arial"/>
          <w:i/>
          <w:szCs w:val="20"/>
          <w:lang w:val="sl-SI" w:eastAsia="sl-SI"/>
        </w:rPr>
      </w:pPr>
      <w:r w:rsidRPr="00675F47">
        <w:rPr>
          <w:rFonts w:cs="Arial"/>
          <w:i/>
          <w:szCs w:val="20"/>
          <w:lang w:val="sl-SI" w:eastAsia="sl-SI"/>
        </w:rPr>
        <w:t xml:space="preserve">Za ciljno državo se uporablja sklep OECD </w:t>
      </w:r>
    </w:p>
    <w:p w:rsidR="00675F47" w:rsidRPr="00675F47" w:rsidRDefault="00675F47" w:rsidP="00675F47">
      <w:pPr>
        <w:spacing w:line="281" w:lineRule="auto"/>
        <w:jc w:val="both"/>
        <w:rPr>
          <w:rFonts w:cs="Arial"/>
          <w:szCs w:val="20"/>
          <w:lang w:val="sl-SI" w:eastAsia="sl-SI"/>
        </w:rPr>
      </w:pPr>
      <w:r w:rsidRPr="00675F47">
        <w:rPr>
          <w:rFonts w:cs="Arial"/>
          <w:szCs w:val="20"/>
          <w:lang w:val="sl-SI" w:eastAsia="sl-SI"/>
        </w:rPr>
        <w:t xml:space="preserve">Pri tranzitu odpadkov iz prilog III in IIIA uredbe 1013/06 se uporablja postopek splošne zahteve po informacijah, za odpadke iz priloge IV pa se uporablja postopek predhodne pisne prijave in soglasja. </w:t>
      </w:r>
    </w:p>
    <w:p w:rsidR="00675F47" w:rsidRPr="00675F47" w:rsidRDefault="00675F47" w:rsidP="00675F47">
      <w:pPr>
        <w:spacing w:line="281" w:lineRule="auto"/>
        <w:rPr>
          <w:rFonts w:eastAsia="Calibri" w:cs="Arial"/>
          <w:szCs w:val="20"/>
          <w:lang w:val="sl-SI"/>
        </w:rPr>
      </w:pPr>
    </w:p>
    <w:p w:rsidR="00675F47" w:rsidRPr="00675F47" w:rsidRDefault="00675F47" w:rsidP="00675F47">
      <w:pPr>
        <w:spacing w:after="200" w:line="281" w:lineRule="auto"/>
        <w:rPr>
          <w:rFonts w:eastAsia="Calibri" w:cs="Arial"/>
          <w:szCs w:val="20"/>
          <w:lang w:val="sl-SI"/>
        </w:rPr>
      </w:pPr>
    </w:p>
    <w:p w:rsidR="00675F47" w:rsidRPr="00675F47" w:rsidRDefault="00675F47" w:rsidP="00675F47">
      <w:pPr>
        <w:spacing w:after="200" w:line="281" w:lineRule="auto"/>
        <w:rPr>
          <w:rFonts w:eastAsia="Calibri" w:cs="Arial"/>
          <w:szCs w:val="20"/>
          <w:lang w:val="sl-SI"/>
        </w:rPr>
      </w:pPr>
    </w:p>
    <w:p w:rsidR="00F079C5" w:rsidRDefault="00F079C5" w:rsidP="00675F47">
      <w:pPr>
        <w:pStyle w:val="FURSnaslov1"/>
      </w:pPr>
    </w:p>
    <w:p w:rsidR="00F079C5" w:rsidRDefault="00F079C5" w:rsidP="00E57198">
      <w:pPr>
        <w:jc w:val="both"/>
        <w:rPr>
          <w:lang w:val="sl-SI"/>
        </w:rPr>
      </w:pPr>
    </w:p>
    <w:sectPr w:rsidR="00F079C5" w:rsidSect="00783310">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D2E" w:rsidRDefault="00174D2E">
      <w:r>
        <w:separator/>
      </w:r>
    </w:p>
  </w:endnote>
  <w:endnote w:type="continuationSeparator" w:id="0">
    <w:p w:rsidR="00174D2E" w:rsidRDefault="0017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FB" w:rsidRDefault="009F30FB" w:rsidP="009F30FB">
    <w:pPr>
      <w:pStyle w:val="Noga"/>
      <w:jc w:val="right"/>
    </w:pPr>
    <w:r>
      <w:fldChar w:fldCharType="begin"/>
    </w:r>
    <w:r>
      <w:instrText>PAGE   \* MERGEFORMAT</w:instrText>
    </w:r>
    <w:r>
      <w:fldChar w:fldCharType="separate"/>
    </w:r>
    <w:r w:rsidR="00EA5013" w:rsidRPr="00EA5013">
      <w:rPr>
        <w:noProof/>
        <w:lang w:val="sl-SI"/>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D" w:rsidRDefault="00CA699D"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D2E" w:rsidRDefault="00174D2E">
      <w:r>
        <w:separator/>
      </w:r>
    </w:p>
  </w:footnote>
  <w:footnote w:type="continuationSeparator" w:id="0">
    <w:p w:rsidR="00174D2E" w:rsidRDefault="00174D2E">
      <w:r>
        <w:continuationSeparator/>
      </w:r>
    </w:p>
  </w:footnote>
  <w:footnote w:id="1">
    <w:p w:rsidR="00675F47" w:rsidRPr="008218D5" w:rsidRDefault="00675F47" w:rsidP="00675F47">
      <w:pPr>
        <w:pStyle w:val="Sprotnaopomba-besedilo"/>
        <w:rPr>
          <w:rFonts w:ascii="Arial" w:hAnsi="Arial" w:cs="Arial"/>
          <w:sz w:val="16"/>
          <w:szCs w:val="16"/>
        </w:rPr>
      </w:pPr>
      <w:r w:rsidRPr="008218D5">
        <w:rPr>
          <w:rStyle w:val="Sprotnaopomba-sklic"/>
          <w:rFonts w:ascii="Arial" w:hAnsi="Arial" w:cs="Arial"/>
          <w:sz w:val="16"/>
          <w:szCs w:val="16"/>
        </w:rPr>
        <w:footnoteRef/>
      </w:r>
      <w:r w:rsidRPr="008218D5">
        <w:rPr>
          <w:rFonts w:ascii="Arial" w:hAnsi="Arial" w:cs="Arial"/>
          <w:sz w:val="16"/>
          <w:szCs w:val="16"/>
        </w:rPr>
        <w:t xml:space="preserve"> Islandija, </w:t>
      </w:r>
      <w:r>
        <w:rPr>
          <w:rFonts w:ascii="Arial" w:hAnsi="Arial" w:cs="Arial"/>
          <w:sz w:val="16"/>
          <w:szCs w:val="16"/>
        </w:rPr>
        <w:t>Liechtenstein</w:t>
      </w:r>
      <w:r w:rsidRPr="008218D5">
        <w:rPr>
          <w:rFonts w:ascii="Arial" w:hAnsi="Arial" w:cs="Arial"/>
          <w:sz w:val="16"/>
          <w:szCs w:val="16"/>
        </w:rPr>
        <w:t>,</w:t>
      </w:r>
      <w:r>
        <w:rPr>
          <w:rFonts w:ascii="Arial" w:hAnsi="Arial" w:cs="Arial"/>
          <w:sz w:val="16"/>
          <w:szCs w:val="16"/>
        </w:rPr>
        <w:t xml:space="preserve"> Norveška, Š</w:t>
      </w:r>
      <w:r w:rsidRPr="008218D5">
        <w:rPr>
          <w:rFonts w:ascii="Arial" w:hAnsi="Arial" w:cs="Arial"/>
          <w:sz w:val="16"/>
          <w:szCs w:val="16"/>
        </w:rPr>
        <w:t>vica</w:t>
      </w:r>
      <w:r>
        <w:rPr>
          <w:rFonts w:ascii="Arial" w:hAnsi="Arial" w:cs="Arial"/>
          <w:sz w:val="16"/>
          <w:szCs w:val="16"/>
        </w:rPr>
        <w:t>.</w:t>
      </w:r>
    </w:p>
  </w:footnote>
  <w:footnote w:id="2">
    <w:p w:rsidR="00675F47" w:rsidRPr="008218D5" w:rsidRDefault="00675F47" w:rsidP="00675F47">
      <w:pPr>
        <w:pStyle w:val="Default"/>
        <w:spacing w:line="240" w:lineRule="exact"/>
        <w:ind w:left="142" w:hanging="142"/>
        <w:jc w:val="both"/>
        <w:rPr>
          <w:rFonts w:ascii="Arial" w:hAnsi="Arial" w:cs="Arial"/>
          <w:sz w:val="16"/>
          <w:szCs w:val="16"/>
        </w:rPr>
      </w:pPr>
      <w:r w:rsidRPr="008218D5">
        <w:rPr>
          <w:rStyle w:val="Sprotnaopomba-sklic"/>
          <w:rFonts w:ascii="Arial" w:hAnsi="Arial" w:cs="Arial"/>
          <w:sz w:val="16"/>
          <w:szCs w:val="16"/>
        </w:rPr>
        <w:footnoteRef/>
      </w:r>
      <w:r w:rsidRPr="008218D5">
        <w:rPr>
          <w:rFonts w:ascii="Arial" w:hAnsi="Arial" w:cs="Arial"/>
          <w:sz w:val="16"/>
          <w:szCs w:val="16"/>
        </w:rPr>
        <w:t xml:space="preserve"> </w:t>
      </w:r>
      <w:r w:rsidRPr="008218D5">
        <w:rPr>
          <w:rFonts w:ascii="Arial" w:hAnsi="Arial" w:cs="Arial"/>
          <w:sz w:val="16"/>
          <w:szCs w:val="16"/>
        </w:rPr>
        <w:t xml:space="preserve">Avstralija, Avstrija, Belgija, Čile, Češka, Danska, Estonija, Finska, Francija, Grčija, Madžarska, Islandija, Irska, Italija, Izrael, Japonska, Kanada, Koreja, </w:t>
      </w:r>
      <w:r>
        <w:rPr>
          <w:rFonts w:ascii="Arial" w:hAnsi="Arial" w:cs="Arial"/>
          <w:sz w:val="16"/>
          <w:szCs w:val="16"/>
        </w:rPr>
        <w:t>Liechtenstein</w:t>
      </w:r>
      <w:r w:rsidRPr="008218D5">
        <w:rPr>
          <w:rFonts w:ascii="Arial" w:hAnsi="Arial" w:cs="Arial"/>
          <w:sz w:val="16"/>
          <w:szCs w:val="16"/>
        </w:rPr>
        <w:t>**, Luksemburg, Mehika, Nemčija, Nizozemska, Norveška, Nova Zelandija, Poljska, Portugalska, Slovaška, Slovenija, Španija, Švedska, Švica, Turčija, Velika Britanija, Združene države Amerike</w:t>
      </w:r>
      <w:r>
        <w:rPr>
          <w:rFonts w:ascii="Arial" w:hAnsi="Arial" w:cs="Arial"/>
          <w:sz w:val="16"/>
          <w:szCs w:val="16"/>
        </w:rPr>
        <w:t>.</w:t>
      </w:r>
      <w:r w:rsidRPr="008218D5">
        <w:rPr>
          <w:rFonts w:ascii="Arial" w:hAnsi="Arial" w:cs="Arial"/>
          <w:sz w:val="16"/>
          <w:szCs w:val="16"/>
        </w:rPr>
        <w:t xml:space="preserve">. </w:t>
      </w:r>
    </w:p>
    <w:p w:rsidR="00675F47" w:rsidRPr="00675F47" w:rsidRDefault="00675F47" w:rsidP="00675F47">
      <w:pPr>
        <w:tabs>
          <w:tab w:val="left" w:pos="426"/>
        </w:tabs>
        <w:spacing w:line="240" w:lineRule="exact"/>
        <w:ind w:left="426" w:hanging="284"/>
        <w:jc w:val="both"/>
        <w:rPr>
          <w:rFonts w:cs="Arial"/>
          <w:sz w:val="16"/>
          <w:szCs w:val="16"/>
          <w:lang w:val="sl-SI"/>
        </w:rPr>
      </w:pPr>
      <w:r w:rsidRPr="00675F47">
        <w:rPr>
          <w:rFonts w:cs="Arial"/>
          <w:sz w:val="16"/>
          <w:szCs w:val="16"/>
          <w:lang w:val="sl-SI"/>
        </w:rPr>
        <w:t>** Za Liechtenstein veljajo določbe, kot da je država članica OECD.</w:t>
      </w:r>
    </w:p>
    <w:p w:rsidR="00675F47" w:rsidRDefault="00675F47" w:rsidP="00675F47">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trPr>
        <w:cantSplit/>
        <w:trHeight w:hRule="exact" w:val="847"/>
      </w:trPr>
      <w:tc>
        <w:tcPr>
          <w:tcW w:w="567" w:type="dxa"/>
        </w:tcPr>
        <w:p w:rsidR="00CA699D" w:rsidRDefault="00CA699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p w:rsidR="00CA699D" w:rsidRPr="006D42D9" w:rsidRDefault="00CA699D" w:rsidP="006D42D9">
          <w:pPr>
            <w:rPr>
              <w:rFonts w:ascii="Republika" w:hAnsi="Republika"/>
              <w:sz w:val="60"/>
              <w:szCs w:val="60"/>
              <w:lang w:val="sl-SI"/>
            </w:rPr>
          </w:pPr>
        </w:p>
      </w:tc>
    </w:tr>
  </w:tbl>
  <w:p w:rsidR="00CA699D" w:rsidRPr="008F3500" w:rsidRDefault="00CE15DF"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CA699D" w:rsidRPr="008F3500">
      <w:rPr>
        <w:rFonts w:ascii="Republika" w:hAnsi="Republika"/>
        <w:lang w:val="sl-SI"/>
      </w:rPr>
      <w:t>REPUBLIKA SLOVENIJA</w:t>
    </w:r>
  </w:p>
  <w:p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CA699D" w:rsidRDefault="00CA699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CA699D" w:rsidRPr="008F3500" w:rsidRDefault="00CA699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CA699D" w:rsidRPr="008F3500" w:rsidRDefault="00CA699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Pr>
        <w:rFonts w:cs="Arial"/>
        <w:sz w:val="16"/>
        <w:lang w:val="sl-SI"/>
      </w:rPr>
      <w:t>www.fu.gov.si</w:t>
    </w:r>
    <w:proofErr w:type="spellEnd"/>
  </w:p>
  <w:p w:rsidR="00CA699D" w:rsidRPr="008F3500" w:rsidRDefault="00CA699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4106B9D"/>
    <w:multiLevelType w:val="hybridMultilevel"/>
    <w:tmpl w:val="CFDA8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B693965"/>
    <w:multiLevelType w:val="hybridMultilevel"/>
    <w:tmpl w:val="F0F0ED1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EBE1372"/>
    <w:multiLevelType w:val="multilevel"/>
    <w:tmpl w:val="40B265C8"/>
    <w:lvl w:ilvl="0">
      <w:start w:val="1"/>
      <w:numFmt w:val="decimal"/>
      <w:lvlText w:val="%1.0"/>
      <w:lvlJc w:val="left"/>
      <w:pPr>
        <w:ind w:left="1002" w:hanging="435"/>
      </w:pPr>
      <w:rPr>
        <w:rFonts w:asciiTheme="majorHAnsi" w:hAnsiTheme="majorHAnsi" w:cstheme="majorBidi" w:hint="default"/>
        <w:sz w:val="32"/>
      </w:rPr>
    </w:lvl>
    <w:lvl w:ilvl="1">
      <w:start w:val="1"/>
      <w:numFmt w:val="decimal"/>
      <w:lvlText w:val="%1.%2"/>
      <w:lvlJc w:val="left"/>
      <w:pPr>
        <w:ind w:left="1722" w:hanging="435"/>
      </w:pPr>
      <w:rPr>
        <w:rFonts w:asciiTheme="majorHAnsi" w:hAnsiTheme="majorHAnsi" w:cstheme="majorBidi" w:hint="default"/>
        <w:sz w:val="32"/>
      </w:rPr>
    </w:lvl>
    <w:lvl w:ilvl="2">
      <w:start w:val="1"/>
      <w:numFmt w:val="decimal"/>
      <w:lvlText w:val="%1.%2.%3"/>
      <w:lvlJc w:val="left"/>
      <w:pPr>
        <w:ind w:left="2727" w:hanging="720"/>
      </w:pPr>
      <w:rPr>
        <w:rFonts w:asciiTheme="majorHAnsi" w:hAnsiTheme="majorHAnsi" w:cstheme="majorBidi" w:hint="default"/>
        <w:sz w:val="32"/>
      </w:rPr>
    </w:lvl>
    <w:lvl w:ilvl="3">
      <w:start w:val="1"/>
      <w:numFmt w:val="decimal"/>
      <w:lvlText w:val="%1.%2.%3.%4"/>
      <w:lvlJc w:val="left"/>
      <w:pPr>
        <w:ind w:left="3807" w:hanging="1080"/>
      </w:pPr>
      <w:rPr>
        <w:rFonts w:asciiTheme="majorHAnsi" w:hAnsiTheme="majorHAnsi" w:cstheme="majorBidi" w:hint="default"/>
        <w:sz w:val="32"/>
      </w:rPr>
    </w:lvl>
    <w:lvl w:ilvl="4">
      <w:start w:val="1"/>
      <w:numFmt w:val="decimal"/>
      <w:lvlText w:val="%1.%2.%3.%4.%5"/>
      <w:lvlJc w:val="left"/>
      <w:pPr>
        <w:ind w:left="4527" w:hanging="1080"/>
      </w:pPr>
      <w:rPr>
        <w:rFonts w:asciiTheme="majorHAnsi" w:hAnsiTheme="majorHAnsi" w:cstheme="majorBidi" w:hint="default"/>
        <w:sz w:val="32"/>
      </w:rPr>
    </w:lvl>
    <w:lvl w:ilvl="5">
      <w:start w:val="1"/>
      <w:numFmt w:val="decimal"/>
      <w:lvlText w:val="%1.%2.%3.%4.%5.%6"/>
      <w:lvlJc w:val="left"/>
      <w:pPr>
        <w:ind w:left="5607" w:hanging="1440"/>
      </w:pPr>
      <w:rPr>
        <w:rFonts w:asciiTheme="majorHAnsi" w:hAnsiTheme="majorHAnsi" w:cstheme="majorBidi" w:hint="default"/>
        <w:sz w:val="32"/>
      </w:rPr>
    </w:lvl>
    <w:lvl w:ilvl="6">
      <w:start w:val="1"/>
      <w:numFmt w:val="decimal"/>
      <w:lvlText w:val="%1.%2.%3.%4.%5.%6.%7"/>
      <w:lvlJc w:val="left"/>
      <w:pPr>
        <w:ind w:left="6327" w:hanging="1440"/>
      </w:pPr>
      <w:rPr>
        <w:rFonts w:asciiTheme="majorHAnsi" w:hAnsiTheme="majorHAnsi" w:cstheme="majorBidi" w:hint="default"/>
        <w:sz w:val="32"/>
      </w:rPr>
    </w:lvl>
    <w:lvl w:ilvl="7">
      <w:start w:val="1"/>
      <w:numFmt w:val="decimal"/>
      <w:lvlText w:val="%1.%2.%3.%4.%5.%6.%7.%8"/>
      <w:lvlJc w:val="left"/>
      <w:pPr>
        <w:ind w:left="7407" w:hanging="1800"/>
      </w:pPr>
      <w:rPr>
        <w:rFonts w:asciiTheme="majorHAnsi" w:hAnsiTheme="majorHAnsi" w:cstheme="majorBidi" w:hint="default"/>
        <w:sz w:val="32"/>
      </w:rPr>
    </w:lvl>
    <w:lvl w:ilvl="8">
      <w:start w:val="1"/>
      <w:numFmt w:val="decimal"/>
      <w:lvlText w:val="%1.%2.%3.%4.%5.%6.%7.%8.%9"/>
      <w:lvlJc w:val="left"/>
      <w:pPr>
        <w:ind w:left="8127" w:hanging="1800"/>
      </w:pPr>
      <w:rPr>
        <w:rFonts w:asciiTheme="majorHAnsi" w:hAnsiTheme="majorHAnsi" w:cstheme="majorBidi" w:hint="default"/>
        <w:sz w:val="32"/>
      </w:r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BFB3D5F"/>
    <w:multiLevelType w:val="hybridMultilevel"/>
    <w:tmpl w:val="3E3622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7B22BC1"/>
    <w:multiLevelType w:val="multilevel"/>
    <w:tmpl w:val="403EDFBA"/>
    <w:lvl w:ilvl="0">
      <w:start w:val="1"/>
      <w:numFmt w:val="decimal"/>
      <w:lvlText w:val="%1.0"/>
      <w:lvlJc w:val="left"/>
      <w:pPr>
        <w:ind w:left="1002" w:hanging="435"/>
      </w:pPr>
      <w:rPr>
        <w:rFonts w:ascii="Arial" w:hAnsi="Arial" w:cs="Arial" w:hint="default"/>
        <w:sz w:val="24"/>
        <w:szCs w:val="24"/>
      </w:rPr>
    </w:lvl>
    <w:lvl w:ilvl="1">
      <w:start w:val="1"/>
      <w:numFmt w:val="decimal"/>
      <w:pStyle w:val="Naslov1"/>
      <w:lvlText w:val="%1.%2"/>
      <w:lvlJc w:val="left"/>
      <w:pPr>
        <w:ind w:left="1722" w:hanging="435"/>
      </w:pPr>
      <w:rPr>
        <w:rFonts w:ascii="Arial" w:hAnsi="Arial" w:cs="Arial" w:hint="default"/>
        <w:sz w:val="24"/>
        <w:szCs w:val="24"/>
      </w:rPr>
    </w:lvl>
    <w:lvl w:ilvl="2">
      <w:start w:val="1"/>
      <w:numFmt w:val="decimal"/>
      <w:lvlText w:val="%1.%2.%3"/>
      <w:lvlJc w:val="left"/>
      <w:pPr>
        <w:ind w:left="2727" w:hanging="720"/>
      </w:pPr>
      <w:rPr>
        <w:rFonts w:asciiTheme="majorHAnsi" w:hAnsiTheme="majorHAnsi" w:cstheme="majorBidi" w:hint="default"/>
        <w:sz w:val="32"/>
      </w:rPr>
    </w:lvl>
    <w:lvl w:ilvl="3">
      <w:start w:val="1"/>
      <w:numFmt w:val="decimal"/>
      <w:lvlText w:val="%1.%2.%3.%4"/>
      <w:lvlJc w:val="left"/>
      <w:pPr>
        <w:ind w:left="3807" w:hanging="1080"/>
      </w:pPr>
      <w:rPr>
        <w:rFonts w:asciiTheme="majorHAnsi" w:hAnsiTheme="majorHAnsi" w:cstheme="majorBidi" w:hint="default"/>
        <w:sz w:val="32"/>
      </w:rPr>
    </w:lvl>
    <w:lvl w:ilvl="4">
      <w:start w:val="1"/>
      <w:numFmt w:val="decimal"/>
      <w:lvlText w:val="%1.%2.%3.%4.%5"/>
      <w:lvlJc w:val="left"/>
      <w:pPr>
        <w:ind w:left="4527" w:hanging="1080"/>
      </w:pPr>
      <w:rPr>
        <w:rFonts w:asciiTheme="majorHAnsi" w:hAnsiTheme="majorHAnsi" w:cstheme="majorBidi" w:hint="default"/>
        <w:sz w:val="32"/>
      </w:rPr>
    </w:lvl>
    <w:lvl w:ilvl="5">
      <w:start w:val="1"/>
      <w:numFmt w:val="decimal"/>
      <w:lvlText w:val="%1.%2.%3.%4.%5.%6"/>
      <w:lvlJc w:val="left"/>
      <w:pPr>
        <w:ind w:left="5607" w:hanging="1440"/>
      </w:pPr>
      <w:rPr>
        <w:rFonts w:asciiTheme="majorHAnsi" w:hAnsiTheme="majorHAnsi" w:cstheme="majorBidi" w:hint="default"/>
        <w:sz w:val="32"/>
      </w:rPr>
    </w:lvl>
    <w:lvl w:ilvl="6">
      <w:start w:val="1"/>
      <w:numFmt w:val="decimal"/>
      <w:lvlText w:val="%1.%2.%3.%4.%5.%6.%7"/>
      <w:lvlJc w:val="left"/>
      <w:pPr>
        <w:ind w:left="6327" w:hanging="1440"/>
      </w:pPr>
      <w:rPr>
        <w:rFonts w:asciiTheme="majorHAnsi" w:hAnsiTheme="majorHAnsi" w:cstheme="majorBidi" w:hint="default"/>
        <w:sz w:val="32"/>
      </w:rPr>
    </w:lvl>
    <w:lvl w:ilvl="7">
      <w:start w:val="1"/>
      <w:numFmt w:val="decimal"/>
      <w:lvlText w:val="%1.%2.%3.%4.%5.%6.%7.%8"/>
      <w:lvlJc w:val="left"/>
      <w:pPr>
        <w:ind w:left="7407" w:hanging="1800"/>
      </w:pPr>
      <w:rPr>
        <w:rFonts w:asciiTheme="majorHAnsi" w:hAnsiTheme="majorHAnsi" w:cstheme="majorBidi" w:hint="default"/>
        <w:sz w:val="32"/>
      </w:rPr>
    </w:lvl>
    <w:lvl w:ilvl="8">
      <w:start w:val="1"/>
      <w:numFmt w:val="decimal"/>
      <w:lvlText w:val="%1.%2.%3.%4.%5.%6.%7.%8.%9"/>
      <w:lvlJc w:val="left"/>
      <w:pPr>
        <w:ind w:left="8127" w:hanging="1800"/>
      </w:pPr>
      <w:rPr>
        <w:rFonts w:asciiTheme="majorHAnsi" w:hAnsiTheme="majorHAnsi" w:cstheme="majorBidi" w:hint="default"/>
        <w:sz w:val="32"/>
      </w:rPr>
    </w:lvl>
  </w:abstractNum>
  <w:abstractNum w:abstractNumId="10">
    <w:nsid w:val="5B4C2F60"/>
    <w:multiLevelType w:val="hybridMultilevel"/>
    <w:tmpl w:val="7AAA3F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613D2CFC"/>
    <w:multiLevelType w:val="hybridMultilevel"/>
    <w:tmpl w:val="EEEA33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8"/>
  </w:num>
  <w:num w:numId="4">
    <w:abstractNumId w:val="0"/>
  </w:num>
  <w:num w:numId="5">
    <w:abstractNumId w:val="2"/>
  </w:num>
  <w:num w:numId="6">
    <w:abstractNumId w:val="6"/>
  </w:num>
  <w:num w:numId="7">
    <w:abstractNumId w:val="10"/>
  </w:num>
  <w:num w:numId="8">
    <w:abstractNumId w:val="1"/>
  </w:num>
  <w:num w:numId="9">
    <w:abstractNumId w:val="3"/>
  </w:num>
  <w:num w:numId="10">
    <w:abstractNumId w:val="7"/>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F"/>
    <w:rsid w:val="0000039F"/>
    <w:rsid w:val="000063FF"/>
    <w:rsid w:val="00023A88"/>
    <w:rsid w:val="00030608"/>
    <w:rsid w:val="000517B6"/>
    <w:rsid w:val="000805EA"/>
    <w:rsid w:val="0008352D"/>
    <w:rsid w:val="000A488B"/>
    <w:rsid w:val="000A7238"/>
    <w:rsid w:val="000B0B21"/>
    <w:rsid w:val="000C203D"/>
    <w:rsid w:val="000C2273"/>
    <w:rsid w:val="000C7716"/>
    <w:rsid w:val="001357B2"/>
    <w:rsid w:val="00174D2E"/>
    <w:rsid w:val="001A3BA5"/>
    <w:rsid w:val="001C2D67"/>
    <w:rsid w:val="001F4287"/>
    <w:rsid w:val="001F7BC0"/>
    <w:rsid w:val="00202A77"/>
    <w:rsid w:val="00224B53"/>
    <w:rsid w:val="002302D9"/>
    <w:rsid w:val="00242143"/>
    <w:rsid w:val="00271CE5"/>
    <w:rsid w:val="00276637"/>
    <w:rsid w:val="00282020"/>
    <w:rsid w:val="002A5510"/>
    <w:rsid w:val="00342BA0"/>
    <w:rsid w:val="003636BF"/>
    <w:rsid w:val="00370AA7"/>
    <w:rsid w:val="0037479F"/>
    <w:rsid w:val="003845B4"/>
    <w:rsid w:val="00387B1A"/>
    <w:rsid w:val="003E1C74"/>
    <w:rsid w:val="004B112D"/>
    <w:rsid w:val="00526246"/>
    <w:rsid w:val="00567106"/>
    <w:rsid w:val="005D4DF6"/>
    <w:rsid w:val="005E1D3C"/>
    <w:rsid w:val="00632253"/>
    <w:rsid w:val="00632331"/>
    <w:rsid w:val="00642714"/>
    <w:rsid w:val="00643C4E"/>
    <w:rsid w:val="006455CE"/>
    <w:rsid w:val="00666FE7"/>
    <w:rsid w:val="00667BB9"/>
    <w:rsid w:val="00675F47"/>
    <w:rsid w:val="006D2FCD"/>
    <w:rsid w:val="006D42D9"/>
    <w:rsid w:val="00726463"/>
    <w:rsid w:val="00733017"/>
    <w:rsid w:val="00751D38"/>
    <w:rsid w:val="00783310"/>
    <w:rsid w:val="007A4A6D"/>
    <w:rsid w:val="007C6FB3"/>
    <w:rsid w:val="007D1BCF"/>
    <w:rsid w:val="007D75CF"/>
    <w:rsid w:val="007E6DC5"/>
    <w:rsid w:val="0088043C"/>
    <w:rsid w:val="00887E1E"/>
    <w:rsid w:val="008906C9"/>
    <w:rsid w:val="008C5738"/>
    <w:rsid w:val="008D04F0"/>
    <w:rsid w:val="008D5F52"/>
    <w:rsid w:val="008E0ECC"/>
    <w:rsid w:val="008F026E"/>
    <w:rsid w:val="008F3500"/>
    <w:rsid w:val="00924E3C"/>
    <w:rsid w:val="009477FA"/>
    <w:rsid w:val="009541F3"/>
    <w:rsid w:val="009612BB"/>
    <w:rsid w:val="009E6AC6"/>
    <w:rsid w:val="009F30FB"/>
    <w:rsid w:val="00A000F2"/>
    <w:rsid w:val="00A125C5"/>
    <w:rsid w:val="00A12D5C"/>
    <w:rsid w:val="00A5039D"/>
    <w:rsid w:val="00A61123"/>
    <w:rsid w:val="00A65EE7"/>
    <w:rsid w:val="00A70133"/>
    <w:rsid w:val="00AC5C16"/>
    <w:rsid w:val="00B1337D"/>
    <w:rsid w:val="00B17141"/>
    <w:rsid w:val="00B27607"/>
    <w:rsid w:val="00B31575"/>
    <w:rsid w:val="00B47AF6"/>
    <w:rsid w:val="00B53904"/>
    <w:rsid w:val="00B8547D"/>
    <w:rsid w:val="00BE094A"/>
    <w:rsid w:val="00C250D5"/>
    <w:rsid w:val="00C47F8D"/>
    <w:rsid w:val="00C64874"/>
    <w:rsid w:val="00C81391"/>
    <w:rsid w:val="00C92898"/>
    <w:rsid w:val="00CA699D"/>
    <w:rsid w:val="00CC179C"/>
    <w:rsid w:val="00CE15DF"/>
    <w:rsid w:val="00CE72B1"/>
    <w:rsid w:val="00CE7514"/>
    <w:rsid w:val="00D248DE"/>
    <w:rsid w:val="00D8542D"/>
    <w:rsid w:val="00DA2C9A"/>
    <w:rsid w:val="00DC6A71"/>
    <w:rsid w:val="00DE5B46"/>
    <w:rsid w:val="00E0357D"/>
    <w:rsid w:val="00E24EC2"/>
    <w:rsid w:val="00E57198"/>
    <w:rsid w:val="00E572FE"/>
    <w:rsid w:val="00E853E8"/>
    <w:rsid w:val="00EA5013"/>
    <w:rsid w:val="00ED7E82"/>
    <w:rsid w:val="00EE6836"/>
    <w:rsid w:val="00F079C5"/>
    <w:rsid w:val="00F11C41"/>
    <w:rsid w:val="00F240BB"/>
    <w:rsid w:val="00F46724"/>
    <w:rsid w:val="00F57FED"/>
    <w:rsid w:val="00F75F95"/>
    <w:rsid w:val="00F825FF"/>
    <w:rsid w:val="00F907E8"/>
    <w:rsid w:val="00FD2BE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242143"/>
    <w:pPr>
      <w:keepNext/>
      <w:numPr>
        <w:ilvl w:val="1"/>
        <w:numId w:val="13"/>
      </w:numPr>
      <w:spacing w:before="240" w:after="60"/>
      <w:ind w:left="567" w:hanging="567"/>
      <w:outlineLvl w:val="0"/>
    </w:pPr>
    <w:rPr>
      <w:b/>
      <w:kern w:val="32"/>
      <w:sz w:val="24"/>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EA5013"/>
    <w:pPr>
      <w:tabs>
        <w:tab w:val="left" w:pos="880"/>
        <w:tab w:val="right" w:leader="dot" w:pos="8488"/>
      </w:tabs>
      <w:spacing w:after="120"/>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paragraph" w:styleId="Sprotnaopomba-besedilo">
    <w:name w:val="footnote text"/>
    <w:basedOn w:val="Navaden"/>
    <w:link w:val="Sprotnaopomba-besediloZnak"/>
    <w:uiPriority w:val="99"/>
    <w:unhideWhenUsed/>
    <w:rsid w:val="00675F47"/>
    <w:pPr>
      <w:spacing w:line="240" w:lineRule="auto"/>
    </w:pPr>
    <w:rPr>
      <w:rFonts w:ascii="Calibri" w:eastAsia="Calibri" w:hAnsi="Calibri"/>
      <w:szCs w:val="20"/>
      <w:lang w:val="sl-SI"/>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uiPriority w:val="99"/>
    <w:rsid w:val="00675F47"/>
    <w:rPr>
      <w:rFonts w:ascii="Calibri" w:eastAsia="Calibri" w:hAnsi="Calibri"/>
      <w:lang w:eastAsia="en-US"/>
    </w:rPr>
  </w:style>
  <w:style w:type="character" w:styleId="Sprotnaopomba-sklic">
    <w:name w:val="footnote reference"/>
    <w:uiPriority w:val="99"/>
    <w:unhideWhenUsed/>
    <w:rsid w:val="00675F47"/>
    <w:rPr>
      <w:vertAlign w:val="superscript"/>
    </w:rPr>
  </w:style>
  <w:style w:type="paragraph" w:customStyle="1" w:styleId="Default">
    <w:name w:val="Default"/>
    <w:rsid w:val="00675F47"/>
    <w:pPr>
      <w:autoSpaceDE w:val="0"/>
      <w:autoSpaceDN w:val="0"/>
      <w:adjustRightInd w:val="0"/>
    </w:pPr>
    <w:rPr>
      <w:rFonts w:eastAsia="Calibri"/>
      <w:color w:val="000000"/>
      <w:sz w:val="24"/>
      <w:szCs w:val="24"/>
      <w:lang w:eastAsia="en-US"/>
    </w:rPr>
  </w:style>
  <w:style w:type="paragraph" w:styleId="Naslov">
    <w:name w:val="Title"/>
    <w:basedOn w:val="Navaden"/>
    <w:next w:val="Navaden"/>
    <w:link w:val="NaslovZnak"/>
    <w:qFormat/>
    <w:rsid w:val="00224B53"/>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224B53"/>
    <w:rPr>
      <w:rFonts w:asciiTheme="majorHAnsi" w:eastAsiaTheme="majorEastAsia" w:hAnsiTheme="majorHAnsi" w:cstheme="majorBidi"/>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242143"/>
    <w:pPr>
      <w:keepNext/>
      <w:numPr>
        <w:ilvl w:val="1"/>
        <w:numId w:val="13"/>
      </w:numPr>
      <w:spacing w:before="240" w:after="60"/>
      <w:ind w:left="567" w:hanging="567"/>
      <w:outlineLvl w:val="0"/>
    </w:pPr>
    <w:rPr>
      <w:b/>
      <w:kern w:val="32"/>
      <w:sz w:val="24"/>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EA5013"/>
    <w:pPr>
      <w:tabs>
        <w:tab w:val="left" w:pos="880"/>
        <w:tab w:val="right" w:leader="dot" w:pos="8488"/>
      </w:tabs>
      <w:spacing w:after="120"/>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paragraph" w:styleId="Sprotnaopomba-besedilo">
    <w:name w:val="footnote text"/>
    <w:basedOn w:val="Navaden"/>
    <w:link w:val="Sprotnaopomba-besediloZnak"/>
    <w:uiPriority w:val="99"/>
    <w:unhideWhenUsed/>
    <w:rsid w:val="00675F47"/>
    <w:pPr>
      <w:spacing w:line="240" w:lineRule="auto"/>
    </w:pPr>
    <w:rPr>
      <w:rFonts w:ascii="Calibri" w:eastAsia="Calibri" w:hAnsi="Calibri"/>
      <w:szCs w:val="20"/>
      <w:lang w:val="sl-SI"/>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uiPriority w:val="99"/>
    <w:rsid w:val="00675F47"/>
    <w:rPr>
      <w:rFonts w:ascii="Calibri" w:eastAsia="Calibri" w:hAnsi="Calibri"/>
      <w:lang w:eastAsia="en-US"/>
    </w:rPr>
  </w:style>
  <w:style w:type="character" w:styleId="Sprotnaopomba-sklic">
    <w:name w:val="footnote reference"/>
    <w:uiPriority w:val="99"/>
    <w:unhideWhenUsed/>
    <w:rsid w:val="00675F47"/>
    <w:rPr>
      <w:vertAlign w:val="superscript"/>
    </w:rPr>
  </w:style>
  <w:style w:type="paragraph" w:customStyle="1" w:styleId="Default">
    <w:name w:val="Default"/>
    <w:rsid w:val="00675F47"/>
    <w:pPr>
      <w:autoSpaceDE w:val="0"/>
      <w:autoSpaceDN w:val="0"/>
      <w:adjustRightInd w:val="0"/>
    </w:pPr>
    <w:rPr>
      <w:rFonts w:eastAsia="Calibri"/>
      <w:color w:val="000000"/>
      <w:sz w:val="24"/>
      <w:szCs w:val="24"/>
      <w:lang w:eastAsia="en-US"/>
    </w:rPr>
  </w:style>
  <w:style w:type="paragraph" w:styleId="Naslov">
    <w:name w:val="Title"/>
    <w:basedOn w:val="Navaden"/>
    <w:next w:val="Navaden"/>
    <w:link w:val="NaslovZnak"/>
    <w:qFormat/>
    <w:rsid w:val="00224B53"/>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224B53"/>
    <w:rPr>
      <w:rFonts w:asciiTheme="majorHAnsi" w:eastAsiaTheme="majorEastAsia" w:hAnsiTheme="majorHAnsi" w:cstheme="majorBidi"/>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asel.int/Countries/StatusofRatifications/PartiesSignatories/tabid/1290/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6CAD-BDB5-4821-AAC1-FD8C3E51F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8AD76C96-5D9D-420C-8CBA-D3E856A5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1297</Words>
  <Characters>7393</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8673</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David Piščanec</cp:lastModifiedBy>
  <cp:revision>4</cp:revision>
  <cp:lastPrinted>2014-09-18T09:59:00Z</cp:lastPrinted>
  <dcterms:created xsi:type="dcterms:W3CDTF">2015-10-08T11:27:00Z</dcterms:created>
  <dcterms:modified xsi:type="dcterms:W3CDTF">2015-10-08T12:09:00Z</dcterms:modified>
</cp:coreProperties>
</file>