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8FD9" w14:textId="77777777" w:rsidR="002425D6" w:rsidRPr="009511AD" w:rsidRDefault="002425D6" w:rsidP="002425D6">
      <w:pPr>
        <w:pStyle w:val="datumtevilka"/>
        <w:jc w:val="center"/>
      </w:pPr>
    </w:p>
    <w:p w14:paraId="1779435D" w14:textId="77777777" w:rsidR="002425D6" w:rsidRPr="009511AD" w:rsidRDefault="002425D6" w:rsidP="002425D6">
      <w:pPr>
        <w:pStyle w:val="datumtevilka"/>
        <w:jc w:val="center"/>
      </w:pPr>
    </w:p>
    <w:p w14:paraId="2219FDDC" w14:textId="77777777" w:rsidR="002425D6" w:rsidRPr="009511AD" w:rsidRDefault="002425D6" w:rsidP="002425D6">
      <w:pPr>
        <w:pStyle w:val="datumtevilka"/>
        <w:jc w:val="center"/>
      </w:pPr>
    </w:p>
    <w:p w14:paraId="5A2CA7CE" w14:textId="77777777" w:rsidR="002425D6" w:rsidRPr="009511AD" w:rsidRDefault="002425D6" w:rsidP="002425D6">
      <w:pPr>
        <w:pStyle w:val="datumtevilka"/>
        <w:jc w:val="center"/>
      </w:pPr>
    </w:p>
    <w:p w14:paraId="7E2E5D3A" w14:textId="77777777" w:rsidR="002425D6" w:rsidRPr="009511AD" w:rsidRDefault="002425D6" w:rsidP="002425D6">
      <w:pPr>
        <w:pStyle w:val="datumtevilka"/>
        <w:jc w:val="center"/>
      </w:pPr>
    </w:p>
    <w:p w14:paraId="53BB80A4" w14:textId="77777777" w:rsidR="002425D6" w:rsidRPr="009511AD" w:rsidRDefault="002425D6" w:rsidP="002425D6">
      <w:pPr>
        <w:pStyle w:val="datumtevilka"/>
        <w:jc w:val="center"/>
      </w:pPr>
    </w:p>
    <w:p w14:paraId="5B42F61C" w14:textId="77777777" w:rsidR="002425D6" w:rsidRPr="009511AD" w:rsidRDefault="002425D6" w:rsidP="002425D6">
      <w:pPr>
        <w:pStyle w:val="datumtevilka"/>
        <w:jc w:val="center"/>
      </w:pPr>
    </w:p>
    <w:p w14:paraId="32E8648B" w14:textId="77777777" w:rsidR="002425D6" w:rsidRPr="009511AD" w:rsidRDefault="002425D6" w:rsidP="002425D6">
      <w:pPr>
        <w:pStyle w:val="datumtevilka"/>
        <w:jc w:val="center"/>
      </w:pPr>
    </w:p>
    <w:p w14:paraId="1865F035" w14:textId="77777777" w:rsidR="002425D6" w:rsidRPr="009511AD" w:rsidRDefault="002425D6" w:rsidP="002425D6">
      <w:pPr>
        <w:pStyle w:val="datumtevilka"/>
        <w:jc w:val="center"/>
        <w:rPr>
          <w:b/>
          <w:sz w:val="32"/>
          <w:szCs w:val="32"/>
        </w:rPr>
      </w:pPr>
      <w:r w:rsidRPr="009511AD">
        <w:rPr>
          <w:b/>
          <w:sz w:val="32"/>
          <w:szCs w:val="32"/>
        </w:rPr>
        <w:t>TARIFNE OPUSTITVE</w:t>
      </w:r>
    </w:p>
    <w:p w14:paraId="19BCCE37" w14:textId="77777777" w:rsidR="002425D6" w:rsidRPr="009511AD" w:rsidRDefault="002425D6" w:rsidP="002425D6">
      <w:pPr>
        <w:pStyle w:val="datumtevilka"/>
        <w:jc w:val="center"/>
        <w:rPr>
          <w:b/>
          <w:sz w:val="32"/>
          <w:szCs w:val="32"/>
        </w:rPr>
      </w:pPr>
    </w:p>
    <w:p w14:paraId="7B3FC6DA" w14:textId="77777777" w:rsidR="002425D6" w:rsidRPr="009511AD" w:rsidRDefault="002425D6" w:rsidP="002425D6">
      <w:pPr>
        <w:pStyle w:val="datumtevilka"/>
        <w:jc w:val="center"/>
      </w:pPr>
    </w:p>
    <w:p w14:paraId="58BCA636" w14:textId="77777777" w:rsidR="002425D6" w:rsidRPr="009511AD" w:rsidRDefault="002425D6" w:rsidP="002425D6">
      <w:pPr>
        <w:pStyle w:val="datumtevilka"/>
        <w:jc w:val="center"/>
      </w:pPr>
    </w:p>
    <w:p w14:paraId="584139C3" w14:textId="77777777" w:rsidR="002425D6" w:rsidRPr="009511AD" w:rsidRDefault="002425D6" w:rsidP="002425D6">
      <w:pPr>
        <w:pStyle w:val="datumtevilka"/>
        <w:jc w:val="center"/>
      </w:pPr>
    </w:p>
    <w:p w14:paraId="5951C701" w14:textId="77777777" w:rsidR="002425D6" w:rsidRPr="009511AD" w:rsidRDefault="002425D6" w:rsidP="002425D6">
      <w:pPr>
        <w:pStyle w:val="datumtevilka"/>
        <w:jc w:val="center"/>
      </w:pPr>
    </w:p>
    <w:p w14:paraId="314C510C" w14:textId="77777777" w:rsidR="002425D6" w:rsidRPr="009511AD" w:rsidRDefault="002425D6" w:rsidP="002425D6">
      <w:pPr>
        <w:pStyle w:val="datumtevilka"/>
        <w:jc w:val="center"/>
      </w:pPr>
    </w:p>
    <w:p w14:paraId="57CE1179" w14:textId="77777777" w:rsidR="002425D6" w:rsidRPr="009511AD" w:rsidRDefault="002425D6" w:rsidP="002425D6">
      <w:pPr>
        <w:pStyle w:val="datumtevilka"/>
        <w:jc w:val="center"/>
      </w:pPr>
    </w:p>
    <w:p w14:paraId="1781402D" w14:textId="77777777" w:rsidR="002425D6" w:rsidRPr="009511AD" w:rsidRDefault="002425D6" w:rsidP="002425D6">
      <w:pPr>
        <w:pStyle w:val="datumtevilka"/>
        <w:jc w:val="center"/>
      </w:pPr>
    </w:p>
    <w:p w14:paraId="5487C36E" w14:textId="77777777" w:rsidR="002425D6" w:rsidRPr="009511AD" w:rsidRDefault="002425D6" w:rsidP="002425D6">
      <w:pPr>
        <w:pStyle w:val="datumtevilka"/>
        <w:jc w:val="center"/>
        <w:rPr>
          <w:b/>
          <w:sz w:val="28"/>
          <w:szCs w:val="28"/>
        </w:rPr>
      </w:pPr>
      <w:r w:rsidRPr="009511AD">
        <w:rPr>
          <w:b/>
          <w:sz w:val="28"/>
          <w:szCs w:val="28"/>
        </w:rPr>
        <w:t>Podrobnejši opis</w:t>
      </w:r>
    </w:p>
    <w:p w14:paraId="77613EEE" w14:textId="77777777" w:rsidR="002425D6" w:rsidRPr="009511AD" w:rsidRDefault="002425D6" w:rsidP="002425D6">
      <w:pPr>
        <w:pStyle w:val="datumtevilka"/>
        <w:jc w:val="center"/>
      </w:pPr>
    </w:p>
    <w:p w14:paraId="68B826D8" w14:textId="77777777" w:rsidR="002425D6" w:rsidRPr="009511AD" w:rsidRDefault="002425D6" w:rsidP="002425D6">
      <w:pPr>
        <w:pStyle w:val="datumtevilka"/>
        <w:jc w:val="center"/>
      </w:pPr>
    </w:p>
    <w:p w14:paraId="7BB72C5E" w14:textId="77777777" w:rsidR="002425D6" w:rsidRPr="009511AD" w:rsidRDefault="002425D6" w:rsidP="002425D6">
      <w:pPr>
        <w:pStyle w:val="datumtevilka"/>
        <w:jc w:val="center"/>
      </w:pPr>
    </w:p>
    <w:p w14:paraId="3D2E14AD" w14:textId="77777777" w:rsidR="002425D6" w:rsidRPr="009511AD" w:rsidRDefault="002425D6" w:rsidP="002425D6">
      <w:pPr>
        <w:pStyle w:val="datumtevilka"/>
        <w:jc w:val="center"/>
      </w:pPr>
    </w:p>
    <w:p w14:paraId="2BDBF482" w14:textId="77777777" w:rsidR="002425D6" w:rsidRPr="009511AD" w:rsidRDefault="002425D6" w:rsidP="002425D6">
      <w:pPr>
        <w:pStyle w:val="datumtevilka"/>
        <w:jc w:val="center"/>
      </w:pPr>
    </w:p>
    <w:p w14:paraId="303FF9E4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2162716D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58A63505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7B4CD329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4D4DBDA3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A70E5DD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182F2C59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64C51CBC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78EC404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1A6B81F2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2964EEC4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2028A47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523ABCE7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26DC8EE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8C2123A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084204A7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67B93C61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484E3A8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7C28B026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3FFA90D9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0A93B62B" w14:textId="77777777" w:rsidR="002425D6" w:rsidRPr="009511AD" w:rsidRDefault="002425D6" w:rsidP="002425D6">
      <w:pPr>
        <w:pStyle w:val="podpisi"/>
        <w:jc w:val="center"/>
        <w:rPr>
          <w:lang w:val="sl-SI"/>
        </w:rPr>
      </w:pPr>
    </w:p>
    <w:p w14:paraId="5FC04139" w14:textId="5AB8DFD4" w:rsidR="002425D6" w:rsidRPr="009511AD" w:rsidRDefault="0056689A" w:rsidP="002425D6">
      <w:pPr>
        <w:pStyle w:val="podpisi"/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2</w:t>
      </w:r>
      <w:r w:rsidR="00EF3863">
        <w:rPr>
          <w:b/>
          <w:sz w:val="28"/>
          <w:lang w:val="sl-SI"/>
        </w:rPr>
        <w:t>2</w:t>
      </w:r>
      <w:r w:rsidR="002425D6" w:rsidRPr="009511AD">
        <w:rPr>
          <w:b/>
          <w:sz w:val="28"/>
          <w:lang w:val="sl-SI"/>
        </w:rPr>
        <w:t>. izdaja,</w:t>
      </w:r>
      <w:r w:rsidR="00E00AE8" w:rsidRPr="009511AD">
        <w:rPr>
          <w:b/>
          <w:sz w:val="28"/>
          <w:lang w:val="sl-SI"/>
        </w:rPr>
        <w:t xml:space="preserve"> </w:t>
      </w:r>
      <w:r w:rsidR="000F1C2D">
        <w:rPr>
          <w:b/>
          <w:sz w:val="28"/>
          <w:lang w:val="sl-SI"/>
        </w:rPr>
        <w:t>januar</w:t>
      </w:r>
      <w:r>
        <w:rPr>
          <w:b/>
          <w:sz w:val="28"/>
          <w:lang w:val="sl-SI"/>
        </w:rPr>
        <w:t xml:space="preserve"> </w:t>
      </w:r>
      <w:r w:rsidR="001B615E">
        <w:rPr>
          <w:b/>
          <w:sz w:val="28"/>
          <w:lang w:val="sl-SI"/>
        </w:rPr>
        <w:t>202</w:t>
      </w:r>
      <w:r w:rsidR="000F1C2D">
        <w:rPr>
          <w:b/>
          <w:sz w:val="28"/>
          <w:lang w:val="sl-SI"/>
        </w:rPr>
        <w:t>5</w:t>
      </w:r>
    </w:p>
    <w:p w14:paraId="6D930AFC" w14:textId="77777777" w:rsidR="002425D6" w:rsidRPr="009511AD" w:rsidRDefault="002425D6" w:rsidP="002425D6">
      <w:pPr>
        <w:rPr>
          <w:b/>
          <w:sz w:val="24"/>
          <w:lang w:val="sl-SI"/>
        </w:rPr>
      </w:pPr>
      <w:r w:rsidRPr="009511AD">
        <w:rPr>
          <w:sz w:val="28"/>
          <w:lang w:val="sl-SI"/>
        </w:rPr>
        <w:br w:type="page"/>
      </w:r>
      <w:r w:rsidRPr="009511AD">
        <w:rPr>
          <w:b/>
          <w:sz w:val="24"/>
          <w:lang w:val="sl-SI"/>
        </w:rPr>
        <w:lastRenderedPageBreak/>
        <w:t>KAZALO</w:t>
      </w:r>
    </w:p>
    <w:p w14:paraId="3D19593D" w14:textId="77777777" w:rsidR="002425D6" w:rsidRPr="009511AD" w:rsidRDefault="002425D6" w:rsidP="002425D6">
      <w:pPr>
        <w:rPr>
          <w:b/>
          <w:sz w:val="24"/>
          <w:lang w:val="sl-SI"/>
        </w:rPr>
      </w:pPr>
    </w:p>
    <w:p w14:paraId="10813E06" w14:textId="77777777" w:rsidR="002425D6" w:rsidRPr="009511AD" w:rsidRDefault="002425D6" w:rsidP="002425D6">
      <w:pPr>
        <w:pStyle w:val="Kazalovsebine1"/>
        <w:spacing w:before="120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 w:rsidRPr="009511AD">
        <w:rPr>
          <w:rFonts w:ascii="Calibri" w:hAnsi="Calibri"/>
          <w:b/>
          <w:sz w:val="28"/>
          <w:szCs w:val="22"/>
          <w:lang w:val="sl-SI" w:eastAsia="sl-SI"/>
        </w:rPr>
        <w:fldChar w:fldCharType="begin"/>
      </w:r>
      <w:r w:rsidRPr="009511AD">
        <w:rPr>
          <w:b/>
          <w:sz w:val="28"/>
          <w:lang w:val="sl-SI"/>
        </w:rPr>
        <w:instrText xml:space="preserve"> TOC \h \z \t "FURS_naslov_1;1;FURS_naslov_2;2" </w:instrText>
      </w:r>
      <w:r w:rsidRPr="009511AD">
        <w:rPr>
          <w:rFonts w:ascii="Calibri" w:hAnsi="Calibri"/>
          <w:b/>
          <w:sz w:val="28"/>
          <w:szCs w:val="22"/>
          <w:lang w:val="sl-SI" w:eastAsia="sl-SI"/>
        </w:rPr>
        <w:fldChar w:fldCharType="separate"/>
      </w:r>
      <w:hyperlink w:anchor="_Toc414364205" w:history="1">
        <w:r w:rsidRPr="009511AD">
          <w:rPr>
            <w:rStyle w:val="Hiperpovezava"/>
            <w:noProof/>
            <w:lang w:val="sl-SI"/>
          </w:rPr>
          <w:t>1. KAJ SO TARIFNE OPUSTITVE</w:t>
        </w:r>
        <w:r w:rsidRPr="009511AD">
          <w:rPr>
            <w:noProof/>
            <w:webHidden/>
            <w:lang w:val="sl-SI"/>
          </w:rPr>
          <w:tab/>
        </w:r>
        <w:r w:rsidRPr="009511AD">
          <w:rPr>
            <w:noProof/>
            <w:webHidden/>
            <w:lang w:val="sl-SI"/>
          </w:rPr>
          <w:fldChar w:fldCharType="begin"/>
        </w:r>
        <w:r w:rsidRPr="009511AD">
          <w:rPr>
            <w:noProof/>
            <w:webHidden/>
            <w:lang w:val="sl-SI"/>
          </w:rPr>
          <w:instrText xml:space="preserve"> PAGEREF _Toc414364205 \h </w:instrText>
        </w:r>
        <w:r w:rsidRPr="009511AD">
          <w:rPr>
            <w:noProof/>
            <w:webHidden/>
            <w:lang w:val="sl-SI"/>
          </w:rPr>
        </w:r>
        <w:r w:rsidRPr="009511AD">
          <w:rPr>
            <w:noProof/>
            <w:webHidden/>
            <w:lang w:val="sl-SI"/>
          </w:rPr>
          <w:fldChar w:fldCharType="separate"/>
        </w:r>
        <w:r w:rsidR="00E55D46" w:rsidRPr="009511AD">
          <w:rPr>
            <w:noProof/>
            <w:webHidden/>
            <w:lang w:val="sl-SI"/>
          </w:rPr>
          <w:t>3</w:t>
        </w:r>
        <w:r w:rsidRPr="009511AD">
          <w:rPr>
            <w:noProof/>
            <w:webHidden/>
            <w:lang w:val="sl-SI"/>
          </w:rPr>
          <w:fldChar w:fldCharType="end"/>
        </w:r>
      </w:hyperlink>
    </w:p>
    <w:p w14:paraId="49351CE2" w14:textId="77777777" w:rsidR="002425D6" w:rsidRPr="009511AD" w:rsidRDefault="00000000" w:rsidP="002425D6">
      <w:pPr>
        <w:pStyle w:val="Kazalovsebine2"/>
        <w:spacing w:before="120"/>
        <w:rPr>
          <w:rFonts w:asciiTheme="minorHAnsi" w:eastAsiaTheme="minorEastAsia" w:hAnsiTheme="minorHAnsi" w:cstheme="minorBidi"/>
          <w:noProof/>
        </w:rPr>
      </w:pPr>
      <w:hyperlink w:anchor="_Toc414364206" w:history="1">
        <w:r w:rsidR="002425D6" w:rsidRPr="009511AD">
          <w:rPr>
            <w:rStyle w:val="Hiperpovezava"/>
            <w:noProof/>
          </w:rPr>
          <w:t>1.1 Namen tarifnih opustitev</w:t>
        </w:r>
        <w:r w:rsidR="002425D6" w:rsidRPr="009511AD">
          <w:rPr>
            <w:noProof/>
            <w:webHidden/>
          </w:rPr>
          <w:tab/>
        </w:r>
        <w:r w:rsidR="002425D6" w:rsidRPr="009511AD">
          <w:rPr>
            <w:noProof/>
            <w:webHidden/>
          </w:rPr>
          <w:fldChar w:fldCharType="begin"/>
        </w:r>
        <w:r w:rsidR="002425D6" w:rsidRPr="009511AD">
          <w:rPr>
            <w:noProof/>
            <w:webHidden/>
          </w:rPr>
          <w:instrText xml:space="preserve"> PAGEREF _Toc414364206 \h </w:instrText>
        </w:r>
        <w:r w:rsidR="002425D6" w:rsidRPr="009511AD">
          <w:rPr>
            <w:noProof/>
            <w:webHidden/>
          </w:rPr>
        </w:r>
        <w:r w:rsidR="002425D6" w:rsidRPr="009511AD">
          <w:rPr>
            <w:noProof/>
            <w:webHidden/>
          </w:rPr>
          <w:fldChar w:fldCharType="separate"/>
        </w:r>
        <w:r w:rsidR="00E55D46" w:rsidRPr="009511AD">
          <w:rPr>
            <w:noProof/>
            <w:webHidden/>
          </w:rPr>
          <w:t>3</w:t>
        </w:r>
        <w:r w:rsidR="002425D6" w:rsidRPr="009511AD">
          <w:rPr>
            <w:noProof/>
            <w:webHidden/>
          </w:rPr>
          <w:fldChar w:fldCharType="end"/>
        </w:r>
      </w:hyperlink>
    </w:p>
    <w:p w14:paraId="15A1E67E" w14:textId="77777777" w:rsidR="002425D6" w:rsidRPr="009511AD" w:rsidRDefault="00000000" w:rsidP="002425D6">
      <w:pPr>
        <w:pStyle w:val="Kazalovsebine2"/>
        <w:spacing w:before="120"/>
        <w:rPr>
          <w:rFonts w:asciiTheme="minorHAnsi" w:eastAsiaTheme="minorEastAsia" w:hAnsiTheme="minorHAnsi" w:cstheme="minorBidi"/>
          <w:noProof/>
        </w:rPr>
      </w:pPr>
      <w:hyperlink w:anchor="_Toc414364207" w:history="1">
        <w:r w:rsidR="002425D6" w:rsidRPr="009511AD">
          <w:rPr>
            <w:rStyle w:val="Hiperpovezava"/>
            <w:noProof/>
          </w:rPr>
          <w:t>1.2 Postopek za uvedbo opustitve avtonomnih dajatev</w:t>
        </w:r>
        <w:r w:rsidR="002425D6" w:rsidRPr="009511AD">
          <w:rPr>
            <w:noProof/>
            <w:webHidden/>
          </w:rPr>
          <w:tab/>
        </w:r>
        <w:r w:rsidR="002425D6" w:rsidRPr="009511AD">
          <w:rPr>
            <w:noProof/>
            <w:webHidden/>
          </w:rPr>
          <w:fldChar w:fldCharType="begin"/>
        </w:r>
        <w:r w:rsidR="002425D6" w:rsidRPr="009511AD">
          <w:rPr>
            <w:noProof/>
            <w:webHidden/>
          </w:rPr>
          <w:instrText xml:space="preserve"> PAGEREF _Toc414364207 \h </w:instrText>
        </w:r>
        <w:r w:rsidR="002425D6" w:rsidRPr="009511AD">
          <w:rPr>
            <w:noProof/>
            <w:webHidden/>
          </w:rPr>
        </w:r>
        <w:r w:rsidR="002425D6" w:rsidRPr="009511AD">
          <w:rPr>
            <w:noProof/>
            <w:webHidden/>
          </w:rPr>
          <w:fldChar w:fldCharType="separate"/>
        </w:r>
        <w:r w:rsidR="00E55D46" w:rsidRPr="009511AD">
          <w:rPr>
            <w:noProof/>
            <w:webHidden/>
          </w:rPr>
          <w:t>3</w:t>
        </w:r>
        <w:r w:rsidR="002425D6" w:rsidRPr="009511AD">
          <w:rPr>
            <w:noProof/>
            <w:webHidden/>
          </w:rPr>
          <w:fldChar w:fldCharType="end"/>
        </w:r>
      </w:hyperlink>
    </w:p>
    <w:p w14:paraId="7F1421D2" w14:textId="77777777" w:rsidR="002425D6" w:rsidRPr="009511AD" w:rsidRDefault="00000000" w:rsidP="002425D6">
      <w:pPr>
        <w:pStyle w:val="Kazalovsebine1"/>
        <w:spacing w:before="120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414364208" w:history="1">
        <w:r w:rsidR="002425D6" w:rsidRPr="009511AD">
          <w:rPr>
            <w:rStyle w:val="Hiperpovezava"/>
            <w:noProof/>
            <w:lang w:val="sl-SI"/>
          </w:rPr>
          <w:t>2. UPORABNO ZA UVOZNIKA</w:t>
        </w:r>
        <w:r w:rsidR="002425D6" w:rsidRPr="009511AD">
          <w:rPr>
            <w:noProof/>
            <w:webHidden/>
            <w:lang w:val="sl-SI"/>
          </w:rPr>
          <w:tab/>
        </w:r>
        <w:r w:rsidR="002425D6" w:rsidRPr="009511AD">
          <w:rPr>
            <w:noProof/>
            <w:webHidden/>
            <w:lang w:val="sl-SI"/>
          </w:rPr>
          <w:fldChar w:fldCharType="begin"/>
        </w:r>
        <w:r w:rsidR="002425D6" w:rsidRPr="009511AD">
          <w:rPr>
            <w:noProof/>
            <w:webHidden/>
            <w:lang w:val="sl-SI"/>
          </w:rPr>
          <w:instrText xml:space="preserve"> PAGEREF _Toc414364208 \h </w:instrText>
        </w:r>
        <w:r w:rsidR="002425D6" w:rsidRPr="009511AD">
          <w:rPr>
            <w:noProof/>
            <w:webHidden/>
            <w:lang w:val="sl-SI"/>
          </w:rPr>
        </w:r>
        <w:r w:rsidR="002425D6" w:rsidRPr="009511AD">
          <w:rPr>
            <w:noProof/>
            <w:webHidden/>
            <w:lang w:val="sl-SI"/>
          </w:rPr>
          <w:fldChar w:fldCharType="separate"/>
        </w:r>
        <w:r w:rsidR="00E55D46" w:rsidRPr="009511AD">
          <w:rPr>
            <w:noProof/>
            <w:webHidden/>
            <w:lang w:val="sl-SI"/>
          </w:rPr>
          <w:t>3</w:t>
        </w:r>
        <w:r w:rsidR="002425D6" w:rsidRPr="009511AD">
          <w:rPr>
            <w:noProof/>
            <w:webHidden/>
            <w:lang w:val="sl-SI"/>
          </w:rPr>
          <w:fldChar w:fldCharType="end"/>
        </w:r>
      </w:hyperlink>
    </w:p>
    <w:p w14:paraId="42628261" w14:textId="77777777" w:rsidR="002425D6" w:rsidRPr="009511AD" w:rsidRDefault="00000000" w:rsidP="002425D6">
      <w:pPr>
        <w:pStyle w:val="Kazalovsebine1"/>
        <w:spacing w:before="120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414364209" w:history="1">
        <w:r w:rsidR="002425D6" w:rsidRPr="009511AD">
          <w:rPr>
            <w:rStyle w:val="Hiperpovezava"/>
            <w:noProof/>
            <w:lang w:val="sl-SI"/>
          </w:rPr>
          <w:t>3. OPUSTITEV AVTONOMNIH DAJATEV - CIVILNI ZRAKOPLOVI</w:t>
        </w:r>
        <w:r w:rsidR="002425D6" w:rsidRPr="009511AD">
          <w:rPr>
            <w:noProof/>
            <w:webHidden/>
            <w:lang w:val="sl-SI"/>
          </w:rPr>
          <w:tab/>
        </w:r>
        <w:r w:rsidR="002425D6" w:rsidRPr="009511AD">
          <w:rPr>
            <w:noProof/>
            <w:webHidden/>
            <w:lang w:val="sl-SI"/>
          </w:rPr>
          <w:fldChar w:fldCharType="begin"/>
        </w:r>
        <w:r w:rsidR="002425D6" w:rsidRPr="009511AD">
          <w:rPr>
            <w:noProof/>
            <w:webHidden/>
            <w:lang w:val="sl-SI"/>
          </w:rPr>
          <w:instrText xml:space="preserve"> PAGEREF _Toc414364209 \h </w:instrText>
        </w:r>
        <w:r w:rsidR="002425D6" w:rsidRPr="009511AD">
          <w:rPr>
            <w:noProof/>
            <w:webHidden/>
            <w:lang w:val="sl-SI"/>
          </w:rPr>
        </w:r>
        <w:r w:rsidR="002425D6" w:rsidRPr="009511AD">
          <w:rPr>
            <w:noProof/>
            <w:webHidden/>
            <w:lang w:val="sl-SI"/>
          </w:rPr>
          <w:fldChar w:fldCharType="separate"/>
        </w:r>
        <w:r w:rsidR="00E55D46" w:rsidRPr="009511AD">
          <w:rPr>
            <w:noProof/>
            <w:webHidden/>
            <w:lang w:val="sl-SI"/>
          </w:rPr>
          <w:t>4</w:t>
        </w:r>
        <w:r w:rsidR="002425D6" w:rsidRPr="009511AD">
          <w:rPr>
            <w:noProof/>
            <w:webHidden/>
            <w:lang w:val="sl-SI"/>
          </w:rPr>
          <w:fldChar w:fldCharType="end"/>
        </w:r>
      </w:hyperlink>
    </w:p>
    <w:p w14:paraId="58309E46" w14:textId="77777777" w:rsidR="002425D6" w:rsidRPr="009511AD" w:rsidRDefault="002425D6" w:rsidP="002425D6">
      <w:pPr>
        <w:pStyle w:val="FURSnaslov1"/>
        <w:spacing w:before="120"/>
      </w:pPr>
      <w:r w:rsidRPr="009511AD">
        <w:rPr>
          <w:sz w:val="28"/>
        </w:rPr>
        <w:fldChar w:fldCharType="end"/>
      </w:r>
      <w:r w:rsidRPr="009511AD">
        <w:rPr>
          <w:sz w:val="28"/>
        </w:rPr>
        <w:br w:type="page"/>
      </w:r>
      <w:bookmarkStart w:id="0" w:name="_Toc398880571"/>
      <w:bookmarkStart w:id="1" w:name="_Toc414364205"/>
      <w:r w:rsidRPr="009511AD">
        <w:lastRenderedPageBreak/>
        <w:t xml:space="preserve">1. </w:t>
      </w:r>
      <w:bookmarkEnd w:id="0"/>
      <w:r w:rsidRPr="009511AD">
        <w:t>KAJ SO TARIFNE OPUSTITVE</w:t>
      </w:r>
      <w:bookmarkEnd w:id="1"/>
    </w:p>
    <w:p w14:paraId="5C34D7DE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Tarifne opustitve omogočajo popolno ali delno opustitev avtonomnih dajatev skupne carinske tarife za uvoz določenega blaga v neomejenih količinah, kot je to določeno v 26. členu Pogodbe o ustanovitvi Evropske skupnosti in Sporočilu Komisije v zvezi z avtonomnimi tarifnimi opustitvami in kvotami (98/C128/02). </w:t>
      </w:r>
    </w:p>
    <w:p w14:paraId="724A43D3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2618F03D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Opustitve so lahko uvedene samo začasno, zaradi specifičnih gospodarskih razlogov v splošnem interesu Unije, na osnovi predloga Komisije.</w:t>
      </w:r>
    </w:p>
    <w:p w14:paraId="25C50DEF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13B43F07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Ukrep se uporablja pri uvozu iz vseh tretjih držav. </w:t>
      </w:r>
    </w:p>
    <w:p w14:paraId="04E2A1AD" w14:textId="77777777" w:rsidR="002425D6" w:rsidRPr="009511AD" w:rsidRDefault="002425D6" w:rsidP="002425D6">
      <w:pPr>
        <w:jc w:val="both"/>
        <w:rPr>
          <w:lang w:val="sl-SI"/>
        </w:rPr>
      </w:pPr>
    </w:p>
    <w:p w14:paraId="05610AD2" w14:textId="77777777" w:rsidR="002425D6" w:rsidRPr="009511AD" w:rsidRDefault="002425D6" w:rsidP="002425D6">
      <w:pPr>
        <w:jc w:val="both"/>
        <w:rPr>
          <w:lang w:val="sl-SI"/>
        </w:rPr>
      </w:pPr>
    </w:p>
    <w:p w14:paraId="76E8CAC4" w14:textId="77777777" w:rsidR="002425D6" w:rsidRPr="009511AD" w:rsidRDefault="002425D6" w:rsidP="002425D6">
      <w:pPr>
        <w:pStyle w:val="FURSnaslov2"/>
      </w:pPr>
      <w:bookmarkStart w:id="2" w:name="_Toc414364206"/>
      <w:r w:rsidRPr="009511AD">
        <w:t>1.1 Namen tarifnih opustitev</w:t>
      </w:r>
      <w:bookmarkEnd w:id="2"/>
    </w:p>
    <w:p w14:paraId="5BB7AF0C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Osnovni namen opustitev je omogočiti podjetjem v Uniji preskrbo s surovinami, polizdelki ali sestavnimi deli, ki so v Uniji nedosegljivi, brez plačila običajnih uvoznih dajatev. </w:t>
      </w:r>
    </w:p>
    <w:p w14:paraId="30C3444A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4E1F980F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Materiali, ki so namenjeni uporabi v proizvodnem procesu, se lahko z opustitvijo dajatev uvozijo pod pogojem, da so specifični in nujni za proizvodnjo jasno prepoznavnega izdelka ter njihov uvoz ne škoduje konkurenčnosti med podjetji v Uniji.</w:t>
      </w:r>
    </w:p>
    <w:p w14:paraId="2D1954BD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3FD48F9B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Dokončani izdelki, ki se uporabljajo kot deli v končnem izdelku, se lahko uvozijo z opustitvijo dajatev pod pogojem, da je dodana vrednost sestavljanja zadostno visoka.</w:t>
      </w:r>
    </w:p>
    <w:p w14:paraId="589608F2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 </w:t>
      </w:r>
    </w:p>
    <w:p w14:paraId="0EE20B60" w14:textId="77777777" w:rsidR="002425D6" w:rsidRPr="009511AD" w:rsidRDefault="002425D6" w:rsidP="002425D6">
      <w:pPr>
        <w:jc w:val="both"/>
        <w:rPr>
          <w:rFonts w:eastAsia="Calibri" w:cs="Arial"/>
          <w:szCs w:val="20"/>
          <w:lang w:val="sl-SI"/>
        </w:rPr>
      </w:pPr>
      <w:r w:rsidRPr="009511AD">
        <w:rPr>
          <w:rFonts w:eastAsia="Calibri" w:cs="Arial"/>
          <w:szCs w:val="20"/>
          <w:lang w:val="sl-SI"/>
        </w:rPr>
        <w:t>S tem, ko se podjetjem omogoči, da se v določenem obdobju oskrbujejo po nižji ceni, se izboljša njihova konkurenčna sposobnost, spodbuja se gospodarska dejavnost v Uniji in ustvarjajo nova ali ohranjajo stara delovna mesta.</w:t>
      </w:r>
    </w:p>
    <w:p w14:paraId="10DB2517" w14:textId="77777777" w:rsidR="002425D6" w:rsidRPr="009511AD" w:rsidRDefault="002425D6" w:rsidP="002425D6">
      <w:pPr>
        <w:jc w:val="both"/>
        <w:rPr>
          <w:lang w:val="sl-SI"/>
        </w:rPr>
      </w:pPr>
    </w:p>
    <w:p w14:paraId="422A9435" w14:textId="77777777" w:rsidR="002425D6" w:rsidRPr="009511AD" w:rsidRDefault="002425D6" w:rsidP="002425D6">
      <w:pPr>
        <w:jc w:val="both"/>
        <w:rPr>
          <w:lang w:val="sl-SI"/>
        </w:rPr>
      </w:pPr>
    </w:p>
    <w:p w14:paraId="76849F93" w14:textId="77777777" w:rsidR="002425D6" w:rsidRPr="009511AD" w:rsidRDefault="002425D6" w:rsidP="002425D6">
      <w:pPr>
        <w:pStyle w:val="FURSnaslov2"/>
      </w:pPr>
      <w:bookmarkStart w:id="3" w:name="c11396"/>
      <w:bookmarkStart w:id="4" w:name="_Toc414364207"/>
      <w:bookmarkEnd w:id="3"/>
      <w:r w:rsidRPr="009511AD">
        <w:t>1.2 Postopek za uvedbo opustitve avtonomnih dajatev</w:t>
      </w:r>
      <w:bookmarkEnd w:id="4"/>
    </w:p>
    <w:p w14:paraId="58EAC0F0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 xml:space="preserve">Podjetje v Uniji, ki se sooča s težavami pri preskrbi z določenim blagom, lahko sproži postopek za uvedbo opustitve avtonomnih dajatev. Zahtevek za tarifno opustitev se predloži </w:t>
      </w:r>
      <w:hyperlink r:id="rId11" w:tgtFrame="_blank" w:history="1">
        <w:r w:rsidRPr="009511AD">
          <w:rPr>
            <w:rStyle w:val="Hiperpovezava"/>
            <w:rFonts w:eastAsia="Calibri" w:cs="Arial"/>
            <w:szCs w:val="20"/>
            <w:lang w:val="sl-SI"/>
          </w:rPr>
          <w:t>Ministrstvu za gospodarski razvoj in tehnologijo</w:t>
        </w:r>
      </w:hyperlink>
      <w:r w:rsidRPr="009511AD">
        <w:rPr>
          <w:rStyle w:val="Hiperpovezava"/>
          <w:rFonts w:eastAsia="Calibri" w:cs="Arial"/>
          <w:szCs w:val="20"/>
          <w:lang w:val="sl-SI"/>
        </w:rPr>
        <w:t>,</w:t>
      </w:r>
      <w:r w:rsidRPr="009511AD">
        <w:rPr>
          <w:color w:val="4F81BD" w:themeColor="accent1"/>
          <w:lang w:val="sl-SI"/>
        </w:rPr>
        <w:t xml:space="preserve"> </w:t>
      </w:r>
      <w:r w:rsidRPr="009511AD">
        <w:rPr>
          <w:lang w:val="sl-SI"/>
        </w:rPr>
        <w:t>ki upravičene zahtevke pošlje Generalnemu direktoratu Evropske komisije za obdavčenje in carinsko unijo (DG TAXUD).</w:t>
      </w:r>
    </w:p>
    <w:p w14:paraId="40F89ED0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> </w:t>
      </w:r>
    </w:p>
    <w:p w14:paraId="1CF1736C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 xml:space="preserve">Za izvajanje začasne opustitve carine na </w:t>
      </w:r>
      <w:hyperlink r:id="rId12" w:tooltip="Opens internal link in current window" w:history="1">
        <w:r w:rsidRPr="009511AD">
          <w:rPr>
            <w:rStyle w:val="Hiperpovezava"/>
            <w:rFonts w:eastAsia="Calibri" w:cs="Arial"/>
            <w:szCs w:val="20"/>
            <w:lang w:val="sl-SI"/>
          </w:rPr>
          <w:t>civilne zrakoplove</w:t>
        </w:r>
      </w:hyperlink>
      <w:r w:rsidRPr="009511AD">
        <w:rPr>
          <w:lang w:val="sl-SI"/>
        </w:rPr>
        <w:t xml:space="preserve"> je odgovorna carinska administracija države članice.</w:t>
      </w:r>
    </w:p>
    <w:p w14:paraId="75E5B240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> </w:t>
      </w:r>
    </w:p>
    <w:p w14:paraId="07F42E0D" w14:textId="77777777" w:rsidR="002425D6" w:rsidRPr="009511AD" w:rsidRDefault="002425D6" w:rsidP="002425D6">
      <w:pPr>
        <w:jc w:val="both"/>
        <w:rPr>
          <w:lang w:val="sl-SI"/>
        </w:rPr>
      </w:pPr>
      <w:r w:rsidRPr="009511AD">
        <w:rPr>
          <w:lang w:val="sl-SI"/>
        </w:rPr>
        <w:t xml:space="preserve">Postopek vložitve zahtevka je opisan na spletni strani </w:t>
      </w:r>
      <w:r w:rsidRPr="009511AD">
        <w:rPr>
          <w:bCs/>
          <w:lang w:val="sl-SI"/>
        </w:rPr>
        <w:t>Javne agencije Republike Slovenije za spodbujanje podjetništva, inovativnosti, razvoja, investicij in turizma</w:t>
      </w:r>
      <w:r w:rsidRPr="009511AD">
        <w:rPr>
          <w:lang w:val="sl-SI"/>
        </w:rPr>
        <w:t xml:space="preserve"> (SPIRIT Slovenija, javna agencija) pod imenom </w:t>
      </w:r>
      <w:r w:rsidRPr="009511AD">
        <w:rPr>
          <w:rStyle w:val="Hiperpovezava"/>
          <w:rFonts w:eastAsia="Calibri" w:cs="Arial"/>
          <w:szCs w:val="20"/>
          <w:lang w:val="sl-SI"/>
        </w:rPr>
        <w:t>»</w:t>
      </w:r>
      <w:hyperlink r:id="rId13" w:tgtFrame="_blank" w:history="1">
        <w:r w:rsidRPr="009511AD">
          <w:rPr>
            <w:rStyle w:val="Hiperpovezava"/>
            <w:rFonts w:eastAsia="Calibri" w:cs="Arial"/>
            <w:szCs w:val="20"/>
            <w:lang w:val="sl-SI"/>
          </w:rPr>
          <w:t>Izvozno okno</w:t>
        </w:r>
      </w:hyperlink>
      <w:r w:rsidRPr="009511AD">
        <w:rPr>
          <w:rStyle w:val="Hiperpovezava"/>
          <w:rFonts w:eastAsia="Calibri" w:cs="Arial"/>
          <w:szCs w:val="20"/>
          <w:lang w:val="sl-SI"/>
        </w:rPr>
        <w:t>«.</w:t>
      </w:r>
      <w:r w:rsidRPr="009511AD">
        <w:rPr>
          <w:lang w:val="sl-SI"/>
        </w:rPr>
        <w:t xml:space="preserve"> </w:t>
      </w:r>
    </w:p>
    <w:p w14:paraId="3D97524F" w14:textId="77777777" w:rsidR="002425D6" w:rsidRPr="009511AD" w:rsidRDefault="002425D6" w:rsidP="002425D6">
      <w:pPr>
        <w:jc w:val="both"/>
        <w:rPr>
          <w:lang w:val="sl-SI"/>
        </w:rPr>
      </w:pPr>
    </w:p>
    <w:p w14:paraId="713D7344" w14:textId="77777777" w:rsidR="002425D6" w:rsidRPr="009511AD" w:rsidRDefault="002425D6" w:rsidP="002425D6">
      <w:pPr>
        <w:jc w:val="both"/>
        <w:rPr>
          <w:lang w:val="sl-SI"/>
        </w:rPr>
      </w:pPr>
    </w:p>
    <w:p w14:paraId="5D7BFE59" w14:textId="77777777" w:rsidR="002425D6" w:rsidRPr="009511AD" w:rsidRDefault="002425D6" w:rsidP="002425D6">
      <w:pPr>
        <w:pStyle w:val="FURSnaslov1"/>
      </w:pPr>
      <w:bookmarkStart w:id="5" w:name="_Toc414364208"/>
      <w:r w:rsidRPr="009511AD">
        <w:t>2. UPORABNO ZA UVOZNIKA</w:t>
      </w:r>
      <w:bookmarkEnd w:id="5"/>
    </w:p>
    <w:p w14:paraId="78D985E7" w14:textId="77777777" w:rsidR="002425D6" w:rsidRPr="009511AD" w:rsidRDefault="002425D6" w:rsidP="002425D6">
      <w:pPr>
        <w:numPr>
          <w:ilvl w:val="0"/>
          <w:numId w:val="20"/>
        </w:numPr>
        <w:contextualSpacing/>
        <w:jc w:val="both"/>
        <w:rPr>
          <w:rStyle w:val="Hiperpovezava"/>
          <w:rFonts w:eastAsia="Calibri" w:cs="Arial"/>
          <w:color w:val="auto"/>
          <w:szCs w:val="20"/>
          <w:u w:val="none"/>
          <w:lang w:val="sl-SI"/>
        </w:rPr>
      </w:pPr>
      <w:r w:rsidRPr="009511AD">
        <w:rPr>
          <w:rFonts w:eastAsia="Calibri" w:cs="Arial"/>
          <w:szCs w:val="20"/>
          <w:lang w:val="sl-SI"/>
        </w:rPr>
        <w:t xml:space="preserve">Opustitev avtonomnih dajatev za uvoz izdelkov, namenjenih za </w:t>
      </w:r>
      <w:r w:rsidRPr="009511AD">
        <w:rPr>
          <w:lang w:val="sl-SI"/>
        </w:rPr>
        <w:t>civilne zrakoplove</w:t>
      </w:r>
      <w:r w:rsidRPr="009511AD">
        <w:rPr>
          <w:rFonts w:eastAsia="Calibri" w:cs="Arial"/>
          <w:szCs w:val="20"/>
          <w:lang w:val="sl-SI"/>
        </w:rPr>
        <w:t>, ki jo ureja </w:t>
      </w:r>
      <w:hyperlink r:id="rId14" w:history="1">
        <w:r w:rsidRPr="009511AD">
          <w:rPr>
            <w:rStyle w:val="Hiperpovezava"/>
            <w:rFonts w:eastAsia="Calibri" w:cs="Arial"/>
            <w:szCs w:val="20"/>
            <w:lang w:val="sl-SI"/>
          </w:rPr>
          <w:t>Uredba Sveta (ES) št. 2018/581 z dne 18. 4. 2018</w:t>
        </w:r>
      </w:hyperlink>
      <w:r w:rsidRPr="009511AD">
        <w:rPr>
          <w:rFonts w:eastAsia="Calibri" w:cs="Arial"/>
          <w:szCs w:val="20"/>
          <w:lang w:val="sl-SI"/>
        </w:rPr>
        <w:t xml:space="preserve"> </w:t>
      </w:r>
      <w:r w:rsidRPr="009511AD">
        <w:rPr>
          <w:lang w:val="sl-SI"/>
        </w:rPr>
        <w:t>o začasni opustitvi avtonomnih dajatev skupne carinske tarife za nekatero blago, ki se vgrajuje v zrakoplove ali se v njih uporablja, in o razveljavitvi Uredbe (ES) št. 1147/2002.</w:t>
      </w:r>
    </w:p>
    <w:p w14:paraId="4BF2EC7F" w14:textId="77777777" w:rsidR="002425D6" w:rsidRPr="009511AD" w:rsidRDefault="00000000" w:rsidP="002425D6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</w:rPr>
      </w:pPr>
      <w:hyperlink r:id="rId15" w:history="1">
        <w:r w:rsidR="002425D6" w:rsidRPr="00657500">
          <w:rPr>
            <w:rStyle w:val="Hiperpovezava"/>
            <w:lang w:val="sl-SI"/>
          </w:rPr>
          <w:t xml:space="preserve">Uredba Sveta (EU) št. </w:t>
        </w:r>
        <w:r w:rsidR="00657500" w:rsidRPr="00657500">
          <w:rPr>
            <w:rStyle w:val="Hiperpovezava"/>
            <w:lang w:val="sl-SI"/>
          </w:rPr>
          <w:t>2021</w:t>
        </w:r>
        <w:r w:rsidR="002425D6" w:rsidRPr="00657500">
          <w:rPr>
            <w:rStyle w:val="Hiperpovezava"/>
            <w:lang w:val="sl-SI"/>
          </w:rPr>
          <w:t>/</w:t>
        </w:r>
        <w:r w:rsidR="00657500" w:rsidRPr="00657500">
          <w:rPr>
            <w:rStyle w:val="Hiperpovezava"/>
            <w:lang w:val="sl-SI"/>
          </w:rPr>
          <w:t>2283</w:t>
        </w:r>
        <w:r w:rsidR="002425D6" w:rsidRPr="00657500">
          <w:rPr>
            <w:rStyle w:val="Hiperpovezava"/>
            <w:rFonts w:eastAsia="Calibri" w:cs="Arial"/>
            <w:szCs w:val="20"/>
            <w:lang w:val="sl-SI"/>
          </w:rPr>
          <w:t xml:space="preserve"> z dne </w:t>
        </w:r>
        <w:r w:rsidR="00657500" w:rsidRPr="00657500">
          <w:rPr>
            <w:rStyle w:val="Hiperpovezava"/>
            <w:rFonts w:eastAsia="Calibri" w:cs="Arial"/>
            <w:szCs w:val="20"/>
            <w:lang w:val="sl-SI"/>
          </w:rPr>
          <w:t>20</w:t>
        </w:r>
        <w:r w:rsidR="002425D6" w:rsidRPr="00657500">
          <w:rPr>
            <w:rStyle w:val="Hiperpovezava"/>
            <w:rFonts w:eastAsia="Calibri" w:cs="Arial"/>
            <w:szCs w:val="20"/>
            <w:lang w:val="sl-SI"/>
          </w:rPr>
          <w:t>. decembra 20</w:t>
        </w:r>
        <w:r w:rsidR="00657500" w:rsidRPr="00657500">
          <w:rPr>
            <w:rStyle w:val="Hiperpovezava"/>
            <w:rFonts w:eastAsia="Calibri" w:cs="Arial"/>
            <w:szCs w:val="20"/>
            <w:lang w:val="sl-SI"/>
          </w:rPr>
          <w:t>2</w:t>
        </w:r>
        <w:r w:rsidR="002425D6" w:rsidRPr="00657500">
          <w:rPr>
            <w:rStyle w:val="Hiperpovezava"/>
            <w:rFonts w:eastAsia="Calibri" w:cs="Arial"/>
            <w:szCs w:val="20"/>
            <w:lang w:val="sl-SI"/>
          </w:rPr>
          <w:t>1</w:t>
        </w:r>
      </w:hyperlink>
      <w:r w:rsidR="002425D6" w:rsidRPr="009511AD">
        <w:rPr>
          <w:rFonts w:eastAsia="Calibri" w:cs="Arial"/>
          <w:szCs w:val="20"/>
          <w:lang w:val="sl-SI"/>
        </w:rPr>
        <w:t xml:space="preserve"> </w:t>
      </w:r>
      <w:r w:rsidR="00657500" w:rsidRPr="00657500">
        <w:rPr>
          <w:rFonts w:eastAsia="Calibri" w:cs="Arial"/>
          <w:szCs w:val="20"/>
          <w:lang w:val="sl-SI"/>
        </w:rPr>
        <w:t>o odprtju in zagotavljanju upravljanja avtonomnih tarifnih kvot Unije za nekatere kmetijske in industrijske proizvode ter razveljavitvi Uredbe (EU) št. 1388/2013</w:t>
      </w:r>
    </w:p>
    <w:p w14:paraId="4167AE76" w14:textId="77777777" w:rsidR="00657500" w:rsidRPr="009511AD" w:rsidRDefault="00000000" w:rsidP="00657500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</w:rPr>
      </w:pPr>
      <w:hyperlink r:id="rId16" w:history="1">
        <w:r w:rsidR="00657500" w:rsidRPr="00657500">
          <w:rPr>
            <w:rStyle w:val="Hiperpovezava"/>
            <w:lang w:val="sl-SI"/>
          </w:rPr>
          <w:t>Uredba Sveta (EU) št. 2021/2278</w:t>
        </w:r>
        <w:r w:rsidR="00657500" w:rsidRPr="00657500">
          <w:rPr>
            <w:rStyle w:val="Hiperpovezava"/>
            <w:rFonts w:eastAsia="Calibri" w:cs="Arial"/>
            <w:szCs w:val="20"/>
            <w:lang w:val="sl-SI"/>
          </w:rPr>
          <w:t xml:space="preserve"> z dne 20. decembra 2021</w:t>
        </w:r>
      </w:hyperlink>
      <w:r w:rsidR="00657500" w:rsidRPr="009511AD">
        <w:rPr>
          <w:rFonts w:eastAsia="Calibri" w:cs="Arial"/>
          <w:szCs w:val="20"/>
          <w:lang w:val="sl-SI"/>
        </w:rPr>
        <w:t xml:space="preserve"> </w:t>
      </w:r>
      <w:r w:rsidR="00657500" w:rsidRPr="00657500">
        <w:rPr>
          <w:rFonts w:eastAsia="Calibri" w:cs="Arial"/>
          <w:szCs w:val="20"/>
          <w:lang w:val="sl-SI"/>
        </w:rPr>
        <w:t>o opustitvi dajatev skupne carinske tarife iz člena 56(2), točka (c), Uredbe (EU) št. 952/2013 za nekatere kmetijske in industrijske proizvode ter razveljavitvi Uredbe (EU) št. 1387/2013</w:t>
      </w:r>
    </w:p>
    <w:p w14:paraId="419CB50A" w14:textId="77ECED37" w:rsidR="00EB7DEC" w:rsidRPr="00280E9A" w:rsidRDefault="00BE4FE6" w:rsidP="00EB7DEC">
      <w:pPr>
        <w:numPr>
          <w:ilvl w:val="0"/>
          <w:numId w:val="20"/>
        </w:numPr>
        <w:contextualSpacing/>
        <w:jc w:val="both"/>
        <w:rPr>
          <w:bCs/>
          <w:lang w:val="sl-SI"/>
        </w:rPr>
      </w:pPr>
      <w:r>
        <w:rPr>
          <w:rFonts w:eastAsiaTheme="minorEastAsia"/>
          <w:bCs/>
          <w:lang w:val="sl-SI"/>
        </w:rPr>
        <w:lastRenderedPageBreak/>
        <w:t xml:space="preserve">Uredbe sveta (EU) </w:t>
      </w:r>
      <w:r w:rsidRPr="00BE4FE6">
        <w:rPr>
          <w:rFonts w:eastAsiaTheme="minorEastAsia"/>
          <w:bCs/>
          <w:lang w:val="sl-SI"/>
        </w:rPr>
        <w:t xml:space="preserve">o odprtju in zagotavljanju upravljanja </w:t>
      </w:r>
      <w:r w:rsidRPr="00BE4FE6">
        <w:rPr>
          <w:rFonts w:eastAsiaTheme="minorEastAsia"/>
          <w:b/>
          <w:lang w:val="sl-SI"/>
        </w:rPr>
        <w:t>avtonomnih tarifnih kvot</w:t>
      </w:r>
      <w:r w:rsidRPr="00BE4FE6">
        <w:rPr>
          <w:rFonts w:eastAsiaTheme="minorEastAsia"/>
          <w:bCs/>
          <w:lang w:val="sl-SI"/>
        </w:rPr>
        <w:t xml:space="preserve"> Unije za nekatere kmetijske in industrijske proizvode ter razveljavitvi Uredbe (EU) št. 1388/2013</w:t>
      </w:r>
      <w:r w:rsidR="00EB7DEC" w:rsidRPr="009511AD">
        <w:rPr>
          <w:rFonts w:eastAsiaTheme="minorEastAsia"/>
          <w:bCs/>
          <w:lang w:val="sl-SI"/>
        </w:rPr>
        <w:t xml:space="preserve">: </w:t>
      </w:r>
    </w:p>
    <w:bookmarkStart w:id="6" w:name="_Hlk77671164"/>
    <w:bookmarkStart w:id="7" w:name="_Hlk92359707"/>
    <w:p w14:paraId="3686935B" w14:textId="04EBD913" w:rsidR="00EF3863" w:rsidRPr="002224EB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begin"/>
      </w:r>
      <w:r>
        <w:rPr>
          <w:rStyle w:val="Hiperpovezava"/>
          <w:lang w:val="sl-SI"/>
        </w:rPr>
        <w:instrText>HYPERLINK "https://eur-lex.europa.eu/legal-content/SL/TXT/PDF/?uri=OJ:L_202403213&amp;qid=1736263486278"</w:instrText>
      </w:r>
      <w:r>
        <w:rPr>
          <w:rStyle w:val="Hiperpovezava"/>
          <w:lang w:val="sl-SI"/>
        </w:rPr>
      </w:r>
      <w:r>
        <w:rPr>
          <w:rStyle w:val="Hiperpovezava"/>
          <w:lang w:val="sl-SI"/>
        </w:rPr>
        <w:fldChar w:fldCharType="separate"/>
      </w:r>
      <w:r w:rsidR="00EF3863" w:rsidRPr="002224EB">
        <w:rPr>
          <w:rStyle w:val="Hiperpovezava"/>
          <w:lang w:val="sl-SI"/>
        </w:rPr>
        <w:t>Uredba Sveta (EU) 2024/3213 z dne 16. decembra 2024</w:t>
      </w:r>
    </w:p>
    <w:p w14:paraId="42F1717D" w14:textId="3B48E59A" w:rsidR="0056689A" w:rsidRPr="00E00F7A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end"/>
      </w:r>
      <w:hyperlink r:id="rId17" w:history="1">
        <w:r w:rsidR="0056689A" w:rsidRPr="0056689A">
          <w:rPr>
            <w:rStyle w:val="Hiperpovezava"/>
            <w:lang w:val="sl-SI"/>
          </w:rPr>
          <w:t>Uredba Sveta (EU) 2024/1829 z dne 25. junija 2024</w:t>
        </w:r>
      </w:hyperlink>
    </w:p>
    <w:p w14:paraId="74EAAD8C" w14:textId="1C995F80" w:rsidR="001B615E" w:rsidRPr="003C36AD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color w:val="auto"/>
          <w:lang w:val="sl-SI"/>
        </w:rPr>
        <w:fldChar w:fldCharType="begin"/>
      </w:r>
      <w:r>
        <w:rPr>
          <w:rStyle w:val="Hiperpovezava"/>
          <w:color w:val="auto"/>
          <w:lang w:val="sl-SI"/>
        </w:rPr>
        <w:instrText xml:space="preserve"> HYPERLINK "https://eur-lex.europa.eu/legal-content/SL/TXT/PDF/?uri=OJ:L_202302880" </w:instrText>
      </w:r>
      <w:r>
        <w:rPr>
          <w:rStyle w:val="Hiperpovezava"/>
          <w:color w:val="auto"/>
          <w:lang w:val="sl-SI"/>
        </w:rPr>
      </w:r>
      <w:r>
        <w:rPr>
          <w:rStyle w:val="Hiperpovezava"/>
          <w:color w:val="auto"/>
          <w:lang w:val="sl-SI"/>
        </w:rPr>
        <w:fldChar w:fldCharType="separate"/>
      </w:r>
      <w:r w:rsidR="001B615E" w:rsidRPr="003C36AD">
        <w:rPr>
          <w:rStyle w:val="Hiperpovezava"/>
          <w:lang w:val="sl-SI"/>
        </w:rPr>
        <w:t>Uredba Sveta (EU) 2023/2880 z dne 19. decembra 2023</w:t>
      </w:r>
    </w:p>
    <w:p w14:paraId="13AD59D3" w14:textId="3676ED36" w:rsidR="00852743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color w:val="auto"/>
          <w:lang w:val="sl-SI"/>
        </w:rPr>
      </w:pPr>
      <w:r>
        <w:rPr>
          <w:rStyle w:val="Hiperpovezava"/>
          <w:color w:val="auto"/>
          <w:lang w:val="sl-SI"/>
        </w:rPr>
        <w:fldChar w:fldCharType="end"/>
      </w:r>
      <w:hyperlink r:id="rId18" w:history="1">
        <w:r w:rsidR="00852743" w:rsidRPr="00852743">
          <w:rPr>
            <w:rStyle w:val="Hiperpovezava"/>
            <w:lang w:val="sl-SI"/>
          </w:rPr>
          <w:t>Uredba Sveta (EU) 2023/1191 z dne 16. junija 2023</w:t>
        </w:r>
      </w:hyperlink>
    </w:p>
    <w:p w14:paraId="014327BF" w14:textId="1A85A23A" w:rsidR="00EC746B" w:rsidRPr="00EC746B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color w:val="auto"/>
          <w:lang w:val="sl-SI"/>
        </w:rPr>
      </w:pPr>
      <w:hyperlink r:id="rId19" w:history="1">
        <w:r w:rsidR="00EC746B" w:rsidRPr="00EC746B">
          <w:rPr>
            <w:rStyle w:val="Hiperpovezava"/>
            <w:lang w:val="sl-SI"/>
          </w:rPr>
          <w:t xml:space="preserve">Uredba </w:t>
        </w:r>
        <w:r w:rsidR="00EC746B" w:rsidRPr="00EC746B">
          <w:rPr>
            <w:rStyle w:val="Hiperpovezava"/>
            <w:bCs/>
            <w:lang w:val="sl-SI"/>
          </w:rPr>
          <w:t>Sveta</w:t>
        </w:r>
        <w:r w:rsidR="00EC746B" w:rsidRPr="00EC746B">
          <w:rPr>
            <w:rStyle w:val="Hiperpovezava"/>
            <w:lang w:val="sl-SI"/>
          </w:rPr>
          <w:t xml:space="preserve"> (EU) 2022/2563 z dne 19. decembra 2022</w:t>
        </w:r>
      </w:hyperlink>
    </w:p>
    <w:p w14:paraId="1BD0A4BC" w14:textId="0791D91F" w:rsidR="008F51E8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0" w:history="1">
        <w:r w:rsidR="008F51E8" w:rsidRPr="00983F0E">
          <w:rPr>
            <w:rStyle w:val="Hiperpovezava"/>
            <w:lang w:val="sl-SI"/>
          </w:rPr>
          <w:t>Uredba Sveta (EU) 2022/972 z dne 17. junija 2022</w:t>
        </w:r>
      </w:hyperlink>
    </w:p>
    <w:p w14:paraId="53418E17" w14:textId="4A0ACFBF" w:rsidR="00280E9A" w:rsidRPr="000F1C2D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it-IT"/>
        </w:rPr>
      </w:pPr>
      <w:hyperlink r:id="rId21" w:history="1">
        <w:r w:rsidR="00280E9A" w:rsidRPr="00983F0E">
          <w:rPr>
            <w:rStyle w:val="Hiperpovezava"/>
            <w:lang w:val="sl-SI"/>
          </w:rPr>
          <w:t>Uredba Sveta (EU) 2021/2283 z dne 20. decembra 2021</w:t>
        </w:r>
      </w:hyperlink>
    </w:p>
    <w:p w14:paraId="14F4F2FB" w14:textId="77777777" w:rsidR="004106F8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</w:rPr>
      </w:pPr>
      <w:hyperlink r:id="rId22" w:history="1">
        <w:r w:rsidR="004106F8" w:rsidRPr="00983F0E">
          <w:rPr>
            <w:rStyle w:val="Hiperpovezava"/>
            <w:lang w:val="sl-SI"/>
          </w:rPr>
          <w:t>Uredba Sveta (EU) 2021/1051 z dne 18. junija 2021</w:t>
        </w:r>
      </w:hyperlink>
    </w:p>
    <w:bookmarkEnd w:id="6"/>
    <w:p w14:paraId="141A4CDF" w14:textId="77777777" w:rsidR="00E00AE8" w:rsidRPr="00983F0E" w:rsidRDefault="00E00AE8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</w:rPr>
        <w:fldChar w:fldCharType="begin"/>
      </w:r>
      <w:r w:rsidRPr="00983F0E">
        <w:rPr>
          <w:rStyle w:val="Hiperpovezava"/>
          <w:lang w:val="it-IT"/>
        </w:rPr>
        <w:instrText xml:space="preserve"> HYPERLINK "https://eur-lex.europa.eu/legal-content/SL/TXT/PDF/?uri=CELEX:32020R2230&amp;from=SL" </w:instrText>
      </w:r>
      <w:r w:rsidRPr="00983F0E">
        <w:rPr>
          <w:rStyle w:val="Hiperpovezava"/>
        </w:rPr>
      </w:r>
      <w:r w:rsidRPr="00983F0E">
        <w:rPr>
          <w:rStyle w:val="Hiperpovezava"/>
        </w:rPr>
        <w:fldChar w:fldCharType="separate"/>
      </w:r>
      <w:r w:rsidRPr="00983F0E">
        <w:rPr>
          <w:rStyle w:val="Hiperpovezava"/>
          <w:lang w:val="sl-SI"/>
        </w:rPr>
        <w:t>Uredba Sveta (EU) 2020/2230 z dne 28. decembra 2020</w:t>
      </w:r>
    </w:p>
    <w:p w14:paraId="5003B7A4" w14:textId="77777777" w:rsidR="004806EE" w:rsidRPr="00983F0E" w:rsidRDefault="00E00AE8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</w:rPr>
        <w:fldChar w:fldCharType="end"/>
      </w:r>
      <w:hyperlink r:id="rId23" w:history="1">
        <w:r w:rsidR="004806EE" w:rsidRPr="00983F0E">
          <w:rPr>
            <w:rStyle w:val="Hiperpovezava"/>
            <w:lang w:val="sl-SI"/>
          </w:rPr>
          <w:t>Uredba Sveta (EU) 2020/875 z dne 15. junija 2020</w:t>
        </w:r>
      </w:hyperlink>
    </w:p>
    <w:p w14:paraId="39A8E3FF" w14:textId="440E91A5" w:rsidR="009511AD" w:rsidRPr="000F1C2D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it-IT"/>
        </w:rPr>
      </w:pPr>
      <w:hyperlink r:id="rId24" w:history="1">
        <w:r w:rsidR="009511AD" w:rsidRPr="00983F0E">
          <w:rPr>
            <w:rStyle w:val="Hiperpovezava"/>
            <w:lang w:val="sl-SI"/>
          </w:rPr>
          <w:t>Uredba Sveta (EU) 2019/2220 z dne 19. decembra 2019</w:t>
        </w:r>
      </w:hyperlink>
      <w:r w:rsidR="009511AD" w:rsidRPr="000F1C2D">
        <w:rPr>
          <w:rStyle w:val="Hiperpovezava"/>
          <w:lang w:val="it-IT"/>
        </w:rPr>
        <w:t xml:space="preserve"> </w:t>
      </w:r>
    </w:p>
    <w:p w14:paraId="5D1EEEE3" w14:textId="6A8443B5" w:rsidR="001B615E" w:rsidRPr="00983F0E" w:rsidRDefault="00000000" w:rsidP="001B615E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5" w:history="1">
        <w:r w:rsidR="00F2387D" w:rsidRPr="00983F0E">
          <w:rPr>
            <w:rStyle w:val="Hiperpovezava"/>
            <w:lang w:val="sl-SI"/>
          </w:rPr>
          <w:t>Uredba Sveta (EU) 2019/99</w:t>
        </w:r>
        <w:r w:rsidR="00F2387D" w:rsidRPr="00983F0E">
          <w:rPr>
            <w:rStyle w:val="Hiperpovezava"/>
            <w:lang w:val="sl-SI"/>
          </w:rPr>
          <w:t>8</w:t>
        </w:r>
        <w:r w:rsidR="00F2387D" w:rsidRPr="00983F0E">
          <w:rPr>
            <w:rStyle w:val="Hiperpovezava"/>
            <w:lang w:val="sl-SI"/>
          </w:rPr>
          <w:t xml:space="preserve"> z dne 13. junija 2019</w:t>
        </w:r>
      </w:hyperlink>
    </w:p>
    <w:bookmarkEnd w:id="7"/>
    <w:p w14:paraId="63A4A056" w14:textId="77777777" w:rsidR="009511AD" w:rsidRPr="009511AD" w:rsidRDefault="009511AD" w:rsidP="009511AD">
      <w:pPr>
        <w:spacing w:before="120" w:after="160" w:line="259" w:lineRule="auto"/>
        <w:ind w:left="1276"/>
        <w:jc w:val="both"/>
        <w:rPr>
          <w:rFonts w:eastAsiaTheme="minorEastAsia"/>
          <w:bCs/>
          <w:u w:val="single"/>
          <w:lang w:val="sl-SI"/>
        </w:rPr>
      </w:pPr>
    </w:p>
    <w:p w14:paraId="3DA7E1BA" w14:textId="550453A6" w:rsidR="002425D6" w:rsidRPr="009511AD" w:rsidRDefault="00BE4FE6" w:rsidP="00EB7DEC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</w:rPr>
      </w:pPr>
      <w:r>
        <w:rPr>
          <w:rFonts w:eastAsiaTheme="minorEastAsia"/>
          <w:bCs/>
          <w:lang w:val="sl-SI"/>
        </w:rPr>
        <w:t xml:space="preserve">Uredbe sveta (EU) </w:t>
      </w:r>
      <w:r w:rsidRPr="00BE4FE6">
        <w:rPr>
          <w:rFonts w:eastAsiaTheme="minorEastAsia"/>
          <w:lang w:val="sl-SI"/>
        </w:rPr>
        <w:t xml:space="preserve">o </w:t>
      </w:r>
      <w:r w:rsidRPr="00BE4FE6">
        <w:rPr>
          <w:rFonts w:eastAsiaTheme="minorEastAsia"/>
          <w:b/>
          <w:bCs/>
          <w:lang w:val="sl-SI"/>
        </w:rPr>
        <w:t xml:space="preserve">opustitvi dajatev skupne </w:t>
      </w:r>
      <w:r w:rsidRPr="0061668B">
        <w:rPr>
          <w:rFonts w:eastAsiaTheme="minorEastAsia"/>
          <w:b/>
          <w:bCs/>
          <w:lang w:val="sl-SI"/>
        </w:rPr>
        <w:t xml:space="preserve">carinske tarife </w:t>
      </w:r>
      <w:r w:rsidR="00910CD5" w:rsidRPr="0061668B">
        <w:rPr>
          <w:rFonts w:eastAsiaTheme="minorEastAsia"/>
          <w:b/>
          <w:bCs/>
          <w:lang w:val="sl-SI"/>
        </w:rPr>
        <w:t>(avtonomna tarifna opustitev)</w:t>
      </w:r>
      <w:r w:rsidR="00910CD5">
        <w:rPr>
          <w:rFonts w:eastAsiaTheme="minorEastAsia"/>
          <w:lang w:val="sl-SI"/>
        </w:rPr>
        <w:t xml:space="preserve"> </w:t>
      </w:r>
      <w:r w:rsidRPr="00BE4FE6">
        <w:rPr>
          <w:rFonts w:eastAsiaTheme="minorEastAsia"/>
          <w:lang w:val="sl-SI"/>
        </w:rPr>
        <w:t>iz člena 56(2), točka (c), Uredbe (EU) št. 952/2013 za nekatere kmetijske in industrijske proizvode ter razveljavitvi Uredbe (EU) št. 1387/2013</w:t>
      </w:r>
      <w:r w:rsidR="00EB7DEC" w:rsidRPr="009511AD">
        <w:rPr>
          <w:lang w:val="sl-SI"/>
        </w:rPr>
        <w:t>:</w:t>
      </w:r>
    </w:p>
    <w:bookmarkStart w:id="8" w:name="_Hlk77671168"/>
    <w:bookmarkStart w:id="9" w:name="_Hlk92359724"/>
    <w:p w14:paraId="37C03EB4" w14:textId="654F1020" w:rsidR="00EF3863" w:rsidRPr="002224EB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begin"/>
      </w:r>
      <w:r>
        <w:rPr>
          <w:rStyle w:val="Hiperpovezava"/>
          <w:lang w:val="sl-SI"/>
        </w:rPr>
        <w:instrText>HYPERLINK "https://eur-lex.europa.eu/legal-content/SL/TXT/PDF/?uri=OJ:L_202403211&amp;qid=1736263486278"</w:instrText>
      </w:r>
      <w:r>
        <w:rPr>
          <w:rStyle w:val="Hiperpovezava"/>
          <w:lang w:val="sl-SI"/>
        </w:rPr>
      </w:r>
      <w:r>
        <w:rPr>
          <w:rStyle w:val="Hiperpovezava"/>
          <w:lang w:val="sl-SI"/>
        </w:rPr>
        <w:fldChar w:fldCharType="separate"/>
      </w:r>
      <w:r w:rsidR="00EF3863" w:rsidRPr="002224EB">
        <w:rPr>
          <w:rStyle w:val="Hiperpovezava"/>
          <w:lang w:val="sl-SI"/>
        </w:rPr>
        <w:t>Uredba Sveta (EU) 2024/3211 z dne 16. decembra 2024</w:t>
      </w:r>
    </w:p>
    <w:p w14:paraId="5B598189" w14:textId="12B27FA8" w:rsidR="00377462" w:rsidRPr="00983F0E" w:rsidRDefault="002224EB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>
        <w:rPr>
          <w:rStyle w:val="Hiperpovezava"/>
          <w:lang w:val="sl-SI"/>
        </w:rPr>
        <w:fldChar w:fldCharType="end"/>
      </w:r>
      <w:hyperlink r:id="rId26" w:history="1">
        <w:r w:rsidR="00377462" w:rsidRPr="00983F0E">
          <w:rPr>
            <w:rStyle w:val="Hiperpovezava"/>
            <w:lang w:val="sl-SI"/>
          </w:rPr>
          <w:t>Uredba Sveta (EU) 2024/1851 z dne 25. junija 2024</w:t>
        </w:r>
      </w:hyperlink>
    </w:p>
    <w:p w14:paraId="69234BB1" w14:textId="7AC7BAE3" w:rsidR="001B615E" w:rsidRPr="00983F0E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  <w:lang w:val="sl-SI"/>
        </w:rPr>
        <w:fldChar w:fldCharType="begin"/>
      </w:r>
      <w:r w:rsidRPr="00983F0E">
        <w:rPr>
          <w:rStyle w:val="Hiperpovezava"/>
          <w:lang w:val="sl-SI"/>
        </w:rPr>
        <w:instrText xml:space="preserve"> HYPERLINK "https://eur-lex.europa.eu/legal-content/SL/TXT/PDF/?uri=OJ:L_202302890" </w:instrText>
      </w:r>
      <w:r w:rsidRPr="00983F0E">
        <w:rPr>
          <w:rStyle w:val="Hiperpovezava"/>
          <w:lang w:val="sl-SI"/>
        </w:rPr>
      </w:r>
      <w:r w:rsidRPr="00983F0E">
        <w:rPr>
          <w:rStyle w:val="Hiperpovezava"/>
          <w:lang w:val="sl-SI"/>
        </w:rPr>
        <w:fldChar w:fldCharType="separate"/>
      </w:r>
      <w:r w:rsidR="001B615E" w:rsidRPr="00983F0E">
        <w:rPr>
          <w:rStyle w:val="Hiperpovezava"/>
          <w:lang w:val="sl-SI"/>
        </w:rPr>
        <w:t>Uredba Sveta (EU) 2023/2890 z dne 19. decembra 2023</w:t>
      </w:r>
    </w:p>
    <w:p w14:paraId="1C608CC1" w14:textId="79C43B8E" w:rsidR="00852743" w:rsidRPr="00983F0E" w:rsidRDefault="003C36AD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  <w:lang w:val="sl-SI"/>
        </w:rPr>
        <w:fldChar w:fldCharType="end"/>
      </w:r>
      <w:hyperlink r:id="rId27" w:history="1">
        <w:r w:rsidR="00852743" w:rsidRPr="00983F0E">
          <w:rPr>
            <w:rStyle w:val="Hiperpovezava"/>
            <w:lang w:val="sl-SI"/>
          </w:rPr>
          <w:t>Uredba Sveta (EU) 2023/1190 z dne 16. junija 2023</w:t>
        </w:r>
      </w:hyperlink>
    </w:p>
    <w:p w14:paraId="2672F1C3" w14:textId="2541BB41" w:rsidR="00EC746B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8" w:history="1">
        <w:r w:rsidR="00EC746B" w:rsidRPr="00EC746B">
          <w:rPr>
            <w:rStyle w:val="Hiperpovezava"/>
            <w:lang w:val="sl-SI"/>
          </w:rPr>
          <w:t>Uredba Sveta (EU) 2022/2583 z dne 19. decembra 2022</w:t>
        </w:r>
      </w:hyperlink>
    </w:p>
    <w:p w14:paraId="5750581B" w14:textId="29C284F2" w:rsidR="00BE4FE6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hyperlink r:id="rId29" w:history="1">
        <w:r w:rsidR="00BE4FE6" w:rsidRPr="00983F0E">
          <w:rPr>
            <w:rStyle w:val="Hiperpovezava"/>
            <w:lang w:val="sl-SI"/>
          </w:rPr>
          <w:t>Uredba Sveta (EU) 2022/1008 z dne 17. junija 2022</w:t>
        </w:r>
      </w:hyperlink>
    </w:p>
    <w:p w14:paraId="6C8B7848" w14:textId="7929E558" w:rsidR="00280E9A" w:rsidRPr="000F1C2D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it-IT"/>
        </w:rPr>
      </w:pPr>
      <w:hyperlink r:id="rId30" w:history="1">
        <w:r w:rsidR="00280E9A" w:rsidRPr="00983F0E">
          <w:rPr>
            <w:rStyle w:val="Hiperpovezava"/>
            <w:lang w:val="sl-SI"/>
          </w:rPr>
          <w:t>Uredba Sveta (EU) 2021/2278 z dne 20. decembra 2021</w:t>
        </w:r>
      </w:hyperlink>
    </w:p>
    <w:p w14:paraId="3D924895" w14:textId="77777777" w:rsidR="004106F8" w:rsidRPr="00983F0E" w:rsidRDefault="00000000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</w:rPr>
      </w:pPr>
      <w:hyperlink r:id="rId31" w:history="1">
        <w:r w:rsidR="004106F8" w:rsidRPr="00983F0E">
          <w:rPr>
            <w:rStyle w:val="Hiperpovezava"/>
            <w:lang w:val="sl-SI"/>
          </w:rPr>
          <w:t>Uredba Sveta (EU) 2021/1052 z dne 18. junija 2021</w:t>
        </w:r>
      </w:hyperlink>
    </w:p>
    <w:bookmarkEnd w:id="8"/>
    <w:p w14:paraId="2FF761A8" w14:textId="77777777" w:rsidR="00E00AE8" w:rsidRPr="00983F0E" w:rsidRDefault="00E00AE8" w:rsidP="00CF4D78">
      <w:pPr>
        <w:numPr>
          <w:ilvl w:val="0"/>
          <w:numId w:val="20"/>
        </w:numPr>
        <w:spacing w:before="120" w:after="120" w:line="259" w:lineRule="auto"/>
        <w:ind w:left="1276" w:hanging="425"/>
        <w:jc w:val="both"/>
        <w:rPr>
          <w:rStyle w:val="Hiperpovezava"/>
          <w:lang w:val="sl-SI"/>
        </w:rPr>
      </w:pPr>
      <w:r w:rsidRPr="00983F0E">
        <w:rPr>
          <w:rStyle w:val="Hiperpovezava"/>
        </w:rPr>
        <w:fldChar w:fldCharType="begin"/>
      </w:r>
      <w:r w:rsidRPr="00983F0E">
        <w:rPr>
          <w:rStyle w:val="Hiperpovezava"/>
          <w:lang w:val="it-IT"/>
        </w:rPr>
        <w:instrText xml:space="preserve"> HYPERLINK "https://eur-lex.europa.eu/legal-content/SL/TXT/PDF/?uri=CELEX:32020R2231&amp;from=SL" </w:instrText>
      </w:r>
      <w:r w:rsidRPr="00983F0E">
        <w:rPr>
          <w:rStyle w:val="Hiperpovezava"/>
        </w:rPr>
      </w:r>
      <w:r w:rsidRPr="00983F0E">
        <w:rPr>
          <w:rStyle w:val="Hiperpovezava"/>
        </w:rPr>
        <w:fldChar w:fldCharType="separate"/>
      </w:r>
      <w:r w:rsidRPr="00983F0E">
        <w:rPr>
          <w:rStyle w:val="Hiperpovezava"/>
          <w:lang w:val="sl-SI"/>
        </w:rPr>
        <w:t>Uredba Sveta (EU) 2020/</w:t>
      </w:r>
      <w:r w:rsidRPr="00983F0E">
        <w:rPr>
          <w:rStyle w:val="Hiperpovezava"/>
          <w:lang w:val="sl-SI"/>
        </w:rPr>
        <w:t>2</w:t>
      </w:r>
      <w:r w:rsidRPr="00983F0E">
        <w:rPr>
          <w:rStyle w:val="Hiperpovezava"/>
          <w:lang w:val="sl-SI"/>
        </w:rPr>
        <w:t>231 z dne 28. decembra 2020</w:t>
      </w:r>
    </w:p>
    <w:p w14:paraId="7C958CCA" w14:textId="590A6E74" w:rsidR="007213E5" w:rsidRPr="00EF3863" w:rsidRDefault="00E00AE8" w:rsidP="007E609F">
      <w:pPr>
        <w:numPr>
          <w:ilvl w:val="0"/>
          <w:numId w:val="20"/>
        </w:numPr>
        <w:spacing w:before="120" w:after="160" w:line="259" w:lineRule="auto"/>
        <w:ind w:left="1276" w:hanging="425"/>
        <w:jc w:val="both"/>
        <w:rPr>
          <w:rFonts w:eastAsiaTheme="minorEastAsia"/>
          <w:bCs/>
          <w:u w:val="single"/>
          <w:lang w:val="sl-SI"/>
        </w:rPr>
      </w:pPr>
      <w:r w:rsidRPr="00983F0E">
        <w:rPr>
          <w:rStyle w:val="Hiperpovezava"/>
        </w:rPr>
        <w:fldChar w:fldCharType="end"/>
      </w:r>
      <w:bookmarkEnd w:id="9"/>
    </w:p>
    <w:p w14:paraId="10472DCD" w14:textId="77777777" w:rsidR="002425D6" w:rsidRPr="009511AD" w:rsidRDefault="002425D6" w:rsidP="002425D6">
      <w:pPr>
        <w:spacing w:after="100" w:afterAutospacing="1"/>
        <w:outlineLvl w:val="1"/>
        <w:rPr>
          <w:lang w:val="sl-SI"/>
        </w:rPr>
      </w:pPr>
    </w:p>
    <w:p w14:paraId="15B4D43D" w14:textId="77777777" w:rsidR="002425D6" w:rsidRPr="009511AD" w:rsidRDefault="002425D6" w:rsidP="002425D6">
      <w:pPr>
        <w:pStyle w:val="FURSnaslov1"/>
      </w:pPr>
      <w:bookmarkStart w:id="10" w:name="_Toc414364209"/>
      <w:r w:rsidRPr="009511AD">
        <w:t>3. OPUSTITEV AVTONOMNIH DAJATEV - CIVILNI ZRAKOPLOVI</w:t>
      </w:r>
      <w:bookmarkEnd w:id="10"/>
    </w:p>
    <w:p w14:paraId="553ED591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bookmarkStart w:id="11" w:name="c11404"/>
      <w:bookmarkEnd w:id="11"/>
      <w:r w:rsidRPr="009511AD">
        <w:rPr>
          <w:rFonts w:cs="Arial"/>
          <w:szCs w:val="20"/>
          <w:lang w:val="sl-SI" w:eastAsia="sl-SI"/>
        </w:rPr>
        <w:t xml:space="preserve">Carina se začasno opusti za dele, sestavne dele in drugo blago takšne vrste, ki se uvršča v 25. do 97. poglavje skupne carinske tarife ter je namenjeno za izdelavo, popravilo, vzdrževanje, obnovo, spremembo ali pretvorbo civilnih zrakoplovov. Uvoznik, ki želi uveljavljati ugodnost začasne opustitve, mora izpolnjevati določene pogoje. </w:t>
      </w:r>
    </w:p>
    <w:p w14:paraId="6693F85C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5ABD5B6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bookmarkStart w:id="12" w:name="c11402"/>
      <w:bookmarkEnd w:id="12"/>
      <w:r w:rsidRPr="009511AD">
        <w:rPr>
          <w:rFonts w:cs="Arial"/>
          <w:szCs w:val="20"/>
          <w:lang w:val="sl-SI" w:eastAsia="sl-SI"/>
        </w:rPr>
        <w:t xml:space="preserve">Uvoznik, ki želi uveljavljati ugodnost začasne opustitve carine, mora carinskim organom predložiti izvirnik potrdila o plovnosti. </w:t>
      </w:r>
    </w:p>
    <w:p w14:paraId="3C327D5C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 </w:t>
      </w:r>
    </w:p>
    <w:p w14:paraId="78000EE1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Potrdila o plovnosti izdajajo proizvajalci delov, sestavnih delov in drugega blaga takšne vrste, ki bo vgrajeno v ali uporabljeno za civilne zrakoplove, in so jih za ta namen pooblastili organi letalstva države izvoznice.</w:t>
      </w:r>
    </w:p>
    <w:p w14:paraId="3547D37C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lastRenderedPageBreak/>
        <w:t> </w:t>
      </w:r>
    </w:p>
    <w:p w14:paraId="1F891EBB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Izvirnik potrdila o plovnosti lahko nadomesti izjava na računu ali listina z izjavo priloženo računu, z elementi izdanega potrdila o plovnosti. Izjavo mora podpisati prodajalec zadevnega blaga.</w:t>
      </w:r>
    </w:p>
    <w:p w14:paraId="6A6CA7E0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 </w:t>
      </w:r>
    </w:p>
    <w:p w14:paraId="65712233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 xml:space="preserve">Izjava mora biti zapisana v naslednji obliki: </w:t>
      </w:r>
    </w:p>
    <w:p w14:paraId="4039F8F6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 </w:t>
      </w:r>
    </w:p>
    <w:p w14:paraId="0B10C791" w14:textId="77777777" w:rsidR="002425D6" w:rsidRPr="009511AD" w:rsidRDefault="002425D6" w:rsidP="002425D6">
      <w:pPr>
        <w:widowControl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9511AD">
        <w:rPr>
          <w:rFonts w:cs="Arial"/>
          <w:szCs w:val="20"/>
          <w:lang w:val="sl-SI" w:eastAsia="sl-SI"/>
        </w:rPr>
        <w:t>“Za naslednje blago po [tem računu]/[računu št. ..…., z dne .......….] je podjetje, prikazano v stolpcu 3, ki ga je pooblastil organ letalstva, prikazan v stolpcu 4, v državi, prikazani v stolpcu 5, izdalo naslednja potrdila o plovnosti (glej stolpec 2).”</w:t>
      </w:r>
    </w:p>
    <w:p w14:paraId="1DC4C31F" w14:textId="77777777" w:rsidR="002425D6" w:rsidRPr="009511AD" w:rsidRDefault="002425D6" w:rsidP="002425D6">
      <w:pPr>
        <w:spacing w:line="240" w:lineRule="auto"/>
        <w:jc w:val="both"/>
        <w:rPr>
          <w:rFonts w:ascii="Times New Roman" w:hAnsi="Times New Roman"/>
          <w:sz w:val="24"/>
          <w:lang w:val="sl-SI" w:eastAsia="sl-SI"/>
        </w:rPr>
      </w:pPr>
      <w:r w:rsidRPr="009511AD">
        <w:rPr>
          <w:rFonts w:ascii="Times New Roman" w:hAnsi="Times New Roman"/>
          <w:sz w:val="24"/>
          <w:lang w:val="sl-SI" w:eastAsia="sl-SI"/>
        </w:rPr>
        <w:t> 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783"/>
        <w:gridCol w:w="1613"/>
      </w:tblGrid>
      <w:tr w:rsidR="002425D6" w:rsidRPr="009511AD" w14:paraId="62CE8110" w14:textId="77777777" w:rsidTr="004F5388">
        <w:trPr>
          <w:tblCellSpacing w:w="0" w:type="dxa"/>
        </w:trPr>
        <w:tc>
          <w:tcPr>
            <w:tcW w:w="1000" w:type="pct"/>
            <w:vAlign w:val="center"/>
            <w:hideMark/>
          </w:tcPr>
          <w:p w14:paraId="207E2DA4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Zaporedna št.</w:t>
            </w:r>
          </w:p>
          <w:p w14:paraId="23A9BAF5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na računu</w:t>
            </w:r>
          </w:p>
        </w:tc>
        <w:tc>
          <w:tcPr>
            <w:tcW w:w="1000" w:type="pct"/>
            <w:vAlign w:val="center"/>
            <w:hideMark/>
          </w:tcPr>
          <w:p w14:paraId="4175FC54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Št. potrdila</w:t>
            </w:r>
          </w:p>
          <w:p w14:paraId="665E0C9D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o plovnosti</w:t>
            </w:r>
          </w:p>
        </w:tc>
        <w:tc>
          <w:tcPr>
            <w:tcW w:w="1000" w:type="pct"/>
            <w:vAlign w:val="center"/>
            <w:hideMark/>
          </w:tcPr>
          <w:p w14:paraId="4116C4AB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Izdajatelj potrdila</w:t>
            </w:r>
          </w:p>
        </w:tc>
        <w:tc>
          <w:tcPr>
            <w:tcW w:w="1050" w:type="pct"/>
            <w:vAlign w:val="center"/>
            <w:hideMark/>
          </w:tcPr>
          <w:p w14:paraId="2183A199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Ime organa letalstva, ki je izdal pooblastilo</w:t>
            </w:r>
          </w:p>
        </w:tc>
        <w:tc>
          <w:tcPr>
            <w:tcW w:w="950" w:type="pct"/>
            <w:vAlign w:val="center"/>
            <w:hideMark/>
          </w:tcPr>
          <w:p w14:paraId="51DB3D61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Ime države</w:t>
            </w:r>
          </w:p>
        </w:tc>
      </w:tr>
      <w:tr w:rsidR="002425D6" w:rsidRPr="009511AD" w14:paraId="1B8F0963" w14:textId="77777777" w:rsidTr="004F5388">
        <w:trPr>
          <w:tblCellSpacing w:w="0" w:type="dxa"/>
        </w:trPr>
        <w:tc>
          <w:tcPr>
            <w:tcW w:w="1000" w:type="pct"/>
            <w:hideMark/>
          </w:tcPr>
          <w:p w14:paraId="273A1FF3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(1)</w:t>
            </w:r>
          </w:p>
        </w:tc>
        <w:tc>
          <w:tcPr>
            <w:tcW w:w="1000" w:type="pct"/>
            <w:hideMark/>
          </w:tcPr>
          <w:p w14:paraId="7BE87EA5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(2)</w:t>
            </w:r>
          </w:p>
        </w:tc>
        <w:tc>
          <w:tcPr>
            <w:tcW w:w="1000" w:type="pct"/>
            <w:hideMark/>
          </w:tcPr>
          <w:p w14:paraId="214F8A30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(3)</w:t>
            </w:r>
          </w:p>
        </w:tc>
        <w:tc>
          <w:tcPr>
            <w:tcW w:w="1050" w:type="pct"/>
            <w:hideMark/>
          </w:tcPr>
          <w:p w14:paraId="03750BDD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(4)</w:t>
            </w:r>
          </w:p>
        </w:tc>
        <w:tc>
          <w:tcPr>
            <w:tcW w:w="950" w:type="pct"/>
            <w:hideMark/>
          </w:tcPr>
          <w:p w14:paraId="3C54C825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(5)</w:t>
            </w:r>
          </w:p>
        </w:tc>
      </w:tr>
      <w:tr w:rsidR="002425D6" w:rsidRPr="009511AD" w14:paraId="5FEEB36A" w14:textId="77777777" w:rsidTr="004F5388">
        <w:trPr>
          <w:tblCellSpacing w:w="0" w:type="dxa"/>
        </w:trPr>
        <w:tc>
          <w:tcPr>
            <w:tcW w:w="1000" w:type="pct"/>
            <w:hideMark/>
          </w:tcPr>
          <w:p w14:paraId="5967DB8D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000" w:type="pct"/>
            <w:hideMark/>
          </w:tcPr>
          <w:p w14:paraId="005EA018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000" w:type="pct"/>
            <w:hideMark/>
          </w:tcPr>
          <w:p w14:paraId="49307376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1050" w:type="pct"/>
            <w:hideMark/>
          </w:tcPr>
          <w:p w14:paraId="62CA5F4A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  <w:tc>
          <w:tcPr>
            <w:tcW w:w="950" w:type="pct"/>
            <w:hideMark/>
          </w:tcPr>
          <w:p w14:paraId="08B697EA" w14:textId="77777777" w:rsidR="002425D6" w:rsidRPr="009511AD" w:rsidRDefault="002425D6" w:rsidP="004F538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9511AD">
              <w:rPr>
                <w:rFonts w:cs="Arial"/>
                <w:szCs w:val="20"/>
                <w:lang w:val="sl-SI" w:eastAsia="sl-SI"/>
              </w:rPr>
              <w:t> </w:t>
            </w:r>
          </w:p>
        </w:tc>
      </w:tr>
    </w:tbl>
    <w:p w14:paraId="6365C751" w14:textId="77777777" w:rsidR="002425D6" w:rsidRPr="009511AD" w:rsidRDefault="002425D6" w:rsidP="002425D6">
      <w:pPr>
        <w:jc w:val="both"/>
        <w:rPr>
          <w:lang w:val="sl-SI"/>
        </w:rPr>
      </w:pPr>
    </w:p>
    <w:p w14:paraId="529C5826" w14:textId="77777777" w:rsidR="00275A50" w:rsidRPr="009511AD" w:rsidRDefault="00275A50" w:rsidP="002425D6">
      <w:pPr>
        <w:rPr>
          <w:lang w:val="sl-SI"/>
        </w:rPr>
      </w:pPr>
    </w:p>
    <w:sectPr w:rsidR="00275A50" w:rsidRPr="009511AD" w:rsidSect="00783310">
      <w:headerReference w:type="default" r:id="rId32"/>
      <w:footerReference w:type="default" r:id="rId33"/>
      <w:headerReference w:type="first" r:id="rId34"/>
      <w:footerReference w:type="first" r:id="rId3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F534" w14:textId="77777777" w:rsidR="00E716C2" w:rsidRDefault="00E716C2">
      <w:r>
        <w:separator/>
      </w:r>
    </w:p>
  </w:endnote>
  <w:endnote w:type="continuationSeparator" w:id="0">
    <w:p w14:paraId="5263D1DC" w14:textId="77777777" w:rsidR="00E716C2" w:rsidRDefault="00E7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C5A0" w14:textId="77777777" w:rsidR="009F30FB" w:rsidRDefault="009F30FB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FE3A1E" w:rsidRPr="00FE3A1E">
      <w:rPr>
        <w:noProof/>
        <w:lang w:val="sl-SI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772D" w14:textId="77777777" w:rsidR="00CA699D" w:rsidRDefault="00CA699D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093F" w14:textId="77777777" w:rsidR="00E716C2" w:rsidRDefault="00E716C2">
      <w:r>
        <w:separator/>
      </w:r>
    </w:p>
  </w:footnote>
  <w:footnote w:type="continuationSeparator" w:id="0">
    <w:p w14:paraId="77583032" w14:textId="77777777" w:rsidR="00E716C2" w:rsidRDefault="00E7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5CF6" w14:textId="77777777" w:rsidR="00CA699D" w:rsidRPr="00110CBD" w:rsidRDefault="00CA699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A699D" w:rsidRPr="008F3500" w14:paraId="7C1BC155" w14:textId="77777777">
      <w:trPr>
        <w:cantSplit/>
        <w:trHeight w:hRule="exact" w:val="847"/>
      </w:trPr>
      <w:tc>
        <w:tcPr>
          <w:tcW w:w="567" w:type="dxa"/>
        </w:tcPr>
        <w:p w14:paraId="2E188379" w14:textId="77777777" w:rsidR="00CA699D" w:rsidRDefault="00CA699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D7874E5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29816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5560C0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66D588D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EAF8E9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BC2C8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4C5F13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E855B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2DF49F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0E642F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26328B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6DE5AD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10D5F8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ED66CF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8DD344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EE96CC" w14:textId="77777777" w:rsidR="00CA699D" w:rsidRPr="006D42D9" w:rsidRDefault="00CA699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FD4E70B" w14:textId="77777777" w:rsidR="00CA699D" w:rsidRPr="008F3500" w:rsidRDefault="00C6674E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D80148C" wp14:editId="05A109B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C45BD9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CA699D" w:rsidRPr="008F3500">
      <w:rPr>
        <w:rFonts w:ascii="Republika" w:hAnsi="Republika"/>
        <w:lang w:val="sl-SI"/>
      </w:rPr>
      <w:t>REPUBLIKA SLOVENIJA</w:t>
    </w:r>
  </w:p>
  <w:p w14:paraId="35B072EE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4D35D772" w14:textId="77777777" w:rsidR="00CA699D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25971917" w14:textId="77777777" w:rsidR="00CA699D" w:rsidRPr="008F3500" w:rsidRDefault="00CA699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30AA57AE" w14:textId="77777777" w:rsidR="00CA699D" w:rsidRPr="008F3500" w:rsidRDefault="00CA699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11F27D43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1EBC3F05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36CA67D4" w14:textId="77777777" w:rsidR="00CA699D" w:rsidRPr="008F3500" w:rsidRDefault="00CA699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BCE"/>
    <w:multiLevelType w:val="hybridMultilevel"/>
    <w:tmpl w:val="A72E05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593"/>
    <w:multiLevelType w:val="hybridMultilevel"/>
    <w:tmpl w:val="B19C527C"/>
    <w:lvl w:ilvl="0" w:tplc="16B43504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A7631"/>
    <w:multiLevelType w:val="hybridMultilevel"/>
    <w:tmpl w:val="2864E4BE"/>
    <w:lvl w:ilvl="0" w:tplc="16B43504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1076D"/>
    <w:multiLevelType w:val="multilevel"/>
    <w:tmpl w:val="00A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74670"/>
    <w:multiLevelType w:val="hybridMultilevel"/>
    <w:tmpl w:val="D0C473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86E"/>
    <w:multiLevelType w:val="hybridMultilevel"/>
    <w:tmpl w:val="B19C60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7EAA"/>
    <w:multiLevelType w:val="multilevel"/>
    <w:tmpl w:val="68A85E60"/>
    <w:lvl w:ilvl="0">
      <w:start w:val="1"/>
      <w:numFmt w:val="decimal"/>
      <w:lvlText w:val="%1.0"/>
      <w:lvlJc w:val="left"/>
      <w:pPr>
        <w:ind w:left="3405" w:hanging="3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125" w:hanging="3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845" w:hanging="340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565" w:hanging="340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285" w:hanging="340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005" w:hanging="340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725" w:hanging="340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45" w:hanging="340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165" w:hanging="3405"/>
      </w:pPr>
      <w:rPr>
        <w:rFonts w:hint="default"/>
        <w:sz w:val="28"/>
      </w:rPr>
    </w:lvl>
  </w:abstractNum>
  <w:abstractNum w:abstractNumId="9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11F2F"/>
    <w:multiLevelType w:val="multilevel"/>
    <w:tmpl w:val="F45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C2560D"/>
    <w:multiLevelType w:val="hybridMultilevel"/>
    <w:tmpl w:val="DB6E9DFC"/>
    <w:lvl w:ilvl="0" w:tplc="6A26B0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583FB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2B414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40049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3B287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BC73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807E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385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9E69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86127EB"/>
    <w:multiLevelType w:val="hybridMultilevel"/>
    <w:tmpl w:val="5D96D978"/>
    <w:lvl w:ilvl="0" w:tplc="8B1EA4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6D80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8361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A87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E50BE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C2F8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6E658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56A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AE0B2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DB343E2"/>
    <w:multiLevelType w:val="hybridMultilevel"/>
    <w:tmpl w:val="3D1E0296"/>
    <w:lvl w:ilvl="0" w:tplc="16B43504">
      <w:start w:val="1"/>
      <w:numFmt w:val="decimal"/>
      <w:lvlText w:val="%1."/>
      <w:lvlJc w:val="left"/>
      <w:pPr>
        <w:ind w:left="720" w:hanging="360"/>
      </w:pPr>
      <w:rPr>
        <w:rFonts w:hint="default"/>
        <w:vanish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2286C"/>
    <w:multiLevelType w:val="hybridMultilevel"/>
    <w:tmpl w:val="699C1016"/>
    <w:lvl w:ilvl="0" w:tplc="AC42096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66A10"/>
    <w:multiLevelType w:val="hybridMultilevel"/>
    <w:tmpl w:val="73805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D50F9"/>
    <w:multiLevelType w:val="multilevel"/>
    <w:tmpl w:val="68A85E60"/>
    <w:lvl w:ilvl="0">
      <w:start w:val="1"/>
      <w:numFmt w:val="decimal"/>
      <w:lvlText w:val="%1.0"/>
      <w:lvlJc w:val="left"/>
      <w:pPr>
        <w:ind w:left="3405" w:hanging="3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125" w:hanging="3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845" w:hanging="340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565" w:hanging="340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285" w:hanging="340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005" w:hanging="340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725" w:hanging="340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445" w:hanging="340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165" w:hanging="3405"/>
      </w:pPr>
      <w:rPr>
        <w:rFonts w:hint="default"/>
        <w:sz w:val="28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4E0AB1"/>
    <w:multiLevelType w:val="hybridMultilevel"/>
    <w:tmpl w:val="9F7E4242"/>
    <w:lvl w:ilvl="0" w:tplc="6BD662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11888"/>
    <w:multiLevelType w:val="hybridMultilevel"/>
    <w:tmpl w:val="801422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60198">
    <w:abstractNumId w:val="19"/>
  </w:num>
  <w:num w:numId="2" w16cid:durableId="1854224615">
    <w:abstractNumId w:val="9"/>
  </w:num>
  <w:num w:numId="3" w16cid:durableId="981545444">
    <w:abstractNumId w:val="15"/>
  </w:num>
  <w:num w:numId="4" w16cid:durableId="635139842">
    <w:abstractNumId w:val="2"/>
  </w:num>
  <w:num w:numId="5" w16cid:durableId="132796594">
    <w:abstractNumId w:val="4"/>
  </w:num>
  <w:num w:numId="6" w16cid:durableId="1283536839">
    <w:abstractNumId w:val="11"/>
  </w:num>
  <w:num w:numId="7" w16cid:durableId="524252742">
    <w:abstractNumId w:val="17"/>
  </w:num>
  <w:num w:numId="8" w16cid:durableId="1861970564">
    <w:abstractNumId w:val="10"/>
  </w:num>
  <w:num w:numId="9" w16cid:durableId="1352103657">
    <w:abstractNumId w:val="21"/>
  </w:num>
  <w:num w:numId="10" w16cid:durableId="1801144888">
    <w:abstractNumId w:val="7"/>
  </w:num>
  <w:num w:numId="11" w16cid:durableId="1742172771">
    <w:abstractNumId w:val="14"/>
  </w:num>
  <w:num w:numId="12" w16cid:durableId="730425523">
    <w:abstractNumId w:val="3"/>
  </w:num>
  <w:num w:numId="13" w16cid:durableId="1629437377">
    <w:abstractNumId w:val="1"/>
  </w:num>
  <w:num w:numId="14" w16cid:durableId="1788154554">
    <w:abstractNumId w:val="18"/>
  </w:num>
  <w:num w:numId="15" w16cid:durableId="658196318">
    <w:abstractNumId w:val="8"/>
  </w:num>
  <w:num w:numId="16" w16cid:durableId="1978797551">
    <w:abstractNumId w:val="6"/>
  </w:num>
  <w:num w:numId="17" w16cid:durableId="1216819824">
    <w:abstractNumId w:val="16"/>
  </w:num>
  <w:num w:numId="18" w16cid:durableId="514150245">
    <w:abstractNumId w:val="20"/>
  </w:num>
  <w:num w:numId="19" w16cid:durableId="187063234">
    <w:abstractNumId w:val="5"/>
  </w:num>
  <w:num w:numId="20" w16cid:durableId="1869827582">
    <w:abstractNumId w:val="0"/>
  </w:num>
  <w:num w:numId="21" w16cid:durableId="813520544">
    <w:abstractNumId w:val="12"/>
  </w:num>
  <w:num w:numId="22" w16cid:durableId="448548980">
    <w:abstractNumId w:val="13"/>
  </w:num>
  <w:num w:numId="23" w16cid:durableId="8881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FF"/>
    <w:rsid w:val="000063FF"/>
    <w:rsid w:val="00023A88"/>
    <w:rsid w:val="00030608"/>
    <w:rsid w:val="000517B6"/>
    <w:rsid w:val="00062108"/>
    <w:rsid w:val="000805EA"/>
    <w:rsid w:val="0008352D"/>
    <w:rsid w:val="000863C4"/>
    <w:rsid w:val="000A488B"/>
    <w:rsid w:val="000A7238"/>
    <w:rsid w:val="000B0B21"/>
    <w:rsid w:val="000C203D"/>
    <w:rsid w:val="000C2273"/>
    <w:rsid w:val="000C59EA"/>
    <w:rsid w:val="000C7716"/>
    <w:rsid w:val="000D66CF"/>
    <w:rsid w:val="000D7141"/>
    <w:rsid w:val="000E2A16"/>
    <w:rsid w:val="000E5E52"/>
    <w:rsid w:val="000F0EDD"/>
    <w:rsid w:val="000F1C2D"/>
    <w:rsid w:val="001078C6"/>
    <w:rsid w:val="00111A1C"/>
    <w:rsid w:val="001165B9"/>
    <w:rsid w:val="00116D3D"/>
    <w:rsid w:val="001357B2"/>
    <w:rsid w:val="00173FBF"/>
    <w:rsid w:val="00197977"/>
    <w:rsid w:val="001A3BA5"/>
    <w:rsid w:val="001B615E"/>
    <w:rsid w:val="001C2D67"/>
    <w:rsid w:val="001D0C68"/>
    <w:rsid w:val="001D66E0"/>
    <w:rsid w:val="001E6DF1"/>
    <w:rsid w:val="001F4287"/>
    <w:rsid w:val="001F7BC0"/>
    <w:rsid w:val="00202A77"/>
    <w:rsid w:val="0020438A"/>
    <w:rsid w:val="00207C46"/>
    <w:rsid w:val="002224EB"/>
    <w:rsid w:val="0022326A"/>
    <w:rsid w:val="002302D9"/>
    <w:rsid w:val="002425D6"/>
    <w:rsid w:val="002440DA"/>
    <w:rsid w:val="0026341E"/>
    <w:rsid w:val="00270ECA"/>
    <w:rsid w:val="00271CE5"/>
    <w:rsid w:val="00272E8F"/>
    <w:rsid w:val="00275A50"/>
    <w:rsid w:val="00276637"/>
    <w:rsid w:val="00280E9A"/>
    <w:rsid w:val="00281ACB"/>
    <w:rsid w:val="00282020"/>
    <w:rsid w:val="002852C1"/>
    <w:rsid w:val="00286340"/>
    <w:rsid w:val="002915D0"/>
    <w:rsid w:val="00294BE1"/>
    <w:rsid w:val="002A5510"/>
    <w:rsid w:val="002B1DF7"/>
    <w:rsid w:val="002C7897"/>
    <w:rsid w:val="002E6EE3"/>
    <w:rsid w:val="002F03A2"/>
    <w:rsid w:val="002F04B7"/>
    <w:rsid w:val="002F33CE"/>
    <w:rsid w:val="00303066"/>
    <w:rsid w:val="00337433"/>
    <w:rsid w:val="00337519"/>
    <w:rsid w:val="003406D8"/>
    <w:rsid w:val="00342BA0"/>
    <w:rsid w:val="00350E48"/>
    <w:rsid w:val="00361152"/>
    <w:rsid w:val="003636BF"/>
    <w:rsid w:val="00364F72"/>
    <w:rsid w:val="00370AA7"/>
    <w:rsid w:val="0037479F"/>
    <w:rsid w:val="00377462"/>
    <w:rsid w:val="003845B4"/>
    <w:rsid w:val="00386441"/>
    <w:rsid w:val="00387B1A"/>
    <w:rsid w:val="003929DF"/>
    <w:rsid w:val="003C36AD"/>
    <w:rsid w:val="003D2CC9"/>
    <w:rsid w:val="003D6DF7"/>
    <w:rsid w:val="003E19A2"/>
    <w:rsid w:val="003E1C74"/>
    <w:rsid w:val="004106F8"/>
    <w:rsid w:val="00426A62"/>
    <w:rsid w:val="00454BB6"/>
    <w:rsid w:val="0045567F"/>
    <w:rsid w:val="004773D7"/>
    <w:rsid w:val="004806EE"/>
    <w:rsid w:val="004B112D"/>
    <w:rsid w:val="004C0654"/>
    <w:rsid w:val="004D5E41"/>
    <w:rsid w:val="004F38D3"/>
    <w:rsid w:val="004F5388"/>
    <w:rsid w:val="00516F6C"/>
    <w:rsid w:val="00520C0F"/>
    <w:rsid w:val="00526246"/>
    <w:rsid w:val="0056689A"/>
    <w:rsid w:val="00567106"/>
    <w:rsid w:val="00590330"/>
    <w:rsid w:val="005A4CFE"/>
    <w:rsid w:val="005A5F70"/>
    <w:rsid w:val="005A6CE4"/>
    <w:rsid w:val="005B2DD6"/>
    <w:rsid w:val="005C6798"/>
    <w:rsid w:val="005D3DBE"/>
    <w:rsid w:val="005D4DF6"/>
    <w:rsid w:val="005E1D3C"/>
    <w:rsid w:val="005F2F7D"/>
    <w:rsid w:val="00602F50"/>
    <w:rsid w:val="0061668B"/>
    <w:rsid w:val="00632253"/>
    <w:rsid w:val="00642714"/>
    <w:rsid w:val="00643C4E"/>
    <w:rsid w:val="006455CE"/>
    <w:rsid w:val="00657500"/>
    <w:rsid w:val="00666FE7"/>
    <w:rsid w:val="00667BB9"/>
    <w:rsid w:val="00670F69"/>
    <w:rsid w:val="00694968"/>
    <w:rsid w:val="006C0F60"/>
    <w:rsid w:val="006D2FCD"/>
    <w:rsid w:val="006D42D9"/>
    <w:rsid w:val="006D780B"/>
    <w:rsid w:val="006D79F8"/>
    <w:rsid w:val="007213E5"/>
    <w:rsid w:val="00726463"/>
    <w:rsid w:val="0073014D"/>
    <w:rsid w:val="00733017"/>
    <w:rsid w:val="00737AF1"/>
    <w:rsid w:val="00751D38"/>
    <w:rsid w:val="0076750C"/>
    <w:rsid w:val="0078149B"/>
    <w:rsid w:val="00783310"/>
    <w:rsid w:val="00784508"/>
    <w:rsid w:val="00793480"/>
    <w:rsid w:val="00794177"/>
    <w:rsid w:val="00795A15"/>
    <w:rsid w:val="007A4A6D"/>
    <w:rsid w:val="007B40BB"/>
    <w:rsid w:val="007D1BCF"/>
    <w:rsid w:val="007D4C34"/>
    <w:rsid w:val="007D75CF"/>
    <w:rsid w:val="007E1974"/>
    <w:rsid w:val="007E6DC5"/>
    <w:rsid w:val="007E78D1"/>
    <w:rsid w:val="007F3D33"/>
    <w:rsid w:val="0080270B"/>
    <w:rsid w:val="00815566"/>
    <w:rsid w:val="00816782"/>
    <w:rsid w:val="008235D6"/>
    <w:rsid w:val="00824A71"/>
    <w:rsid w:val="00825BCC"/>
    <w:rsid w:val="008324B5"/>
    <w:rsid w:val="008357A1"/>
    <w:rsid w:val="008509B4"/>
    <w:rsid w:val="0085142C"/>
    <w:rsid w:val="00852743"/>
    <w:rsid w:val="008604F9"/>
    <w:rsid w:val="00862600"/>
    <w:rsid w:val="0088043C"/>
    <w:rsid w:val="00887E1E"/>
    <w:rsid w:val="008906C9"/>
    <w:rsid w:val="00896E4E"/>
    <w:rsid w:val="008A6505"/>
    <w:rsid w:val="008A742F"/>
    <w:rsid w:val="008C5738"/>
    <w:rsid w:val="008D04F0"/>
    <w:rsid w:val="008D5F52"/>
    <w:rsid w:val="008E0ECC"/>
    <w:rsid w:val="008E7E19"/>
    <w:rsid w:val="008F026E"/>
    <w:rsid w:val="008F1033"/>
    <w:rsid w:val="008F3500"/>
    <w:rsid w:val="008F51E8"/>
    <w:rsid w:val="0090531A"/>
    <w:rsid w:val="00910CD5"/>
    <w:rsid w:val="00914F26"/>
    <w:rsid w:val="00924E3C"/>
    <w:rsid w:val="009477FA"/>
    <w:rsid w:val="009511AD"/>
    <w:rsid w:val="00953B2B"/>
    <w:rsid w:val="009541F3"/>
    <w:rsid w:val="009612BB"/>
    <w:rsid w:val="00966028"/>
    <w:rsid w:val="00966593"/>
    <w:rsid w:val="009833DD"/>
    <w:rsid w:val="00983F0E"/>
    <w:rsid w:val="00992E0B"/>
    <w:rsid w:val="009A14B7"/>
    <w:rsid w:val="009A229D"/>
    <w:rsid w:val="009C123F"/>
    <w:rsid w:val="009C4FD9"/>
    <w:rsid w:val="009E6AC6"/>
    <w:rsid w:val="009F30FB"/>
    <w:rsid w:val="00A000F2"/>
    <w:rsid w:val="00A03673"/>
    <w:rsid w:val="00A125C5"/>
    <w:rsid w:val="00A12D5C"/>
    <w:rsid w:val="00A16D01"/>
    <w:rsid w:val="00A238F1"/>
    <w:rsid w:val="00A276F7"/>
    <w:rsid w:val="00A31606"/>
    <w:rsid w:val="00A443A1"/>
    <w:rsid w:val="00A5039D"/>
    <w:rsid w:val="00A61123"/>
    <w:rsid w:val="00A65EE7"/>
    <w:rsid w:val="00A70133"/>
    <w:rsid w:val="00A748A0"/>
    <w:rsid w:val="00A74999"/>
    <w:rsid w:val="00A95325"/>
    <w:rsid w:val="00AB16A7"/>
    <w:rsid w:val="00AB1D71"/>
    <w:rsid w:val="00AB6133"/>
    <w:rsid w:val="00AC5C16"/>
    <w:rsid w:val="00AE40D6"/>
    <w:rsid w:val="00AE6CBB"/>
    <w:rsid w:val="00AF7F7C"/>
    <w:rsid w:val="00B1337D"/>
    <w:rsid w:val="00B17141"/>
    <w:rsid w:val="00B27607"/>
    <w:rsid w:val="00B31575"/>
    <w:rsid w:val="00B32AF8"/>
    <w:rsid w:val="00B47AF6"/>
    <w:rsid w:val="00B50C13"/>
    <w:rsid w:val="00B53904"/>
    <w:rsid w:val="00B8547D"/>
    <w:rsid w:val="00BE08CD"/>
    <w:rsid w:val="00BE094A"/>
    <w:rsid w:val="00BE27D5"/>
    <w:rsid w:val="00BE4FE6"/>
    <w:rsid w:val="00BF0552"/>
    <w:rsid w:val="00BF2EDF"/>
    <w:rsid w:val="00C250D5"/>
    <w:rsid w:val="00C31108"/>
    <w:rsid w:val="00C47F8D"/>
    <w:rsid w:val="00C57836"/>
    <w:rsid w:val="00C64874"/>
    <w:rsid w:val="00C6674E"/>
    <w:rsid w:val="00C81391"/>
    <w:rsid w:val="00C86FA6"/>
    <w:rsid w:val="00C911B7"/>
    <w:rsid w:val="00C92898"/>
    <w:rsid w:val="00C94BA2"/>
    <w:rsid w:val="00CA38DC"/>
    <w:rsid w:val="00CA699D"/>
    <w:rsid w:val="00CA6CEF"/>
    <w:rsid w:val="00CC179C"/>
    <w:rsid w:val="00CE6AA0"/>
    <w:rsid w:val="00CE72B1"/>
    <w:rsid w:val="00CE7514"/>
    <w:rsid w:val="00CF4D78"/>
    <w:rsid w:val="00CF5D74"/>
    <w:rsid w:val="00D248DE"/>
    <w:rsid w:val="00D33597"/>
    <w:rsid w:val="00D37A4B"/>
    <w:rsid w:val="00D8542D"/>
    <w:rsid w:val="00D87453"/>
    <w:rsid w:val="00D91866"/>
    <w:rsid w:val="00DA2C9A"/>
    <w:rsid w:val="00DC6A71"/>
    <w:rsid w:val="00DE5B46"/>
    <w:rsid w:val="00E00AE8"/>
    <w:rsid w:val="00E00F7A"/>
    <w:rsid w:val="00E0357D"/>
    <w:rsid w:val="00E12EC6"/>
    <w:rsid w:val="00E22D44"/>
    <w:rsid w:val="00E24EC2"/>
    <w:rsid w:val="00E404F7"/>
    <w:rsid w:val="00E45256"/>
    <w:rsid w:val="00E50108"/>
    <w:rsid w:val="00E55D46"/>
    <w:rsid w:val="00E57198"/>
    <w:rsid w:val="00E572FE"/>
    <w:rsid w:val="00E66CA1"/>
    <w:rsid w:val="00E71389"/>
    <w:rsid w:val="00E716C2"/>
    <w:rsid w:val="00E725CE"/>
    <w:rsid w:val="00E72DAB"/>
    <w:rsid w:val="00E853E8"/>
    <w:rsid w:val="00E87737"/>
    <w:rsid w:val="00EB7DEC"/>
    <w:rsid w:val="00EC55E6"/>
    <w:rsid w:val="00EC746B"/>
    <w:rsid w:val="00ED1018"/>
    <w:rsid w:val="00ED4F82"/>
    <w:rsid w:val="00ED7E30"/>
    <w:rsid w:val="00ED7E82"/>
    <w:rsid w:val="00EE411F"/>
    <w:rsid w:val="00EE6836"/>
    <w:rsid w:val="00EF3863"/>
    <w:rsid w:val="00EF4529"/>
    <w:rsid w:val="00F02FD9"/>
    <w:rsid w:val="00F079C5"/>
    <w:rsid w:val="00F11C41"/>
    <w:rsid w:val="00F2387D"/>
    <w:rsid w:val="00F240BB"/>
    <w:rsid w:val="00F33639"/>
    <w:rsid w:val="00F46724"/>
    <w:rsid w:val="00F57FED"/>
    <w:rsid w:val="00F63F62"/>
    <w:rsid w:val="00F7478E"/>
    <w:rsid w:val="00F75F95"/>
    <w:rsid w:val="00F825FF"/>
    <w:rsid w:val="00F907E8"/>
    <w:rsid w:val="00F90D69"/>
    <w:rsid w:val="00F91A22"/>
    <w:rsid w:val="00F96EE2"/>
    <w:rsid w:val="00FB0E31"/>
    <w:rsid w:val="00FB6953"/>
    <w:rsid w:val="00FD2BEC"/>
    <w:rsid w:val="00FE3A1E"/>
    <w:rsid w:val="00FE7698"/>
    <w:rsid w:val="00FF68BC"/>
    <w:rsid w:val="00FF782C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6175E48"/>
  <w15:docId w15:val="{FC0A967E-8436-4219-AD45-6B5F76AE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  <w:style w:type="paragraph" w:styleId="Navadensplet">
    <w:name w:val="Normal (Web)"/>
    <w:basedOn w:val="Navaden"/>
    <w:uiPriority w:val="99"/>
    <w:unhideWhenUsed/>
    <w:rsid w:val="00275A50"/>
    <w:p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gn-justify">
    <w:name w:val="align-justify"/>
    <w:basedOn w:val="Navaden"/>
    <w:rsid w:val="00275A50"/>
    <w:pPr>
      <w:spacing w:line="240" w:lineRule="auto"/>
      <w:jc w:val="both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953B2B"/>
    <w:rPr>
      <w:b/>
      <w:bCs/>
    </w:rPr>
  </w:style>
  <w:style w:type="character" w:styleId="SledenaHiperpovezava">
    <w:name w:val="FollowedHyperlink"/>
    <w:basedOn w:val="Privzetapisavaodstavka"/>
    <w:rsid w:val="00BE27D5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F3D33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106F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6689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49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92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8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46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voznookno.si/Dokumenti/Mednarodno_trgovanje/Ukrepi_trgovinske_politke_/Tarifne_opustitve_23.aspx" TargetMode="External"/><Relationship Id="rId18" Type="http://schemas.openxmlformats.org/officeDocument/2006/relationships/hyperlink" Target="https://eur-lex.europa.eu/legal-content/SL/TXT/PDF/?uri=CELEX:32023R1191" TargetMode="External"/><Relationship Id="rId26" Type="http://schemas.openxmlformats.org/officeDocument/2006/relationships/hyperlink" Target="https://eur-lex.europa.eu/legal-content/SL/TXT/?uri=OJ:L_20240185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-lex.europa.eu/legal-content/SL/TXT/?uri=uriserv%3AOJ.L_.2021.458.01.0033.01.SLV&amp;toc=OJ%3AL%3A2021%3A458%3ATOC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eur-lex.europa.eu/legal-content/SL/TXT/?qid=1404974915917&amp;uri=CELEX:32002R1147" TargetMode="External"/><Relationship Id="rId17" Type="http://schemas.openxmlformats.org/officeDocument/2006/relationships/hyperlink" Target="https://eur-lex.europa.eu/legal-content/SL/TXT/?uri=OJ:L_202401829" TargetMode="External"/><Relationship Id="rId25" Type="http://schemas.openxmlformats.org/officeDocument/2006/relationships/hyperlink" Target="https://eur-lex.europa.eu/legal-content/SL/TXT/PDF/?uri=CELEX:32019R0998&amp;from=EN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SL/TXT/?uri=uriserv%3AOJ.L_.2021.466.01.0001.01.SLV&amp;toc=OJ%3AL%3A2021%3A466%3ATOC" TargetMode="External"/><Relationship Id="rId20" Type="http://schemas.openxmlformats.org/officeDocument/2006/relationships/hyperlink" Target="https://eur-lex.europa.eu/legal-content/SL/TXT/?uri=CELEX%3A32022R0972&amp;qid=1663228349818" TargetMode="External"/><Relationship Id="rId29" Type="http://schemas.openxmlformats.org/officeDocument/2006/relationships/hyperlink" Target="https://eur-lex.europa.eu/legal-content/SL/TXT/?uri=CELEX%3A32022R1008&amp;qid=16632281373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grt.gov.si/si/delovna_podrocja/turizem_in_internacionalizacija/sektor_za_internacionalizacijo/internacionalizacija/trgovinska_politika_eu/" TargetMode="External"/><Relationship Id="rId24" Type="http://schemas.openxmlformats.org/officeDocument/2006/relationships/hyperlink" Target="https://eur-lex.europa.eu/legal-content/SL/TXT/PDF/?uri=CELEX:32019R2220&amp;from=FR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SL/TXT/?uri=uriserv%3AOJ.L_.2021.458.01.0033.01.SLV&amp;toc=OJ%3AL%3A2021%3A458%3ATOC" TargetMode="External"/><Relationship Id="rId23" Type="http://schemas.openxmlformats.org/officeDocument/2006/relationships/hyperlink" Target="https://eur-lex.europa.eu/legal-content/SL/TXT/?uri=uriserv:OJ.L_.2020.204.01.0034.01.SLV&amp;toc=OJ:L:2020:204:TOC" TargetMode="External"/><Relationship Id="rId28" Type="http://schemas.openxmlformats.org/officeDocument/2006/relationships/hyperlink" Target="https://eur-lex.europa.eu/legal-content/SL/TXT/?uri=OJ:L:2022:340:TOC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SL/TXT/?uri=uriserv%3AOJ.L_.2022.330.01.0109.01.SLV&amp;toc=OJ%3AL%3A2022%3A330%3ATOC" TargetMode="External"/><Relationship Id="rId31" Type="http://schemas.openxmlformats.org/officeDocument/2006/relationships/hyperlink" Target="https://eur-lex.europa.eu/legal-content/SL/TXT/PDF/?uri=CELEX:32021R1052&amp;from=S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SL/TXT/PDF/?uri=CELEX:32018R0581&amp;qid=1531289496788&amp;from=SL" TargetMode="External"/><Relationship Id="rId22" Type="http://schemas.openxmlformats.org/officeDocument/2006/relationships/hyperlink" Target="https://eur-lex.europa.eu/legal-content/SL/TXT/PDF/?uri=CELEX:32021R1051&amp;from=SL" TargetMode="External"/><Relationship Id="rId27" Type="http://schemas.openxmlformats.org/officeDocument/2006/relationships/hyperlink" Target="https://eur-lex.europa.eu/legal-content/SL/TXT/PDF/?uri=CELEX:32023R1190" TargetMode="External"/><Relationship Id="rId30" Type="http://schemas.openxmlformats.org/officeDocument/2006/relationships/hyperlink" Target="https://eur-lex.europa.eu/legal-content/SL/TXT/?uri=uriserv%3AOJ.L_.2021.466.01.0001.01.SLV&amp;toc=OJ%3AL%3A2021%3A466%3ATOC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3" ma:contentTypeDescription="Ustvari nov dokument." ma:contentTypeScope="" ma:versionID="bb977881d2c02028a42462b2858401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756591c7c269dcc4efb2a8b72a38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70F76-0E32-458E-877B-7EB1513B6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9D471-9D15-466E-9F39-A6F0FCC9F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B29F4-970E-4A82-837B-7D406854A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9473</CharactersWithSpaces>
  <SharedDoc>false</SharedDoc>
  <HLinks>
    <vt:vector size="48" baseType="variant">
      <vt:variant>
        <vt:i4>851974</vt:i4>
      </vt:variant>
      <vt:variant>
        <vt:i4>42</vt:i4>
      </vt:variant>
      <vt:variant>
        <vt:i4>0</vt:i4>
      </vt:variant>
      <vt:variant>
        <vt:i4>5</vt:i4>
      </vt:variant>
      <vt:variant>
        <vt:lpwstr>http://www.fu.gov.si/davki_in_druge_dajatve/mednarodno_obdavcenje/</vt:lpwstr>
      </vt:variant>
      <vt:variant>
        <vt:lpwstr>c78</vt:lpwstr>
      </vt:variant>
      <vt:variant>
        <vt:i4>851974</vt:i4>
      </vt:variant>
      <vt:variant>
        <vt:i4>39</vt:i4>
      </vt:variant>
      <vt:variant>
        <vt:i4>0</vt:i4>
      </vt:variant>
      <vt:variant>
        <vt:i4>5</vt:i4>
      </vt:variant>
      <vt:variant>
        <vt:lpwstr>http://www.fu.gov.si/davki_in_druge_dajatve/mednarodno_obdavcenje/</vt:lpwstr>
      </vt:variant>
      <vt:variant>
        <vt:lpwstr>c78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_Toc400009067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_Toc400009066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_Toc400009065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_Toc400009064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_Toc400009063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_Toc400009062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dc:description/>
  <cp:lastModifiedBy>Mohor Slatner</cp:lastModifiedBy>
  <cp:revision>3</cp:revision>
  <cp:lastPrinted>2019-07-02T11:20:00Z</cp:lastPrinted>
  <dcterms:created xsi:type="dcterms:W3CDTF">2025-01-07T15:14:00Z</dcterms:created>
  <dcterms:modified xsi:type="dcterms:W3CDTF">2025-01-07T15:25:00Z</dcterms:modified>
</cp:coreProperties>
</file>