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lang w:val="en-GB"/>
        </w:rPr>
      </w:pPr>
    </w:p>
    <w:p w:rsidR="00215798" w:rsidRPr="0031187B" w:rsidRDefault="00215798" w:rsidP="00215798">
      <w:pPr>
        <w:pStyle w:val="datumtevilka"/>
        <w:jc w:val="center"/>
        <w:rPr>
          <w:b/>
          <w:sz w:val="32"/>
          <w:szCs w:val="32"/>
          <w:lang w:val="en-GB"/>
        </w:rPr>
      </w:pPr>
      <w:r w:rsidRPr="0031187B">
        <w:rPr>
          <w:b/>
          <w:sz w:val="32"/>
          <w:szCs w:val="32"/>
          <w:lang w:val="en-GB"/>
        </w:rPr>
        <w:t>TRAVEL</w:t>
      </w:r>
      <w:r>
        <w:rPr>
          <w:b/>
          <w:sz w:val="32"/>
          <w:szCs w:val="32"/>
          <w:lang w:val="en-GB"/>
        </w:rPr>
        <w:t>LING</w:t>
      </w:r>
      <w:r w:rsidRPr="0031187B">
        <w:rPr>
          <w:b/>
          <w:sz w:val="32"/>
          <w:szCs w:val="32"/>
          <w:lang w:val="en-GB"/>
        </w:rPr>
        <w:t xml:space="preserve"> BETWEEN THE EU MEMBER STATES</w:t>
      </w:r>
    </w:p>
    <w:p w:rsidR="00215798" w:rsidRPr="0031187B" w:rsidRDefault="00215798" w:rsidP="00215798">
      <w:pPr>
        <w:pStyle w:val="datumtevilka"/>
        <w:jc w:val="center"/>
        <w:rPr>
          <w:b/>
          <w:sz w:val="32"/>
          <w:szCs w:val="32"/>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b/>
          <w:sz w:val="28"/>
          <w:szCs w:val="28"/>
          <w:lang w:val="en-GB"/>
        </w:rPr>
      </w:pPr>
      <w:r w:rsidRPr="0031187B">
        <w:rPr>
          <w:b/>
          <w:sz w:val="28"/>
          <w:szCs w:val="28"/>
          <w:lang w:val="en-GB"/>
        </w:rPr>
        <w:t xml:space="preserve">Detailed information </w:t>
      </w: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datumtevilka"/>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bookmarkStart w:id="0" w:name="_GoBack"/>
      <w:bookmarkEnd w:id="0"/>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highlight w:val="yellow"/>
          <w:lang w:val="en-GB"/>
        </w:rPr>
      </w:pPr>
    </w:p>
    <w:p w:rsidR="00215798" w:rsidRPr="0031187B" w:rsidRDefault="00215798" w:rsidP="00215798">
      <w:pPr>
        <w:pStyle w:val="podpisi"/>
        <w:jc w:val="center"/>
        <w:rPr>
          <w:b/>
          <w:sz w:val="28"/>
          <w:lang w:val="en-GB"/>
        </w:rPr>
      </w:pPr>
      <w:r>
        <w:rPr>
          <w:b/>
          <w:sz w:val="28"/>
          <w:lang w:val="en-GB"/>
        </w:rPr>
        <w:t>AUGUST</w:t>
      </w:r>
      <w:r w:rsidRPr="0031187B">
        <w:rPr>
          <w:b/>
          <w:sz w:val="28"/>
          <w:lang w:val="en-GB"/>
        </w:rPr>
        <w:t xml:space="preserve"> </w:t>
      </w:r>
      <w:r>
        <w:rPr>
          <w:b/>
          <w:sz w:val="28"/>
          <w:lang w:val="en-GB"/>
        </w:rPr>
        <w:t>2021</w:t>
      </w:r>
    </w:p>
    <w:p w:rsidR="00215798" w:rsidRPr="0031187B" w:rsidRDefault="00215798" w:rsidP="00215798">
      <w:pPr>
        <w:rPr>
          <w:b/>
          <w:sz w:val="24"/>
        </w:rPr>
      </w:pPr>
      <w:r w:rsidRPr="0031187B">
        <w:rPr>
          <w:sz w:val="28"/>
          <w:highlight w:val="yellow"/>
        </w:rPr>
        <w:br w:type="page"/>
      </w:r>
      <w:r w:rsidRPr="0031187B">
        <w:rPr>
          <w:b/>
          <w:sz w:val="24"/>
        </w:rPr>
        <w:lastRenderedPageBreak/>
        <w:t>CONTENTS</w:t>
      </w:r>
    </w:p>
    <w:p w:rsidR="00215798" w:rsidRPr="0031187B" w:rsidRDefault="00215798" w:rsidP="00215798">
      <w:pPr>
        <w:rPr>
          <w:b/>
          <w:sz w:val="24"/>
          <w:highlight w:val="yellow"/>
        </w:rPr>
      </w:pPr>
    </w:p>
    <w:p w:rsidR="00215798" w:rsidRPr="00102789" w:rsidRDefault="00215798" w:rsidP="00215798">
      <w:pPr>
        <w:pStyle w:val="Kazalovsebine1"/>
        <w:rPr>
          <w:rFonts w:ascii="Calibri" w:hAnsi="Calibri"/>
          <w:noProof/>
          <w:sz w:val="22"/>
          <w:szCs w:val="22"/>
          <w:lang w:val="sl-SI" w:eastAsia="sl-SI"/>
        </w:rPr>
      </w:pPr>
      <w:r w:rsidRPr="0031187B">
        <w:rPr>
          <w:b/>
          <w:sz w:val="28"/>
          <w:highlight w:val="yellow"/>
        </w:rPr>
        <w:fldChar w:fldCharType="begin"/>
      </w:r>
      <w:r w:rsidRPr="0031187B">
        <w:rPr>
          <w:b/>
          <w:sz w:val="28"/>
          <w:highlight w:val="yellow"/>
        </w:rPr>
        <w:instrText xml:space="preserve"> TOC \h \z \t "FURS_naslov_1;1;FURS_naslov_2;2" </w:instrText>
      </w:r>
      <w:r w:rsidRPr="0031187B">
        <w:rPr>
          <w:b/>
          <w:sz w:val="28"/>
          <w:highlight w:val="yellow"/>
        </w:rPr>
        <w:fldChar w:fldCharType="separate"/>
      </w:r>
      <w:hyperlink w:anchor="_Toc491947127" w:history="1">
        <w:r w:rsidRPr="00EC531F">
          <w:rPr>
            <w:rStyle w:val="Hiperpovezava"/>
            <w:noProof/>
          </w:rPr>
          <w:t>1.0 TRAVELLING BETWEEN THE EU MEMBER STATES</w:t>
        </w:r>
        <w:r>
          <w:rPr>
            <w:noProof/>
            <w:webHidden/>
          </w:rPr>
          <w:tab/>
        </w:r>
        <w:r>
          <w:rPr>
            <w:noProof/>
            <w:webHidden/>
          </w:rPr>
          <w:fldChar w:fldCharType="begin"/>
        </w:r>
        <w:r>
          <w:rPr>
            <w:noProof/>
            <w:webHidden/>
          </w:rPr>
          <w:instrText xml:space="preserve"> PAGEREF _Toc491947127 \h </w:instrText>
        </w:r>
        <w:r>
          <w:rPr>
            <w:noProof/>
            <w:webHidden/>
          </w:rPr>
        </w:r>
        <w:r>
          <w:rPr>
            <w:noProof/>
            <w:webHidden/>
          </w:rPr>
          <w:fldChar w:fldCharType="separate"/>
        </w:r>
        <w:r>
          <w:rPr>
            <w:noProof/>
            <w:webHidden/>
          </w:rPr>
          <w:t>3</w:t>
        </w:r>
        <w:r>
          <w:rPr>
            <w:noProof/>
            <w:webHidden/>
          </w:rPr>
          <w:fldChar w:fldCharType="end"/>
        </w:r>
      </w:hyperlink>
    </w:p>
    <w:p w:rsidR="00215798" w:rsidRPr="00102789" w:rsidRDefault="00B33A58" w:rsidP="00215798">
      <w:pPr>
        <w:pStyle w:val="Kazalovsebine1"/>
        <w:rPr>
          <w:rFonts w:ascii="Calibri" w:hAnsi="Calibri"/>
          <w:noProof/>
          <w:sz w:val="22"/>
          <w:szCs w:val="22"/>
          <w:lang w:val="sl-SI" w:eastAsia="sl-SI"/>
        </w:rPr>
      </w:pPr>
      <w:hyperlink w:anchor="_Toc491947128" w:history="1">
        <w:r w:rsidR="00215798" w:rsidRPr="00EC531F">
          <w:rPr>
            <w:rStyle w:val="Hiperpovezava"/>
            <w:noProof/>
          </w:rPr>
          <w:t>1.1 Buying goods in another Member State</w:t>
        </w:r>
        <w:r w:rsidR="00215798">
          <w:rPr>
            <w:noProof/>
            <w:webHidden/>
          </w:rPr>
          <w:tab/>
        </w:r>
        <w:r w:rsidR="00215798">
          <w:rPr>
            <w:noProof/>
            <w:webHidden/>
          </w:rPr>
          <w:fldChar w:fldCharType="begin"/>
        </w:r>
        <w:r w:rsidR="00215798">
          <w:rPr>
            <w:noProof/>
            <w:webHidden/>
          </w:rPr>
          <w:instrText xml:space="preserve"> PAGEREF _Toc491947128 \h </w:instrText>
        </w:r>
        <w:r w:rsidR="00215798">
          <w:rPr>
            <w:noProof/>
            <w:webHidden/>
          </w:rPr>
        </w:r>
        <w:r w:rsidR="00215798">
          <w:rPr>
            <w:noProof/>
            <w:webHidden/>
          </w:rPr>
          <w:fldChar w:fldCharType="separate"/>
        </w:r>
        <w:r w:rsidR="00215798">
          <w:rPr>
            <w:noProof/>
            <w:webHidden/>
          </w:rPr>
          <w:t>3</w:t>
        </w:r>
        <w:r w:rsidR="00215798">
          <w:rPr>
            <w:noProof/>
            <w:webHidden/>
          </w:rPr>
          <w:fldChar w:fldCharType="end"/>
        </w:r>
      </w:hyperlink>
    </w:p>
    <w:p w:rsidR="00215798" w:rsidRPr="00102789" w:rsidRDefault="00B33A58" w:rsidP="00215798">
      <w:pPr>
        <w:pStyle w:val="Kazalovsebine1"/>
        <w:rPr>
          <w:rFonts w:ascii="Calibri" w:hAnsi="Calibri"/>
          <w:noProof/>
          <w:sz w:val="22"/>
          <w:szCs w:val="22"/>
          <w:lang w:val="sl-SI" w:eastAsia="sl-SI"/>
        </w:rPr>
      </w:pPr>
      <w:hyperlink w:anchor="_Toc491947129" w:history="1">
        <w:r w:rsidR="00215798" w:rsidRPr="00EC531F">
          <w:rPr>
            <w:rStyle w:val="Hiperpovezava"/>
            <w:noProof/>
          </w:rPr>
          <w:t>1.2 Excise products</w:t>
        </w:r>
        <w:r w:rsidR="00215798">
          <w:rPr>
            <w:noProof/>
            <w:webHidden/>
          </w:rPr>
          <w:tab/>
        </w:r>
        <w:r w:rsidR="00215798">
          <w:rPr>
            <w:noProof/>
            <w:webHidden/>
          </w:rPr>
          <w:fldChar w:fldCharType="begin"/>
        </w:r>
        <w:r w:rsidR="00215798">
          <w:rPr>
            <w:noProof/>
            <w:webHidden/>
          </w:rPr>
          <w:instrText xml:space="preserve"> PAGEREF _Toc491947129 \h </w:instrText>
        </w:r>
        <w:r w:rsidR="00215798">
          <w:rPr>
            <w:noProof/>
            <w:webHidden/>
          </w:rPr>
        </w:r>
        <w:r w:rsidR="00215798">
          <w:rPr>
            <w:noProof/>
            <w:webHidden/>
          </w:rPr>
          <w:fldChar w:fldCharType="separate"/>
        </w:r>
        <w:r w:rsidR="00215798">
          <w:rPr>
            <w:noProof/>
            <w:webHidden/>
          </w:rPr>
          <w:t>3</w:t>
        </w:r>
        <w:r w:rsidR="00215798">
          <w:rPr>
            <w:noProof/>
            <w:webHidden/>
          </w:rPr>
          <w:fldChar w:fldCharType="end"/>
        </w:r>
      </w:hyperlink>
    </w:p>
    <w:p w:rsidR="00215798" w:rsidRPr="00102789" w:rsidRDefault="00B33A58" w:rsidP="00215798">
      <w:pPr>
        <w:pStyle w:val="Kazalovsebine2"/>
        <w:rPr>
          <w:noProof/>
        </w:rPr>
      </w:pPr>
      <w:hyperlink w:anchor="_Toc491947130" w:history="1">
        <w:r w:rsidR="00215798" w:rsidRPr="00EC531F">
          <w:rPr>
            <w:rStyle w:val="Hiperpovezava"/>
            <w:bCs/>
            <w:noProof/>
          </w:rPr>
          <w:t>1.2.1. Alcohol and tobacco products</w:t>
        </w:r>
        <w:r w:rsidR="00215798">
          <w:rPr>
            <w:noProof/>
            <w:webHidden/>
          </w:rPr>
          <w:tab/>
        </w:r>
        <w:r w:rsidR="00215798">
          <w:rPr>
            <w:noProof/>
            <w:webHidden/>
          </w:rPr>
          <w:fldChar w:fldCharType="begin"/>
        </w:r>
        <w:r w:rsidR="00215798">
          <w:rPr>
            <w:noProof/>
            <w:webHidden/>
          </w:rPr>
          <w:instrText xml:space="preserve"> PAGEREF _Toc491947130 \h </w:instrText>
        </w:r>
        <w:r w:rsidR="00215798">
          <w:rPr>
            <w:noProof/>
            <w:webHidden/>
          </w:rPr>
        </w:r>
        <w:r w:rsidR="00215798">
          <w:rPr>
            <w:noProof/>
            <w:webHidden/>
          </w:rPr>
          <w:fldChar w:fldCharType="separate"/>
        </w:r>
        <w:r w:rsidR="00215798">
          <w:rPr>
            <w:noProof/>
            <w:webHidden/>
          </w:rPr>
          <w:t>3</w:t>
        </w:r>
        <w:r w:rsidR="00215798">
          <w:rPr>
            <w:noProof/>
            <w:webHidden/>
          </w:rPr>
          <w:fldChar w:fldCharType="end"/>
        </w:r>
      </w:hyperlink>
    </w:p>
    <w:p w:rsidR="00215798" w:rsidRPr="00102789" w:rsidRDefault="00B33A58" w:rsidP="00215798">
      <w:pPr>
        <w:pStyle w:val="Kazalovsebine2"/>
        <w:rPr>
          <w:noProof/>
        </w:rPr>
      </w:pPr>
      <w:hyperlink w:anchor="_Toc491947131" w:history="1">
        <w:r w:rsidR="00215798" w:rsidRPr="00EC531F">
          <w:rPr>
            <w:rStyle w:val="Hiperpovezava"/>
            <w:bCs/>
            <w:noProof/>
          </w:rPr>
          <w:t>1.2.2. Energy products</w:t>
        </w:r>
        <w:r w:rsidR="00215798">
          <w:rPr>
            <w:noProof/>
            <w:webHidden/>
          </w:rPr>
          <w:tab/>
        </w:r>
        <w:r w:rsidR="00215798">
          <w:rPr>
            <w:noProof/>
            <w:webHidden/>
          </w:rPr>
          <w:fldChar w:fldCharType="begin"/>
        </w:r>
        <w:r w:rsidR="00215798">
          <w:rPr>
            <w:noProof/>
            <w:webHidden/>
          </w:rPr>
          <w:instrText xml:space="preserve"> PAGEREF _Toc491947131 \h </w:instrText>
        </w:r>
        <w:r w:rsidR="00215798">
          <w:rPr>
            <w:noProof/>
            <w:webHidden/>
          </w:rPr>
        </w:r>
        <w:r w:rsidR="00215798">
          <w:rPr>
            <w:noProof/>
            <w:webHidden/>
          </w:rPr>
          <w:fldChar w:fldCharType="separate"/>
        </w:r>
        <w:r w:rsidR="00215798">
          <w:rPr>
            <w:noProof/>
            <w:webHidden/>
          </w:rPr>
          <w:t>4</w:t>
        </w:r>
        <w:r w:rsidR="00215798">
          <w:rPr>
            <w:noProof/>
            <w:webHidden/>
          </w:rPr>
          <w:fldChar w:fldCharType="end"/>
        </w:r>
      </w:hyperlink>
    </w:p>
    <w:p w:rsidR="00215798" w:rsidRPr="00102789" w:rsidRDefault="00B33A58" w:rsidP="00215798">
      <w:pPr>
        <w:pStyle w:val="Kazalovsebine1"/>
        <w:rPr>
          <w:rFonts w:ascii="Calibri" w:hAnsi="Calibri"/>
          <w:noProof/>
          <w:sz w:val="22"/>
          <w:szCs w:val="22"/>
          <w:lang w:val="sl-SI" w:eastAsia="sl-SI"/>
        </w:rPr>
      </w:pPr>
      <w:hyperlink w:anchor="_Toc491947132" w:history="1">
        <w:r w:rsidR="00215798" w:rsidRPr="00EC531F">
          <w:rPr>
            <w:rStyle w:val="Hiperpovezava"/>
            <w:noProof/>
          </w:rPr>
          <w:t xml:space="preserve">1.3 </w:t>
        </w:r>
        <w:r w:rsidR="00215798" w:rsidRPr="00EC531F">
          <w:rPr>
            <w:rStyle w:val="Hiperpovezava"/>
            <w:noProof/>
            <w:lang w:eastAsia="ar-SA"/>
          </w:rPr>
          <w:t>New means of transport</w:t>
        </w:r>
        <w:r w:rsidR="00215798">
          <w:rPr>
            <w:noProof/>
            <w:webHidden/>
          </w:rPr>
          <w:tab/>
        </w:r>
        <w:r w:rsidR="00215798">
          <w:rPr>
            <w:noProof/>
            <w:webHidden/>
          </w:rPr>
          <w:fldChar w:fldCharType="begin"/>
        </w:r>
        <w:r w:rsidR="00215798">
          <w:rPr>
            <w:noProof/>
            <w:webHidden/>
          </w:rPr>
          <w:instrText xml:space="preserve"> PAGEREF _Toc491947132 \h </w:instrText>
        </w:r>
        <w:r w:rsidR="00215798">
          <w:rPr>
            <w:noProof/>
            <w:webHidden/>
          </w:rPr>
        </w:r>
        <w:r w:rsidR="00215798">
          <w:rPr>
            <w:noProof/>
            <w:webHidden/>
          </w:rPr>
          <w:fldChar w:fldCharType="separate"/>
        </w:r>
        <w:r w:rsidR="00215798">
          <w:rPr>
            <w:noProof/>
            <w:webHidden/>
          </w:rPr>
          <w:t>4</w:t>
        </w:r>
        <w:r w:rsidR="00215798">
          <w:rPr>
            <w:noProof/>
            <w:webHidden/>
          </w:rPr>
          <w:fldChar w:fldCharType="end"/>
        </w:r>
      </w:hyperlink>
    </w:p>
    <w:p w:rsidR="00215798" w:rsidRPr="00102789" w:rsidRDefault="00B33A58" w:rsidP="00215798">
      <w:pPr>
        <w:pStyle w:val="Kazalovsebine1"/>
        <w:rPr>
          <w:rFonts w:ascii="Calibri" w:hAnsi="Calibri"/>
          <w:noProof/>
          <w:sz w:val="22"/>
          <w:szCs w:val="22"/>
          <w:lang w:val="sl-SI" w:eastAsia="sl-SI"/>
        </w:rPr>
      </w:pPr>
      <w:hyperlink w:anchor="_Toc491947133" w:history="1">
        <w:r w:rsidR="00215798" w:rsidRPr="00EC531F">
          <w:rPr>
            <w:rStyle w:val="Hiperpovezava"/>
            <w:noProof/>
          </w:rPr>
          <w:t>1.4 Regions and territories of the EU with special status</w:t>
        </w:r>
        <w:r w:rsidR="00215798">
          <w:rPr>
            <w:noProof/>
            <w:webHidden/>
          </w:rPr>
          <w:tab/>
        </w:r>
        <w:r w:rsidR="00215798">
          <w:rPr>
            <w:noProof/>
            <w:webHidden/>
          </w:rPr>
          <w:fldChar w:fldCharType="begin"/>
        </w:r>
        <w:r w:rsidR="00215798">
          <w:rPr>
            <w:noProof/>
            <w:webHidden/>
          </w:rPr>
          <w:instrText xml:space="preserve"> PAGEREF _Toc491947133 \h </w:instrText>
        </w:r>
        <w:r w:rsidR="00215798">
          <w:rPr>
            <w:noProof/>
            <w:webHidden/>
          </w:rPr>
        </w:r>
        <w:r w:rsidR="00215798">
          <w:rPr>
            <w:noProof/>
            <w:webHidden/>
          </w:rPr>
          <w:fldChar w:fldCharType="separate"/>
        </w:r>
        <w:r w:rsidR="00215798">
          <w:rPr>
            <w:noProof/>
            <w:webHidden/>
          </w:rPr>
          <w:t>4</w:t>
        </w:r>
        <w:r w:rsidR="00215798">
          <w:rPr>
            <w:noProof/>
            <w:webHidden/>
          </w:rPr>
          <w:fldChar w:fldCharType="end"/>
        </w:r>
      </w:hyperlink>
    </w:p>
    <w:p w:rsidR="00215798" w:rsidRPr="00102789" w:rsidRDefault="00B33A58" w:rsidP="00215798">
      <w:pPr>
        <w:pStyle w:val="Kazalovsebine1"/>
        <w:rPr>
          <w:rFonts w:ascii="Calibri" w:hAnsi="Calibri"/>
          <w:noProof/>
          <w:sz w:val="22"/>
          <w:szCs w:val="22"/>
          <w:lang w:val="sl-SI" w:eastAsia="sl-SI"/>
        </w:rPr>
      </w:pPr>
      <w:hyperlink w:anchor="_Toc491947134" w:history="1">
        <w:r w:rsidR="00215798" w:rsidRPr="00EC531F">
          <w:rPr>
            <w:rStyle w:val="Hiperpovezava"/>
            <w:noProof/>
          </w:rPr>
          <w:t>1.5 Prohibitions and restrictions</w:t>
        </w:r>
        <w:r w:rsidR="00215798">
          <w:rPr>
            <w:noProof/>
            <w:webHidden/>
          </w:rPr>
          <w:tab/>
        </w:r>
        <w:r w:rsidR="00215798">
          <w:rPr>
            <w:noProof/>
            <w:webHidden/>
          </w:rPr>
          <w:fldChar w:fldCharType="begin"/>
        </w:r>
        <w:r w:rsidR="00215798">
          <w:rPr>
            <w:noProof/>
            <w:webHidden/>
          </w:rPr>
          <w:instrText xml:space="preserve"> PAGEREF _Toc491947134 \h </w:instrText>
        </w:r>
        <w:r w:rsidR="00215798">
          <w:rPr>
            <w:noProof/>
            <w:webHidden/>
          </w:rPr>
        </w:r>
        <w:r w:rsidR="00215798">
          <w:rPr>
            <w:noProof/>
            <w:webHidden/>
          </w:rPr>
          <w:fldChar w:fldCharType="separate"/>
        </w:r>
        <w:r w:rsidR="00215798">
          <w:rPr>
            <w:noProof/>
            <w:webHidden/>
          </w:rPr>
          <w:t>4</w:t>
        </w:r>
        <w:r w:rsidR="00215798">
          <w:rPr>
            <w:noProof/>
            <w:webHidden/>
          </w:rPr>
          <w:fldChar w:fldCharType="end"/>
        </w:r>
      </w:hyperlink>
    </w:p>
    <w:p w:rsidR="00215798" w:rsidRPr="00A0150A" w:rsidRDefault="00215798" w:rsidP="00215798">
      <w:pPr>
        <w:pStyle w:val="FURSnaslov1"/>
        <w:rPr>
          <w:lang w:val="en-GB"/>
        </w:rPr>
      </w:pPr>
      <w:r w:rsidRPr="0031187B">
        <w:rPr>
          <w:highlight w:val="yellow"/>
          <w:lang w:val="en-GB"/>
        </w:rPr>
        <w:fldChar w:fldCharType="end"/>
      </w:r>
      <w:r w:rsidRPr="0031187B">
        <w:rPr>
          <w:highlight w:val="yellow"/>
          <w:lang w:val="en-GB"/>
        </w:rPr>
        <w:br w:type="page"/>
      </w:r>
      <w:bookmarkStart w:id="1" w:name="_Toc491947127"/>
      <w:r w:rsidRPr="00A0150A">
        <w:rPr>
          <w:lang w:val="en-GB"/>
        </w:rPr>
        <w:lastRenderedPageBreak/>
        <w:t>1.0 TRAVELLING BETWEEN THE EU MEMBER STATES</w:t>
      </w:r>
      <w:bookmarkEnd w:id="1"/>
      <w:r w:rsidRPr="00A0150A">
        <w:rPr>
          <w:lang w:val="en-GB"/>
        </w:rPr>
        <w:t xml:space="preserve"> </w:t>
      </w:r>
    </w:p>
    <w:p w:rsidR="00215798" w:rsidRPr="0031187B" w:rsidRDefault="00215798" w:rsidP="00215798">
      <w:pPr>
        <w:pStyle w:val="FURSnaslov1"/>
        <w:rPr>
          <w:highlight w:val="yellow"/>
          <w:lang w:val="en-GB"/>
        </w:rPr>
      </w:pPr>
    </w:p>
    <w:p w:rsidR="00215798" w:rsidRPr="0031187B" w:rsidRDefault="00215798" w:rsidP="00215798">
      <w:pPr>
        <w:suppressAutoHyphens/>
        <w:spacing w:line="288" w:lineRule="auto"/>
        <w:jc w:val="both"/>
        <w:rPr>
          <w:rFonts w:cs="Arial"/>
          <w:szCs w:val="20"/>
          <w:highlight w:val="yellow"/>
          <w:lang w:eastAsia="ar-SA"/>
        </w:rPr>
      </w:pPr>
    </w:p>
    <w:p w:rsidR="00215798" w:rsidRPr="00A0150A" w:rsidRDefault="00215798" w:rsidP="00215798">
      <w:pPr>
        <w:pStyle w:val="FURSnaslov1"/>
      </w:pPr>
      <w:bookmarkStart w:id="2" w:name="_Toc491947128"/>
      <w:r w:rsidRPr="00A0150A">
        <w:t xml:space="preserve">1.1 </w:t>
      </w:r>
      <w:proofErr w:type="spellStart"/>
      <w:r w:rsidRPr="00A0150A">
        <w:t>Buying</w:t>
      </w:r>
      <w:proofErr w:type="spellEnd"/>
      <w:r w:rsidRPr="00A0150A">
        <w:t xml:space="preserve"> </w:t>
      </w:r>
      <w:proofErr w:type="spellStart"/>
      <w:r w:rsidRPr="00A0150A">
        <w:t>goods</w:t>
      </w:r>
      <w:proofErr w:type="spellEnd"/>
      <w:r w:rsidRPr="00A0150A">
        <w:t xml:space="preserve"> in </w:t>
      </w:r>
      <w:proofErr w:type="spellStart"/>
      <w:r w:rsidRPr="00A0150A">
        <w:t>another</w:t>
      </w:r>
      <w:proofErr w:type="spellEnd"/>
      <w:r w:rsidRPr="00A0150A">
        <w:t xml:space="preserve"> </w:t>
      </w:r>
      <w:proofErr w:type="spellStart"/>
      <w:r w:rsidRPr="00A0150A">
        <w:t>Member</w:t>
      </w:r>
      <w:proofErr w:type="spellEnd"/>
      <w:r w:rsidRPr="00A0150A">
        <w:t xml:space="preserve"> </w:t>
      </w:r>
      <w:proofErr w:type="spellStart"/>
      <w:r w:rsidRPr="00A0150A">
        <w:t>State</w:t>
      </w:r>
      <w:bookmarkEnd w:id="2"/>
      <w:proofErr w:type="spellEnd"/>
      <w:r w:rsidRPr="00A0150A">
        <w:t xml:space="preserve"> </w:t>
      </w:r>
    </w:p>
    <w:p w:rsidR="00215798" w:rsidRPr="0031187B" w:rsidRDefault="00215798" w:rsidP="00215798">
      <w:pPr>
        <w:suppressAutoHyphens/>
        <w:spacing w:line="288" w:lineRule="auto"/>
        <w:jc w:val="both"/>
        <w:rPr>
          <w:rFonts w:cs="Arial"/>
          <w:szCs w:val="20"/>
          <w:highlight w:val="yellow"/>
          <w:lang w:eastAsia="ar-SA"/>
        </w:rPr>
      </w:pPr>
    </w:p>
    <w:p w:rsidR="00215798" w:rsidRPr="0031187B" w:rsidRDefault="00215798" w:rsidP="00215798">
      <w:pPr>
        <w:suppressAutoHyphens/>
        <w:spacing w:line="288" w:lineRule="auto"/>
        <w:jc w:val="both"/>
        <w:rPr>
          <w:rFonts w:cs="Arial"/>
          <w:szCs w:val="20"/>
          <w:highlight w:val="yellow"/>
          <w:lang w:eastAsia="ar-SA"/>
        </w:rPr>
      </w:pPr>
      <w:r w:rsidRPr="000361F7">
        <w:rPr>
          <w:rFonts w:cs="Arial"/>
          <w:szCs w:val="20"/>
          <w:lang w:eastAsia="ar-SA"/>
        </w:rPr>
        <w:t xml:space="preserve">According to the </w:t>
      </w:r>
      <w:r>
        <w:rPr>
          <w:rFonts w:cs="Arial"/>
          <w:szCs w:val="20"/>
          <w:lang w:eastAsia="ar-SA"/>
        </w:rPr>
        <w:t xml:space="preserve">principle of free movement of goods, </w:t>
      </w:r>
      <w:proofErr w:type="spellStart"/>
      <w:r>
        <w:rPr>
          <w:rFonts w:cs="Arial"/>
          <w:szCs w:val="20"/>
          <w:lang w:eastAsia="ar-SA"/>
        </w:rPr>
        <w:t>travellers</w:t>
      </w:r>
      <w:proofErr w:type="spellEnd"/>
      <w:r>
        <w:rPr>
          <w:rFonts w:cs="Arial"/>
          <w:szCs w:val="20"/>
          <w:lang w:eastAsia="ar-SA"/>
        </w:rPr>
        <w:t xml:space="preserve"> entering Slovenia may bring goods purchased in another EU Member State free of duty </w:t>
      </w:r>
      <w:proofErr w:type="gramStart"/>
      <w:r>
        <w:rPr>
          <w:rFonts w:cs="Arial"/>
          <w:szCs w:val="20"/>
          <w:lang w:eastAsia="ar-SA"/>
        </w:rPr>
        <w:t>provided that</w:t>
      </w:r>
      <w:proofErr w:type="gramEnd"/>
      <w:r>
        <w:rPr>
          <w:rFonts w:cs="Arial"/>
          <w:szCs w:val="20"/>
          <w:lang w:eastAsia="ar-SA"/>
        </w:rPr>
        <w:t xml:space="preserve"> these goods have already been subject to VAT and other taxes, such as excise duties, in the country of purchase. </w:t>
      </w:r>
    </w:p>
    <w:p w:rsidR="00215798" w:rsidRPr="0031187B" w:rsidRDefault="00215798" w:rsidP="00215798">
      <w:pPr>
        <w:suppressAutoHyphens/>
        <w:spacing w:line="288" w:lineRule="auto"/>
        <w:jc w:val="both"/>
        <w:rPr>
          <w:rFonts w:cs="Arial"/>
          <w:szCs w:val="20"/>
          <w:highlight w:val="yellow"/>
          <w:lang w:eastAsia="ar-SA"/>
        </w:rPr>
      </w:pPr>
    </w:p>
    <w:p w:rsidR="00215798" w:rsidRPr="0031187B" w:rsidRDefault="00215798" w:rsidP="00215798">
      <w:pPr>
        <w:suppressAutoHyphens/>
        <w:spacing w:line="288" w:lineRule="auto"/>
        <w:jc w:val="both"/>
        <w:rPr>
          <w:rFonts w:cs="Arial"/>
          <w:szCs w:val="20"/>
          <w:highlight w:val="yellow"/>
          <w:lang w:eastAsia="ar-SA"/>
        </w:rPr>
      </w:pPr>
      <w:r w:rsidRPr="002E6CD6">
        <w:rPr>
          <w:rFonts w:cs="Arial"/>
          <w:szCs w:val="20"/>
          <w:lang w:eastAsia="ar-SA"/>
        </w:rPr>
        <w:t xml:space="preserve">However, </w:t>
      </w:r>
      <w:r>
        <w:rPr>
          <w:rFonts w:cs="Arial"/>
          <w:szCs w:val="20"/>
          <w:lang w:eastAsia="ar-SA"/>
        </w:rPr>
        <w:t xml:space="preserve">special rules apply to the purchase of tobacco products, alcoholic beverages, new means of transport (e.g. cars, boats etc.) and to the purchase of goods in certain regions and territories of the EU Member States with a special status. </w:t>
      </w:r>
    </w:p>
    <w:p w:rsidR="00215798" w:rsidRPr="0031187B" w:rsidRDefault="00215798" w:rsidP="00215798">
      <w:pPr>
        <w:suppressAutoHyphens/>
        <w:spacing w:line="288" w:lineRule="auto"/>
        <w:jc w:val="both"/>
        <w:rPr>
          <w:rFonts w:cs="Arial"/>
          <w:szCs w:val="20"/>
          <w:highlight w:val="yellow"/>
          <w:lang w:eastAsia="ar-SA"/>
        </w:rPr>
      </w:pPr>
    </w:p>
    <w:p w:rsidR="00215798" w:rsidRPr="0031187B" w:rsidRDefault="00215798" w:rsidP="00215798">
      <w:pPr>
        <w:suppressAutoHyphens/>
        <w:spacing w:line="288" w:lineRule="auto"/>
        <w:jc w:val="both"/>
        <w:rPr>
          <w:szCs w:val="20"/>
          <w:highlight w:val="yellow"/>
          <w:lang w:eastAsia="ar-SA"/>
        </w:rPr>
      </w:pPr>
      <w:proofErr w:type="gramStart"/>
      <w:r w:rsidRPr="008A0379">
        <w:rPr>
          <w:szCs w:val="20"/>
          <w:lang w:eastAsia="ar-SA"/>
        </w:rPr>
        <w:t>If</w:t>
      </w:r>
      <w:r>
        <w:rPr>
          <w:szCs w:val="20"/>
          <w:lang w:eastAsia="ar-SA"/>
        </w:rPr>
        <w:t xml:space="preserve"> a </w:t>
      </w:r>
      <w:proofErr w:type="spellStart"/>
      <w:r>
        <w:rPr>
          <w:szCs w:val="20"/>
          <w:lang w:eastAsia="ar-SA"/>
        </w:rPr>
        <w:t>traveller</w:t>
      </w:r>
      <w:proofErr w:type="spellEnd"/>
      <w:r>
        <w:rPr>
          <w:szCs w:val="20"/>
          <w:lang w:eastAsia="ar-SA"/>
        </w:rPr>
        <w:t xml:space="preserve"> enters Slovenia from the EU territory after having travelled through the territory of a third country, or if a </w:t>
      </w:r>
      <w:proofErr w:type="spellStart"/>
      <w:r>
        <w:rPr>
          <w:szCs w:val="20"/>
          <w:lang w:eastAsia="ar-SA"/>
        </w:rPr>
        <w:t>traveller</w:t>
      </w:r>
      <w:proofErr w:type="spellEnd"/>
      <w:r>
        <w:rPr>
          <w:szCs w:val="20"/>
          <w:lang w:eastAsia="ar-SA"/>
        </w:rPr>
        <w:t xml:space="preserve"> travels to Slovenia from the territory of the EU by plane which had a </w:t>
      </w:r>
      <w:proofErr w:type="spellStart"/>
      <w:r>
        <w:rPr>
          <w:szCs w:val="20"/>
          <w:lang w:eastAsia="ar-SA"/>
        </w:rPr>
        <w:t>stop over</w:t>
      </w:r>
      <w:proofErr w:type="spellEnd"/>
      <w:r>
        <w:rPr>
          <w:szCs w:val="20"/>
          <w:lang w:eastAsia="ar-SA"/>
        </w:rPr>
        <w:t xml:space="preserve"> in a third country, such a </w:t>
      </w:r>
      <w:proofErr w:type="spellStart"/>
      <w:r>
        <w:rPr>
          <w:szCs w:val="20"/>
          <w:lang w:eastAsia="ar-SA"/>
        </w:rPr>
        <w:t>traveller</w:t>
      </w:r>
      <w:proofErr w:type="spellEnd"/>
      <w:r>
        <w:rPr>
          <w:szCs w:val="20"/>
          <w:lang w:eastAsia="ar-SA"/>
        </w:rPr>
        <w:t xml:space="preserve"> is obliged to respect the rules applicable to the admission of goods from third countries.</w:t>
      </w:r>
      <w:proofErr w:type="gramEnd"/>
      <w:r>
        <w:rPr>
          <w:szCs w:val="20"/>
          <w:lang w:eastAsia="ar-SA"/>
        </w:rPr>
        <w:t xml:space="preserve"> Goods purchased in another Member State are not taxed again on their re-entry into the EU unless there is a reasonable doubt as to </w:t>
      </w:r>
      <w:proofErr w:type="gramStart"/>
      <w:r>
        <w:rPr>
          <w:szCs w:val="20"/>
          <w:lang w:eastAsia="ar-SA"/>
        </w:rPr>
        <w:t>their  Community</w:t>
      </w:r>
      <w:proofErr w:type="gramEnd"/>
      <w:r>
        <w:rPr>
          <w:szCs w:val="20"/>
          <w:lang w:eastAsia="ar-SA"/>
        </w:rPr>
        <w:t xml:space="preserve"> status. </w:t>
      </w:r>
    </w:p>
    <w:p w:rsidR="00215798" w:rsidRPr="0031187B" w:rsidRDefault="00215798" w:rsidP="00215798">
      <w:pPr>
        <w:suppressAutoHyphens/>
        <w:spacing w:line="288" w:lineRule="auto"/>
        <w:jc w:val="both"/>
        <w:rPr>
          <w:rFonts w:cs="Arial"/>
          <w:szCs w:val="20"/>
          <w:highlight w:val="yellow"/>
          <w:lang w:eastAsia="ar-SA"/>
        </w:rPr>
      </w:pPr>
    </w:p>
    <w:p w:rsidR="00215798" w:rsidRPr="0031187B" w:rsidRDefault="00215798" w:rsidP="00215798">
      <w:pPr>
        <w:suppressAutoHyphens/>
        <w:spacing w:line="288" w:lineRule="auto"/>
        <w:jc w:val="both"/>
        <w:rPr>
          <w:rFonts w:cs="Arial"/>
          <w:szCs w:val="20"/>
          <w:highlight w:val="yellow"/>
          <w:lang w:eastAsia="ar-SA"/>
        </w:rPr>
      </w:pPr>
    </w:p>
    <w:p w:rsidR="00215798" w:rsidRPr="00A0150A" w:rsidRDefault="00215798" w:rsidP="00215798">
      <w:pPr>
        <w:pStyle w:val="FURSnaslov1"/>
      </w:pPr>
      <w:bookmarkStart w:id="3" w:name="_Toc491947129"/>
      <w:r w:rsidRPr="00A0150A">
        <w:t xml:space="preserve">1.2 </w:t>
      </w:r>
      <w:proofErr w:type="spellStart"/>
      <w:r w:rsidRPr="00A0150A">
        <w:t>Excise</w:t>
      </w:r>
      <w:proofErr w:type="spellEnd"/>
      <w:r w:rsidRPr="00A0150A">
        <w:t xml:space="preserve"> </w:t>
      </w:r>
      <w:proofErr w:type="spellStart"/>
      <w:r w:rsidRPr="00A0150A">
        <w:t>products</w:t>
      </w:r>
      <w:bookmarkEnd w:id="3"/>
      <w:proofErr w:type="spellEnd"/>
    </w:p>
    <w:p w:rsidR="00215798" w:rsidRPr="0031187B" w:rsidRDefault="00215798" w:rsidP="00215798">
      <w:pPr>
        <w:jc w:val="both"/>
        <w:rPr>
          <w:highlight w:val="yellow"/>
        </w:rPr>
      </w:pPr>
    </w:p>
    <w:p w:rsidR="00215798" w:rsidRPr="00EF24B5" w:rsidRDefault="00215798" w:rsidP="00215798">
      <w:pPr>
        <w:pStyle w:val="FURSnaslov2"/>
        <w:rPr>
          <w:rStyle w:val="Krepko"/>
        </w:rPr>
      </w:pPr>
      <w:bookmarkStart w:id="4" w:name="_Toc491947130"/>
      <w:r w:rsidRPr="00EF24B5">
        <w:rPr>
          <w:rStyle w:val="Krepko"/>
        </w:rPr>
        <w:t xml:space="preserve">1.2.1. </w:t>
      </w:r>
      <w:proofErr w:type="spellStart"/>
      <w:r w:rsidRPr="00EF24B5">
        <w:rPr>
          <w:rStyle w:val="Krepko"/>
        </w:rPr>
        <w:t>Alcohol</w:t>
      </w:r>
      <w:proofErr w:type="spellEnd"/>
      <w:r w:rsidRPr="00EF24B5">
        <w:rPr>
          <w:rStyle w:val="Krepko"/>
        </w:rPr>
        <w:t xml:space="preserve"> </w:t>
      </w:r>
      <w:proofErr w:type="spellStart"/>
      <w:r w:rsidRPr="00EF24B5">
        <w:rPr>
          <w:rStyle w:val="Krepko"/>
        </w:rPr>
        <w:t>and</w:t>
      </w:r>
      <w:proofErr w:type="spellEnd"/>
      <w:r w:rsidRPr="00EF24B5">
        <w:rPr>
          <w:rStyle w:val="Krepko"/>
        </w:rPr>
        <w:t xml:space="preserve"> </w:t>
      </w:r>
      <w:proofErr w:type="spellStart"/>
      <w:r w:rsidRPr="00EF24B5">
        <w:rPr>
          <w:rStyle w:val="Krepko"/>
        </w:rPr>
        <w:t>tobacco</w:t>
      </w:r>
      <w:proofErr w:type="spellEnd"/>
      <w:r w:rsidRPr="00EF24B5">
        <w:rPr>
          <w:rStyle w:val="Krepko"/>
        </w:rPr>
        <w:t xml:space="preserve"> </w:t>
      </w:r>
      <w:proofErr w:type="spellStart"/>
      <w:r w:rsidRPr="00EF24B5">
        <w:rPr>
          <w:rStyle w:val="Krepko"/>
        </w:rPr>
        <w:t>products</w:t>
      </w:r>
      <w:bookmarkEnd w:id="4"/>
      <w:proofErr w:type="spellEnd"/>
    </w:p>
    <w:p w:rsidR="00215798" w:rsidRDefault="00215798" w:rsidP="00215798">
      <w:pPr>
        <w:jc w:val="both"/>
        <w:rPr>
          <w:rFonts w:cs="Arial"/>
        </w:rPr>
      </w:pPr>
    </w:p>
    <w:p w:rsidR="00215798" w:rsidRPr="00880CAB" w:rsidRDefault="00215798" w:rsidP="00215798">
      <w:pPr>
        <w:jc w:val="both"/>
        <w:rPr>
          <w:rFonts w:cs="Arial"/>
        </w:rPr>
      </w:pPr>
      <w:r>
        <w:rPr>
          <w:rFonts w:cs="Arial"/>
        </w:rPr>
        <w:t xml:space="preserve">Alcohol and alcoholic beverages as well as tobacco products introduced in Slovenia by a natural person and transported for his / her personal use are not subject to excise duties </w:t>
      </w:r>
      <w:proofErr w:type="gramStart"/>
      <w:r>
        <w:rPr>
          <w:rFonts w:cs="Arial"/>
        </w:rPr>
        <w:t xml:space="preserve">provided </w:t>
      </w:r>
      <w:r w:rsidRPr="00880CAB">
        <w:rPr>
          <w:rFonts w:cs="Arial"/>
        </w:rPr>
        <w:t>th</w:t>
      </w:r>
      <w:r>
        <w:rPr>
          <w:rFonts w:cs="Arial"/>
        </w:rPr>
        <w:t>at</w:t>
      </w:r>
      <w:proofErr w:type="gramEnd"/>
      <w:r>
        <w:rPr>
          <w:rFonts w:cs="Arial"/>
        </w:rPr>
        <w:t xml:space="preserve"> the following </w:t>
      </w:r>
      <w:r w:rsidRPr="00880CAB">
        <w:rPr>
          <w:rFonts w:cs="Arial"/>
        </w:rPr>
        <w:t xml:space="preserve">quantities </w:t>
      </w:r>
      <w:r>
        <w:rPr>
          <w:rFonts w:cs="Arial"/>
        </w:rPr>
        <w:t>are not exceeded at the moment of their introduction</w:t>
      </w:r>
      <w:r w:rsidRPr="00880CAB">
        <w:rPr>
          <w:rFonts w:cs="Arial"/>
        </w:rPr>
        <w:t>:</w:t>
      </w:r>
    </w:p>
    <w:p w:rsidR="00215798" w:rsidRPr="0031187B" w:rsidRDefault="00215798" w:rsidP="00215798">
      <w:pPr>
        <w:suppressAutoHyphens/>
        <w:spacing w:line="288" w:lineRule="auto"/>
        <w:jc w:val="both"/>
        <w:rPr>
          <w:rFonts w:cs="Arial"/>
          <w:szCs w:val="20"/>
          <w:highlight w:val="yellow"/>
          <w:lang w:eastAsia="ar-SA"/>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5103"/>
      </w:tblGrid>
      <w:tr w:rsidR="00215798" w:rsidRPr="00EE530F" w:rsidTr="00747306">
        <w:tc>
          <w:tcPr>
            <w:tcW w:w="1276" w:type="dxa"/>
          </w:tcPr>
          <w:p w:rsidR="00215798" w:rsidRPr="00EE530F" w:rsidRDefault="00215798" w:rsidP="00747306">
            <w:pPr>
              <w:snapToGrid w:val="0"/>
              <w:spacing w:line="288" w:lineRule="auto"/>
              <w:jc w:val="both"/>
              <w:rPr>
                <w:szCs w:val="20"/>
                <w:lang w:eastAsia="sl-SI"/>
              </w:rPr>
            </w:pPr>
            <w:r w:rsidRPr="00EE530F">
              <w:rPr>
                <w:b/>
                <w:szCs w:val="20"/>
                <w:lang w:eastAsia="sl-SI"/>
              </w:rPr>
              <w:t>800</w:t>
            </w:r>
            <w:r w:rsidRPr="00EE530F">
              <w:rPr>
                <w:szCs w:val="20"/>
                <w:lang w:eastAsia="sl-SI"/>
              </w:rPr>
              <w:t xml:space="preserve">  </w:t>
            </w:r>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 xml:space="preserve">cigarettes </w:t>
            </w:r>
          </w:p>
        </w:tc>
      </w:tr>
      <w:tr w:rsidR="00215798" w:rsidRPr="00EE530F" w:rsidTr="00747306">
        <w:tc>
          <w:tcPr>
            <w:tcW w:w="1276" w:type="dxa"/>
          </w:tcPr>
          <w:p w:rsidR="00215798" w:rsidRPr="00EE530F" w:rsidRDefault="00215798" w:rsidP="00747306">
            <w:pPr>
              <w:snapToGrid w:val="0"/>
              <w:spacing w:line="288" w:lineRule="auto"/>
              <w:jc w:val="both"/>
              <w:rPr>
                <w:b/>
                <w:szCs w:val="20"/>
                <w:lang w:eastAsia="sl-SI"/>
              </w:rPr>
            </w:pPr>
            <w:r>
              <w:rPr>
                <w:b/>
                <w:szCs w:val="20"/>
                <w:lang w:eastAsia="sl-SI"/>
              </w:rPr>
              <w:t xml:space="preserve">100 </w:t>
            </w:r>
            <w:r w:rsidRPr="00E07867">
              <w:rPr>
                <w:szCs w:val="20"/>
                <w:lang w:eastAsia="sl-SI"/>
              </w:rPr>
              <w:t>ml</w:t>
            </w:r>
            <w:r>
              <w:rPr>
                <w:b/>
                <w:szCs w:val="20"/>
                <w:lang w:eastAsia="sl-SI"/>
              </w:rPr>
              <w:t xml:space="preserve"> </w:t>
            </w:r>
          </w:p>
        </w:tc>
        <w:tc>
          <w:tcPr>
            <w:tcW w:w="5103" w:type="dxa"/>
          </w:tcPr>
          <w:p w:rsidR="00215798" w:rsidRPr="00EE530F" w:rsidRDefault="00215798" w:rsidP="00747306">
            <w:pPr>
              <w:snapToGrid w:val="0"/>
              <w:spacing w:line="288" w:lineRule="auto"/>
              <w:jc w:val="both"/>
              <w:rPr>
                <w:szCs w:val="20"/>
                <w:lang w:eastAsia="sl-SI"/>
              </w:rPr>
            </w:pPr>
            <w:r>
              <w:rPr>
                <w:szCs w:val="20"/>
                <w:lang w:eastAsia="sl-SI"/>
              </w:rPr>
              <w:t>electronic cigarette cartridge refill</w:t>
            </w:r>
          </w:p>
        </w:tc>
      </w:tr>
      <w:tr w:rsidR="00215798" w:rsidRPr="00EE530F" w:rsidTr="00747306">
        <w:tc>
          <w:tcPr>
            <w:tcW w:w="1276" w:type="dxa"/>
          </w:tcPr>
          <w:p w:rsidR="00215798" w:rsidRDefault="00215798" w:rsidP="00747306">
            <w:pPr>
              <w:snapToGrid w:val="0"/>
              <w:spacing w:line="288" w:lineRule="auto"/>
              <w:jc w:val="both"/>
              <w:rPr>
                <w:b/>
                <w:szCs w:val="20"/>
                <w:lang w:eastAsia="sl-SI"/>
              </w:rPr>
            </w:pPr>
            <w:r>
              <w:rPr>
                <w:b/>
                <w:szCs w:val="20"/>
                <w:lang w:eastAsia="sl-SI"/>
              </w:rPr>
              <w:t xml:space="preserve">800 </w:t>
            </w:r>
            <w:r w:rsidRPr="00E07867">
              <w:rPr>
                <w:szCs w:val="20"/>
                <w:lang w:eastAsia="sl-SI"/>
              </w:rPr>
              <w:t>rolls</w:t>
            </w:r>
          </w:p>
        </w:tc>
        <w:tc>
          <w:tcPr>
            <w:tcW w:w="5103" w:type="dxa"/>
          </w:tcPr>
          <w:p w:rsidR="00215798" w:rsidRDefault="00215798" w:rsidP="00747306">
            <w:pPr>
              <w:snapToGrid w:val="0"/>
              <w:spacing w:line="288" w:lineRule="auto"/>
              <w:jc w:val="both"/>
              <w:rPr>
                <w:szCs w:val="20"/>
                <w:lang w:eastAsia="sl-SI"/>
              </w:rPr>
            </w:pPr>
            <w:r>
              <w:rPr>
                <w:szCs w:val="20"/>
                <w:lang w:eastAsia="sl-SI"/>
              </w:rPr>
              <w:t xml:space="preserve">heated tobacco </w:t>
            </w:r>
          </w:p>
        </w:tc>
      </w:tr>
      <w:tr w:rsidR="00215798" w:rsidRPr="00EE530F" w:rsidTr="00747306">
        <w:tc>
          <w:tcPr>
            <w:tcW w:w="1276" w:type="dxa"/>
          </w:tcPr>
          <w:p w:rsidR="00215798" w:rsidRPr="00EE530F" w:rsidRDefault="00215798" w:rsidP="00747306">
            <w:pPr>
              <w:snapToGrid w:val="0"/>
              <w:spacing w:line="288" w:lineRule="auto"/>
              <w:jc w:val="both"/>
              <w:rPr>
                <w:szCs w:val="20"/>
                <w:lang w:eastAsia="sl-SI"/>
              </w:rPr>
            </w:pPr>
            <w:r w:rsidRPr="00EE530F">
              <w:rPr>
                <w:b/>
                <w:szCs w:val="20"/>
                <w:lang w:eastAsia="sl-SI"/>
              </w:rPr>
              <w:t>400</w:t>
            </w:r>
            <w:r w:rsidRPr="00EE530F">
              <w:rPr>
                <w:szCs w:val="20"/>
                <w:lang w:eastAsia="sl-SI"/>
              </w:rPr>
              <w:t xml:space="preserve">  </w:t>
            </w:r>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cigarillos (cigars with a maximum weight of 3 grams each)</w:t>
            </w:r>
          </w:p>
        </w:tc>
      </w:tr>
      <w:tr w:rsidR="00215798" w:rsidRPr="00EE530F" w:rsidTr="00747306">
        <w:tc>
          <w:tcPr>
            <w:tcW w:w="1276" w:type="dxa"/>
          </w:tcPr>
          <w:p w:rsidR="00215798" w:rsidRPr="00EE530F" w:rsidRDefault="00215798" w:rsidP="00747306">
            <w:pPr>
              <w:snapToGrid w:val="0"/>
              <w:spacing w:line="288" w:lineRule="auto"/>
              <w:jc w:val="both"/>
              <w:rPr>
                <w:szCs w:val="20"/>
                <w:lang w:eastAsia="sl-SI"/>
              </w:rPr>
            </w:pPr>
            <w:r w:rsidRPr="00EE530F">
              <w:rPr>
                <w:b/>
                <w:szCs w:val="20"/>
                <w:lang w:eastAsia="sl-SI"/>
              </w:rPr>
              <w:t>200</w:t>
            </w:r>
            <w:r w:rsidRPr="00EE530F">
              <w:rPr>
                <w:szCs w:val="20"/>
                <w:lang w:eastAsia="sl-SI"/>
              </w:rPr>
              <w:t xml:space="preserve">  </w:t>
            </w:r>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cigars</w:t>
            </w:r>
          </w:p>
        </w:tc>
      </w:tr>
      <w:tr w:rsidR="00215798" w:rsidRPr="00EE530F" w:rsidTr="00747306">
        <w:tc>
          <w:tcPr>
            <w:tcW w:w="1276" w:type="dxa"/>
          </w:tcPr>
          <w:p w:rsidR="00215798" w:rsidRPr="00EF24B5" w:rsidRDefault="00215798" w:rsidP="00747306">
            <w:pPr>
              <w:snapToGrid w:val="0"/>
              <w:spacing w:line="288" w:lineRule="auto"/>
              <w:jc w:val="both"/>
              <w:rPr>
                <w:b/>
                <w:szCs w:val="20"/>
                <w:lang w:eastAsia="sl-SI"/>
              </w:rPr>
            </w:pPr>
            <w:r w:rsidRPr="00EF24B5">
              <w:rPr>
                <w:b/>
                <w:szCs w:val="20"/>
                <w:lang w:eastAsia="sl-SI"/>
              </w:rPr>
              <w:t xml:space="preserve">1  </w:t>
            </w:r>
            <w:r w:rsidRPr="00E07867">
              <w:rPr>
                <w:szCs w:val="20"/>
                <w:lang w:eastAsia="sl-SI"/>
              </w:rPr>
              <w:t>kg</w:t>
            </w:r>
          </w:p>
        </w:tc>
        <w:tc>
          <w:tcPr>
            <w:tcW w:w="5103" w:type="dxa"/>
          </w:tcPr>
          <w:p w:rsidR="00215798" w:rsidRPr="00EE530F" w:rsidRDefault="00215798" w:rsidP="00747306">
            <w:pPr>
              <w:tabs>
                <w:tab w:val="left" w:pos="2338"/>
                <w:tab w:val="left" w:pos="4465"/>
              </w:tabs>
              <w:snapToGrid w:val="0"/>
              <w:spacing w:line="288" w:lineRule="auto"/>
              <w:jc w:val="both"/>
              <w:rPr>
                <w:szCs w:val="20"/>
                <w:lang w:eastAsia="sl-SI"/>
              </w:rPr>
            </w:pPr>
            <w:r>
              <w:rPr>
                <w:szCs w:val="20"/>
                <w:lang w:eastAsia="sl-SI"/>
              </w:rPr>
              <w:t xml:space="preserve">fine-cut tobacco or other </w:t>
            </w:r>
            <w:r w:rsidRPr="00EE530F">
              <w:rPr>
                <w:szCs w:val="20"/>
                <w:lang w:eastAsia="sl-SI"/>
              </w:rPr>
              <w:t>smoking tobacco</w:t>
            </w:r>
          </w:p>
        </w:tc>
      </w:tr>
      <w:tr w:rsidR="00215798" w:rsidRPr="00EE530F" w:rsidTr="00747306">
        <w:tc>
          <w:tcPr>
            <w:tcW w:w="1276" w:type="dxa"/>
          </w:tcPr>
          <w:p w:rsidR="00215798" w:rsidRPr="00EF24B5" w:rsidRDefault="00215798" w:rsidP="00747306">
            <w:pPr>
              <w:snapToGrid w:val="0"/>
              <w:spacing w:line="288" w:lineRule="auto"/>
              <w:jc w:val="both"/>
              <w:rPr>
                <w:b/>
                <w:szCs w:val="20"/>
                <w:lang w:eastAsia="sl-SI"/>
              </w:rPr>
            </w:pPr>
            <w:r w:rsidRPr="00EF24B5">
              <w:rPr>
                <w:b/>
                <w:szCs w:val="20"/>
                <w:lang w:eastAsia="sl-SI"/>
              </w:rPr>
              <w:t xml:space="preserve">10  </w:t>
            </w:r>
            <w:proofErr w:type="spellStart"/>
            <w:r w:rsidRPr="00E07867">
              <w:rPr>
                <w:szCs w:val="20"/>
                <w:lang w:eastAsia="sl-SI"/>
              </w:rPr>
              <w:t>litres</w:t>
            </w:r>
            <w:proofErr w:type="spellEnd"/>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spirits</w:t>
            </w:r>
          </w:p>
        </w:tc>
      </w:tr>
      <w:tr w:rsidR="00215798" w:rsidRPr="00EE530F" w:rsidTr="00747306">
        <w:tc>
          <w:tcPr>
            <w:tcW w:w="1276" w:type="dxa"/>
          </w:tcPr>
          <w:p w:rsidR="00215798" w:rsidRPr="00EF24B5" w:rsidRDefault="00215798" w:rsidP="00747306">
            <w:pPr>
              <w:snapToGrid w:val="0"/>
              <w:spacing w:line="288" w:lineRule="auto"/>
              <w:jc w:val="both"/>
              <w:rPr>
                <w:b/>
                <w:szCs w:val="20"/>
                <w:lang w:eastAsia="sl-SI"/>
              </w:rPr>
            </w:pPr>
            <w:r w:rsidRPr="00EF24B5">
              <w:rPr>
                <w:b/>
                <w:szCs w:val="20"/>
                <w:lang w:eastAsia="sl-SI"/>
              </w:rPr>
              <w:t xml:space="preserve">20 </w:t>
            </w:r>
            <w:r w:rsidRPr="00E07867">
              <w:rPr>
                <w:szCs w:val="20"/>
                <w:lang w:eastAsia="sl-SI"/>
              </w:rPr>
              <w:t xml:space="preserve"> </w:t>
            </w:r>
            <w:proofErr w:type="spellStart"/>
            <w:r w:rsidRPr="00E07867">
              <w:rPr>
                <w:szCs w:val="20"/>
                <w:lang w:eastAsia="sl-SI"/>
              </w:rPr>
              <w:t>litres</w:t>
            </w:r>
            <w:proofErr w:type="spellEnd"/>
          </w:p>
        </w:tc>
        <w:tc>
          <w:tcPr>
            <w:tcW w:w="5103" w:type="dxa"/>
          </w:tcPr>
          <w:p w:rsidR="00215798" w:rsidRPr="00EE530F" w:rsidRDefault="00215798" w:rsidP="00747306">
            <w:pPr>
              <w:tabs>
                <w:tab w:val="left" w:pos="2338"/>
                <w:tab w:val="left" w:pos="4465"/>
              </w:tabs>
              <w:snapToGrid w:val="0"/>
              <w:spacing w:line="288" w:lineRule="auto"/>
              <w:jc w:val="both"/>
              <w:rPr>
                <w:szCs w:val="20"/>
                <w:lang w:eastAsia="sl-SI"/>
              </w:rPr>
            </w:pPr>
            <w:r>
              <w:rPr>
                <w:szCs w:val="20"/>
                <w:lang w:eastAsia="sl-SI"/>
              </w:rPr>
              <w:t>intermediate products</w:t>
            </w:r>
          </w:p>
        </w:tc>
      </w:tr>
      <w:tr w:rsidR="00215798" w:rsidRPr="00EE530F" w:rsidTr="00747306">
        <w:tc>
          <w:tcPr>
            <w:tcW w:w="1276" w:type="dxa"/>
          </w:tcPr>
          <w:p w:rsidR="00215798" w:rsidRPr="00EF24B5" w:rsidRDefault="00215798" w:rsidP="00747306">
            <w:pPr>
              <w:snapToGrid w:val="0"/>
              <w:spacing w:line="288" w:lineRule="auto"/>
              <w:jc w:val="both"/>
              <w:rPr>
                <w:b/>
                <w:szCs w:val="20"/>
                <w:lang w:eastAsia="sl-SI"/>
              </w:rPr>
            </w:pPr>
            <w:r w:rsidRPr="00EF24B5">
              <w:rPr>
                <w:b/>
                <w:szCs w:val="20"/>
                <w:lang w:eastAsia="sl-SI"/>
              </w:rPr>
              <w:t xml:space="preserve">90  </w:t>
            </w:r>
            <w:proofErr w:type="spellStart"/>
            <w:r w:rsidRPr="00E07867">
              <w:rPr>
                <w:szCs w:val="20"/>
                <w:lang w:eastAsia="sl-SI"/>
              </w:rPr>
              <w:t>litres</w:t>
            </w:r>
            <w:proofErr w:type="spellEnd"/>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 xml:space="preserve">wine, including a maximum of 60 </w:t>
            </w:r>
            <w:proofErr w:type="spellStart"/>
            <w:r w:rsidRPr="00EE530F">
              <w:rPr>
                <w:szCs w:val="20"/>
                <w:lang w:eastAsia="sl-SI"/>
              </w:rPr>
              <w:t>litres</w:t>
            </w:r>
            <w:proofErr w:type="spellEnd"/>
            <w:r w:rsidRPr="00EE530F">
              <w:rPr>
                <w:szCs w:val="20"/>
                <w:lang w:eastAsia="sl-SI"/>
              </w:rPr>
              <w:t xml:space="preserve"> of sparkling wines</w:t>
            </w:r>
          </w:p>
        </w:tc>
      </w:tr>
      <w:tr w:rsidR="00215798" w:rsidRPr="00EE530F" w:rsidTr="00747306">
        <w:tc>
          <w:tcPr>
            <w:tcW w:w="1276" w:type="dxa"/>
          </w:tcPr>
          <w:p w:rsidR="00215798" w:rsidRPr="00EF24B5" w:rsidRDefault="00215798" w:rsidP="00747306">
            <w:pPr>
              <w:snapToGrid w:val="0"/>
              <w:spacing w:line="288" w:lineRule="auto"/>
              <w:jc w:val="both"/>
              <w:rPr>
                <w:b/>
                <w:szCs w:val="20"/>
                <w:lang w:eastAsia="sl-SI"/>
              </w:rPr>
            </w:pPr>
            <w:r w:rsidRPr="00EF24B5">
              <w:rPr>
                <w:b/>
                <w:szCs w:val="20"/>
                <w:lang w:eastAsia="sl-SI"/>
              </w:rPr>
              <w:t xml:space="preserve">110  </w:t>
            </w:r>
            <w:proofErr w:type="spellStart"/>
            <w:r w:rsidRPr="00E07867">
              <w:rPr>
                <w:szCs w:val="20"/>
                <w:lang w:eastAsia="sl-SI"/>
              </w:rPr>
              <w:t>litres</w:t>
            </w:r>
            <w:proofErr w:type="spellEnd"/>
            <w:r w:rsidRPr="00EF24B5">
              <w:rPr>
                <w:b/>
                <w:szCs w:val="20"/>
                <w:lang w:eastAsia="sl-SI"/>
              </w:rPr>
              <w:t xml:space="preserve"> </w:t>
            </w:r>
          </w:p>
        </w:tc>
        <w:tc>
          <w:tcPr>
            <w:tcW w:w="5103" w:type="dxa"/>
          </w:tcPr>
          <w:p w:rsidR="00215798" w:rsidRPr="00EE530F" w:rsidRDefault="00215798" w:rsidP="00747306">
            <w:pPr>
              <w:snapToGrid w:val="0"/>
              <w:spacing w:line="288" w:lineRule="auto"/>
              <w:jc w:val="both"/>
              <w:rPr>
                <w:szCs w:val="20"/>
                <w:lang w:eastAsia="sl-SI"/>
              </w:rPr>
            </w:pPr>
            <w:r w:rsidRPr="00EE530F">
              <w:rPr>
                <w:szCs w:val="20"/>
                <w:lang w:eastAsia="sl-SI"/>
              </w:rPr>
              <w:t>beer</w:t>
            </w:r>
          </w:p>
        </w:tc>
      </w:tr>
    </w:tbl>
    <w:p w:rsidR="00215798" w:rsidRPr="0031187B" w:rsidRDefault="00215798" w:rsidP="00215798">
      <w:pPr>
        <w:suppressAutoHyphens/>
        <w:spacing w:line="288" w:lineRule="auto"/>
        <w:jc w:val="both"/>
        <w:rPr>
          <w:rFonts w:cs="Arial"/>
          <w:b/>
          <w:szCs w:val="20"/>
          <w:highlight w:val="yellow"/>
          <w:lang w:eastAsia="ar-SA"/>
        </w:rPr>
      </w:pPr>
    </w:p>
    <w:p w:rsidR="00215798" w:rsidRDefault="00215798" w:rsidP="00215798">
      <w:pPr>
        <w:suppressAutoHyphens/>
        <w:spacing w:line="288" w:lineRule="auto"/>
        <w:jc w:val="both"/>
        <w:rPr>
          <w:rStyle w:val="Krepko"/>
        </w:rPr>
      </w:pPr>
    </w:p>
    <w:p w:rsidR="00215798" w:rsidRDefault="00215798" w:rsidP="00215798">
      <w:pPr>
        <w:suppressAutoHyphens/>
        <w:spacing w:line="288" w:lineRule="auto"/>
        <w:jc w:val="both"/>
        <w:rPr>
          <w:rStyle w:val="Krepko"/>
        </w:rPr>
      </w:pPr>
    </w:p>
    <w:p w:rsidR="00215798" w:rsidRDefault="00215798" w:rsidP="00215798">
      <w:pPr>
        <w:suppressAutoHyphens/>
        <w:spacing w:line="288" w:lineRule="auto"/>
        <w:jc w:val="both"/>
        <w:rPr>
          <w:rStyle w:val="Krepko"/>
        </w:rPr>
      </w:pPr>
    </w:p>
    <w:p w:rsidR="00215798" w:rsidRDefault="00215798" w:rsidP="00215798">
      <w:pPr>
        <w:pStyle w:val="FURSnaslov2"/>
        <w:rPr>
          <w:rStyle w:val="Krepko"/>
        </w:rPr>
      </w:pPr>
      <w:bookmarkStart w:id="5" w:name="_Toc491947131"/>
      <w:r w:rsidRPr="00EF24B5">
        <w:rPr>
          <w:rStyle w:val="Krepko"/>
        </w:rPr>
        <w:t xml:space="preserve">1.2.2. </w:t>
      </w:r>
      <w:proofErr w:type="spellStart"/>
      <w:r w:rsidRPr="00EF24B5">
        <w:rPr>
          <w:rStyle w:val="Krepko"/>
        </w:rPr>
        <w:t>Energy</w:t>
      </w:r>
      <w:proofErr w:type="spellEnd"/>
      <w:r w:rsidRPr="00EF24B5">
        <w:rPr>
          <w:rStyle w:val="Krepko"/>
        </w:rPr>
        <w:t xml:space="preserve"> </w:t>
      </w:r>
      <w:proofErr w:type="spellStart"/>
      <w:r w:rsidRPr="00EF24B5">
        <w:rPr>
          <w:rStyle w:val="Krepko"/>
        </w:rPr>
        <w:t>products</w:t>
      </w:r>
      <w:bookmarkEnd w:id="5"/>
      <w:proofErr w:type="spellEnd"/>
    </w:p>
    <w:p w:rsidR="00215798" w:rsidRDefault="00215798" w:rsidP="00215798">
      <w:pPr>
        <w:suppressAutoHyphens/>
        <w:spacing w:line="288" w:lineRule="auto"/>
        <w:jc w:val="both"/>
        <w:rPr>
          <w:rStyle w:val="Krepko"/>
        </w:rPr>
      </w:pPr>
    </w:p>
    <w:p w:rsidR="00215798" w:rsidRDefault="00215798" w:rsidP="00215798">
      <w:pPr>
        <w:suppressAutoHyphens/>
        <w:spacing w:line="288" w:lineRule="auto"/>
        <w:jc w:val="both"/>
        <w:rPr>
          <w:lang w:eastAsia="sl-SI"/>
        </w:rPr>
      </w:pPr>
      <w:r>
        <w:rPr>
          <w:lang w:eastAsia="sl-SI"/>
        </w:rPr>
        <w:t>The entry of e</w:t>
      </w:r>
      <w:r w:rsidRPr="00C80D5D">
        <w:rPr>
          <w:lang w:eastAsia="sl-SI"/>
        </w:rPr>
        <w:t>nergy products</w:t>
      </w:r>
      <w:r>
        <w:rPr>
          <w:lang w:eastAsia="sl-SI"/>
        </w:rPr>
        <w:t xml:space="preserve"> into Slovenia is not subject to excise duties provided that: </w:t>
      </w:r>
    </w:p>
    <w:p w:rsidR="00215798" w:rsidRDefault="00215798" w:rsidP="00215798">
      <w:pPr>
        <w:numPr>
          <w:ilvl w:val="0"/>
          <w:numId w:val="2"/>
        </w:numPr>
        <w:suppressAutoHyphens/>
        <w:spacing w:line="288" w:lineRule="auto"/>
        <w:jc w:val="both"/>
        <w:rPr>
          <w:lang w:eastAsia="sl-SI"/>
        </w:rPr>
      </w:pPr>
      <w:r>
        <w:rPr>
          <w:lang w:eastAsia="sl-SI"/>
        </w:rPr>
        <w:t>they are kept in standard tanks of motor vehicles, vessels or aircrafts coming in from other Member States and are intended to be used as fuel by these vehicles rather than for resale, or</w:t>
      </w:r>
    </w:p>
    <w:p w:rsidR="00215798" w:rsidRDefault="00215798" w:rsidP="00215798">
      <w:pPr>
        <w:numPr>
          <w:ilvl w:val="0"/>
          <w:numId w:val="2"/>
        </w:numPr>
        <w:suppressAutoHyphens/>
        <w:spacing w:line="288" w:lineRule="auto"/>
        <w:jc w:val="both"/>
        <w:rPr>
          <w:lang w:eastAsia="sl-SI"/>
        </w:rPr>
      </w:pPr>
      <w:r>
        <w:rPr>
          <w:lang w:eastAsia="sl-SI"/>
        </w:rPr>
        <w:lastRenderedPageBreak/>
        <w:t>they are kept in special containers coming in from other Member States and are intended for specific use with regard to operation of container supply system during transport, or</w:t>
      </w:r>
    </w:p>
    <w:p w:rsidR="00215798" w:rsidRPr="00C80D5D" w:rsidRDefault="00215798" w:rsidP="00215798">
      <w:pPr>
        <w:numPr>
          <w:ilvl w:val="0"/>
          <w:numId w:val="2"/>
        </w:numPr>
        <w:suppressAutoHyphens/>
        <w:spacing w:line="288" w:lineRule="auto"/>
        <w:jc w:val="both"/>
        <w:rPr>
          <w:lang w:eastAsia="sl-SI"/>
        </w:rPr>
      </w:pPr>
      <w:proofErr w:type="gramStart"/>
      <w:r>
        <w:rPr>
          <w:lang w:eastAsia="sl-SI"/>
        </w:rPr>
        <w:t>they</w:t>
      </w:r>
      <w:proofErr w:type="gramEnd"/>
      <w:r>
        <w:rPr>
          <w:lang w:eastAsia="sl-SI"/>
        </w:rPr>
        <w:t xml:space="preserve"> are kept in portable reserve containers with a maximum size of 10 </w:t>
      </w:r>
      <w:proofErr w:type="spellStart"/>
      <w:r>
        <w:rPr>
          <w:lang w:eastAsia="sl-SI"/>
        </w:rPr>
        <w:t>litres</w:t>
      </w:r>
      <w:proofErr w:type="spellEnd"/>
      <w:r>
        <w:rPr>
          <w:lang w:eastAsia="sl-SI"/>
        </w:rPr>
        <w:t>.</w:t>
      </w:r>
    </w:p>
    <w:p w:rsidR="00215798" w:rsidRDefault="00215798" w:rsidP="00215798">
      <w:pPr>
        <w:suppressAutoHyphens/>
        <w:spacing w:line="288" w:lineRule="auto"/>
        <w:jc w:val="both"/>
        <w:rPr>
          <w:rFonts w:cs="Arial"/>
          <w:b/>
          <w:szCs w:val="20"/>
          <w:highlight w:val="yellow"/>
          <w:lang w:eastAsia="ar-SA"/>
        </w:rPr>
      </w:pPr>
    </w:p>
    <w:p w:rsidR="00215798" w:rsidRPr="0031187B" w:rsidRDefault="00215798" w:rsidP="00215798">
      <w:pPr>
        <w:suppressAutoHyphens/>
        <w:spacing w:line="288" w:lineRule="auto"/>
        <w:jc w:val="both"/>
        <w:rPr>
          <w:rFonts w:cs="Arial"/>
          <w:b/>
          <w:szCs w:val="20"/>
          <w:highlight w:val="yellow"/>
          <w:lang w:eastAsia="ar-SA"/>
        </w:rPr>
      </w:pPr>
    </w:p>
    <w:p w:rsidR="00215798" w:rsidRPr="00A0150A" w:rsidRDefault="00215798" w:rsidP="00215798">
      <w:pPr>
        <w:pStyle w:val="FURSnaslov1"/>
        <w:rPr>
          <w:lang w:eastAsia="ar-SA"/>
        </w:rPr>
      </w:pPr>
      <w:bookmarkStart w:id="6" w:name="_Toc491947132"/>
      <w:r w:rsidRPr="00A0150A">
        <w:t xml:space="preserve">1.3 </w:t>
      </w:r>
      <w:r w:rsidRPr="00A0150A">
        <w:rPr>
          <w:lang w:eastAsia="ar-SA"/>
        </w:rPr>
        <w:t xml:space="preserve">New </w:t>
      </w:r>
      <w:proofErr w:type="spellStart"/>
      <w:r w:rsidRPr="00A0150A">
        <w:rPr>
          <w:lang w:eastAsia="ar-SA"/>
        </w:rPr>
        <w:t>means</w:t>
      </w:r>
      <w:proofErr w:type="spellEnd"/>
      <w:r w:rsidRPr="00A0150A">
        <w:rPr>
          <w:lang w:eastAsia="ar-SA"/>
        </w:rPr>
        <w:t xml:space="preserve"> </w:t>
      </w:r>
      <w:proofErr w:type="spellStart"/>
      <w:r w:rsidRPr="00A0150A">
        <w:rPr>
          <w:lang w:eastAsia="ar-SA"/>
        </w:rPr>
        <w:t>of</w:t>
      </w:r>
      <w:proofErr w:type="spellEnd"/>
      <w:r w:rsidRPr="00A0150A">
        <w:rPr>
          <w:lang w:eastAsia="ar-SA"/>
        </w:rPr>
        <w:t xml:space="preserve"> transport</w:t>
      </w:r>
      <w:bookmarkEnd w:id="6"/>
      <w:r w:rsidRPr="00A0150A">
        <w:rPr>
          <w:lang w:eastAsia="ar-SA"/>
        </w:rPr>
        <w:t xml:space="preserve">  </w:t>
      </w:r>
    </w:p>
    <w:p w:rsidR="00215798" w:rsidRPr="0031187B" w:rsidRDefault="00215798" w:rsidP="00215798">
      <w:pPr>
        <w:suppressAutoHyphens/>
        <w:spacing w:line="288" w:lineRule="auto"/>
        <w:jc w:val="both"/>
        <w:rPr>
          <w:rFonts w:cs="Arial"/>
          <w:szCs w:val="20"/>
          <w:highlight w:val="yellow"/>
          <w:lang w:eastAsia="ar-SA"/>
        </w:rPr>
      </w:pPr>
    </w:p>
    <w:p w:rsidR="00215798" w:rsidRPr="00F5299C" w:rsidRDefault="00215798" w:rsidP="00215798">
      <w:pPr>
        <w:suppressAutoHyphens/>
        <w:spacing w:line="288" w:lineRule="auto"/>
        <w:jc w:val="both"/>
        <w:rPr>
          <w:rFonts w:cs="Arial"/>
          <w:szCs w:val="20"/>
          <w:lang w:eastAsia="ar-SA"/>
        </w:rPr>
      </w:pPr>
      <w:r w:rsidRPr="004034F7">
        <w:rPr>
          <w:szCs w:val="20"/>
          <w:lang w:eastAsia="sl-SI"/>
        </w:rPr>
        <w:t xml:space="preserve">New means </w:t>
      </w:r>
      <w:r>
        <w:rPr>
          <w:szCs w:val="20"/>
          <w:lang w:eastAsia="sl-SI"/>
        </w:rPr>
        <w:t xml:space="preserve">of transport are subject to taxes in the Member State of their registration rather </w:t>
      </w:r>
      <w:r w:rsidRPr="00F5299C">
        <w:rPr>
          <w:szCs w:val="20"/>
          <w:lang w:eastAsia="sl-SI"/>
        </w:rPr>
        <w:t xml:space="preserve">than the Member State of their purchase. For the purpose of </w:t>
      </w:r>
      <w:r>
        <w:rPr>
          <w:szCs w:val="20"/>
          <w:lang w:eastAsia="sl-SI"/>
        </w:rPr>
        <w:t xml:space="preserve">application of </w:t>
      </w:r>
      <w:r w:rsidRPr="00F5299C">
        <w:rPr>
          <w:szCs w:val="20"/>
          <w:lang w:eastAsia="sl-SI"/>
        </w:rPr>
        <w:t xml:space="preserve">VAT, means of transport </w:t>
      </w:r>
      <w:proofErr w:type="gramStart"/>
      <w:r>
        <w:rPr>
          <w:szCs w:val="20"/>
          <w:lang w:eastAsia="sl-SI"/>
        </w:rPr>
        <w:t xml:space="preserve">are </w:t>
      </w:r>
      <w:r w:rsidRPr="00F5299C">
        <w:rPr>
          <w:szCs w:val="20"/>
          <w:lang w:eastAsia="sl-SI"/>
        </w:rPr>
        <w:t>regarded</w:t>
      </w:r>
      <w:proofErr w:type="gramEnd"/>
      <w:r w:rsidRPr="00F5299C">
        <w:rPr>
          <w:szCs w:val="20"/>
          <w:lang w:eastAsia="sl-SI"/>
        </w:rPr>
        <w:t xml:space="preserve"> as new if one of the following conditions is met: </w:t>
      </w:r>
    </w:p>
    <w:p w:rsidR="00215798" w:rsidRPr="00F5299C" w:rsidRDefault="00215798" w:rsidP="00215798">
      <w:pPr>
        <w:numPr>
          <w:ilvl w:val="0"/>
          <w:numId w:val="1"/>
        </w:numPr>
        <w:suppressAutoHyphens/>
        <w:spacing w:line="288" w:lineRule="auto"/>
        <w:jc w:val="both"/>
        <w:rPr>
          <w:szCs w:val="20"/>
          <w:lang w:eastAsia="sl-SI"/>
        </w:rPr>
      </w:pPr>
      <w:r w:rsidRPr="00F5299C">
        <w:rPr>
          <w:szCs w:val="20"/>
          <w:lang w:eastAsia="sl-SI"/>
        </w:rPr>
        <w:t xml:space="preserve">vessels and aircrafts were supplied less than three months from the date of first entry into service, and motorized land vehicles less than six months from the date of first entry into service, and  </w:t>
      </w:r>
    </w:p>
    <w:p w:rsidR="00215798" w:rsidRPr="00F5299C" w:rsidRDefault="00215798" w:rsidP="00215798">
      <w:pPr>
        <w:numPr>
          <w:ilvl w:val="0"/>
          <w:numId w:val="1"/>
        </w:numPr>
        <w:suppressAutoHyphens/>
        <w:spacing w:line="288" w:lineRule="auto"/>
        <w:jc w:val="both"/>
        <w:rPr>
          <w:szCs w:val="20"/>
          <w:lang w:eastAsia="sl-SI"/>
        </w:rPr>
      </w:pPr>
      <w:proofErr w:type="gramStart"/>
      <w:r w:rsidRPr="00F5299C">
        <w:rPr>
          <w:szCs w:val="20"/>
          <w:lang w:eastAsia="sl-SI"/>
        </w:rPr>
        <w:t>motorized</w:t>
      </w:r>
      <w:proofErr w:type="gramEnd"/>
      <w:r w:rsidRPr="00F5299C">
        <w:rPr>
          <w:szCs w:val="20"/>
          <w:lang w:eastAsia="sl-SI"/>
        </w:rPr>
        <w:t xml:space="preserve"> land vehicles have travelled for no more than 6000 </w:t>
      </w:r>
      <w:proofErr w:type="spellStart"/>
      <w:r w:rsidRPr="00F5299C">
        <w:rPr>
          <w:szCs w:val="20"/>
          <w:lang w:eastAsia="sl-SI"/>
        </w:rPr>
        <w:t>kilometres</w:t>
      </w:r>
      <w:proofErr w:type="spellEnd"/>
      <w:r w:rsidRPr="00F5299C">
        <w:rPr>
          <w:szCs w:val="20"/>
          <w:lang w:eastAsia="sl-SI"/>
        </w:rPr>
        <w:t>, and vessels have sailed for no more than 100 hours, and aircrafts have flown for no</w:t>
      </w:r>
      <w:r>
        <w:rPr>
          <w:szCs w:val="20"/>
          <w:lang w:eastAsia="sl-SI"/>
        </w:rPr>
        <w:t xml:space="preserve"> more than 40 hours.</w:t>
      </w:r>
    </w:p>
    <w:p w:rsidR="00215798" w:rsidRDefault="00215798" w:rsidP="00215798">
      <w:pPr>
        <w:suppressAutoHyphens/>
        <w:spacing w:line="288" w:lineRule="auto"/>
        <w:jc w:val="both"/>
        <w:rPr>
          <w:szCs w:val="20"/>
          <w:lang w:eastAsia="sl-SI"/>
        </w:rPr>
      </w:pPr>
    </w:p>
    <w:p w:rsidR="00215798" w:rsidRDefault="00215798" w:rsidP="00215798">
      <w:pPr>
        <w:pStyle w:val="FURSnaslov2"/>
        <w:rPr>
          <w:rFonts w:cs="Arial"/>
          <w:lang w:val="en-GB"/>
        </w:rPr>
      </w:pPr>
    </w:p>
    <w:p w:rsidR="00215798" w:rsidRPr="00A0150A" w:rsidRDefault="00215798" w:rsidP="00215798">
      <w:pPr>
        <w:pStyle w:val="FURSnaslov1"/>
        <w:rPr>
          <w:lang w:eastAsia="sl-SI"/>
        </w:rPr>
      </w:pPr>
      <w:bookmarkStart w:id="7" w:name="_Toc491947133"/>
      <w:r w:rsidRPr="00A0150A">
        <w:t xml:space="preserve">1.4 </w:t>
      </w:r>
      <w:proofErr w:type="spellStart"/>
      <w:r w:rsidRPr="00A0150A">
        <w:t>Regions</w:t>
      </w:r>
      <w:proofErr w:type="spellEnd"/>
      <w:r w:rsidRPr="00A0150A">
        <w:t xml:space="preserve"> </w:t>
      </w:r>
      <w:proofErr w:type="spellStart"/>
      <w:r w:rsidRPr="00A0150A">
        <w:t>and</w:t>
      </w:r>
      <w:proofErr w:type="spellEnd"/>
      <w:r w:rsidRPr="00A0150A">
        <w:t xml:space="preserve"> </w:t>
      </w:r>
      <w:proofErr w:type="spellStart"/>
      <w:r w:rsidRPr="00A0150A">
        <w:t>territories</w:t>
      </w:r>
      <w:proofErr w:type="spellEnd"/>
      <w:r w:rsidRPr="00A0150A">
        <w:t xml:space="preserve"> </w:t>
      </w:r>
      <w:proofErr w:type="spellStart"/>
      <w:r>
        <w:t>of</w:t>
      </w:r>
      <w:proofErr w:type="spellEnd"/>
      <w:r>
        <w:t xml:space="preserve"> </w:t>
      </w:r>
      <w:proofErr w:type="spellStart"/>
      <w:r>
        <w:t>the</w:t>
      </w:r>
      <w:proofErr w:type="spellEnd"/>
      <w:r>
        <w:t xml:space="preserve"> EU </w:t>
      </w:r>
      <w:proofErr w:type="spellStart"/>
      <w:r w:rsidRPr="00A0150A">
        <w:t>with</w:t>
      </w:r>
      <w:proofErr w:type="spellEnd"/>
      <w:r w:rsidRPr="00A0150A">
        <w:t xml:space="preserve"> </w:t>
      </w:r>
      <w:proofErr w:type="spellStart"/>
      <w:r w:rsidRPr="00A0150A">
        <w:t>special</w:t>
      </w:r>
      <w:proofErr w:type="spellEnd"/>
      <w:r w:rsidRPr="00A0150A">
        <w:t xml:space="preserve"> status</w:t>
      </w:r>
      <w:bookmarkEnd w:id="7"/>
      <w:r w:rsidRPr="00A0150A">
        <w:t xml:space="preserve"> </w:t>
      </w:r>
    </w:p>
    <w:p w:rsidR="00215798" w:rsidRPr="0031187B" w:rsidRDefault="00215798" w:rsidP="00215798">
      <w:pPr>
        <w:spacing w:line="288" w:lineRule="auto"/>
        <w:jc w:val="both"/>
        <w:rPr>
          <w:szCs w:val="20"/>
          <w:highlight w:val="yellow"/>
          <w:lang w:eastAsia="sl-SI"/>
        </w:rPr>
      </w:pPr>
    </w:p>
    <w:p w:rsidR="00215798" w:rsidRPr="000255E8" w:rsidRDefault="00215798" w:rsidP="00215798">
      <w:pPr>
        <w:spacing w:line="288" w:lineRule="auto"/>
        <w:jc w:val="both"/>
        <w:rPr>
          <w:szCs w:val="20"/>
          <w:lang w:eastAsia="sl-SI"/>
        </w:rPr>
      </w:pPr>
      <w:r>
        <w:rPr>
          <w:szCs w:val="20"/>
          <w:lang w:eastAsia="sl-SI"/>
        </w:rPr>
        <w:t xml:space="preserve">Certain territories and regions of the Member States (e.g. Faroe Islands and Greenland in Denmark, Helgoland and </w:t>
      </w:r>
      <w:proofErr w:type="spellStart"/>
      <w:r>
        <w:rPr>
          <w:szCs w:val="20"/>
          <w:lang w:eastAsia="sl-SI"/>
        </w:rPr>
        <w:t>Büsingen</w:t>
      </w:r>
      <w:proofErr w:type="spellEnd"/>
      <w:r>
        <w:rPr>
          <w:szCs w:val="20"/>
          <w:lang w:eastAsia="sl-SI"/>
        </w:rPr>
        <w:t xml:space="preserve"> in Germany, the French overseas territories, Ceuta and </w:t>
      </w:r>
      <w:proofErr w:type="spellStart"/>
      <w:r>
        <w:rPr>
          <w:szCs w:val="20"/>
          <w:lang w:eastAsia="sl-SI"/>
        </w:rPr>
        <w:t>Mellila</w:t>
      </w:r>
      <w:proofErr w:type="spellEnd"/>
      <w:r>
        <w:rPr>
          <w:szCs w:val="20"/>
          <w:lang w:eastAsia="sl-SI"/>
        </w:rPr>
        <w:t xml:space="preserve"> in Spain, </w:t>
      </w:r>
      <w:proofErr w:type="spellStart"/>
      <w:r w:rsidRPr="000255E8">
        <w:rPr>
          <w:szCs w:val="20"/>
          <w:lang w:eastAsia="sl-SI"/>
        </w:rPr>
        <w:t>Livigno</w:t>
      </w:r>
      <w:proofErr w:type="spellEnd"/>
      <w:r w:rsidRPr="000255E8">
        <w:rPr>
          <w:szCs w:val="20"/>
          <w:lang w:eastAsia="sl-SI"/>
        </w:rPr>
        <w:t xml:space="preserve">, </w:t>
      </w:r>
      <w:proofErr w:type="spellStart"/>
      <w:r w:rsidRPr="000255E8">
        <w:rPr>
          <w:szCs w:val="20"/>
          <w:lang w:eastAsia="sl-SI"/>
        </w:rPr>
        <w:t>Campione</w:t>
      </w:r>
      <w:proofErr w:type="spellEnd"/>
      <w:r w:rsidRPr="000255E8">
        <w:rPr>
          <w:szCs w:val="20"/>
          <w:lang w:eastAsia="sl-SI"/>
        </w:rPr>
        <w:t xml:space="preserve"> </w:t>
      </w:r>
      <w:proofErr w:type="spellStart"/>
      <w:r w:rsidRPr="000255E8">
        <w:rPr>
          <w:szCs w:val="20"/>
          <w:lang w:eastAsia="sl-SI"/>
        </w:rPr>
        <w:t>d'Italia</w:t>
      </w:r>
      <w:proofErr w:type="spellEnd"/>
      <w:r>
        <w:rPr>
          <w:szCs w:val="20"/>
          <w:lang w:eastAsia="sl-SI"/>
        </w:rPr>
        <w:t xml:space="preserve"> and Italian waters of Lake </w:t>
      </w:r>
      <w:proofErr w:type="spellStart"/>
      <w:r>
        <w:rPr>
          <w:szCs w:val="20"/>
          <w:lang w:eastAsia="sl-SI"/>
        </w:rPr>
        <w:t>Lugano</w:t>
      </w:r>
      <w:proofErr w:type="spellEnd"/>
      <w:r>
        <w:rPr>
          <w:szCs w:val="20"/>
          <w:lang w:eastAsia="sl-SI"/>
        </w:rPr>
        <w:t xml:space="preserve">) do not form a constituent part of the EU customs territory. Consequently, goods arriving in Slovenia from these regions and territories are subject to the rules laid down for the goods imported from third countries. </w:t>
      </w:r>
    </w:p>
    <w:p w:rsidR="00215798" w:rsidRPr="0031187B" w:rsidRDefault="00215798" w:rsidP="00215798">
      <w:pPr>
        <w:spacing w:line="288" w:lineRule="auto"/>
        <w:jc w:val="both"/>
        <w:rPr>
          <w:szCs w:val="20"/>
          <w:highlight w:val="yellow"/>
          <w:lang w:eastAsia="sl-SI"/>
        </w:rPr>
      </w:pPr>
    </w:p>
    <w:p w:rsidR="00215798" w:rsidRPr="0031187B" w:rsidRDefault="00215798" w:rsidP="00215798">
      <w:pPr>
        <w:spacing w:line="288" w:lineRule="auto"/>
        <w:jc w:val="both"/>
        <w:rPr>
          <w:szCs w:val="20"/>
          <w:highlight w:val="yellow"/>
          <w:lang w:eastAsia="sl-SI"/>
        </w:rPr>
      </w:pPr>
      <w:proofErr w:type="gramStart"/>
      <w:r>
        <w:rPr>
          <w:szCs w:val="20"/>
          <w:lang w:eastAsia="sl-SI"/>
        </w:rPr>
        <w:t>T</w:t>
      </w:r>
      <w:r w:rsidRPr="00AF074F">
        <w:rPr>
          <w:szCs w:val="20"/>
          <w:lang w:eastAsia="sl-SI"/>
        </w:rPr>
        <w:t xml:space="preserve">he </w:t>
      </w:r>
      <w:r>
        <w:rPr>
          <w:szCs w:val="20"/>
          <w:lang w:eastAsia="sl-SI"/>
        </w:rPr>
        <w:t>goods coming from the regions or territories which do not form a constituent part of the VAT territory of a certain Member State, but form a part of the EU customs territory (e.g. the Canary and the Channel Island, the French overseas departments) are subject to VAT and excise duties upon entry into Slovenia, but not to import customs duties.</w:t>
      </w:r>
      <w:proofErr w:type="gramEnd"/>
      <w:r>
        <w:rPr>
          <w:szCs w:val="20"/>
          <w:lang w:eastAsia="sl-SI"/>
        </w:rPr>
        <w:t xml:space="preserve"> </w:t>
      </w:r>
    </w:p>
    <w:p w:rsidR="00215798" w:rsidRPr="0031187B" w:rsidRDefault="00215798" w:rsidP="00215798">
      <w:pPr>
        <w:suppressAutoHyphens/>
        <w:spacing w:line="288" w:lineRule="auto"/>
        <w:jc w:val="both"/>
        <w:rPr>
          <w:szCs w:val="20"/>
          <w:highlight w:val="yellow"/>
          <w:lang w:eastAsia="ar-SA"/>
        </w:rPr>
      </w:pPr>
    </w:p>
    <w:p w:rsidR="00215798" w:rsidRPr="00496BA2" w:rsidRDefault="00215798" w:rsidP="00215798">
      <w:pPr>
        <w:pStyle w:val="Telobesedila"/>
        <w:spacing w:line="288" w:lineRule="auto"/>
        <w:rPr>
          <w:rFonts w:ascii="Arial" w:hAnsi="Arial"/>
          <w:lang w:val="en-GB"/>
        </w:rPr>
      </w:pPr>
      <w:r w:rsidRPr="00496BA2">
        <w:rPr>
          <w:rFonts w:ascii="Arial" w:hAnsi="Arial"/>
          <w:lang w:val="en-GB"/>
        </w:rPr>
        <w:t>Useful links:</w:t>
      </w:r>
    </w:p>
    <w:p w:rsidR="00215798" w:rsidRPr="00D92719" w:rsidRDefault="00B33A58" w:rsidP="00215798">
      <w:pPr>
        <w:suppressAutoHyphens/>
        <w:spacing w:line="288" w:lineRule="auto"/>
        <w:jc w:val="both"/>
        <w:rPr>
          <w:szCs w:val="20"/>
          <w:lang w:eastAsia="ar-SA"/>
        </w:rPr>
      </w:pPr>
      <w:hyperlink r:id="rId7" w:anchor="2" w:history="1">
        <w:r w:rsidR="00215798" w:rsidRPr="00D92719">
          <w:rPr>
            <w:rStyle w:val="Hiperpovezava"/>
            <w:szCs w:val="20"/>
            <w:lang w:eastAsia="ar-SA"/>
          </w:rPr>
          <w:t xml:space="preserve">Territories of the </w:t>
        </w:r>
        <w:r w:rsidR="00215798">
          <w:rPr>
            <w:rStyle w:val="Hiperpovezava"/>
            <w:szCs w:val="20"/>
            <w:lang w:eastAsia="ar-SA"/>
          </w:rPr>
          <w:t xml:space="preserve">EU </w:t>
        </w:r>
        <w:r w:rsidR="00215798" w:rsidRPr="00D92719">
          <w:rPr>
            <w:rStyle w:val="Hiperpovezava"/>
            <w:szCs w:val="20"/>
            <w:lang w:eastAsia="ar-SA"/>
          </w:rPr>
          <w:t xml:space="preserve">Member States not forming a constituent part of the </w:t>
        </w:r>
        <w:r w:rsidR="00215798">
          <w:rPr>
            <w:rStyle w:val="Hiperpovezava"/>
            <w:szCs w:val="20"/>
            <w:lang w:eastAsia="ar-SA"/>
          </w:rPr>
          <w:t xml:space="preserve">EU </w:t>
        </w:r>
        <w:r w:rsidR="00215798" w:rsidRPr="00D92719">
          <w:rPr>
            <w:rStyle w:val="Hiperpovezava"/>
            <w:szCs w:val="20"/>
            <w:lang w:eastAsia="ar-SA"/>
          </w:rPr>
          <w:t>customs territory</w:t>
        </w:r>
      </w:hyperlink>
    </w:p>
    <w:p w:rsidR="00215798" w:rsidRPr="009571C7" w:rsidRDefault="00B33A58" w:rsidP="00215798">
      <w:pPr>
        <w:suppressAutoHyphens/>
        <w:spacing w:line="288" w:lineRule="auto"/>
        <w:jc w:val="both"/>
        <w:rPr>
          <w:szCs w:val="20"/>
          <w:lang w:eastAsia="ar-SA"/>
        </w:rPr>
      </w:pPr>
      <w:hyperlink r:id="rId8" w:anchor="11" w:history="1">
        <w:r w:rsidR="00215798" w:rsidRPr="009571C7">
          <w:rPr>
            <w:rStyle w:val="Hiperpovezava"/>
            <w:szCs w:val="20"/>
            <w:lang w:eastAsia="ar-SA"/>
          </w:rPr>
          <w:t>Territories of the EU Member States not forming a constituent part of the</w:t>
        </w:r>
        <w:r w:rsidR="00215798">
          <w:rPr>
            <w:rStyle w:val="Hiperpovezava"/>
            <w:szCs w:val="20"/>
            <w:lang w:eastAsia="ar-SA"/>
          </w:rPr>
          <w:t>ir</w:t>
        </w:r>
        <w:r w:rsidR="00215798" w:rsidRPr="009571C7">
          <w:rPr>
            <w:rStyle w:val="Hiperpovezava"/>
            <w:szCs w:val="20"/>
            <w:lang w:eastAsia="ar-SA"/>
          </w:rPr>
          <w:t xml:space="preserve"> </w:t>
        </w:r>
        <w:r w:rsidR="00215798">
          <w:rPr>
            <w:rStyle w:val="Hiperpovezava"/>
            <w:szCs w:val="20"/>
            <w:lang w:eastAsia="ar-SA"/>
          </w:rPr>
          <w:t>VAT territory</w:t>
        </w:r>
        <w:r w:rsidR="00215798" w:rsidRPr="009571C7">
          <w:rPr>
            <w:rStyle w:val="Hiperpovezava"/>
            <w:szCs w:val="20"/>
            <w:lang w:eastAsia="ar-SA"/>
          </w:rPr>
          <w:t xml:space="preserve"> </w:t>
        </w:r>
      </w:hyperlink>
      <w:r w:rsidR="00215798" w:rsidRPr="009571C7">
        <w:rPr>
          <w:szCs w:val="20"/>
          <w:lang w:eastAsia="ar-SA"/>
        </w:rPr>
        <w:t xml:space="preserve"> </w:t>
      </w:r>
    </w:p>
    <w:p w:rsidR="00215798" w:rsidRPr="0031187B" w:rsidRDefault="00215798" w:rsidP="00215798">
      <w:pPr>
        <w:suppressAutoHyphens/>
        <w:spacing w:line="288" w:lineRule="auto"/>
        <w:jc w:val="both"/>
        <w:rPr>
          <w:szCs w:val="20"/>
          <w:highlight w:val="yellow"/>
          <w:lang w:eastAsia="ar-SA"/>
        </w:rPr>
      </w:pPr>
    </w:p>
    <w:p w:rsidR="00215798" w:rsidRPr="0031187B" w:rsidRDefault="00215798" w:rsidP="00215798">
      <w:pPr>
        <w:pStyle w:val="FURSnaslov2"/>
        <w:rPr>
          <w:rFonts w:cs="Arial"/>
          <w:highlight w:val="yellow"/>
          <w:lang w:val="en-GB"/>
        </w:rPr>
      </w:pPr>
    </w:p>
    <w:p w:rsidR="00215798" w:rsidRPr="00A0150A" w:rsidRDefault="00215798" w:rsidP="00215798">
      <w:pPr>
        <w:pStyle w:val="FURSnaslov1"/>
      </w:pPr>
      <w:bookmarkStart w:id="8" w:name="_Toc491947134"/>
      <w:r w:rsidRPr="00A0150A">
        <w:t xml:space="preserve">1.5 </w:t>
      </w:r>
      <w:proofErr w:type="spellStart"/>
      <w:r w:rsidRPr="00A0150A">
        <w:t>Prohibitions</w:t>
      </w:r>
      <w:proofErr w:type="spellEnd"/>
      <w:r w:rsidRPr="00A0150A">
        <w:t xml:space="preserve"> </w:t>
      </w:r>
      <w:proofErr w:type="spellStart"/>
      <w:r w:rsidRPr="00A0150A">
        <w:t>and</w:t>
      </w:r>
      <w:proofErr w:type="spellEnd"/>
      <w:r w:rsidRPr="00A0150A">
        <w:t xml:space="preserve"> </w:t>
      </w:r>
      <w:proofErr w:type="spellStart"/>
      <w:r w:rsidRPr="00A0150A">
        <w:t>restrictions</w:t>
      </w:r>
      <w:bookmarkEnd w:id="8"/>
      <w:proofErr w:type="spellEnd"/>
      <w:r w:rsidRPr="00A0150A">
        <w:t xml:space="preserve"> </w:t>
      </w:r>
    </w:p>
    <w:p w:rsidR="00215798" w:rsidRPr="0031187B" w:rsidRDefault="00215798" w:rsidP="00215798">
      <w:pPr>
        <w:suppressAutoHyphens/>
        <w:spacing w:line="288" w:lineRule="auto"/>
        <w:jc w:val="both"/>
        <w:rPr>
          <w:szCs w:val="20"/>
          <w:highlight w:val="yellow"/>
          <w:lang w:eastAsia="ar-SA"/>
        </w:rPr>
      </w:pPr>
    </w:p>
    <w:p w:rsidR="00215798" w:rsidRPr="0031187B" w:rsidRDefault="00215798" w:rsidP="00215798">
      <w:pPr>
        <w:suppressAutoHyphens/>
        <w:spacing w:line="288" w:lineRule="auto"/>
        <w:jc w:val="both"/>
        <w:rPr>
          <w:szCs w:val="20"/>
          <w:lang w:eastAsia="ar-SA"/>
        </w:rPr>
      </w:pPr>
      <w:r>
        <w:rPr>
          <w:szCs w:val="20"/>
          <w:lang w:eastAsia="ar-SA"/>
        </w:rPr>
        <w:t xml:space="preserve">Customs authorities carry out controls in the entire territory of the country and not only on the external EU border. These controls </w:t>
      </w:r>
      <w:proofErr w:type="gramStart"/>
      <w:r>
        <w:rPr>
          <w:szCs w:val="20"/>
          <w:lang w:eastAsia="ar-SA"/>
        </w:rPr>
        <w:t>are performed</w:t>
      </w:r>
      <w:proofErr w:type="gramEnd"/>
      <w:r>
        <w:rPr>
          <w:szCs w:val="20"/>
          <w:lang w:eastAsia="ar-SA"/>
        </w:rPr>
        <w:t xml:space="preserve"> with the view to prevent the import of and the illegal trade with goods subject to prohibitions and restrictions, such as illicit drugs and weapons. The measures taken by customs authorities </w:t>
      </w:r>
      <w:proofErr w:type="gramStart"/>
      <w:r>
        <w:rPr>
          <w:szCs w:val="20"/>
          <w:lang w:eastAsia="ar-SA"/>
        </w:rPr>
        <w:t>are also aimed</w:t>
      </w:r>
      <w:proofErr w:type="gramEnd"/>
      <w:r>
        <w:rPr>
          <w:szCs w:val="20"/>
          <w:lang w:eastAsia="ar-SA"/>
        </w:rPr>
        <w:t xml:space="preserve"> at the protection of consumers, health of animals and plants, the protection of environment, national treasures possessing artistic, historic or archaeological value and the protection of intellectual property rights.</w:t>
      </w:r>
    </w:p>
    <w:p w:rsidR="00215798" w:rsidRPr="0031187B" w:rsidRDefault="00215798" w:rsidP="00215798">
      <w:pPr>
        <w:spacing w:line="288" w:lineRule="auto"/>
        <w:jc w:val="both"/>
        <w:rPr>
          <w:szCs w:val="20"/>
          <w:lang w:eastAsia="sl-SI"/>
        </w:rPr>
      </w:pPr>
    </w:p>
    <w:p w:rsidR="00215798" w:rsidRPr="0031187B" w:rsidRDefault="00215798" w:rsidP="00215798">
      <w:pPr>
        <w:pStyle w:val="Telobesedila"/>
        <w:spacing w:line="295" w:lineRule="auto"/>
        <w:rPr>
          <w:rFonts w:ascii="Arial" w:hAnsi="Arial"/>
          <w:lang w:val="en-GB"/>
        </w:rPr>
      </w:pPr>
    </w:p>
    <w:p w:rsidR="00215798" w:rsidRPr="0031187B" w:rsidRDefault="00215798" w:rsidP="00215798">
      <w:pPr>
        <w:pStyle w:val="Telobesedila"/>
        <w:spacing w:line="295" w:lineRule="auto"/>
        <w:rPr>
          <w:rFonts w:ascii="Arial" w:hAnsi="Arial"/>
          <w:lang w:val="en-GB"/>
        </w:rPr>
      </w:pPr>
    </w:p>
    <w:p w:rsidR="007A11B0" w:rsidRDefault="007A11B0"/>
    <w:sectPr w:rsidR="007A11B0"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58" w:rsidRDefault="00B33A58">
      <w:pPr>
        <w:spacing w:line="240" w:lineRule="auto"/>
      </w:pPr>
      <w:r>
        <w:separator/>
      </w:r>
    </w:p>
  </w:endnote>
  <w:endnote w:type="continuationSeparator" w:id="0">
    <w:p w:rsidR="00B33A58" w:rsidRDefault="00B33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A6" w:rsidRDefault="00FD1BFF" w:rsidP="002819A6">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95CFC">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95CFC">
      <w:rPr>
        <w:rFonts w:cs="Arial"/>
        <w:noProof/>
        <w:sz w:val="16"/>
      </w:rPr>
      <w:t>4</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A6" w:rsidRDefault="00FD1BFF" w:rsidP="002819A6">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95CFC">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95CFC">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58" w:rsidRDefault="00B33A58">
      <w:pPr>
        <w:spacing w:line="240" w:lineRule="auto"/>
      </w:pPr>
      <w:r>
        <w:separator/>
      </w:r>
    </w:p>
  </w:footnote>
  <w:footnote w:type="continuationSeparator" w:id="0">
    <w:p w:rsidR="00B33A58" w:rsidRDefault="00B33A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8" w:rsidRPr="00110CBD" w:rsidRDefault="000D3F3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10DF6">
      <w:trPr>
        <w:cantSplit/>
        <w:trHeight w:hRule="exact" w:val="847"/>
      </w:trPr>
      <w:tc>
        <w:tcPr>
          <w:tcW w:w="567" w:type="dxa"/>
        </w:tcPr>
        <w:p w:rsidR="000D3F38" w:rsidRPr="008F3500" w:rsidRDefault="00FD1BF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tc>
    </w:tr>
  </w:tbl>
  <w:p w:rsidR="000D3F38" w:rsidRPr="008F3500" w:rsidRDefault="00FD1BFF"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w:t>
    </w:r>
    <w:r>
      <w:rPr>
        <w:rFonts w:ascii="Republika" w:hAnsi="Republika"/>
        <w:lang w:val="sl-SI"/>
      </w:rPr>
      <w:t>C OF SLOVENI</w:t>
    </w:r>
    <w:r w:rsidRPr="008F3500">
      <w:rPr>
        <w:rFonts w:ascii="Republika" w:hAnsi="Republika"/>
        <w:lang w:val="sl-SI"/>
      </w:rPr>
      <w:t>A</w:t>
    </w:r>
  </w:p>
  <w:p w:rsidR="000D3F38" w:rsidRPr="00CA21A5" w:rsidRDefault="00FD1BFF" w:rsidP="00924E3C">
    <w:pPr>
      <w:pStyle w:val="Glava"/>
      <w:tabs>
        <w:tab w:val="clear" w:pos="4320"/>
        <w:tab w:val="clear" w:pos="8640"/>
        <w:tab w:val="left" w:pos="5112"/>
      </w:tabs>
      <w:spacing w:after="120" w:line="240" w:lineRule="exact"/>
      <w:rPr>
        <w:rFonts w:ascii="Republika" w:hAnsi="Republika"/>
        <w:b/>
        <w:caps/>
        <w:lang w:val="sl-SI"/>
      </w:rPr>
    </w:pPr>
    <w:r w:rsidRPr="00CA21A5">
      <w:rPr>
        <w:rFonts w:ascii="Republika" w:hAnsi="Republika"/>
        <w:b/>
        <w:caps/>
        <w:lang w:val="sl-SI"/>
      </w:rPr>
      <w:t>Ministry of Finance</w:t>
    </w:r>
  </w:p>
  <w:p w:rsidR="00961A8A" w:rsidRDefault="00FD1BFF" w:rsidP="00961A8A">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w:t>
    </w:r>
    <w:r w:rsidR="00FF5E88">
      <w:rPr>
        <w:rFonts w:ascii="Republika" w:hAnsi="Republika"/>
        <w:caps/>
        <w:lang w:val="sl-SI"/>
      </w:rPr>
      <w:t xml:space="preserve"> Administration of the Republic of Slovenia</w:t>
    </w:r>
  </w:p>
  <w:p w:rsidR="002169BB" w:rsidRPr="00C96950" w:rsidRDefault="00FD1BFF" w:rsidP="002169BB">
    <w:pPr>
      <w:pStyle w:val="Glava"/>
      <w:tabs>
        <w:tab w:val="clear" w:pos="4320"/>
        <w:tab w:val="clear" w:pos="8640"/>
        <w:tab w:val="left" w:pos="5112"/>
      </w:tabs>
      <w:spacing w:before="120" w:line="240" w:lineRule="exact"/>
      <w:rPr>
        <w:rFonts w:ascii="Republika" w:hAnsi="Republika"/>
        <w:caps/>
        <w:lang w:val="it-IT"/>
      </w:rPr>
    </w:pPr>
    <w:r w:rsidRPr="00C96950">
      <w:rPr>
        <w:rFonts w:ascii="Republika" w:hAnsi="Republika"/>
        <w:lang w:val="it-IT"/>
      </w:rPr>
      <w:t xml:space="preserve">General Financial </w:t>
    </w:r>
    <w:r w:rsidR="00435890" w:rsidRPr="00C96950">
      <w:rPr>
        <w:rFonts w:ascii="Republika" w:hAnsi="Republika"/>
        <w:lang w:val="it-IT"/>
      </w:rPr>
      <w:t>Office</w:t>
    </w:r>
  </w:p>
  <w:p w:rsidR="002169BB" w:rsidRPr="008F3500" w:rsidRDefault="00FD1BFF" w:rsidP="002169BB">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PO </w:t>
    </w:r>
    <w:proofErr w:type="spellStart"/>
    <w:r>
      <w:rPr>
        <w:rFonts w:cs="Arial"/>
        <w:sz w:val="16"/>
        <w:lang w:val="sl-SI"/>
      </w:rPr>
      <w:t>Box</w:t>
    </w:r>
    <w:proofErr w:type="spellEnd"/>
    <w:r>
      <w:rPr>
        <w:rFonts w:cs="Arial"/>
        <w:sz w:val="16"/>
        <w:lang w:val="sl-SI"/>
      </w:rPr>
      <w:t xml:space="preserve"> 631</w:t>
    </w:r>
    <w:r w:rsidRPr="008F3500">
      <w:rPr>
        <w:rFonts w:cs="Arial"/>
        <w:sz w:val="16"/>
        <w:lang w:val="sl-SI"/>
      </w:rPr>
      <w:t xml:space="preserve">, </w:t>
    </w:r>
    <w:r>
      <w:rPr>
        <w:rFonts w:cs="Arial"/>
        <w:sz w:val="16"/>
        <w:lang w:val="sl-SI"/>
      </w:rPr>
      <w:t xml:space="preserve">SI-1001 Ljubljana, </w:t>
    </w:r>
    <w:proofErr w:type="spellStart"/>
    <w:r>
      <w:rPr>
        <w:rFonts w:cs="Arial"/>
        <w:sz w:val="16"/>
        <w:lang w:val="sl-SI"/>
      </w:rPr>
      <w:t>Slovenia</w:t>
    </w:r>
    <w:proofErr w:type="spellEnd"/>
    <w:r w:rsidRPr="008F3500">
      <w:rPr>
        <w:rFonts w:cs="Arial"/>
        <w:sz w:val="16"/>
        <w:lang w:val="sl-SI"/>
      </w:rPr>
      <w:tab/>
      <w:t xml:space="preserve">T: </w:t>
    </w:r>
    <w:r w:rsidR="001B42D8" w:rsidRPr="001B42D8">
      <w:rPr>
        <w:rFonts w:cs="Arial"/>
        <w:sz w:val="16"/>
        <w:lang w:val="sl-SI"/>
      </w:rPr>
      <w:t xml:space="preserve">+386 1 478 </w:t>
    </w:r>
    <w:r w:rsidR="001B42D8">
      <w:rPr>
        <w:rFonts w:cs="Arial"/>
        <w:sz w:val="16"/>
        <w:lang w:val="sl-SI"/>
      </w:rPr>
      <w:t>38</w:t>
    </w:r>
    <w:r w:rsidR="001B42D8" w:rsidRPr="001B42D8">
      <w:rPr>
        <w:rFonts w:cs="Arial"/>
        <w:sz w:val="16"/>
        <w:lang w:val="sl-SI"/>
      </w:rPr>
      <w:t xml:space="preserve"> 00</w:t>
    </w:r>
  </w:p>
  <w:p w:rsidR="002169BB" w:rsidRPr="008F3500" w:rsidRDefault="00FD1BFF"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B42D8">
      <w:rPr>
        <w:rFonts w:cs="Arial"/>
        <w:sz w:val="16"/>
        <w:lang w:val="sl-SI"/>
      </w:rPr>
      <w:t>gfu.fu</w:t>
    </w:r>
    <w:r>
      <w:rPr>
        <w:rFonts w:cs="Arial"/>
        <w:sz w:val="16"/>
        <w:lang w:val="sl-SI"/>
      </w:rPr>
      <w:t>@gov.si</w:t>
    </w:r>
  </w:p>
  <w:p w:rsidR="002169BB" w:rsidRPr="008F3500" w:rsidRDefault="00FD1BFF"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B42D8">
      <w:rPr>
        <w:rFonts w:cs="Arial"/>
        <w:sz w:val="16"/>
        <w:lang w:val="sl-SI"/>
      </w:rPr>
      <w:t>www.fu</w:t>
    </w:r>
    <w:r>
      <w:rPr>
        <w:rFonts w:cs="Arial"/>
        <w:sz w:val="16"/>
        <w:lang w:val="sl-SI"/>
      </w:rPr>
      <w:t>.gov.si</w:t>
    </w:r>
  </w:p>
  <w:p w:rsidR="000D3F38" w:rsidRPr="008F3500" w:rsidRDefault="000D3F38" w:rsidP="002169BB">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B86"/>
    <w:multiLevelType w:val="hybridMultilevel"/>
    <w:tmpl w:val="86F84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E4355BE"/>
    <w:multiLevelType w:val="hybridMultilevel"/>
    <w:tmpl w:val="50509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89"/>
    <w:rsid w:val="000234D4"/>
    <w:rsid w:val="00095CFC"/>
    <w:rsid w:val="000D3F38"/>
    <w:rsid w:val="000F47C4"/>
    <w:rsid w:val="00110CBD"/>
    <w:rsid w:val="001B42D8"/>
    <w:rsid w:val="00215798"/>
    <w:rsid w:val="002169BB"/>
    <w:rsid w:val="002819A6"/>
    <w:rsid w:val="002A1370"/>
    <w:rsid w:val="002A6D0F"/>
    <w:rsid w:val="003412C9"/>
    <w:rsid w:val="00435890"/>
    <w:rsid w:val="004E09CE"/>
    <w:rsid w:val="00582789"/>
    <w:rsid w:val="006370E2"/>
    <w:rsid w:val="006F142E"/>
    <w:rsid w:val="007A11B0"/>
    <w:rsid w:val="007D75CF"/>
    <w:rsid w:val="008F3500"/>
    <w:rsid w:val="00924E3C"/>
    <w:rsid w:val="00961A8A"/>
    <w:rsid w:val="00B33A58"/>
    <w:rsid w:val="00B90DF3"/>
    <w:rsid w:val="00C96950"/>
    <w:rsid w:val="00CA21A5"/>
    <w:rsid w:val="00CD1960"/>
    <w:rsid w:val="00D248DE"/>
    <w:rsid w:val="00D96E08"/>
    <w:rsid w:val="00E10DF6"/>
    <w:rsid w:val="00E17CAE"/>
    <w:rsid w:val="00E8415E"/>
    <w:rsid w:val="00E906CA"/>
    <w:rsid w:val="00EE1091"/>
    <w:rsid w:val="00FD1BFF"/>
    <w:rsid w:val="00FF5023"/>
    <w:rsid w:val="00FF5E88"/>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A2D291-D3BA-4D5C-BEA9-60310FD4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278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82789"/>
    <w:pPr>
      <w:tabs>
        <w:tab w:val="center" w:pos="4320"/>
        <w:tab w:val="right" w:pos="8640"/>
      </w:tabs>
    </w:pPr>
  </w:style>
  <w:style w:type="character" w:customStyle="1" w:styleId="GlavaZnak">
    <w:name w:val="Glava Znak"/>
    <w:basedOn w:val="Privzetapisavaodstavka"/>
    <w:link w:val="Glava"/>
    <w:rsid w:val="00582789"/>
    <w:rPr>
      <w:rFonts w:ascii="Arial" w:eastAsia="Times New Roman" w:hAnsi="Arial" w:cs="Times New Roman"/>
      <w:sz w:val="20"/>
      <w:szCs w:val="24"/>
      <w:lang w:val="en-US"/>
    </w:rPr>
  </w:style>
  <w:style w:type="paragraph" w:styleId="Noga">
    <w:name w:val="footer"/>
    <w:basedOn w:val="Navaden"/>
    <w:link w:val="NogaZnak"/>
    <w:semiHidden/>
    <w:rsid w:val="00582789"/>
    <w:pPr>
      <w:tabs>
        <w:tab w:val="center" w:pos="4320"/>
        <w:tab w:val="right" w:pos="8640"/>
      </w:tabs>
    </w:pPr>
  </w:style>
  <w:style w:type="character" w:customStyle="1" w:styleId="NogaZnak">
    <w:name w:val="Noga Znak"/>
    <w:basedOn w:val="Privzetapisavaodstavka"/>
    <w:link w:val="Noga"/>
    <w:semiHidden/>
    <w:rsid w:val="00582789"/>
    <w:rPr>
      <w:rFonts w:ascii="Arial" w:eastAsia="Times New Roman" w:hAnsi="Arial" w:cs="Times New Roman"/>
      <w:sz w:val="20"/>
      <w:szCs w:val="24"/>
      <w:lang w:val="en-US"/>
    </w:rPr>
  </w:style>
  <w:style w:type="paragraph" w:customStyle="1" w:styleId="datumtevilka">
    <w:name w:val="datum številka"/>
    <w:basedOn w:val="Navaden"/>
    <w:qFormat/>
    <w:rsid w:val="00582789"/>
    <w:pPr>
      <w:tabs>
        <w:tab w:val="left" w:pos="1701"/>
      </w:tabs>
    </w:pPr>
    <w:rPr>
      <w:szCs w:val="20"/>
      <w:lang w:val="sl-SI" w:eastAsia="sl-SI"/>
    </w:rPr>
  </w:style>
  <w:style w:type="paragraph" w:customStyle="1" w:styleId="ZADEVA">
    <w:name w:val="ZADEVA"/>
    <w:basedOn w:val="Navaden"/>
    <w:qFormat/>
    <w:rsid w:val="00582789"/>
    <w:pPr>
      <w:tabs>
        <w:tab w:val="left" w:pos="1701"/>
      </w:tabs>
      <w:ind w:left="1701" w:hanging="1701"/>
    </w:pPr>
    <w:rPr>
      <w:b/>
      <w:lang w:val="it-IT"/>
    </w:rPr>
  </w:style>
  <w:style w:type="paragraph" w:customStyle="1" w:styleId="podpisi">
    <w:name w:val="podpisi"/>
    <w:basedOn w:val="Navaden"/>
    <w:link w:val="podpisiZnak"/>
    <w:qFormat/>
    <w:rsid w:val="00582789"/>
    <w:pPr>
      <w:tabs>
        <w:tab w:val="left" w:pos="3402"/>
      </w:tabs>
    </w:pPr>
    <w:rPr>
      <w:lang w:val="it-IT"/>
    </w:rPr>
  </w:style>
  <w:style w:type="character" w:styleId="Hiperpovezava">
    <w:name w:val="Hyperlink"/>
    <w:uiPriority w:val="99"/>
    <w:rsid w:val="00215798"/>
    <w:rPr>
      <w:color w:val="0000FF"/>
      <w:u w:val="single"/>
    </w:rPr>
  </w:style>
  <w:style w:type="paragraph" w:customStyle="1" w:styleId="FURSnaslov1">
    <w:name w:val="FURS_naslov_1"/>
    <w:basedOn w:val="podpisi"/>
    <w:link w:val="FURSnaslov1Znak"/>
    <w:qFormat/>
    <w:rsid w:val="00215798"/>
    <w:rPr>
      <w:b/>
      <w:sz w:val="24"/>
      <w:lang w:val="sl-SI"/>
    </w:rPr>
  </w:style>
  <w:style w:type="character" w:customStyle="1" w:styleId="podpisiZnak">
    <w:name w:val="podpisi Znak"/>
    <w:link w:val="podpisi"/>
    <w:rsid w:val="00215798"/>
    <w:rPr>
      <w:rFonts w:ascii="Arial" w:eastAsia="Times New Roman" w:hAnsi="Arial" w:cs="Times New Roman"/>
      <w:sz w:val="20"/>
      <w:szCs w:val="24"/>
      <w:lang w:val="it-IT"/>
    </w:rPr>
  </w:style>
  <w:style w:type="character" w:customStyle="1" w:styleId="FURSnaslov1Znak">
    <w:name w:val="FURS_naslov_1 Znak"/>
    <w:link w:val="FURSnaslov1"/>
    <w:rsid w:val="00215798"/>
    <w:rPr>
      <w:rFonts w:ascii="Arial" w:eastAsia="Times New Roman" w:hAnsi="Arial" w:cs="Times New Roman"/>
      <w:b/>
      <w:sz w:val="24"/>
      <w:szCs w:val="24"/>
    </w:rPr>
  </w:style>
  <w:style w:type="paragraph" w:styleId="Kazalovsebine1">
    <w:name w:val="toc 1"/>
    <w:basedOn w:val="Navaden"/>
    <w:next w:val="Navaden"/>
    <w:autoRedefine/>
    <w:uiPriority w:val="39"/>
    <w:qFormat/>
    <w:rsid w:val="00215798"/>
    <w:pPr>
      <w:tabs>
        <w:tab w:val="right" w:leader="dot" w:pos="8488"/>
      </w:tabs>
      <w:ind w:left="284"/>
    </w:pPr>
    <w:rPr>
      <w:lang w:val="en-GB"/>
    </w:rPr>
  </w:style>
  <w:style w:type="paragraph" w:styleId="Kazalovsebine2">
    <w:name w:val="toc 2"/>
    <w:basedOn w:val="Navaden"/>
    <w:next w:val="Navaden"/>
    <w:autoRedefine/>
    <w:uiPriority w:val="39"/>
    <w:unhideWhenUsed/>
    <w:qFormat/>
    <w:rsid w:val="00215798"/>
    <w:pPr>
      <w:tabs>
        <w:tab w:val="right" w:leader="dot" w:pos="8488"/>
      </w:tabs>
      <w:spacing w:line="276" w:lineRule="auto"/>
      <w:ind w:left="567"/>
    </w:pPr>
    <w:rPr>
      <w:rFonts w:ascii="Calibri" w:hAnsi="Calibri"/>
      <w:sz w:val="22"/>
      <w:szCs w:val="22"/>
      <w:lang w:val="sl-SI" w:eastAsia="sl-SI"/>
    </w:rPr>
  </w:style>
  <w:style w:type="paragraph" w:customStyle="1" w:styleId="FURSnaslov2">
    <w:name w:val="FURS_naslov_2"/>
    <w:basedOn w:val="podpisi"/>
    <w:link w:val="FURSnaslov2Znak"/>
    <w:qFormat/>
    <w:rsid w:val="00215798"/>
    <w:rPr>
      <w:b/>
      <w:sz w:val="24"/>
      <w:lang w:val="sl-SI"/>
    </w:rPr>
  </w:style>
  <w:style w:type="character" w:customStyle="1" w:styleId="FURSnaslov2Znak">
    <w:name w:val="FURS_naslov_2 Znak"/>
    <w:link w:val="FURSnaslov2"/>
    <w:rsid w:val="00215798"/>
    <w:rPr>
      <w:rFonts w:ascii="Arial" w:eastAsia="Times New Roman" w:hAnsi="Arial" w:cs="Times New Roman"/>
      <w:b/>
      <w:sz w:val="24"/>
      <w:szCs w:val="24"/>
    </w:rPr>
  </w:style>
  <w:style w:type="paragraph" w:styleId="Telobesedila">
    <w:name w:val="Body Text"/>
    <w:basedOn w:val="Navaden"/>
    <w:link w:val="TelobesedilaZnak"/>
    <w:rsid w:val="00215798"/>
    <w:pPr>
      <w:suppressAutoHyphens/>
      <w:spacing w:line="240" w:lineRule="auto"/>
      <w:jc w:val="both"/>
    </w:pPr>
    <w:rPr>
      <w:rFonts w:ascii="Times New Roman" w:hAnsi="Times New Roman"/>
      <w:szCs w:val="20"/>
      <w:lang w:val="sl-SI" w:eastAsia="ar-SA"/>
    </w:rPr>
  </w:style>
  <w:style w:type="character" w:customStyle="1" w:styleId="TelobesedilaZnak">
    <w:name w:val="Telo besedila Znak"/>
    <w:basedOn w:val="Privzetapisavaodstavka"/>
    <w:link w:val="Telobesedila"/>
    <w:rsid w:val="00215798"/>
    <w:rPr>
      <w:rFonts w:ascii="Times New Roman" w:eastAsia="Times New Roman" w:hAnsi="Times New Roman" w:cs="Times New Roman"/>
      <w:sz w:val="20"/>
      <w:szCs w:val="20"/>
      <w:lang w:eastAsia="ar-SA"/>
    </w:rPr>
  </w:style>
  <w:style w:type="character" w:styleId="Krepko">
    <w:name w:val="Strong"/>
    <w:qFormat/>
    <w:rsid w:val="0021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common/faq/taxation/faq_1179_e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taxation_customs/common/faq/customs/faq_1178_en.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Dolenec</dc:creator>
  <cp:lastModifiedBy>Marko Dolenec</cp:lastModifiedBy>
  <cp:revision>3</cp:revision>
  <dcterms:created xsi:type="dcterms:W3CDTF">2021-08-13T10:50:00Z</dcterms:created>
  <dcterms:modified xsi:type="dcterms:W3CDTF">2021-08-13T10:52:00Z</dcterms:modified>
</cp:coreProperties>
</file>