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099FB" w14:textId="77777777" w:rsidR="004A65D2" w:rsidRDefault="004A65D2" w:rsidP="004A65D2">
      <w:pPr>
        <w:pStyle w:val="datumtevilka"/>
        <w:jc w:val="both"/>
      </w:pPr>
      <w:bookmarkStart w:id="0" w:name="SubjektDokumentaNazivBrezPredpon"/>
    </w:p>
    <w:p w14:paraId="681FF697" w14:textId="77777777" w:rsidR="004A65D2" w:rsidRDefault="004A65D2" w:rsidP="004A65D2">
      <w:pPr>
        <w:pStyle w:val="datumtevilka"/>
        <w:jc w:val="both"/>
      </w:pPr>
    </w:p>
    <w:bookmarkEnd w:id="0"/>
    <w:p w14:paraId="5C1B53A3" w14:textId="77777777" w:rsidR="004A65D2" w:rsidRDefault="004A65D2" w:rsidP="004A65D2">
      <w:pPr>
        <w:pStyle w:val="ZADEVA"/>
        <w:jc w:val="both"/>
        <w:rPr>
          <w:lang w:val="sl-SI"/>
        </w:rPr>
      </w:pPr>
    </w:p>
    <w:p w14:paraId="1F647B8B" w14:textId="77777777" w:rsidR="004A65D2" w:rsidRDefault="004A65D2" w:rsidP="004A65D2">
      <w:pPr>
        <w:pStyle w:val="ZADEVA"/>
        <w:jc w:val="both"/>
        <w:rPr>
          <w:lang w:val="sl-SI"/>
        </w:rPr>
      </w:pPr>
    </w:p>
    <w:p w14:paraId="054254CD" w14:textId="77777777" w:rsidR="00E70BE9" w:rsidRDefault="00E70BE9" w:rsidP="004A65D2">
      <w:pPr>
        <w:pStyle w:val="ZADEVA"/>
        <w:jc w:val="both"/>
        <w:rPr>
          <w:lang w:val="sl-SI"/>
        </w:rPr>
      </w:pPr>
    </w:p>
    <w:p w14:paraId="2F0E24AD" w14:textId="77777777" w:rsidR="00E70BE9" w:rsidRDefault="00E70BE9" w:rsidP="004A65D2">
      <w:pPr>
        <w:pStyle w:val="ZADEVA"/>
        <w:jc w:val="both"/>
        <w:rPr>
          <w:lang w:val="sl-SI"/>
        </w:rPr>
      </w:pPr>
    </w:p>
    <w:p w14:paraId="78832147" w14:textId="77777777" w:rsidR="00E70BE9" w:rsidRDefault="00E70BE9" w:rsidP="004A65D2">
      <w:pPr>
        <w:pStyle w:val="ZADEVA"/>
        <w:jc w:val="both"/>
        <w:rPr>
          <w:lang w:val="sl-SI"/>
        </w:rPr>
      </w:pPr>
    </w:p>
    <w:p w14:paraId="029DA4C4" w14:textId="77777777" w:rsidR="00E70BE9" w:rsidRDefault="00E70BE9" w:rsidP="004A65D2">
      <w:pPr>
        <w:pStyle w:val="ZADEVA"/>
        <w:jc w:val="both"/>
        <w:rPr>
          <w:lang w:val="sl-SI"/>
        </w:rPr>
      </w:pPr>
    </w:p>
    <w:p w14:paraId="04E3C828" w14:textId="77777777" w:rsidR="00E70BE9" w:rsidRDefault="00E70BE9" w:rsidP="004A65D2">
      <w:pPr>
        <w:pStyle w:val="ZADEVA"/>
        <w:jc w:val="both"/>
        <w:rPr>
          <w:lang w:val="sl-SI"/>
        </w:rPr>
      </w:pPr>
    </w:p>
    <w:p w14:paraId="6CE4497A" w14:textId="6118848D" w:rsidR="007D75CF" w:rsidRPr="004A65D2" w:rsidRDefault="00000000" w:rsidP="00E70BE9">
      <w:pPr>
        <w:pStyle w:val="ZADEVA"/>
        <w:tabs>
          <w:tab w:val="clear" w:pos="1701"/>
          <w:tab w:val="left" w:pos="0"/>
        </w:tabs>
        <w:ind w:left="0" w:firstLine="0"/>
        <w:jc w:val="both"/>
        <w:rPr>
          <w:lang w:val="sl-SI"/>
        </w:rPr>
      </w:pPr>
      <w:bookmarkStart w:id="1" w:name="OpisDokumenta"/>
      <w:r w:rsidRPr="004A65D2">
        <w:rPr>
          <w:lang w:val="sl-SI"/>
        </w:rPr>
        <w:t>Obvestilo Komisije v zvezi z uporabo Regionalne konvencije o pan-evro-mediteranskih preferencialnih pravilih o poreklu ali protokolov o pravilih o poreklu, ki določajo diagonalno kumulacijo med pogodbenicami k tej konvenciji</w:t>
      </w:r>
      <w:bookmarkEnd w:id="1"/>
    </w:p>
    <w:p w14:paraId="0CE3C030" w14:textId="77777777" w:rsidR="007D75CF" w:rsidRDefault="007D75CF" w:rsidP="004A65D2">
      <w:pPr>
        <w:jc w:val="both"/>
        <w:rPr>
          <w:lang w:val="sl-SI"/>
        </w:rPr>
      </w:pPr>
    </w:p>
    <w:p w14:paraId="1850B673" w14:textId="77777777" w:rsidR="004A65D2" w:rsidRPr="009870F8" w:rsidRDefault="00000000" w:rsidP="004A65D2">
      <w:pPr>
        <w:jc w:val="both"/>
        <w:rPr>
          <w:lang w:val="sl-SI"/>
        </w:rPr>
      </w:pPr>
      <w:r>
        <w:rPr>
          <w:lang w:val="sl-SI"/>
        </w:rPr>
        <w:t>Obveščamo vas, da je bilo dne 22</w:t>
      </w:r>
      <w:r w:rsidRPr="0096792B">
        <w:rPr>
          <w:lang w:val="sl-SI"/>
        </w:rPr>
        <w:t xml:space="preserve">. </w:t>
      </w:r>
      <w:r>
        <w:rPr>
          <w:lang w:val="sl-SI"/>
        </w:rPr>
        <w:t>2</w:t>
      </w:r>
      <w:r w:rsidRPr="0096792B">
        <w:rPr>
          <w:lang w:val="sl-SI"/>
        </w:rPr>
        <w:t>. 202</w:t>
      </w:r>
      <w:r>
        <w:rPr>
          <w:lang w:val="sl-SI"/>
        </w:rPr>
        <w:t>4</w:t>
      </w:r>
      <w:r w:rsidRPr="0096792B">
        <w:rPr>
          <w:lang w:val="sl-SI"/>
        </w:rPr>
        <w:t xml:space="preserve"> </w:t>
      </w:r>
      <w:r>
        <w:rPr>
          <w:lang w:val="sl-SI"/>
        </w:rPr>
        <w:t xml:space="preserve">v Uradnem listu </w:t>
      </w:r>
      <w:r w:rsidRPr="00366A32">
        <w:rPr>
          <w:lang w:val="sl-SI"/>
        </w:rPr>
        <w:t xml:space="preserve">EU C, </w:t>
      </w:r>
      <w:hyperlink r:id="rId8" w:history="1">
        <w:r w:rsidRPr="00366A32">
          <w:rPr>
            <w:rStyle w:val="Hiperpovezava"/>
            <w:lang w:val="sl-SI"/>
          </w:rPr>
          <w:t>C/2024/1623</w:t>
        </w:r>
      </w:hyperlink>
      <w:r w:rsidRPr="00E522C2">
        <w:rPr>
          <w:lang w:val="sl-SI"/>
        </w:rPr>
        <w:t>,</w:t>
      </w:r>
      <w:r>
        <w:rPr>
          <w:lang w:val="sl-SI"/>
        </w:rPr>
        <w:t xml:space="preserve"> objavljeno novo obvestilo </w:t>
      </w:r>
      <w:r w:rsidRPr="009870F8">
        <w:rPr>
          <w:lang w:val="sl-SI"/>
        </w:rPr>
        <w:t>Komisije v zvezi z uporabo Regionalne konvencije o pan-evro-mediteranskih preferencialnih pravilih o poreklu ali protokolov o pravilih o poreklu</w:t>
      </w:r>
      <w:r>
        <w:rPr>
          <w:lang w:val="sl-SI"/>
        </w:rPr>
        <w:t xml:space="preserve"> </w:t>
      </w:r>
      <w:r w:rsidRPr="00366A32">
        <w:rPr>
          <w:lang w:val="sl-SI"/>
        </w:rPr>
        <w:t>(v nadaljnjem besedilu: konvencija</w:t>
      </w:r>
      <w:r>
        <w:rPr>
          <w:rStyle w:val="Sprotnaopomba-sklic"/>
          <w:lang w:val="sl-SI"/>
        </w:rPr>
        <w:footnoteReference w:id="1"/>
      </w:r>
      <w:r w:rsidRPr="00366A32">
        <w:rPr>
          <w:lang w:val="sl-SI"/>
        </w:rPr>
        <w:t xml:space="preserve">), </w:t>
      </w:r>
      <w:r w:rsidRPr="009870F8">
        <w:rPr>
          <w:lang w:val="sl-SI"/>
        </w:rPr>
        <w:t xml:space="preserve">ki določajo diagonalno kumulacijo med pogodbenicami k tej konvenciji. To obvestilo Komisije nadomešča obvestilo </w:t>
      </w:r>
      <w:r w:rsidRPr="00366A32">
        <w:rPr>
          <w:lang w:val="sl-SI"/>
        </w:rPr>
        <w:t>2021/C 418/12</w:t>
      </w:r>
      <w:r w:rsidRPr="009870F8">
        <w:rPr>
          <w:lang w:val="sl-SI"/>
        </w:rPr>
        <w:t xml:space="preserve">, ki je bilo dne </w:t>
      </w:r>
      <w:r w:rsidRPr="00366A32">
        <w:rPr>
          <w:lang w:val="sl-SI"/>
        </w:rPr>
        <w:t xml:space="preserve">15. 10. 2021 objavljeno v </w:t>
      </w:r>
      <w:hyperlink r:id="rId9" w:history="1">
        <w:r w:rsidRPr="00366A32">
          <w:rPr>
            <w:rStyle w:val="Hiperpovezava"/>
            <w:lang w:val="sl-SI"/>
          </w:rPr>
          <w:t>Uradnem listu EU C 418</w:t>
        </w:r>
      </w:hyperlink>
      <w:r>
        <w:rPr>
          <w:lang w:val="sl-SI"/>
        </w:rPr>
        <w:t>.</w:t>
      </w:r>
    </w:p>
    <w:p w14:paraId="6B74186A" w14:textId="77777777" w:rsidR="004A65D2" w:rsidRDefault="004A65D2" w:rsidP="004A65D2">
      <w:pPr>
        <w:jc w:val="both"/>
        <w:rPr>
          <w:lang w:val="sl-SI"/>
        </w:rPr>
      </w:pPr>
    </w:p>
    <w:p w14:paraId="5FD99504" w14:textId="77777777" w:rsidR="004A65D2" w:rsidRPr="009870F8" w:rsidRDefault="00000000" w:rsidP="004A65D2">
      <w:pPr>
        <w:jc w:val="both"/>
        <w:rPr>
          <w:lang w:val="sl-SI"/>
        </w:rPr>
      </w:pPr>
      <w:r w:rsidRPr="009870F8">
        <w:rPr>
          <w:lang w:val="sl-SI"/>
        </w:rPr>
        <w:t xml:space="preserve">Obvestilo Komisije vsebuje 3 razpredelnice, in sicer: razpredelnico 1 (Poenostavljen pregled možnosti diagonalne kumulacije v pan-evro-mediteranskem območju na dan </w:t>
      </w:r>
      <w:r w:rsidRPr="00366A32">
        <w:rPr>
          <w:lang w:val="sl-SI"/>
        </w:rPr>
        <w:t>6. julija 2023</w:t>
      </w:r>
      <w:r w:rsidRPr="009870F8">
        <w:rPr>
          <w:lang w:val="sl-SI"/>
        </w:rPr>
        <w:t xml:space="preserve">), razpredelnico 2 (Začetek uporabe pravil o poreklu, ki določajo diagonalno kumulacijo v pan-evro-mediteranskem območju) ter razpredelnico 3 (Začetek uporabe protokolov o pravilih o poreklu, ki določajo diagonalno kumulacijo med EU, Albanijo, Bosno in Hercegovino, Črno goro, Kosovom, Severno Makedonijo, Srbijo ter Turčijo). Razpredelnici 1 in 2 vključujeta EU, države EFTE, Ferske otoke, države, vključene v barcelonski proces, Turčijo, države zahodnega Balkana in države vzhodnega partnerstva (Moldavijo, Gruzijo in Ukrajino), razpredelnica 3 pa države, ki pripadajo sistemu SAP kumulacije. </w:t>
      </w:r>
    </w:p>
    <w:p w14:paraId="393693B2" w14:textId="77777777" w:rsidR="004A65D2" w:rsidRPr="009870F8" w:rsidRDefault="004A65D2" w:rsidP="004A65D2">
      <w:pPr>
        <w:jc w:val="both"/>
        <w:rPr>
          <w:lang w:val="sl-SI"/>
        </w:rPr>
      </w:pPr>
    </w:p>
    <w:p w14:paraId="7DCCD3F3" w14:textId="77777777" w:rsidR="004A65D2" w:rsidRPr="009870F8" w:rsidRDefault="00000000" w:rsidP="004A65D2">
      <w:pPr>
        <w:jc w:val="both"/>
        <w:rPr>
          <w:lang w:val="sl-SI"/>
        </w:rPr>
      </w:pPr>
      <w:r w:rsidRPr="009870F8">
        <w:rPr>
          <w:lang w:val="sl-SI"/>
        </w:rPr>
        <w:t>Še vedno velja, da nam razpredelnica 1 da zgolj informacijo, ali se kumulacija lahko uporabi – če je možna kumulacija, se v razpredelnici nahaja »X«, če se kumulacija ne more uporabiti, je polje prazno. Pri diagonalni kumulaciji, v kateri sodelujejo tri partnerice (A, B in C), je diagonalna kumulacija možna le, če se v poljih, ki se nanašajo na A-B, B-C in A-C, nahaja »X«. Vendar pa obstaja nekaj izjem pri diagonalni kumulaciji. Zaradi izjem pri diagonalni kumulaciji s Turčijo, ki jih je treba upoštevati, se v razpredelnici 1 poleg oznak »X« nahajata še opombi (¹) in (²) ali oznake (*), in sicer: med EU in Turčijo je poleg oznake »X« navedena še opomba (</w:t>
      </w:r>
      <w:r w:rsidRPr="009870F8">
        <w:rPr>
          <w:rFonts w:cs="Arial"/>
          <w:lang w:val="sl-SI"/>
        </w:rPr>
        <w:t>¹</w:t>
      </w:r>
      <w:r w:rsidRPr="009870F8">
        <w:rPr>
          <w:lang w:val="sl-SI"/>
        </w:rPr>
        <w:t>), besedilo te opombe pa je enako opombi (</w:t>
      </w:r>
      <w:r w:rsidRPr="009870F8">
        <w:rPr>
          <w:rFonts w:cs="Arial"/>
          <w:lang w:val="sl-SI"/>
        </w:rPr>
        <w:t>¹</w:t>
      </w:r>
      <w:r w:rsidRPr="009870F8">
        <w:rPr>
          <w:lang w:val="sl-SI"/>
        </w:rPr>
        <w:t>) iz razpredelnice 2, s to razliko, da je pri besedilu opombe (</w:t>
      </w:r>
      <w:r w:rsidRPr="009870F8">
        <w:rPr>
          <w:rFonts w:cs="Arial"/>
          <w:lang w:val="sl-SI"/>
        </w:rPr>
        <w:t>¹</w:t>
      </w:r>
      <w:r w:rsidRPr="009870F8">
        <w:rPr>
          <w:lang w:val="sl-SI"/>
        </w:rPr>
        <w:t xml:space="preserve">), ki velja za razpredelnico 1, dodano, da se kumulacija ne uporablja z Moldavijo in Gruzijo; v primeru držav zahodnega Balkana in Turčije se v razpredelnici 1 poleg oznak »X« nahajajo še oznake (*) oziroma samo oznaka (*) brez oznake »X«; med Turčijo in Gruzijo pa se v razpredelnici 1 poleg oznake »X« nahaja še opomba (²).  </w:t>
      </w:r>
    </w:p>
    <w:p w14:paraId="35EC0BA3" w14:textId="77777777" w:rsidR="004A65D2" w:rsidRPr="009870F8" w:rsidRDefault="004A65D2" w:rsidP="004A65D2">
      <w:pPr>
        <w:jc w:val="both"/>
        <w:rPr>
          <w:lang w:val="sl-SI"/>
        </w:rPr>
      </w:pPr>
    </w:p>
    <w:p w14:paraId="3B873785" w14:textId="77777777" w:rsidR="004A65D2" w:rsidRPr="009870F8" w:rsidRDefault="00000000" w:rsidP="004A65D2">
      <w:pPr>
        <w:jc w:val="both"/>
        <w:rPr>
          <w:lang w:val="sl-SI"/>
        </w:rPr>
      </w:pPr>
      <w:r w:rsidRPr="009870F8">
        <w:rPr>
          <w:lang w:val="sl-SI"/>
        </w:rPr>
        <w:t>Med EU in Turčijo se v razpredelnici 1 nahaja poleg oznake »X še opomba (</w:t>
      </w:r>
      <w:r w:rsidRPr="009870F8">
        <w:rPr>
          <w:rFonts w:cs="Arial"/>
          <w:lang w:val="sl-SI"/>
        </w:rPr>
        <w:t>¹</w:t>
      </w:r>
      <w:r w:rsidRPr="009870F8">
        <w:rPr>
          <w:lang w:val="sl-SI"/>
        </w:rPr>
        <w:t xml:space="preserve">). To pomeni, da je v okviru starega sistema PEM kumulacije možna kumulacija z vsemi izdelki s poreklom iz Turčije in ne samo z izdelki, ki so predmet carinske unije EU-Turčija. V vseh ostalih primerih se uporablja kumulacija le za izdelke, ki so predmet carinske unije EU-Turčija. Diagonalna kumulacija med EU, Turčijo in Moldavijo je enako kot v primeru diagonalne kumulacije med EU, TR in državami zahodnega Balkana </w:t>
      </w:r>
      <w:r w:rsidRPr="009870F8">
        <w:rPr>
          <w:lang w:val="sl-SI"/>
        </w:rPr>
        <w:lastRenderedPageBreak/>
        <w:t xml:space="preserve">omejena na izdelke, ki so predmet carinske unije EU-Turčija. </w:t>
      </w:r>
      <w:r w:rsidRPr="009870F8">
        <w:rPr>
          <w:u w:val="single"/>
          <w:lang w:val="sl-SI"/>
        </w:rPr>
        <w:t>Primeri</w:t>
      </w:r>
      <w:r w:rsidRPr="009870F8">
        <w:rPr>
          <w:lang w:val="sl-SI"/>
        </w:rPr>
        <w:t xml:space="preserve">: diagonalna kumulacija med TR-EU-MD je možna samo z izdelki, ki so predmet carinske unije EU-Turčija. Možna pa je diagonalna kumulacija z vsemi izdelki med TR-EU-CH. </w:t>
      </w:r>
    </w:p>
    <w:p w14:paraId="4D69B1D9" w14:textId="77777777" w:rsidR="004A65D2" w:rsidRPr="009870F8" w:rsidRDefault="004A65D2" w:rsidP="004A65D2">
      <w:pPr>
        <w:jc w:val="both"/>
        <w:rPr>
          <w:lang w:val="sl-SI"/>
        </w:rPr>
      </w:pPr>
    </w:p>
    <w:p w14:paraId="6AD8A513" w14:textId="77777777" w:rsidR="004A65D2" w:rsidRPr="009870F8" w:rsidRDefault="00000000" w:rsidP="004A65D2">
      <w:pPr>
        <w:jc w:val="both"/>
        <w:rPr>
          <w:lang w:val="sl-SI"/>
        </w:rPr>
      </w:pPr>
      <w:r w:rsidRPr="009870F8">
        <w:rPr>
          <w:lang w:val="sl-SI"/>
        </w:rPr>
        <w:t>V poljih razpredelnice 1 se med Turčijo in Kosovom nahaja samo (*), ki uporabnika napoti na razpredelnico 3, v kateri se nahajajo države, ki pripadajo sistemu SAP kumulacije, kar v praksi pomeni, da je možna diagonalna kumulacija samo z izdelki, ki jih zajema carinska unija EU-Turčija.</w:t>
      </w:r>
    </w:p>
    <w:p w14:paraId="1441C28A" w14:textId="77777777" w:rsidR="004A65D2" w:rsidRPr="009870F8" w:rsidRDefault="004A65D2" w:rsidP="004A65D2">
      <w:pPr>
        <w:jc w:val="both"/>
        <w:rPr>
          <w:lang w:val="sl-SI"/>
        </w:rPr>
      </w:pPr>
    </w:p>
    <w:p w14:paraId="39D0ECB1" w14:textId="77777777" w:rsidR="004A65D2" w:rsidRPr="009870F8" w:rsidRDefault="00000000" w:rsidP="004A65D2">
      <w:pPr>
        <w:jc w:val="both"/>
        <w:rPr>
          <w:lang w:val="sl-SI"/>
        </w:rPr>
      </w:pPr>
      <w:r w:rsidRPr="009870F8">
        <w:rPr>
          <w:lang w:val="sl-SI"/>
        </w:rPr>
        <w:t xml:space="preserve">Med Turčijo in državami zahodnega Balkana, z izjemo Kosova, se poleg oznak »X« v razpredelnici 1 nahajajo še oznake (*), kar pomeni, da so se v trgovini med Turčijo in državami zahodnega Balkana, z izjemo Kosova, že pričela uporabljati pravila iz konvencije, oznaka (*) pa se sklicuje na razpredelnico 3, kar pomeni, da je v primeru, ko so v diagonalno kumulacijo vključene Turčija, države zahodnega Balkana in/ali EU, možna kumulacija samo z izdelki, ki so predmet carinske unije EU-Turčija. </w:t>
      </w:r>
      <w:r w:rsidRPr="009870F8">
        <w:rPr>
          <w:u w:val="single"/>
          <w:lang w:val="sl-SI"/>
        </w:rPr>
        <w:t>Primeri</w:t>
      </w:r>
      <w:r w:rsidRPr="009870F8">
        <w:rPr>
          <w:lang w:val="sl-SI"/>
        </w:rPr>
        <w:t xml:space="preserve">: diagonalna kumulacija med TR-EU-AL, TR-EU-BA in med TR-EU-ME je možna samo z izdelki, ki so predmet carinske unije EU-Turčija. Možna pa je diagonalna kumulacija z vsemi turškimi izdelki med TR-AL-MD, TR-BA-MD ter med TR-ME-MD. Možna je tudi diagonalna kumulacija med EU-AL-MD, EU-BA-MD in med EU-ME-MD. </w:t>
      </w:r>
    </w:p>
    <w:p w14:paraId="1F1523DC" w14:textId="77777777" w:rsidR="004A65D2" w:rsidRDefault="004A65D2" w:rsidP="004A65D2">
      <w:pPr>
        <w:jc w:val="both"/>
        <w:rPr>
          <w:lang w:val="sl-SI"/>
        </w:rPr>
      </w:pPr>
    </w:p>
    <w:p w14:paraId="090D756F" w14:textId="77777777" w:rsidR="004A65D2" w:rsidRPr="00514441" w:rsidRDefault="00000000" w:rsidP="004A65D2">
      <w:pPr>
        <w:jc w:val="both"/>
        <w:rPr>
          <w:strike/>
          <w:lang w:val="sl-SI"/>
        </w:rPr>
      </w:pPr>
      <w:r w:rsidRPr="00366A32">
        <w:rPr>
          <w:lang w:val="sl-SI"/>
        </w:rPr>
        <w:t>Med Turčijo in Gruzijo se v razpredelnici 1 poleg oznake »X« nahaja še opomba (</w:t>
      </w:r>
      <w:r w:rsidRPr="00366A32">
        <w:rPr>
          <w:vertAlign w:val="superscript"/>
          <w:lang w:val="sl-SI"/>
        </w:rPr>
        <w:t>2</w:t>
      </w:r>
      <w:r w:rsidRPr="00366A32">
        <w:rPr>
          <w:lang w:val="sl-SI"/>
        </w:rPr>
        <w:t>). Navedena opomba se nanaša na izdelke iz poglavij 1 do 24 HS in izdelke iz Priloge 1 k Sporazumu o prosti trgovini med Republiko Turčijo in Gruzijo. Za izdelke iz poglavij 1 do 24 HS in</w:t>
      </w:r>
      <w:r w:rsidRPr="00366A32">
        <w:rPr>
          <w:color w:val="FF0000"/>
          <w:lang w:val="sl-SI"/>
        </w:rPr>
        <w:t xml:space="preserve"> </w:t>
      </w:r>
      <w:r w:rsidRPr="00366A32">
        <w:rPr>
          <w:lang w:val="sl-SI"/>
        </w:rPr>
        <w:t>izdelke</w:t>
      </w:r>
      <w:r w:rsidRPr="00366A32">
        <w:rPr>
          <w:color w:val="FF0000"/>
          <w:lang w:val="sl-SI"/>
        </w:rPr>
        <w:t xml:space="preserve"> </w:t>
      </w:r>
      <w:r w:rsidRPr="00366A32">
        <w:rPr>
          <w:lang w:val="sl-SI"/>
        </w:rPr>
        <w:t xml:space="preserve">iz Priloge 1 k Sporazumu o prosti trgovini med Republiko Turčijo in Gruzijo se lahko uporablja kumulacija porekla le, če so s poreklom iz Turčije ali Gruzije oziroma kumulacija med Turčijo in Gruzijo ni možna, če ti izdelki niso s poreklom iz Turčije ali Gruzije. </w:t>
      </w:r>
      <w:r w:rsidRPr="00E8177A">
        <w:rPr>
          <w:lang w:val="sl-SI"/>
        </w:rPr>
        <w:t>To konkretno pomeni, da v trgovini med Turčijo in Gruzijo ni možna diagonalna kumulacija za izdelke iz poglavij 1 do 24 HS in izdelke iz Priloge 1 k Sporazumu o prosti trgovini med Republiko Turčijo in Gruzijo, ampak je za te izdelke možna izključno bilateralna kumulacija.</w:t>
      </w:r>
      <w:r w:rsidRPr="00366A32">
        <w:rPr>
          <w:lang w:val="sl-SI"/>
        </w:rPr>
        <w:t xml:space="preserve"> </w:t>
      </w:r>
      <w:r w:rsidRPr="00514441">
        <w:rPr>
          <w:strike/>
          <w:lang w:val="sl-SI"/>
        </w:rPr>
        <w:t xml:space="preserve"> </w:t>
      </w:r>
    </w:p>
    <w:p w14:paraId="645ED3E0" w14:textId="77777777" w:rsidR="004A65D2" w:rsidRPr="009870F8" w:rsidRDefault="004A65D2" w:rsidP="004A65D2">
      <w:pPr>
        <w:jc w:val="both"/>
        <w:rPr>
          <w:lang w:val="sl-SI"/>
        </w:rPr>
      </w:pPr>
    </w:p>
    <w:p w14:paraId="24F32D31" w14:textId="77777777" w:rsidR="004A65D2" w:rsidRPr="009870F8" w:rsidRDefault="00000000" w:rsidP="004A65D2">
      <w:pPr>
        <w:jc w:val="both"/>
        <w:rPr>
          <w:lang w:val="sl-SI"/>
        </w:rPr>
      </w:pPr>
      <w:r w:rsidRPr="009870F8">
        <w:rPr>
          <w:lang w:val="sl-SI"/>
        </w:rPr>
        <w:t>V okviru sistema SAP kumulacije (razpredelnica 3 obvestila) je možna diagonalna kumulacija z izdelki, ki jih zajema carinska unije EU-Turčija, med vsemi državami, navedenimi v tej razpredelnici.</w:t>
      </w:r>
    </w:p>
    <w:p w14:paraId="20196B19" w14:textId="77777777" w:rsidR="004A65D2" w:rsidRPr="009870F8" w:rsidRDefault="004A65D2" w:rsidP="004A65D2">
      <w:pPr>
        <w:rPr>
          <w:lang w:val="sl-SI"/>
        </w:rPr>
      </w:pPr>
    </w:p>
    <w:p w14:paraId="0A2E5DB3" w14:textId="77777777" w:rsidR="004A65D2" w:rsidRPr="009870F8" w:rsidRDefault="00000000" w:rsidP="004A65D2">
      <w:pPr>
        <w:jc w:val="both"/>
        <w:rPr>
          <w:lang w:val="sl-SI"/>
        </w:rPr>
      </w:pPr>
      <w:r w:rsidRPr="00E8177A">
        <w:rPr>
          <w:lang w:val="sl-SI"/>
        </w:rPr>
        <w:t>Razlika med novim in predhodnim obvestilom Komisije je v razpredelnicah 1 in 2, ki se nanašata na diagonalno kumulacijo v pan-evro-mediteranskem območju.</w:t>
      </w:r>
      <w:r w:rsidRPr="00E8177A">
        <w:rPr>
          <w:color w:val="FF0000"/>
          <w:lang w:val="sl-SI"/>
        </w:rPr>
        <w:t xml:space="preserve"> </w:t>
      </w:r>
      <w:r w:rsidRPr="00E8177A">
        <w:rPr>
          <w:lang w:val="sl-SI"/>
        </w:rPr>
        <w:t>V razpredelnico 1 so med Ukrajino in Severno Makedonijo ter med Ukrajino in Republiko Moldavijo dodane oznake »X«; v razpredelnico 2 so med EU in Jordanijo, med Ukrajino in Severno Makedonijo ter med Ukrajino in Republiko Moldavijo dodani različni datumi, pred katerimi se nahaja »(C)«, kar pomeni, da se je med EU in Jordanijo, med Ukrajino in Severno Makedonijo ter med Ukrajino in Republiko Moldavijo začela uporabljati diagonalna kumulacija na podlagi člena 3 Dodatka 1 h konvenciji (kumulacija porekla). Iz razpredelnic 1 in 2 so razvidne naslednje novosti:</w:t>
      </w:r>
    </w:p>
    <w:p w14:paraId="2FCD57AC" w14:textId="77777777" w:rsidR="004A65D2" w:rsidRPr="009870F8" w:rsidRDefault="004A65D2" w:rsidP="004A65D2">
      <w:pPr>
        <w:rPr>
          <w:lang w:val="sl-SI"/>
        </w:rPr>
      </w:pPr>
    </w:p>
    <w:p w14:paraId="73A92B70" w14:textId="77777777" w:rsidR="004A65D2" w:rsidRPr="00E8177A" w:rsidRDefault="00000000" w:rsidP="004A65D2">
      <w:pPr>
        <w:pStyle w:val="Odstavekseznama"/>
        <w:numPr>
          <w:ilvl w:val="0"/>
          <w:numId w:val="6"/>
        </w:numPr>
        <w:jc w:val="both"/>
        <w:rPr>
          <w:lang w:val="sl-SI"/>
        </w:rPr>
      </w:pPr>
      <w:r w:rsidRPr="00E8177A">
        <w:rPr>
          <w:lang w:val="sl-SI"/>
        </w:rPr>
        <w:t>pravila iz konvencije so se 1. 9. 2021 pričela uporabljati v trgovini med EU in Jordanijo;</w:t>
      </w:r>
    </w:p>
    <w:p w14:paraId="3BF44C3E" w14:textId="77777777" w:rsidR="004A65D2" w:rsidRPr="00E8177A" w:rsidRDefault="00000000" w:rsidP="004A65D2">
      <w:pPr>
        <w:pStyle w:val="Odstavekseznama"/>
        <w:numPr>
          <w:ilvl w:val="0"/>
          <w:numId w:val="6"/>
        </w:numPr>
        <w:jc w:val="both"/>
        <w:rPr>
          <w:lang w:val="sl-SI"/>
        </w:rPr>
      </w:pPr>
      <w:r w:rsidRPr="00E8177A">
        <w:rPr>
          <w:lang w:val="sl-SI"/>
        </w:rPr>
        <w:t>pravila iz konvencije so se dne 6. 7. 2023 pričela uporabljati v trgovini med Ukrajino in Severno Makedonijo, dne 24. 5. 2023 pa med Ukrajino in Republiko Moldavijo. Ta novost pomeni, da je od 6.7.2023 dalje možna diagonalna kumulacija med EU, Severno Makedonijo in Ukrajino ter da je od 24.5.2023 dalje možna diagonalna kumulacija med EU, Republiko Moldavijo in Ukrajino.</w:t>
      </w:r>
    </w:p>
    <w:p w14:paraId="261DB75F" w14:textId="77777777" w:rsidR="004A65D2" w:rsidRPr="00AA42F0" w:rsidRDefault="004A65D2" w:rsidP="004A65D2">
      <w:pPr>
        <w:ind w:left="720"/>
        <w:jc w:val="both"/>
        <w:rPr>
          <w:lang w:val="sl-SI"/>
        </w:rPr>
      </w:pPr>
    </w:p>
    <w:p w14:paraId="5D1090FA" w14:textId="77777777" w:rsidR="004A65D2" w:rsidRPr="009870F8" w:rsidRDefault="00000000" w:rsidP="004A65D2">
      <w:pPr>
        <w:jc w:val="both"/>
        <w:rPr>
          <w:lang w:val="sl-SI"/>
        </w:rPr>
      </w:pPr>
      <w:r w:rsidRPr="009870F8">
        <w:rPr>
          <w:lang w:val="sl-SI"/>
        </w:rPr>
        <w:t>Treba je poudariti, da v okviru SAP + kumulacije, ki bi omogočila diagonalno kumulacijo med EU, državami SAP, državami EFTA in vsemi izdelki iz Turčije, diagonalna kumulacija še vedno ni mogoča z vsemi izdelki iz Turčije (kumulacija je možna samo z blagom, ki ga zajema carinska unija EU-Turčija na ravni EU-države SAP-Turčija) in Kosovom (ker Kosovo in države EFTE nimajo sklenjenega sporazuma).</w:t>
      </w:r>
    </w:p>
    <w:p w14:paraId="5F969C03" w14:textId="77777777" w:rsidR="004A65D2" w:rsidRPr="009870F8" w:rsidRDefault="004A65D2" w:rsidP="004A65D2">
      <w:pPr>
        <w:jc w:val="both"/>
        <w:rPr>
          <w:lang w:val="sl-SI"/>
        </w:rPr>
      </w:pPr>
    </w:p>
    <w:p w14:paraId="2FEC0D16" w14:textId="77777777" w:rsidR="004A65D2" w:rsidRPr="009870F8" w:rsidRDefault="00000000" w:rsidP="004A65D2">
      <w:pPr>
        <w:jc w:val="both"/>
        <w:rPr>
          <w:lang w:val="sl-SI"/>
        </w:rPr>
      </w:pPr>
      <w:r w:rsidRPr="009870F8">
        <w:rPr>
          <w:lang w:val="sl-SI"/>
        </w:rPr>
        <w:lastRenderedPageBreak/>
        <w:t>Za dokazovanje porekla blaga se v obstoječi SAP kumulaciji in novi SAP+ kumulaciji uporabljajo standardna dokazila o poreklu (potrdilo o gibanju blaga EUR.1, izjava o poreklu) na osnovi prehodnih določb sklepov o nadomestitvi sedanjih protokolov s pravili iz konvencije, ki določajo, da kadar kumulacija vključuje le države EFTE, Ferske otoke, EU, Turčijo in udeleženke v stabilizacijsko-pridružitvenem procesu, je lahko dokazilo o poreklu potrdilo o gibanju blaga EUR.1 ali izjava o poreklu.</w:t>
      </w:r>
    </w:p>
    <w:p w14:paraId="0DBED159" w14:textId="77777777" w:rsidR="004A65D2" w:rsidRPr="004A65D2" w:rsidRDefault="004A65D2" w:rsidP="004A65D2">
      <w:pPr>
        <w:jc w:val="both"/>
        <w:rPr>
          <w:lang w:val="sl-SI"/>
        </w:rPr>
      </w:pPr>
    </w:p>
    <w:sectPr w:rsidR="004A65D2" w:rsidRPr="004A65D2" w:rsidSect="00F0025B">
      <w:headerReference w:type="even" r:id="rId10"/>
      <w:headerReference w:type="default" r:id="rId11"/>
      <w:footerReference w:type="even" r:id="rId12"/>
      <w:footerReference w:type="default" r:id="rId13"/>
      <w:headerReference w:type="first" r:id="rId14"/>
      <w:footerReference w:type="first" r:id="rId15"/>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79EC5" w14:textId="77777777" w:rsidR="00023824" w:rsidRDefault="00023824">
      <w:pPr>
        <w:spacing w:line="240" w:lineRule="auto"/>
      </w:pPr>
      <w:r>
        <w:separator/>
      </w:r>
    </w:p>
  </w:endnote>
  <w:endnote w:type="continuationSeparator" w:id="0">
    <w:p w14:paraId="3D8DEE4C" w14:textId="77777777" w:rsidR="00023824" w:rsidRDefault="000238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36FC" w14:textId="77777777" w:rsidR="005254D1" w:rsidRDefault="005254D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6544" w14:textId="77777777" w:rsidR="000B0B21" w:rsidRDefault="00000000"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3828AD">
      <w:rPr>
        <w:rFonts w:cs="Arial"/>
        <w:noProof/>
        <w:sz w:val="16"/>
      </w:rPr>
      <w:t>1</w:t>
    </w:r>
    <w:r>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143F" w14:textId="77777777" w:rsidR="000B0B21" w:rsidRDefault="00000000"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B653A6">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B653A6">
      <w:rPr>
        <w:rFonts w:cs="Arial"/>
        <w:noProof/>
        <w:sz w:val="16"/>
      </w:rPr>
      <w:t>1</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3FDB6" w14:textId="77777777" w:rsidR="00023824" w:rsidRDefault="00023824">
      <w:pPr>
        <w:spacing w:line="240" w:lineRule="auto"/>
      </w:pPr>
      <w:r>
        <w:separator/>
      </w:r>
    </w:p>
  </w:footnote>
  <w:footnote w:type="continuationSeparator" w:id="0">
    <w:p w14:paraId="3BDED979" w14:textId="77777777" w:rsidR="00023824" w:rsidRDefault="00023824">
      <w:pPr>
        <w:spacing w:line="240" w:lineRule="auto"/>
      </w:pPr>
      <w:r>
        <w:continuationSeparator/>
      </w:r>
    </w:p>
  </w:footnote>
  <w:footnote w:id="1">
    <w:p w14:paraId="50215E8D" w14:textId="77777777" w:rsidR="004A65D2" w:rsidRPr="00366A32" w:rsidRDefault="00000000" w:rsidP="004A65D2">
      <w:pPr>
        <w:pStyle w:val="Sprotnaopomba-besedilo"/>
        <w:rPr>
          <w:lang w:val="sl-SI"/>
        </w:rPr>
      </w:pPr>
      <w:r>
        <w:rPr>
          <w:rStyle w:val="Sprotnaopomba-sklic"/>
        </w:rPr>
        <w:footnoteRef/>
      </w:r>
      <w:r>
        <w:t xml:space="preserve"> </w:t>
      </w:r>
      <w:hyperlink r:id="rId1" w:history="1">
        <w:r w:rsidRPr="00366A32">
          <w:rPr>
            <w:rStyle w:val="Hiperpovezava"/>
            <w:lang w:val="sl-SI"/>
          </w:rPr>
          <w:t>Uradni list EU L 54</w:t>
        </w:r>
      </w:hyperlink>
      <w:r>
        <w:rPr>
          <w:lang w:val="sl-SI"/>
        </w:rPr>
        <w:t>, z dne 26. 2. 2013, str.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5166" w14:textId="77777777" w:rsidR="005254D1" w:rsidRDefault="005254D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E503" w14:textId="77777777" w:rsidR="000B0B21" w:rsidRPr="00110CBD" w:rsidRDefault="000B0B2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61FC2" w14:paraId="2226CD88" w14:textId="77777777">
      <w:trPr>
        <w:cantSplit/>
        <w:trHeight w:hRule="exact" w:val="847"/>
      </w:trPr>
      <w:tc>
        <w:tcPr>
          <w:tcW w:w="567" w:type="dxa"/>
        </w:tcPr>
        <w:p w14:paraId="108F4141" w14:textId="77777777" w:rsidR="000B0B21" w:rsidRDefault="00000000"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62C71F2C" w14:textId="77777777" w:rsidR="000B0B21" w:rsidRPr="006D42D9" w:rsidRDefault="000B0B21" w:rsidP="006D42D9">
          <w:pPr>
            <w:rPr>
              <w:rFonts w:ascii="Republika" w:hAnsi="Republika"/>
              <w:sz w:val="60"/>
              <w:szCs w:val="60"/>
              <w:lang w:val="sl-SI"/>
            </w:rPr>
          </w:pPr>
        </w:p>
        <w:p w14:paraId="0C03BC8B" w14:textId="77777777" w:rsidR="000B0B21" w:rsidRPr="006D42D9" w:rsidRDefault="000B0B21" w:rsidP="006D42D9">
          <w:pPr>
            <w:rPr>
              <w:rFonts w:ascii="Republika" w:hAnsi="Republika"/>
              <w:sz w:val="60"/>
              <w:szCs w:val="60"/>
              <w:lang w:val="sl-SI"/>
            </w:rPr>
          </w:pPr>
        </w:p>
        <w:p w14:paraId="0664E702" w14:textId="77777777" w:rsidR="000B0B21" w:rsidRPr="006D42D9" w:rsidRDefault="000B0B21" w:rsidP="006D42D9">
          <w:pPr>
            <w:rPr>
              <w:rFonts w:ascii="Republika" w:hAnsi="Republika"/>
              <w:sz w:val="60"/>
              <w:szCs w:val="60"/>
              <w:lang w:val="sl-SI"/>
            </w:rPr>
          </w:pPr>
        </w:p>
        <w:p w14:paraId="67FEE847" w14:textId="77777777" w:rsidR="000B0B21" w:rsidRPr="006D42D9" w:rsidRDefault="000B0B21" w:rsidP="006D42D9">
          <w:pPr>
            <w:rPr>
              <w:rFonts w:ascii="Republika" w:hAnsi="Republika"/>
              <w:sz w:val="60"/>
              <w:szCs w:val="60"/>
              <w:lang w:val="sl-SI"/>
            </w:rPr>
          </w:pPr>
        </w:p>
        <w:p w14:paraId="3921E09B" w14:textId="77777777" w:rsidR="000B0B21" w:rsidRPr="006D42D9" w:rsidRDefault="000B0B21" w:rsidP="006D42D9">
          <w:pPr>
            <w:rPr>
              <w:rFonts w:ascii="Republika" w:hAnsi="Republika"/>
              <w:sz w:val="60"/>
              <w:szCs w:val="60"/>
              <w:lang w:val="sl-SI"/>
            </w:rPr>
          </w:pPr>
        </w:p>
        <w:p w14:paraId="63B27AF7" w14:textId="77777777" w:rsidR="000B0B21" w:rsidRPr="006D42D9" w:rsidRDefault="000B0B21" w:rsidP="006D42D9">
          <w:pPr>
            <w:rPr>
              <w:rFonts w:ascii="Republika" w:hAnsi="Republika"/>
              <w:sz w:val="60"/>
              <w:szCs w:val="60"/>
              <w:lang w:val="sl-SI"/>
            </w:rPr>
          </w:pPr>
        </w:p>
        <w:p w14:paraId="51243BB5" w14:textId="77777777" w:rsidR="000B0B21" w:rsidRPr="006D42D9" w:rsidRDefault="000B0B21" w:rsidP="006D42D9">
          <w:pPr>
            <w:rPr>
              <w:rFonts w:ascii="Republika" w:hAnsi="Republika"/>
              <w:sz w:val="60"/>
              <w:szCs w:val="60"/>
              <w:lang w:val="sl-SI"/>
            </w:rPr>
          </w:pPr>
        </w:p>
        <w:p w14:paraId="761370C2" w14:textId="77777777" w:rsidR="000B0B21" w:rsidRPr="006D42D9" w:rsidRDefault="000B0B21" w:rsidP="006D42D9">
          <w:pPr>
            <w:rPr>
              <w:rFonts w:ascii="Republika" w:hAnsi="Republika"/>
              <w:sz w:val="60"/>
              <w:szCs w:val="60"/>
              <w:lang w:val="sl-SI"/>
            </w:rPr>
          </w:pPr>
        </w:p>
        <w:p w14:paraId="62D9B2CB" w14:textId="77777777" w:rsidR="000B0B21" w:rsidRPr="006D42D9" w:rsidRDefault="000B0B21" w:rsidP="006D42D9">
          <w:pPr>
            <w:rPr>
              <w:rFonts w:ascii="Republika" w:hAnsi="Republika"/>
              <w:sz w:val="60"/>
              <w:szCs w:val="60"/>
              <w:lang w:val="sl-SI"/>
            </w:rPr>
          </w:pPr>
        </w:p>
        <w:p w14:paraId="54ACFA60" w14:textId="77777777" w:rsidR="000B0B21" w:rsidRPr="006D42D9" w:rsidRDefault="000B0B21" w:rsidP="006D42D9">
          <w:pPr>
            <w:rPr>
              <w:rFonts w:ascii="Republika" w:hAnsi="Republika"/>
              <w:sz w:val="60"/>
              <w:szCs w:val="60"/>
              <w:lang w:val="sl-SI"/>
            </w:rPr>
          </w:pPr>
        </w:p>
        <w:p w14:paraId="0B0E0C8B" w14:textId="77777777" w:rsidR="000B0B21" w:rsidRPr="006D42D9" w:rsidRDefault="000B0B21" w:rsidP="006D42D9">
          <w:pPr>
            <w:rPr>
              <w:rFonts w:ascii="Republika" w:hAnsi="Republika"/>
              <w:sz w:val="60"/>
              <w:szCs w:val="60"/>
              <w:lang w:val="sl-SI"/>
            </w:rPr>
          </w:pPr>
        </w:p>
        <w:p w14:paraId="3503F7E7" w14:textId="77777777" w:rsidR="000B0B21" w:rsidRPr="006D42D9" w:rsidRDefault="000B0B21" w:rsidP="006D42D9">
          <w:pPr>
            <w:rPr>
              <w:rFonts w:ascii="Republika" w:hAnsi="Republika"/>
              <w:sz w:val="60"/>
              <w:szCs w:val="60"/>
              <w:lang w:val="sl-SI"/>
            </w:rPr>
          </w:pPr>
        </w:p>
        <w:p w14:paraId="744A36BA" w14:textId="77777777" w:rsidR="000B0B21" w:rsidRPr="006D42D9" w:rsidRDefault="000B0B21" w:rsidP="006D42D9">
          <w:pPr>
            <w:rPr>
              <w:rFonts w:ascii="Republika" w:hAnsi="Republika"/>
              <w:sz w:val="60"/>
              <w:szCs w:val="60"/>
              <w:lang w:val="sl-SI"/>
            </w:rPr>
          </w:pPr>
        </w:p>
        <w:p w14:paraId="5E22674B" w14:textId="77777777" w:rsidR="000B0B21" w:rsidRPr="006D42D9" w:rsidRDefault="000B0B21" w:rsidP="006D42D9">
          <w:pPr>
            <w:rPr>
              <w:rFonts w:ascii="Republika" w:hAnsi="Republika"/>
              <w:sz w:val="60"/>
              <w:szCs w:val="60"/>
              <w:lang w:val="sl-SI"/>
            </w:rPr>
          </w:pPr>
        </w:p>
        <w:p w14:paraId="68E18D79" w14:textId="77777777" w:rsidR="000B0B21" w:rsidRPr="006D42D9" w:rsidRDefault="000B0B21" w:rsidP="006D42D9">
          <w:pPr>
            <w:rPr>
              <w:rFonts w:ascii="Republika" w:hAnsi="Republika"/>
              <w:sz w:val="60"/>
              <w:szCs w:val="60"/>
              <w:lang w:val="sl-SI"/>
            </w:rPr>
          </w:pPr>
        </w:p>
        <w:p w14:paraId="2FFD4402" w14:textId="77777777" w:rsidR="000B0B21" w:rsidRPr="006D42D9" w:rsidRDefault="000B0B21" w:rsidP="006D42D9">
          <w:pPr>
            <w:rPr>
              <w:rFonts w:ascii="Republika" w:hAnsi="Republika"/>
              <w:sz w:val="60"/>
              <w:szCs w:val="60"/>
              <w:lang w:val="sl-SI"/>
            </w:rPr>
          </w:pPr>
        </w:p>
      </w:tc>
    </w:tr>
  </w:tbl>
  <w:p w14:paraId="45A794DA" w14:textId="77777777" w:rsidR="000B0B21" w:rsidRPr="008F3500" w:rsidRDefault="00000000" w:rsidP="00924E3C">
    <w:pPr>
      <w:autoSpaceDE w:val="0"/>
      <w:autoSpaceDN w:val="0"/>
      <w:adjustRightInd w:val="0"/>
      <w:spacing w:line="240" w:lineRule="auto"/>
      <w:rPr>
        <w:rFonts w:ascii="Republika" w:hAnsi="Republika"/>
        <w:lang w:val="sl-SI"/>
      </w:rPr>
    </w:pPr>
    <w:r>
      <w:rPr>
        <w:noProof/>
        <w:szCs w:val="20"/>
        <w:lang w:val="sl-SI" w:eastAsia="ko-KR"/>
      </w:rPr>
      <mc:AlternateContent>
        <mc:Choice Requires="wps">
          <w:drawing>
            <wp:anchor distT="0" distB="0" distL="114300" distR="114300" simplePos="0" relativeHeight="251659264" behindDoc="1" locked="0" layoutInCell="0" allowOverlap="1" wp14:anchorId="008F64A0" wp14:editId="1813F16B">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14:paraId="49063CBF" w14:textId="77777777" w:rsidR="000B0B21" w:rsidRPr="00FD746A" w:rsidRDefault="00000000" w:rsidP="00924E3C">
    <w:pPr>
      <w:pStyle w:val="Glava"/>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14:paraId="0F554527" w14:textId="77777777" w:rsidR="00ED7E82" w:rsidRDefault="00000000"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A12D5C">
      <w:rPr>
        <w:rFonts w:ascii="Republika" w:hAnsi="Republika"/>
        <w:caps/>
        <w:lang w:val="sl-SI"/>
      </w:rPr>
      <w:t xml:space="preserve"> uprava Republike Slovenije</w:t>
    </w:r>
  </w:p>
  <w:p w14:paraId="554AB3DF" w14:textId="77777777" w:rsidR="005254D1" w:rsidRPr="00A12D5C" w:rsidRDefault="00000000" w:rsidP="005254D1">
    <w:pPr>
      <w:pStyle w:val="Glava"/>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14:paraId="2DE34F86" w14:textId="77777777" w:rsidR="005254D1" w:rsidRPr="008F3500" w:rsidRDefault="00000000" w:rsidP="005254D1">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046E9589" w14:textId="77777777" w:rsidR="005254D1" w:rsidRPr="008F3500" w:rsidRDefault="00000000"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216B51AF" w14:textId="77777777" w:rsidR="005254D1" w:rsidRPr="008F3500" w:rsidRDefault="00000000" w:rsidP="005254D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2D2960CC" w14:textId="77777777" w:rsidR="000B0B21" w:rsidRPr="008F3500" w:rsidRDefault="000B0B2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F468F5C4">
      <w:start w:val="1"/>
      <w:numFmt w:val="decimal"/>
      <w:lvlText w:val="%1."/>
      <w:lvlJc w:val="left"/>
      <w:pPr>
        <w:tabs>
          <w:tab w:val="num" w:pos="1080"/>
        </w:tabs>
        <w:ind w:left="1080" w:hanging="360"/>
      </w:pPr>
      <w:rPr>
        <w:rFonts w:hint="default"/>
      </w:rPr>
    </w:lvl>
    <w:lvl w:ilvl="1" w:tplc="09E03CEE" w:tentative="1">
      <w:start w:val="1"/>
      <w:numFmt w:val="lowerLetter"/>
      <w:lvlText w:val="%2."/>
      <w:lvlJc w:val="left"/>
      <w:pPr>
        <w:ind w:left="1800" w:hanging="360"/>
      </w:pPr>
    </w:lvl>
    <w:lvl w:ilvl="2" w:tplc="C9486C58" w:tentative="1">
      <w:start w:val="1"/>
      <w:numFmt w:val="lowerRoman"/>
      <w:lvlText w:val="%3."/>
      <w:lvlJc w:val="right"/>
      <w:pPr>
        <w:ind w:left="2520" w:hanging="180"/>
      </w:pPr>
    </w:lvl>
    <w:lvl w:ilvl="3" w:tplc="FB0E0C54" w:tentative="1">
      <w:start w:val="1"/>
      <w:numFmt w:val="decimal"/>
      <w:lvlText w:val="%4."/>
      <w:lvlJc w:val="left"/>
      <w:pPr>
        <w:ind w:left="3240" w:hanging="360"/>
      </w:pPr>
    </w:lvl>
    <w:lvl w:ilvl="4" w:tplc="5E987AC8" w:tentative="1">
      <w:start w:val="1"/>
      <w:numFmt w:val="lowerLetter"/>
      <w:lvlText w:val="%5."/>
      <w:lvlJc w:val="left"/>
      <w:pPr>
        <w:ind w:left="3960" w:hanging="360"/>
      </w:pPr>
    </w:lvl>
    <w:lvl w:ilvl="5" w:tplc="B9CEB82A" w:tentative="1">
      <w:start w:val="1"/>
      <w:numFmt w:val="lowerRoman"/>
      <w:lvlText w:val="%6."/>
      <w:lvlJc w:val="right"/>
      <w:pPr>
        <w:ind w:left="4680" w:hanging="180"/>
      </w:pPr>
    </w:lvl>
    <w:lvl w:ilvl="6" w:tplc="D91EDA3C" w:tentative="1">
      <w:start w:val="1"/>
      <w:numFmt w:val="decimal"/>
      <w:lvlText w:val="%7."/>
      <w:lvlJc w:val="left"/>
      <w:pPr>
        <w:ind w:left="5400" w:hanging="360"/>
      </w:pPr>
    </w:lvl>
    <w:lvl w:ilvl="7" w:tplc="BAC80282" w:tentative="1">
      <w:start w:val="1"/>
      <w:numFmt w:val="lowerLetter"/>
      <w:lvlText w:val="%8."/>
      <w:lvlJc w:val="left"/>
      <w:pPr>
        <w:ind w:left="6120" w:hanging="360"/>
      </w:pPr>
    </w:lvl>
    <w:lvl w:ilvl="8" w:tplc="7A488F9E"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688E6C2">
      <w:start w:val="1"/>
      <w:numFmt w:val="decimal"/>
      <w:lvlText w:val="%1."/>
      <w:lvlJc w:val="left"/>
      <w:pPr>
        <w:tabs>
          <w:tab w:val="num" w:pos="360"/>
        </w:tabs>
        <w:ind w:left="360" w:hanging="360"/>
      </w:pPr>
      <w:rPr>
        <w:rFonts w:hint="default"/>
      </w:rPr>
    </w:lvl>
    <w:lvl w:ilvl="1" w:tplc="56AEC262" w:tentative="1">
      <w:start w:val="1"/>
      <w:numFmt w:val="lowerLetter"/>
      <w:lvlText w:val="%2."/>
      <w:lvlJc w:val="left"/>
      <w:pPr>
        <w:ind w:left="1080" w:hanging="360"/>
      </w:pPr>
    </w:lvl>
    <w:lvl w:ilvl="2" w:tplc="BDF4E232" w:tentative="1">
      <w:start w:val="1"/>
      <w:numFmt w:val="lowerRoman"/>
      <w:lvlText w:val="%3."/>
      <w:lvlJc w:val="right"/>
      <w:pPr>
        <w:ind w:left="1800" w:hanging="180"/>
      </w:pPr>
    </w:lvl>
    <w:lvl w:ilvl="3" w:tplc="41C48D12" w:tentative="1">
      <w:start w:val="1"/>
      <w:numFmt w:val="decimal"/>
      <w:lvlText w:val="%4."/>
      <w:lvlJc w:val="left"/>
      <w:pPr>
        <w:ind w:left="2520" w:hanging="360"/>
      </w:pPr>
    </w:lvl>
    <w:lvl w:ilvl="4" w:tplc="74A2D174" w:tentative="1">
      <w:start w:val="1"/>
      <w:numFmt w:val="lowerLetter"/>
      <w:lvlText w:val="%5."/>
      <w:lvlJc w:val="left"/>
      <w:pPr>
        <w:ind w:left="3240" w:hanging="360"/>
      </w:pPr>
    </w:lvl>
    <w:lvl w:ilvl="5" w:tplc="F086EB96" w:tentative="1">
      <w:start w:val="1"/>
      <w:numFmt w:val="lowerRoman"/>
      <w:lvlText w:val="%6."/>
      <w:lvlJc w:val="right"/>
      <w:pPr>
        <w:ind w:left="3960" w:hanging="180"/>
      </w:pPr>
    </w:lvl>
    <w:lvl w:ilvl="6" w:tplc="88FE0D2E" w:tentative="1">
      <w:start w:val="1"/>
      <w:numFmt w:val="decimal"/>
      <w:lvlText w:val="%7."/>
      <w:lvlJc w:val="left"/>
      <w:pPr>
        <w:ind w:left="4680" w:hanging="360"/>
      </w:pPr>
    </w:lvl>
    <w:lvl w:ilvl="7" w:tplc="0C86C43A" w:tentative="1">
      <w:start w:val="1"/>
      <w:numFmt w:val="lowerLetter"/>
      <w:lvlText w:val="%8."/>
      <w:lvlJc w:val="left"/>
      <w:pPr>
        <w:ind w:left="5400" w:hanging="360"/>
      </w:pPr>
    </w:lvl>
    <w:lvl w:ilvl="8" w:tplc="94064936" w:tentative="1">
      <w:start w:val="1"/>
      <w:numFmt w:val="lowerRoman"/>
      <w:lvlText w:val="%9."/>
      <w:lvlJc w:val="right"/>
      <w:pPr>
        <w:ind w:left="6120" w:hanging="180"/>
      </w:pPr>
    </w:lvl>
  </w:abstractNum>
  <w:abstractNum w:abstractNumId="2" w15:restartNumberingAfterBreak="0">
    <w:nsid w:val="225D0C11"/>
    <w:multiLevelType w:val="hybridMultilevel"/>
    <w:tmpl w:val="D586142E"/>
    <w:lvl w:ilvl="0" w:tplc="7B76C5F4">
      <w:numFmt w:val="bullet"/>
      <w:lvlText w:val="-"/>
      <w:lvlJc w:val="left"/>
      <w:pPr>
        <w:ind w:left="1080" w:hanging="360"/>
      </w:pPr>
      <w:rPr>
        <w:rFonts w:ascii="Arial" w:eastAsia="Times New Roman" w:hAnsi="Arial" w:cs="Arial" w:hint="default"/>
      </w:rPr>
    </w:lvl>
    <w:lvl w:ilvl="1" w:tplc="C5F2551A" w:tentative="1">
      <w:start w:val="1"/>
      <w:numFmt w:val="bullet"/>
      <w:lvlText w:val="o"/>
      <w:lvlJc w:val="left"/>
      <w:pPr>
        <w:ind w:left="1800" w:hanging="360"/>
      </w:pPr>
      <w:rPr>
        <w:rFonts w:ascii="Courier New" w:hAnsi="Courier New" w:cs="Courier New" w:hint="default"/>
      </w:rPr>
    </w:lvl>
    <w:lvl w:ilvl="2" w:tplc="1DA23FDE" w:tentative="1">
      <w:start w:val="1"/>
      <w:numFmt w:val="bullet"/>
      <w:lvlText w:val=""/>
      <w:lvlJc w:val="left"/>
      <w:pPr>
        <w:ind w:left="2520" w:hanging="360"/>
      </w:pPr>
      <w:rPr>
        <w:rFonts w:ascii="Wingdings" w:hAnsi="Wingdings" w:hint="default"/>
      </w:rPr>
    </w:lvl>
    <w:lvl w:ilvl="3" w:tplc="9E8E5E90" w:tentative="1">
      <w:start w:val="1"/>
      <w:numFmt w:val="bullet"/>
      <w:lvlText w:val=""/>
      <w:lvlJc w:val="left"/>
      <w:pPr>
        <w:ind w:left="3240" w:hanging="360"/>
      </w:pPr>
      <w:rPr>
        <w:rFonts w:ascii="Symbol" w:hAnsi="Symbol" w:hint="default"/>
      </w:rPr>
    </w:lvl>
    <w:lvl w:ilvl="4" w:tplc="1DE05AE6" w:tentative="1">
      <w:start w:val="1"/>
      <w:numFmt w:val="bullet"/>
      <w:lvlText w:val="o"/>
      <w:lvlJc w:val="left"/>
      <w:pPr>
        <w:ind w:left="3960" w:hanging="360"/>
      </w:pPr>
      <w:rPr>
        <w:rFonts w:ascii="Courier New" w:hAnsi="Courier New" w:cs="Courier New" w:hint="default"/>
      </w:rPr>
    </w:lvl>
    <w:lvl w:ilvl="5" w:tplc="81261BB8" w:tentative="1">
      <w:start w:val="1"/>
      <w:numFmt w:val="bullet"/>
      <w:lvlText w:val=""/>
      <w:lvlJc w:val="left"/>
      <w:pPr>
        <w:ind w:left="4680" w:hanging="360"/>
      </w:pPr>
      <w:rPr>
        <w:rFonts w:ascii="Wingdings" w:hAnsi="Wingdings" w:hint="default"/>
      </w:rPr>
    </w:lvl>
    <w:lvl w:ilvl="6" w:tplc="CD1A13AC" w:tentative="1">
      <w:start w:val="1"/>
      <w:numFmt w:val="bullet"/>
      <w:lvlText w:val=""/>
      <w:lvlJc w:val="left"/>
      <w:pPr>
        <w:ind w:left="5400" w:hanging="360"/>
      </w:pPr>
      <w:rPr>
        <w:rFonts w:ascii="Symbol" w:hAnsi="Symbol" w:hint="default"/>
      </w:rPr>
    </w:lvl>
    <w:lvl w:ilvl="7" w:tplc="F36281FC" w:tentative="1">
      <w:start w:val="1"/>
      <w:numFmt w:val="bullet"/>
      <w:lvlText w:val="o"/>
      <w:lvlJc w:val="left"/>
      <w:pPr>
        <w:ind w:left="6120" w:hanging="360"/>
      </w:pPr>
      <w:rPr>
        <w:rFonts w:ascii="Courier New" w:hAnsi="Courier New" w:cs="Courier New" w:hint="default"/>
      </w:rPr>
    </w:lvl>
    <w:lvl w:ilvl="8" w:tplc="05340018" w:tentative="1">
      <w:start w:val="1"/>
      <w:numFmt w:val="bullet"/>
      <w:lvlText w:val=""/>
      <w:lvlJc w:val="left"/>
      <w:pPr>
        <w:ind w:left="6840" w:hanging="360"/>
      </w:pPr>
      <w:rPr>
        <w:rFonts w:ascii="Wingdings" w:hAnsi="Wingdings" w:hint="default"/>
      </w:rPr>
    </w:lvl>
  </w:abstractNum>
  <w:abstractNum w:abstractNumId="3" w15:restartNumberingAfterBreak="0">
    <w:nsid w:val="2D072372"/>
    <w:multiLevelType w:val="hybridMultilevel"/>
    <w:tmpl w:val="94FE8146"/>
    <w:lvl w:ilvl="0" w:tplc="2AAEE1CA">
      <w:start w:val="1"/>
      <w:numFmt w:val="decimal"/>
      <w:lvlText w:val="%1."/>
      <w:lvlJc w:val="left"/>
      <w:pPr>
        <w:tabs>
          <w:tab w:val="num" w:pos="720"/>
        </w:tabs>
        <w:ind w:left="720" w:hanging="360"/>
      </w:pPr>
      <w:rPr>
        <w:rFonts w:hint="default"/>
      </w:rPr>
    </w:lvl>
    <w:lvl w:ilvl="1" w:tplc="858A624A" w:tentative="1">
      <w:start w:val="1"/>
      <w:numFmt w:val="lowerLetter"/>
      <w:lvlText w:val="%2."/>
      <w:lvlJc w:val="left"/>
      <w:pPr>
        <w:tabs>
          <w:tab w:val="num" w:pos="1440"/>
        </w:tabs>
        <w:ind w:left="1440" w:hanging="360"/>
      </w:pPr>
    </w:lvl>
    <w:lvl w:ilvl="2" w:tplc="0C00B5C8" w:tentative="1">
      <w:start w:val="1"/>
      <w:numFmt w:val="lowerRoman"/>
      <w:lvlText w:val="%3."/>
      <w:lvlJc w:val="right"/>
      <w:pPr>
        <w:tabs>
          <w:tab w:val="num" w:pos="2160"/>
        </w:tabs>
        <w:ind w:left="2160" w:hanging="180"/>
      </w:pPr>
    </w:lvl>
    <w:lvl w:ilvl="3" w:tplc="4976C7E2" w:tentative="1">
      <w:start w:val="1"/>
      <w:numFmt w:val="decimal"/>
      <w:lvlText w:val="%4."/>
      <w:lvlJc w:val="left"/>
      <w:pPr>
        <w:tabs>
          <w:tab w:val="num" w:pos="2880"/>
        </w:tabs>
        <w:ind w:left="2880" w:hanging="360"/>
      </w:pPr>
    </w:lvl>
    <w:lvl w:ilvl="4" w:tplc="D20A402A" w:tentative="1">
      <w:start w:val="1"/>
      <w:numFmt w:val="lowerLetter"/>
      <w:lvlText w:val="%5."/>
      <w:lvlJc w:val="left"/>
      <w:pPr>
        <w:tabs>
          <w:tab w:val="num" w:pos="3600"/>
        </w:tabs>
        <w:ind w:left="3600" w:hanging="360"/>
      </w:pPr>
    </w:lvl>
    <w:lvl w:ilvl="5" w:tplc="DEC25B5E" w:tentative="1">
      <w:start w:val="1"/>
      <w:numFmt w:val="lowerRoman"/>
      <w:lvlText w:val="%6."/>
      <w:lvlJc w:val="right"/>
      <w:pPr>
        <w:tabs>
          <w:tab w:val="num" w:pos="4320"/>
        </w:tabs>
        <w:ind w:left="4320" w:hanging="180"/>
      </w:pPr>
    </w:lvl>
    <w:lvl w:ilvl="6" w:tplc="8AD447EE" w:tentative="1">
      <w:start w:val="1"/>
      <w:numFmt w:val="decimal"/>
      <w:lvlText w:val="%7."/>
      <w:lvlJc w:val="left"/>
      <w:pPr>
        <w:tabs>
          <w:tab w:val="num" w:pos="5040"/>
        </w:tabs>
        <w:ind w:left="5040" w:hanging="360"/>
      </w:pPr>
    </w:lvl>
    <w:lvl w:ilvl="7" w:tplc="C5829E5E" w:tentative="1">
      <w:start w:val="1"/>
      <w:numFmt w:val="lowerLetter"/>
      <w:lvlText w:val="%8."/>
      <w:lvlJc w:val="left"/>
      <w:pPr>
        <w:tabs>
          <w:tab w:val="num" w:pos="5760"/>
        </w:tabs>
        <w:ind w:left="5760" w:hanging="360"/>
      </w:pPr>
    </w:lvl>
    <w:lvl w:ilvl="8" w:tplc="130E781C"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3AA4C44"/>
    <w:multiLevelType w:val="hybridMultilevel"/>
    <w:tmpl w:val="092E92F6"/>
    <w:lvl w:ilvl="0" w:tplc="0E703BC2">
      <w:start w:val="1"/>
      <w:numFmt w:val="decimal"/>
      <w:lvlText w:val="%1."/>
      <w:lvlJc w:val="left"/>
      <w:pPr>
        <w:tabs>
          <w:tab w:val="num" w:pos="720"/>
        </w:tabs>
        <w:ind w:left="720" w:hanging="360"/>
      </w:pPr>
    </w:lvl>
    <w:lvl w:ilvl="1" w:tplc="FD1E1D42" w:tentative="1">
      <w:start w:val="1"/>
      <w:numFmt w:val="lowerLetter"/>
      <w:lvlText w:val="%2."/>
      <w:lvlJc w:val="left"/>
      <w:pPr>
        <w:tabs>
          <w:tab w:val="num" w:pos="1440"/>
        </w:tabs>
        <w:ind w:left="1440" w:hanging="360"/>
      </w:pPr>
    </w:lvl>
    <w:lvl w:ilvl="2" w:tplc="D6260D9C" w:tentative="1">
      <w:start w:val="1"/>
      <w:numFmt w:val="lowerRoman"/>
      <w:lvlText w:val="%3."/>
      <w:lvlJc w:val="right"/>
      <w:pPr>
        <w:tabs>
          <w:tab w:val="num" w:pos="2160"/>
        </w:tabs>
        <w:ind w:left="2160" w:hanging="180"/>
      </w:pPr>
    </w:lvl>
    <w:lvl w:ilvl="3" w:tplc="988A7B56" w:tentative="1">
      <w:start w:val="1"/>
      <w:numFmt w:val="decimal"/>
      <w:lvlText w:val="%4."/>
      <w:lvlJc w:val="left"/>
      <w:pPr>
        <w:tabs>
          <w:tab w:val="num" w:pos="2880"/>
        </w:tabs>
        <w:ind w:left="2880" w:hanging="360"/>
      </w:pPr>
    </w:lvl>
    <w:lvl w:ilvl="4" w:tplc="F2C404FC" w:tentative="1">
      <w:start w:val="1"/>
      <w:numFmt w:val="lowerLetter"/>
      <w:lvlText w:val="%5."/>
      <w:lvlJc w:val="left"/>
      <w:pPr>
        <w:tabs>
          <w:tab w:val="num" w:pos="3600"/>
        </w:tabs>
        <w:ind w:left="3600" w:hanging="360"/>
      </w:pPr>
    </w:lvl>
    <w:lvl w:ilvl="5" w:tplc="7D12A8B6" w:tentative="1">
      <w:start w:val="1"/>
      <w:numFmt w:val="lowerRoman"/>
      <w:lvlText w:val="%6."/>
      <w:lvlJc w:val="right"/>
      <w:pPr>
        <w:tabs>
          <w:tab w:val="num" w:pos="4320"/>
        </w:tabs>
        <w:ind w:left="4320" w:hanging="180"/>
      </w:pPr>
    </w:lvl>
    <w:lvl w:ilvl="6" w:tplc="D3F2AC5A" w:tentative="1">
      <w:start w:val="1"/>
      <w:numFmt w:val="decimal"/>
      <w:lvlText w:val="%7."/>
      <w:lvlJc w:val="left"/>
      <w:pPr>
        <w:tabs>
          <w:tab w:val="num" w:pos="5040"/>
        </w:tabs>
        <w:ind w:left="5040" w:hanging="360"/>
      </w:pPr>
    </w:lvl>
    <w:lvl w:ilvl="7" w:tplc="A754B310" w:tentative="1">
      <w:start w:val="1"/>
      <w:numFmt w:val="lowerLetter"/>
      <w:lvlText w:val="%8."/>
      <w:lvlJc w:val="left"/>
      <w:pPr>
        <w:tabs>
          <w:tab w:val="num" w:pos="5760"/>
        </w:tabs>
        <w:ind w:left="5760" w:hanging="360"/>
      </w:pPr>
    </w:lvl>
    <w:lvl w:ilvl="8" w:tplc="026ADB84" w:tentative="1">
      <w:start w:val="1"/>
      <w:numFmt w:val="lowerRoman"/>
      <w:lvlText w:val="%9."/>
      <w:lvlJc w:val="right"/>
      <w:pPr>
        <w:tabs>
          <w:tab w:val="num" w:pos="6480"/>
        </w:tabs>
        <w:ind w:left="6480" w:hanging="180"/>
      </w:pPr>
    </w:lvl>
  </w:abstractNum>
  <w:num w:numId="1" w16cid:durableId="2146969133">
    <w:abstractNumId w:val="5"/>
  </w:num>
  <w:num w:numId="2" w16cid:durableId="511383165">
    <w:abstractNumId w:val="3"/>
  </w:num>
  <w:num w:numId="3" w16cid:durableId="1824151929">
    <w:abstractNumId w:val="4"/>
  </w:num>
  <w:num w:numId="4" w16cid:durableId="1102605714">
    <w:abstractNumId w:val="0"/>
  </w:num>
  <w:num w:numId="5" w16cid:durableId="2136556720">
    <w:abstractNumId w:val="1"/>
  </w:num>
  <w:num w:numId="6" w16cid:durableId="1362165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63FF"/>
    <w:rsid w:val="000206AE"/>
    <w:rsid w:val="00023824"/>
    <w:rsid w:val="00023A88"/>
    <w:rsid w:val="000636E1"/>
    <w:rsid w:val="0008352D"/>
    <w:rsid w:val="000A07CE"/>
    <w:rsid w:val="000A2C92"/>
    <w:rsid w:val="000A7238"/>
    <w:rsid w:val="000B0B21"/>
    <w:rsid w:val="000D08A9"/>
    <w:rsid w:val="000E2F2B"/>
    <w:rsid w:val="000E7875"/>
    <w:rsid w:val="000F3D38"/>
    <w:rsid w:val="00110CBD"/>
    <w:rsid w:val="00123D7D"/>
    <w:rsid w:val="001357B2"/>
    <w:rsid w:val="00151388"/>
    <w:rsid w:val="00151872"/>
    <w:rsid w:val="00160E5F"/>
    <w:rsid w:val="001A3BA5"/>
    <w:rsid w:val="001F0956"/>
    <w:rsid w:val="001F3B21"/>
    <w:rsid w:val="001F7BC0"/>
    <w:rsid w:val="00202A77"/>
    <w:rsid w:val="00207DC8"/>
    <w:rsid w:val="00232E47"/>
    <w:rsid w:val="0024583F"/>
    <w:rsid w:val="00261D80"/>
    <w:rsid w:val="00261D99"/>
    <w:rsid w:val="00262960"/>
    <w:rsid w:val="00271CE5"/>
    <w:rsid w:val="00282020"/>
    <w:rsid w:val="00282A2F"/>
    <w:rsid w:val="00285890"/>
    <w:rsid w:val="002934F1"/>
    <w:rsid w:val="00296D93"/>
    <w:rsid w:val="00297F27"/>
    <w:rsid w:val="002A4B44"/>
    <w:rsid w:val="002C7EEB"/>
    <w:rsid w:val="002F1662"/>
    <w:rsid w:val="00304726"/>
    <w:rsid w:val="00315D82"/>
    <w:rsid w:val="00352109"/>
    <w:rsid w:val="003636BF"/>
    <w:rsid w:val="00366A32"/>
    <w:rsid w:val="00370AA7"/>
    <w:rsid w:val="00371034"/>
    <w:rsid w:val="0037479F"/>
    <w:rsid w:val="00377950"/>
    <w:rsid w:val="003828AD"/>
    <w:rsid w:val="003845B4"/>
    <w:rsid w:val="00387B1A"/>
    <w:rsid w:val="0039148F"/>
    <w:rsid w:val="003B5CF4"/>
    <w:rsid w:val="003C28AA"/>
    <w:rsid w:val="003C3B1D"/>
    <w:rsid w:val="003D0306"/>
    <w:rsid w:val="003E1C74"/>
    <w:rsid w:val="003E7E9E"/>
    <w:rsid w:val="003F4966"/>
    <w:rsid w:val="00423EC1"/>
    <w:rsid w:val="00464335"/>
    <w:rsid w:val="00484A06"/>
    <w:rsid w:val="004A2490"/>
    <w:rsid w:val="004A4233"/>
    <w:rsid w:val="004A65D2"/>
    <w:rsid w:val="004A6A59"/>
    <w:rsid w:val="004B160E"/>
    <w:rsid w:val="004E3584"/>
    <w:rsid w:val="004F561D"/>
    <w:rsid w:val="0050296F"/>
    <w:rsid w:val="00514441"/>
    <w:rsid w:val="005149DF"/>
    <w:rsid w:val="005177DF"/>
    <w:rsid w:val="005254D1"/>
    <w:rsid w:val="00525C18"/>
    <w:rsid w:val="00526246"/>
    <w:rsid w:val="00532C59"/>
    <w:rsid w:val="0055206D"/>
    <w:rsid w:val="00561FC2"/>
    <w:rsid w:val="00567106"/>
    <w:rsid w:val="005709F2"/>
    <w:rsid w:val="005916E5"/>
    <w:rsid w:val="005B0438"/>
    <w:rsid w:val="005E1D3C"/>
    <w:rsid w:val="006268BE"/>
    <w:rsid w:val="00632253"/>
    <w:rsid w:val="00642714"/>
    <w:rsid w:val="00643C4E"/>
    <w:rsid w:val="006455CE"/>
    <w:rsid w:val="00694B33"/>
    <w:rsid w:val="006958DB"/>
    <w:rsid w:val="006C4AE3"/>
    <w:rsid w:val="006D42D9"/>
    <w:rsid w:val="006F142E"/>
    <w:rsid w:val="00726463"/>
    <w:rsid w:val="00733017"/>
    <w:rsid w:val="00751D38"/>
    <w:rsid w:val="00775FED"/>
    <w:rsid w:val="00780335"/>
    <w:rsid w:val="00783310"/>
    <w:rsid w:val="00794B95"/>
    <w:rsid w:val="00794E63"/>
    <w:rsid w:val="007A4A6D"/>
    <w:rsid w:val="007D05C8"/>
    <w:rsid w:val="007D1BCF"/>
    <w:rsid w:val="007D75CF"/>
    <w:rsid w:val="007E306C"/>
    <w:rsid w:val="007E6DC5"/>
    <w:rsid w:val="008078F7"/>
    <w:rsid w:val="0088043C"/>
    <w:rsid w:val="008906C9"/>
    <w:rsid w:val="008A5918"/>
    <w:rsid w:val="008B2E72"/>
    <w:rsid w:val="008C00F2"/>
    <w:rsid w:val="008C5738"/>
    <w:rsid w:val="008D04F0"/>
    <w:rsid w:val="008E1660"/>
    <w:rsid w:val="008E2D84"/>
    <w:rsid w:val="008F3500"/>
    <w:rsid w:val="009022B3"/>
    <w:rsid w:val="00924E3C"/>
    <w:rsid w:val="00925A8B"/>
    <w:rsid w:val="009612BB"/>
    <w:rsid w:val="0096792B"/>
    <w:rsid w:val="009870F8"/>
    <w:rsid w:val="009B0295"/>
    <w:rsid w:val="009C5340"/>
    <w:rsid w:val="009E42F2"/>
    <w:rsid w:val="00A05DC7"/>
    <w:rsid w:val="00A125C5"/>
    <w:rsid w:val="00A12D5C"/>
    <w:rsid w:val="00A216AF"/>
    <w:rsid w:val="00A3267F"/>
    <w:rsid w:val="00A36906"/>
    <w:rsid w:val="00A45EAF"/>
    <w:rsid w:val="00A5039D"/>
    <w:rsid w:val="00A65EE7"/>
    <w:rsid w:val="00A70133"/>
    <w:rsid w:val="00A72510"/>
    <w:rsid w:val="00AA42F0"/>
    <w:rsid w:val="00AA47FE"/>
    <w:rsid w:val="00AC05DE"/>
    <w:rsid w:val="00AC56FF"/>
    <w:rsid w:val="00AC5C16"/>
    <w:rsid w:val="00AD5A5B"/>
    <w:rsid w:val="00AE1792"/>
    <w:rsid w:val="00AE2D7F"/>
    <w:rsid w:val="00B011EA"/>
    <w:rsid w:val="00B038B1"/>
    <w:rsid w:val="00B17141"/>
    <w:rsid w:val="00B31575"/>
    <w:rsid w:val="00B62CE5"/>
    <w:rsid w:val="00B63BD4"/>
    <w:rsid w:val="00B653A6"/>
    <w:rsid w:val="00B677B6"/>
    <w:rsid w:val="00B8547D"/>
    <w:rsid w:val="00BC2517"/>
    <w:rsid w:val="00BC61EF"/>
    <w:rsid w:val="00BE423F"/>
    <w:rsid w:val="00BF75C5"/>
    <w:rsid w:val="00C1397D"/>
    <w:rsid w:val="00C250D5"/>
    <w:rsid w:val="00C47F8D"/>
    <w:rsid w:val="00C5171C"/>
    <w:rsid w:val="00C52DAE"/>
    <w:rsid w:val="00C57EED"/>
    <w:rsid w:val="00C81391"/>
    <w:rsid w:val="00C92898"/>
    <w:rsid w:val="00C97222"/>
    <w:rsid w:val="00CA28CB"/>
    <w:rsid w:val="00CE7514"/>
    <w:rsid w:val="00D248DE"/>
    <w:rsid w:val="00D25427"/>
    <w:rsid w:val="00D31B74"/>
    <w:rsid w:val="00D3564D"/>
    <w:rsid w:val="00D8542D"/>
    <w:rsid w:val="00DB11E1"/>
    <w:rsid w:val="00DB4E6F"/>
    <w:rsid w:val="00DC62F6"/>
    <w:rsid w:val="00DC6A71"/>
    <w:rsid w:val="00DD6CC3"/>
    <w:rsid w:val="00DE5B46"/>
    <w:rsid w:val="00E0357D"/>
    <w:rsid w:val="00E20A8F"/>
    <w:rsid w:val="00E24EC2"/>
    <w:rsid w:val="00E447E8"/>
    <w:rsid w:val="00E51C0F"/>
    <w:rsid w:val="00E522C2"/>
    <w:rsid w:val="00E70BE9"/>
    <w:rsid w:val="00E8177A"/>
    <w:rsid w:val="00E8201C"/>
    <w:rsid w:val="00E94ECF"/>
    <w:rsid w:val="00EA0E3C"/>
    <w:rsid w:val="00ED00D1"/>
    <w:rsid w:val="00ED27F8"/>
    <w:rsid w:val="00ED7E82"/>
    <w:rsid w:val="00EF3280"/>
    <w:rsid w:val="00EF63CC"/>
    <w:rsid w:val="00F0025B"/>
    <w:rsid w:val="00F02E53"/>
    <w:rsid w:val="00F1126C"/>
    <w:rsid w:val="00F12F7D"/>
    <w:rsid w:val="00F240BB"/>
    <w:rsid w:val="00F42CE8"/>
    <w:rsid w:val="00F46724"/>
    <w:rsid w:val="00F47F58"/>
    <w:rsid w:val="00F57FED"/>
    <w:rsid w:val="00F94746"/>
    <w:rsid w:val="00FA7879"/>
    <w:rsid w:val="00FD746A"/>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D12C9DF"/>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styleId="Golobesedilo">
    <w:name w:val="Plain Text"/>
    <w:basedOn w:val="Navaden"/>
    <w:link w:val="GolobesediloZnak"/>
    <w:rsid w:val="0055206D"/>
    <w:pPr>
      <w:spacing w:after="120" w:line="240" w:lineRule="auto"/>
      <w:ind w:right="-284"/>
      <w:jc w:val="both"/>
    </w:pPr>
    <w:rPr>
      <w:rFonts w:ascii="Courier New" w:hAnsi="Courier New" w:cs="Arial"/>
      <w:szCs w:val="22"/>
      <w:lang w:val="sl-SI" w:eastAsia="sl-SI"/>
    </w:rPr>
  </w:style>
  <w:style w:type="character" w:customStyle="1" w:styleId="GolobesediloZnak">
    <w:name w:val="Golo besedilo Znak"/>
    <w:basedOn w:val="Privzetapisavaodstavka"/>
    <w:link w:val="Golobesedilo"/>
    <w:rsid w:val="0055206D"/>
    <w:rPr>
      <w:rFonts w:ascii="Courier New" w:hAnsi="Courier New" w:cs="Arial"/>
      <w:szCs w:val="22"/>
    </w:rPr>
  </w:style>
  <w:style w:type="character" w:styleId="Krepko">
    <w:name w:val="Strong"/>
    <w:basedOn w:val="Privzetapisavaodstavka"/>
    <w:uiPriority w:val="22"/>
    <w:qFormat/>
    <w:rsid w:val="0055206D"/>
    <w:rPr>
      <w:b/>
      <w:bCs/>
    </w:rPr>
  </w:style>
  <w:style w:type="paragraph" w:styleId="Odstavekseznama">
    <w:name w:val="List Paragraph"/>
    <w:basedOn w:val="Navaden"/>
    <w:uiPriority w:val="34"/>
    <w:qFormat/>
    <w:rsid w:val="004A65D2"/>
    <w:pPr>
      <w:ind w:left="720"/>
      <w:contextualSpacing/>
    </w:pPr>
  </w:style>
  <w:style w:type="paragraph" w:styleId="Sprotnaopomba-besedilo">
    <w:name w:val="footnote text"/>
    <w:basedOn w:val="Navaden"/>
    <w:link w:val="Sprotnaopomba-besediloZnak"/>
    <w:semiHidden/>
    <w:unhideWhenUsed/>
    <w:rsid w:val="004A65D2"/>
    <w:pPr>
      <w:spacing w:line="240" w:lineRule="auto"/>
    </w:pPr>
    <w:rPr>
      <w:szCs w:val="20"/>
    </w:rPr>
  </w:style>
  <w:style w:type="character" w:customStyle="1" w:styleId="Sprotnaopomba-besediloZnak">
    <w:name w:val="Sprotna opomba - besedilo Znak"/>
    <w:basedOn w:val="Privzetapisavaodstavka"/>
    <w:link w:val="Sprotnaopomba-besedilo"/>
    <w:semiHidden/>
    <w:rsid w:val="004A65D2"/>
    <w:rPr>
      <w:rFonts w:ascii="Arial" w:hAnsi="Arial"/>
      <w:lang w:val="en-US" w:eastAsia="en-US"/>
    </w:rPr>
  </w:style>
  <w:style w:type="character" w:styleId="Sprotnaopomba-sklic">
    <w:name w:val="footnote reference"/>
    <w:basedOn w:val="Privzetapisavaodstavka"/>
    <w:semiHidden/>
    <w:unhideWhenUsed/>
    <w:rsid w:val="004A65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L/TXT/?uri=OJ:C_2024016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legal-content/SL/TXT/?uri=uriserv%3AOJ.C_.2021.418.01.0024.01.SLV&amp;toc=OJ%3AC%3A2021%3A418%3ATOC"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L/TXT/?uri=OJ%3AL%3A2013%3A054%3A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05129-4493-4762-B20F-94013FFA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2</TotalTime>
  <Pages>3</Pages>
  <Words>1152</Words>
  <Characters>6568</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Maček</dc:creator>
  <cp:lastModifiedBy>Ana Maček</cp:lastModifiedBy>
  <cp:revision>2</cp:revision>
  <cp:lastPrinted>2010-07-05T10:38:00Z</cp:lastPrinted>
  <dcterms:created xsi:type="dcterms:W3CDTF">2024-03-01T08:16:00Z</dcterms:created>
  <dcterms:modified xsi:type="dcterms:W3CDTF">2024-03-01T08:16:00Z</dcterms:modified>
</cp:coreProperties>
</file>