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F04B" w14:textId="77777777" w:rsidR="001E5626" w:rsidRDefault="001E5626" w:rsidP="001E5626">
      <w:pPr>
        <w:pStyle w:val="datumtevilka"/>
        <w:jc w:val="both"/>
      </w:pPr>
    </w:p>
    <w:p w14:paraId="6FD421D4" w14:textId="5BB661B9" w:rsidR="007D75CF" w:rsidRDefault="007D75CF" w:rsidP="007D75CF">
      <w:pPr>
        <w:rPr>
          <w:lang w:val="sl-SI"/>
        </w:rPr>
      </w:pPr>
    </w:p>
    <w:p w14:paraId="7ECFD896" w14:textId="06B4DF4B" w:rsidR="00D674BE" w:rsidRDefault="00D674BE" w:rsidP="007D75CF">
      <w:pPr>
        <w:rPr>
          <w:lang w:val="sl-SI"/>
        </w:rPr>
      </w:pPr>
    </w:p>
    <w:p w14:paraId="63E6E9D4" w14:textId="2CA562F4" w:rsidR="00D674BE" w:rsidRDefault="00D674BE" w:rsidP="007D75CF">
      <w:pPr>
        <w:rPr>
          <w:lang w:val="sl-SI"/>
        </w:rPr>
      </w:pPr>
    </w:p>
    <w:p w14:paraId="5FD1E48F" w14:textId="123A2B74" w:rsidR="00D674BE" w:rsidRDefault="00D674BE" w:rsidP="007D75CF">
      <w:pPr>
        <w:rPr>
          <w:lang w:val="sl-SI"/>
        </w:rPr>
      </w:pPr>
    </w:p>
    <w:p w14:paraId="5CA1AB06" w14:textId="412AF3A0" w:rsidR="00D674BE" w:rsidRDefault="00D674BE" w:rsidP="007D75CF">
      <w:pPr>
        <w:rPr>
          <w:lang w:val="sl-SI"/>
        </w:rPr>
      </w:pPr>
    </w:p>
    <w:p w14:paraId="27D110ED" w14:textId="1A8318BC" w:rsidR="00D674BE" w:rsidRDefault="00D674BE" w:rsidP="007D75CF">
      <w:pPr>
        <w:rPr>
          <w:lang w:val="sl-SI"/>
        </w:rPr>
      </w:pPr>
    </w:p>
    <w:p w14:paraId="3258A676" w14:textId="77777777" w:rsidR="00D674BE" w:rsidRPr="00BC2517" w:rsidRDefault="00D674BE" w:rsidP="007D75CF">
      <w:pPr>
        <w:rPr>
          <w:lang w:val="sl-SI"/>
        </w:rPr>
      </w:pPr>
    </w:p>
    <w:p w14:paraId="3822AAFE" w14:textId="77777777" w:rsidR="00353861" w:rsidRDefault="00353861" w:rsidP="00DC6A71">
      <w:pPr>
        <w:pStyle w:val="ZADEVA"/>
        <w:rPr>
          <w:lang w:val="sl-SI"/>
        </w:rPr>
      </w:pPr>
    </w:p>
    <w:p w14:paraId="0909089D" w14:textId="486C44C7" w:rsidR="007D75CF" w:rsidRPr="00BC2517" w:rsidRDefault="009A75ED" w:rsidP="00D674BE">
      <w:pPr>
        <w:pStyle w:val="ZADEVA"/>
        <w:tabs>
          <w:tab w:val="clear" w:pos="1701"/>
          <w:tab w:val="left" w:pos="0"/>
        </w:tabs>
        <w:ind w:left="0" w:firstLine="0"/>
        <w:jc w:val="both"/>
        <w:rPr>
          <w:lang w:val="sl-SI"/>
        </w:rPr>
      </w:pPr>
      <w:bookmarkStart w:id="0" w:name="NaslovZadeve"/>
      <w:r w:rsidRPr="00353861">
        <w:rPr>
          <w:lang w:val="sl-SI"/>
        </w:rPr>
        <w:t>Vzporedna uporaba dveh sklopov pravil o poreklu v pan-evro-mediteranskem območju in prehajanje med dvema sklopoma pravil o poreklu</w:t>
      </w:r>
      <w:bookmarkEnd w:id="0"/>
    </w:p>
    <w:p w14:paraId="3A9C11BA" w14:textId="77777777" w:rsidR="007D75CF" w:rsidRDefault="007D75CF" w:rsidP="007D75CF">
      <w:pPr>
        <w:rPr>
          <w:lang w:val="sl-SI"/>
        </w:rPr>
      </w:pPr>
    </w:p>
    <w:p w14:paraId="1060EA3C" w14:textId="77777777" w:rsidR="00353861" w:rsidRDefault="00353861" w:rsidP="007D75CF">
      <w:pPr>
        <w:rPr>
          <w:lang w:val="sl-SI"/>
        </w:rPr>
      </w:pPr>
    </w:p>
    <w:p w14:paraId="7106B538" w14:textId="77777777" w:rsidR="00353861" w:rsidRDefault="009A75ED" w:rsidP="00353861">
      <w:pPr>
        <w:pStyle w:val="ZADEVA"/>
        <w:tabs>
          <w:tab w:val="clear" w:pos="1701"/>
          <w:tab w:val="left" w:pos="0"/>
        </w:tabs>
        <w:ind w:left="0" w:firstLine="0"/>
        <w:jc w:val="both"/>
        <w:rPr>
          <w:b w:val="0"/>
          <w:bCs/>
          <w:lang w:val="sl-SI"/>
        </w:rPr>
      </w:pPr>
      <w:r w:rsidRPr="00E439CA">
        <w:rPr>
          <w:b w:val="0"/>
          <w:bCs/>
          <w:lang w:val="sl-SI"/>
        </w:rPr>
        <w:t xml:space="preserve">V trgovini med </w:t>
      </w:r>
      <w:r>
        <w:rPr>
          <w:b w:val="0"/>
          <w:bCs/>
          <w:lang w:val="sl-SI"/>
        </w:rPr>
        <w:t xml:space="preserve">EU in nekaterimi državami pan-evro-mediteranskega območja (v nadaljnjem besedilu: PEM območje) se vzporedno uporabljata dva sklopa pravil o poreklu: obstoječa </w:t>
      </w:r>
      <w:r w:rsidRPr="00E439CA">
        <w:rPr>
          <w:b w:val="0"/>
          <w:bCs/>
          <w:lang w:val="sl-SI"/>
        </w:rPr>
        <w:t>pan-evro-mediteransk</w:t>
      </w:r>
      <w:r>
        <w:rPr>
          <w:b w:val="0"/>
          <w:bCs/>
          <w:lang w:val="sl-SI"/>
        </w:rPr>
        <w:t>a</w:t>
      </w:r>
      <w:r w:rsidRPr="00E439CA">
        <w:rPr>
          <w:b w:val="0"/>
          <w:bCs/>
          <w:lang w:val="sl-SI"/>
        </w:rPr>
        <w:t xml:space="preserve"> preferencialn</w:t>
      </w:r>
      <w:r>
        <w:rPr>
          <w:b w:val="0"/>
          <w:bCs/>
          <w:lang w:val="sl-SI"/>
        </w:rPr>
        <w:t>a</w:t>
      </w:r>
      <w:r w:rsidRPr="00E439CA">
        <w:rPr>
          <w:b w:val="0"/>
          <w:bCs/>
          <w:lang w:val="sl-SI"/>
        </w:rPr>
        <w:t xml:space="preserve"> pravil</w:t>
      </w:r>
      <w:r>
        <w:rPr>
          <w:b w:val="0"/>
          <w:bCs/>
          <w:lang w:val="sl-SI"/>
        </w:rPr>
        <w:t>a</w:t>
      </w:r>
      <w:r w:rsidRPr="00E439CA">
        <w:rPr>
          <w:b w:val="0"/>
          <w:bCs/>
          <w:lang w:val="sl-SI"/>
        </w:rPr>
        <w:t xml:space="preserve"> o poreklu</w:t>
      </w:r>
      <w:r>
        <w:rPr>
          <w:b w:val="0"/>
          <w:bCs/>
          <w:lang w:val="sl-SI"/>
        </w:rPr>
        <w:t xml:space="preserve"> (v nadaljnjem besedilu: PEM pravila; to so pravila o poreklu iz </w:t>
      </w:r>
      <w:r w:rsidRPr="00EB1E95">
        <w:rPr>
          <w:b w:val="0"/>
          <w:bCs/>
          <w:lang w:val="sl-SI"/>
        </w:rPr>
        <w:t>Dodat</w:t>
      </w:r>
      <w:r>
        <w:rPr>
          <w:b w:val="0"/>
          <w:bCs/>
          <w:lang w:val="sl-SI"/>
        </w:rPr>
        <w:t>ka</w:t>
      </w:r>
      <w:r w:rsidRPr="00EB1E95">
        <w:rPr>
          <w:b w:val="0"/>
          <w:bCs/>
          <w:lang w:val="sl-SI"/>
        </w:rPr>
        <w:t xml:space="preserve"> I in ustrezn</w:t>
      </w:r>
      <w:r>
        <w:rPr>
          <w:b w:val="0"/>
          <w:bCs/>
          <w:lang w:val="sl-SI"/>
        </w:rPr>
        <w:t xml:space="preserve">ih </w:t>
      </w:r>
      <w:r w:rsidRPr="00EB1E95">
        <w:rPr>
          <w:b w:val="0"/>
          <w:bCs/>
          <w:lang w:val="sl-SI"/>
        </w:rPr>
        <w:t>določb Dodatka II k Regionalni konvenciji o pan-evro-mediteranskih preferencialnih pravilih o poreklu</w:t>
      </w:r>
      <w:r>
        <w:rPr>
          <w:b w:val="0"/>
          <w:bCs/>
          <w:lang w:val="sl-SI"/>
        </w:rPr>
        <w:t xml:space="preserve">; v nadaljnjem besedilu: Regionalna konvencija; </w:t>
      </w:r>
      <w:hyperlink r:id="rId8" w:anchor="L_2013054SL.01000401" w:history="1">
        <w:r w:rsidRPr="00EB1E95">
          <w:rPr>
            <w:rStyle w:val="Hiperpovezava"/>
            <w:b w:val="0"/>
            <w:bCs/>
            <w:lang w:val="sl-SI"/>
          </w:rPr>
          <w:t>UL EU L 54</w:t>
        </w:r>
      </w:hyperlink>
      <w:r>
        <w:rPr>
          <w:b w:val="0"/>
          <w:bCs/>
          <w:lang w:val="sl-SI"/>
        </w:rPr>
        <w:t xml:space="preserve">, z dne 26. 2. 2013) in </w:t>
      </w:r>
      <w:r w:rsidRPr="00197A93">
        <w:rPr>
          <w:b w:val="0"/>
          <w:bCs/>
          <w:lang w:val="sl-SI"/>
        </w:rPr>
        <w:t>spremenjen</w:t>
      </w:r>
      <w:r>
        <w:rPr>
          <w:b w:val="0"/>
          <w:bCs/>
          <w:lang w:val="sl-SI"/>
        </w:rPr>
        <w:t>a</w:t>
      </w:r>
      <w:r w:rsidRPr="00197A93">
        <w:rPr>
          <w:b w:val="0"/>
          <w:bCs/>
          <w:lang w:val="sl-SI"/>
        </w:rPr>
        <w:t xml:space="preserve"> pan-evro-mediteransk</w:t>
      </w:r>
      <w:r>
        <w:rPr>
          <w:b w:val="0"/>
          <w:bCs/>
          <w:lang w:val="sl-SI"/>
        </w:rPr>
        <w:t>a</w:t>
      </w:r>
      <w:r w:rsidRPr="00197A93">
        <w:rPr>
          <w:b w:val="0"/>
          <w:bCs/>
          <w:lang w:val="sl-SI"/>
        </w:rPr>
        <w:t xml:space="preserve"> preferencialn</w:t>
      </w:r>
      <w:r>
        <w:rPr>
          <w:b w:val="0"/>
          <w:bCs/>
          <w:lang w:val="sl-SI"/>
        </w:rPr>
        <w:t>a</w:t>
      </w:r>
      <w:r w:rsidRPr="00197A93">
        <w:rPr>
          <w:b w:val="0"/>
          <w:bCs/>
          <w:lang w:val="sl-SI"/>
        </w:rPr>
        <w:t xml:space="preserve"> pravil</w:t>
      </w:r>
      <w:r>
        <w:rPr>
          <w:b w:val="0"/>
          <w:bCs/>
          <w:lang w:val="sl-SI"/>
        </w:rPr>
        <w:t>a</w:t>
      </w:r>
      <w:r w:rsidRPr="00197A93">
        <w:rPr>
          <w:b w:val="0"/>
          <w:bCs/>
          <w:lang w:val="sl-SI"/>
        </w:rPr>
        <w:t xml:space="preserve"> o poreklu</w:t>
      </w:r>
      <w:r>
        <w:rPr>
          <w:b w:val="0"/>
          <w:bCs/>
          <w:lang w:val="sl-SI"/>
        </w:rPr>
        <w:t>, ki temeljijo na spremembi Regionalne konvencije (alternativni sklop pravil o poreklu; v nadaljnjem besedilu: prehodna pravila). Prehodna pravila so namenjena začasni uporabi (d</w:t>
      </w:r>
      <w:r w:rsidRPr="00D81797">
        <w:rPr>
          <w:b w:val="0"/>
          <w:bCs/>
          <w:lang w:val="sl-SI"/>
        </w:rPr>
        <w:t xml:space="preserve">o sklenitve in začetka veljavnosti spremembe </w:t>
      </w:r>
      <w:r>
        <w:rPr>
          <w:b w:val="0"/>
          <w:bCs/>
          <w:lang w:val="sl-SI"/>
        </w:rPr>
        <w:t>Regionalne k</w:t>
      </w:r>
      <w:r w:rsidRPr="00D81797">
        <w:rPr>
          <w:b w:val="0"/>
          <w:bCs/>
          <w:lang w:val="sl-SI"/>
        </w:rPr>
        <w:t>onvencije</w:t>
      </w:r>
      <w:r>
        <w:rPr>
          <w:b w:val="0"/>
          <w:bCs/>
          <w:lang w:val="sl-SI"/>
        </w:rPr>
        <w:t xml:space="preserve">) in se </w:t>
      </w:r>
      <w:r w:rsidRPr="00D81797">
        <w:rPr>
          <w:b w:val="0"/>
          <w:bCs/>
          <w:lang w:val="sl-SI"/>
        </w:rPr>
        <w:t xml:space="preserve">uporabljajo </w:t>
      </w:r>
      <w:r>
        <w:rPr>
          <w:b w:val="0"/>
          <w:bCs/>
          <w:lang w:val="sl-SI"/>
        </w:rPr>
        <w:t>na opcijski in bilateralni osnovi med pogodbenicami Regionalne konvencije, ki so ali še bodo vključile prehodna pravila v sporazume do sklenitve in začetka veljavnosti spremembe Regionalne konvencije.</w:t>
      </w:r>
      <w:r w:rsidRPr="00B669D1">
        <w:rPr>
          <w:lang w:val="sl-SI"/>
        </w:rPr>
        <w:t xml:space="preserve"> </w:t>
      </w:r>
      <w:r w:rsidRPr="00B669D1">
        <w:rPr>
          <w:b w:val="0"/>
          <w:bCs/>
          <w:lang w:val="sl-SI"/>
        </w:rPr>
        <w:t>Uporabljajo se torej na alternativni osnovi vzporedno z obstoječimi PEM pravili o poreklu, k</w:t>
      </w:r>
      <w:r>
        <w:rPr>
          <w:b w:val="0"/>
          <w:bCs/>
          <w:lang w:val="sl-SI"/>
        </w:rPr>
        <w:t>ar pomeni, da lahko gospodarski subjekti prostovoljno izbirajo med uporabo enega ali drugega sklopa pravil o poreklu (bodisi uporabijo PEM pravila ali prehodna pravila). Vendar pa je treba opozoriti, da je uporaba kumulacije porekla možna le, če se med v kumulacijo vpletenimi pogodbenicami uporabljajo enaka pravila o poreklu blaga.</w:t>
      </w:r>
    </w:p>
    <w:p w14:paraId="296312BE" w14:textId="77777777" w:rsidR="00353861" w:rsidRDefault="00353861" w:rsidP="00353861">
      <w:pPr>
        <w:pStyle w:val="ZADEVA"/>
        <w:tabs>
          <w:tab w:val="clear" w:pos="1701"/>
          <w:tab w:val="left" w:pos="0"/>
        </w:tabs>
        <w:ind w:left="0" w:firstLine="0"/>
        <w:jc w:val="both"/>
        <w:rPr>
          <w:b w:val="0"/>
          <w:bCs/>
          <w:lang w:val="sl-SI"/>
        </w:rPr>
      </w:pPr>
    </w:p>
    <w:p w14:paraId="58D2BDFE"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V začetni fazi, to je 1. 9. 2021, so se prehodna pravila začela uporabljati med EU in </w:t>
      </w:r>
      <w:r w:rsidRPr="00EC4BB6">
        <w:rPr>
          <w:b w:val="0"/>
          <w:bCs/>
          <w:lang w:val="sl-SI"/>
        </w:rPr>
        <w:t>vsako od naslednjih pogodbenic: Albanij</w:t>
      </w:r>
      <w:r>
        <w:rPr>
          <w:b w:val="0"/>
          <w:bCs/>
          <w:lang w:val="sl-SI"/>
        </w:rPr>
        <w:t>o</w:t>
      </w:r>
      <w:r w:rsidRPr="00EC4BB6">
        <w:rPr>
          <w:b w:val="0"/>
          <w:bCs/>
          <w:lang w:val="sl-SI"/>
        </w:rPr>
        <w:t>, Ferski</w:t>
      </w:r>
      <w:r>
        <w:rPr>
          <w:b w:val="0"/>
          <w:bCs/>
          <w:lang w:val="sl-SI"/>
        </w:rPr>
        <w:t>mi</w:t>
      </w:r>
      <w:r w:rsidRPr="00EC4BB6">
        <w:rPr>
          <w:b w:val="0"/>
          <w:bCs/>
          <w:lang w:val="sl-SI"/>
        </w:rPr>
        <w:t xml:space="preserve"> otoki, Gruzij</w:t>
      </w:r>
      <w:r>
        <w:rPr>
          <w:b w:val="0"/>
          <w:bCs/>
          <w:lang w:val="sl-SI"/>
        </w:rPr>
        <w:t>o</w:t>
      </w:r>
      <w:r w:rsidRPr="00EC4BB6">
        <w:rPr>
          <w:b w:val="0"/>
          <w:bCs/>
          <w:lang w:val="sl-SI"/>
        </w:rPr>
        <w:t>, Islandij</w:t>
      </w:r>
      <w:r>
        <w:rPr>
          <w:b w:val="0"/>
          <w:bCs/>
          <w:lang w:val="sl-SI"/>
        </w:rPr>
        <w:t>o</w:t>
      </w:r>
      <w:r w:rsidRPr="00EC4BB6">
        <w:rPr>
          <w:b w:val="0"/>
          <w:bCs/>
          <w:lang w:val="sl-SI"/>
        </w:rPr>
        <w:t>, Jordanij</w:t>
      </w:r>
      <w:r>
        <w:rPr>
          <w:b w:val="0"/>
          <w:bCs/>
          <w:lang w:val="sl-SI"/>
        </w:rPr>
        <w:t>o</w:t>
      </w:r>
      <w:r w:rsidRPr="00EC4BB6">
        <w:rPr>
          <w:b w:val="0"/>
          <w:bCs/>
          <w:lang w:val="sl-SI"/>
        </w:rPr>
        <w:t>, Palestin</w:t>
      </w:r>
      <w:r>
        <w:rPr>
          <w:b w:val="0"/>
          <w:bCs/>
          <w:lang w:val="sl-SI"/>
        </w:rPr>
        <w:t>o</w:t>
      </w:r>
      <w:r w:rsidRPr="00EC4BB6">
        <w:rPr>
          <w:b w:val="0"/>
          <w:bCs/>
          <w:lang w:val="sl-SI"/>
        </w:rPr>
        <w:t>, Norvešk</w:t>
      </w:r>
      <w:r>
        <w:rPr>
          <w:b w:val="0"/>
          <w:bCs/>
          <w:lang w:val="sl-SI"/>
        </w:rPr>
        <w:t>o</w:t>
      </w:r>
      <w:r w:rsidRPr="00EC4BB6">
        <w:rPr>
          <w:b w:val="0"/>
          <w:bCs/>
          <w:lang w:val="sl-SI"/>
        </w:rPr>
        <w:t xml:space="preserve"> in Švic</w:t>
      </w:r>
      <w:r>
        <w:rPr>
          <w:b w:val="0"/>
          <w:bCs/>
          <w:lang w:val="sl-SI"/>
        </w:rPr>
        <w:t>o</w:t>
      </w:r>
      <w:r w:rsidRPr="00EC4BB6">
        <w:rPr>
          <w:b w:val="0"/>
          <w:bCs/>
          <w:lang w:val="sl-SI"/>
        </w:rPr>
        <w:t>.</w:t>
      </w:r>
      <w:r>
        <w:rPr>
          <w:b w:val="0"/>
          <w:bCs/>
          <w:lang w:val="sl-SI"/>
        </w:rPr>
        <w:t xml:space="preserve"> </w:t>
      </w:r>
      <w:r w:rsidRPr="00EC4BB6">
        <w:rPr>
          <w:b w:val="0"/>
          <w:bCs/>
          <w:lang w:val="sl-SI"/>
        </w:rPr>
        <w:t xml:space="preserve">V Evropskem gospodarskem prostoru (EGP) so bila </w:t>
      </w:r>
      <w:r>
        <w:rPr>
          <w:b w:val="0"/>
          <w:bCs/>
          <w:lang w:val="sl-SI"/>
        </w:rPr>
        <w:t>prehodna</w:t>
      </w:r>
      <w:r w:rsidRPr="00EC4BB6">
        <w:rPr>
          <w:b w:val="0"/>
          <w:bCs/>
          <w:lang w:val="sl-SI"/>
        </w:rPr>
        <w:t xml:space="preserve"> pravila uvedena z retroaktivn</w:t>
      </w:r>
      <w:r>
        <w:rPr>
          <w:b w:val="0"/>
          <w:bCs/>
          <w:lang w:val="sl-SI"/>
        </w:rPr>
        <w:t xml:space="preserve">im učinkom </w:t>
      </w:r>
      <w:r w:rsidRPr="00EC4BB6">
        <w:rPr>
          <w:b w:val="0"/>
          <w:bCs/>
          <w:lang w:val="sl-SI"/>
        </w:rPr>
        <w:t>(uporabljajo se od 1. septembra 2021). Od 9. septembra 2021 dalje se prehodna pravila o poreklu uporabljajo med EU in Severno Makedonijo</w:t>
      </w:r>
      <w:r>
        <w:rPr>
          <w:b w:val="0"/>
          <w:bCs/>
          <w:lang w:val="sl-SI"/>
        </w:rPr>
        <w:t>, o</w:t>
      </w:r>
      <w:r w:rsidRPr="00EC4BB6">
        <w:rPr>
          <w:b w:val="0"/>
          <w:bCs/>
          <w:lang w:val="sl-SI"/>
        </w:rPr>
        <w:t>d 16. novembra 2021 dalje med EU in Moldavijo</w:t>
      </w:r>
      <w:r>
        <w:rPr>
          <w:b w:val="0"/>
          <w:bCs/>
          <w:lang w:val="sl-SI"/>
        </w:rPr>
        <w:t>, o</w:t>
      </w:r>
      <w:r w:rsidRPr="00EC4BB6">
        <w:rPr>
          <w:b w:val="0"/>
          <w:bCs/>
          <w:lang w:val="sl-SI"/>
        </w:rPr>
        <w:t>d 6. decembra 2021 dalje med EU in Srbijo</w:t>
      </w:r>
      <w:r>
        <w:rPr>
          <w:b w:val="0"/>
          <w:bCs/>
          <w:lang w:val="sl-SI"/>
        </w:rPr>
        <w:t>, o</w:t>
      </w:r>
      <w:r w:rsidRPr="00EC4BB6">
        <w:rPr>
          <w:b w:val="0"/>
          <w:bCs/>
          <w:lang w:val="sl-SI"/>
        </w:rPr>
        <w:t>d 2. februarja 2022</w:t>
      </w:r>
      <w:r>
        <w:rPr>
          <w:b w:val="0"/>
          <w:bCs/>
          <w:lang w:val="sl-SI"/>
        </w:rPr>
        <w:t xml:space="preserve"> dalje</w:t>
      </w:r>
      <w:r w:rsidRPr="00EC4BB6">
        <w:rPr>
          <w:b w:val="0"/>
          <w:bCs/>
          <w:lang w:val="sl-SI"/>
        </w:rPr>
        <w:t xml:space="preserve"> med EU in Črno goro</w:t>
      </w:r>
      <w:r>
        <w:rPr>
          <w:b w:val="0"/>
          <w:bCs/>
          <w:lang w:val="sl-SI"/>
        </w:rPr>
        <w:t xml:space="preserve"> ter od 15. oktobra 2022 dalje med EU in Kosovom. Med</w:t>
      </w:r>
      <w:r w:rsidRPr="00C8217D">
        <w:rPr>
          <w:b w:val="0"/>
          <w:bCs/>
          <w:lang w:val="sl-SI"/>
        </w:rPr>
        <w:t xml:space="preserve"> EU in </w:t>
      </w:r>
      <w:r>
        <w:rPr>
          <w:b w:val="0"/>
          <w:bCs/>
          <w:lang w:val="sl-SI"/>
        </w:rPr>
        <w:t xml:space="preserve">vsemi </w:t>
      </w:r>
      <w:r w:rsidRPr="00C8217D">
        <w:rPr>
          <w:b w:val="0"/>
          <w:bCs/>
          <w:lang w:val="sl-SI"/>
        </w:rPr>
        <w:t xml:space="preserve">preostalimi pogodbenicami (Bosna in Hercegovina, Egipt, Izrael, Libanon, Turčija in Ukrajina) je postopek sprejetja sprememb bilateralnih protokolov o pravilih o poreklu v teku in v različnih fazah napredka. </w:t>
      </w:r>
    </w:p>
    <w:p w14:paraId="27CF913E" w14:textId="77777777" w:rsidR="00353861" w:rsidRDefault="00353861" w:rsidP="00353861">
      <w:pPr>
        <w:pStyle w:val="ZADEVA"/>
        <w:tabs>
          <w:tab w:val="clear" w:pos="1701"/>
          <w:tab w:val="left" w:pos="0"/>
        </w:tabs>
        <w:ind w:left="0" w:firstLine="0"/>
        <w:jc w:val="both"/>
        <w:rPr>
          <w:b w:val="0"/>
          <w:bCs/>
          <w:lang w:val="sl-SI"/>
        </w:rPr>
      </w:pPr>
    </w:p>
    <w:p w14:paraId="6103B470" w14:textId="77777777" w:rsidR="00353861" w:rsidRDefault="009A75ED" w:rsidP="00353861">
      <w:pPr>
        <w:pStyle w:val="ZADEVA"/>
        <w:tabs>
          <w:tab w:val="clear" w:pos="1701"/>
          <w:tab w:val="left" w:pos="0"/>
        </w:tabs>
        <w:ind w:left="0" w:firstLine="0"/>
        <w:jc w:val="both"/>
        <w:rPr>
          <w:b w:val="0"/>
          <w:bCs/>
          <w:lang w:val="sl-SI"/>
        </w:rPr>
      </w:pPr>
      <w:r>
        <w:rPr>
          <w:b w:val="0"/>
          <w:bCs/>
          <w:lang w:val="sl-SI"/>
        </w:rPr>
        <w:t>Č</w:t>
      </w:r>
      <w:r w:rsidRPr="000E56CA">
        <w:rPr>
          <w:b w:val="0"/>
          <w:bCs/>
          <w:lang w:val="sl-SI"/>
        </w:rPr>
        <w:t>e se uporabljajo prehodna pravila, je treba poreklo določiti izključno v skladu s prehodnimi pravili. Če</w:t>
      </w:r>
      <w:r>
        <w:rPr>
          <w:b w:val="0"/>
          <w:bCs/>
          <w:lang w:val="sl-SI"/>
        </w:rPr>
        <w:t xml:space="preserve"> pa</w:t>
      </w:r>
      <w:r w:rsidRPr="000E56CA">
        <w:rPr>
          <w:b w:val="0"/>
          <w:bCs/>
          <w:lang w:val="sl-SI"/>
        </w:rPr>
        <w:t xml:space="preserve"> se uporabljajo </w:t>
      </w:r>
      <w:r>
        <w:rPr>
          <w:b w:val="0"/>
          <w:bCs/>
          <w:lang w:val="sl-SI"/>
        </w:rPr>
        <w:t xml:space="preserve">PEM </w:t>
      </w:r>
      <w:r w:rsidRPr="000E56CA">
        <w:rPr>
          <w:b w:val="0"/>
          <w:bCs/>
          <w:lang w:val="sl-SI"/>
        </w:rPr>
        <w:t xml:space="preserve">pravila, je treba poreklo določiti le v skladu s </w:t>
      </w:r>
      <w:r>
        <w:rPr>
          <w:b w:val="0"/>
          <w:bCs/>
          <w:lang w:val="sl-SI"/>
        </w:rPr>
        <w:t xml:space="preserve">PEM </w:t>
      </w:r>
      <w:r w:rsidRPr="000E56CA">
        <w:rPr>
          <w:b w:val="0"/>
          <w:bCs/>
          <w:lang w:val="sl-SI"/>
        </w:rPr>
        <w:t xml:space="preserve">pravili. </w:t>
      </w:r>
      <w:r>
        <w:rPr>
          <w:b w:val="0"/>
          <w:bCs/>
          <w:lang w:val="sl-SI"/>
        </w:rPr>
        <w:t xml:space="preserve">To pomeni, da ni možno prehajati med </w:t>
      </w:r>
      <w:r w:rsidRPr="000E56CA">
        <w:rPr>
          <w:b w:val="0"/>
          <w:bCs/>
          <w:lang w:val="sl-SI"/>
        </w:rPr>
        <w:t>dvema sklopoma pravil</w:t>
      </w:r>
      <w:r>
        <w:rPr>
          <w:b w:val="0"/>
          <w:bCs/>
          <w:lang w:val="sl-SI"/>
        </w:rPr>
        <w:t xml:space="preserve"> o poreklu</w:t>
      </w:r>
      <w:r w:rsidRPr="000E56CA">
        <w:rPr>
          <w:b w:val="0"/>
          <w:bCs/>
          <w:lang w:val="sl-SI"/>
        </w:rPr>
        <w:t xml:space="preserve">, ki </w:t>
      </w:r>
      <w:r>
        <w:rPr>
          <w:b w:val="0"/>
          <w:bCs/>
          <w:lang w:val="sl-SI"/>
        </w:rPr>
        <w:t xml:space="preserve">se uporabljata </w:t>
      </w:r>
      <w:r w:rsidRPr="000E56CA">
        <w:rPr>
          <w:b w:val="0"/>
          <w:bCs/>
          <w:lang w:val="sl-SI"/>
        </w:rPr>
        <w:t>ločeno</w:t>
      </w:r>
      <w:r>
        <w:rPr>
          <w:b w:val="0"/>
          <w:bCs/>
          <w:lang w:val="sl-SI"/>
        </w:rPr>
        <w:t>. V praksi to pomeni, da izvoznik, ki izvaža iz EU v pogodbenico uporabnico</w:t>
      </w:r>
      <w:r>
        <w:rPr>
          <w:rStyle w:val="Sprotnaopomba-sklic"/>
          <w:b w:val="0"/>
          <w:bCs/>
          <w:lang w:val="sl-SI"/>
        </w:rPr>
        <w:footnoteReference w:id="1"/>
      </w:r>
      <w:r>
        <w:rPr>
          <w:b w:val="0"/>
          <w:bCs/>
          <w:lang w:val="sl-SI"/>
        </w:rPr>
        <w:t xml:space="preserve"> in sestavi dokazilo o poreklu (izjavo o poreklu) </w:t>
      </w:r>
      <w:r>
        <w:rPr>
          <w:b w:val="0"/>
          <w:bCs/>
          <w:lang w:val="sl-SI"/>
        </w:rPr>
        <w:lastRenderedPageBreak/>
        <w:t xml:space="preserve">v skladu s prehodnimi pravili ali </w:t>
      </w:r>
      <w:r w:rsidRPr="004E62D8">
        <w:rPr>
          <w:b w:val="0"/>
          <w:bCs/>
          <w:lang w:val="sl-SI"/>
        </w:rPr>
        <w:t>vl</w:t>
      </w:r>
      <w:r>
        <w:rPr>
          <w:b w:val="0"/>
          <w:bCs/>
          <w:lang w:val="sl-SI"/>
        </w:rPr>
        <w:t>oži</w:t>
      </w:r>
      <w:r w:rsidRPr="004E62D8">
        <w:rPr>
          <w:b w:val="0"/>
          <w:bCs/>
          <w:lang w:val="sl-SI"/>
        </w:rPr>
        <w:t xml:space="preserve"> zahtevek za izdajo potrdila o gibanju blaga EUR.1</w:t>
      </w:r>
      <w:r>
        <w:rPr>
          <w:b w:val="0"/>
          <w:bCs/>
          <w:lang w:val="sl-SI"/>
        </w:rPr>
        <w:t xml:space="preserve"> v skladu s prehodnimi pravili, lahko ob predpostavki, da je možna kumulacija na podlagi prehodnih pravil</w:t>
      </w:r>
      <w:r>
        <w:rPr>
          <w:rStyle w:val="Sprotnaopomba-sklic"/>
          <w:b w:val="0"/>
          <w:bCs/>
          <w:lang w:val="sl-SI"/>
        </w:rPr>
        <w:footnoteReference w:id="2"/>
      </w:r>
      <w:r>
        <w:rPr>
          <w:b w:val="0"/>
          <w:bCs/>
          <w:lang w:val="sl-SI"/>
        </w:rPr>
        <w:t>, upošteva kot materiale s poreklom le tiste materiale, za katere je bilo sestavljeno dokazilo o poreklu v skladu s prehodnimi pravili. V nasprotnem primeru je treba te materiale šteti kot materiale brez porekla.</w:t>
      </w:r>
    </w:p>
    <w:p w14:paraId="662E2060" w14:textId="77777777" w:rsidR="00353861" w:rsidRDefault="00353861" w:rsidP="00353861">
      <w:pPr>
        <w:pStyle w:val="ZADEVA"/>
        <w:tabs>
          <w:tab w:val="clear" w:pos="1701"/>
          <w:tab w:val="left" w:pos="0"/>
        </w:tabs>
        <w:ind w:left="0" w:firstLine="0"/>
        <w:jc w:val="both"/>
        <w:rPr>
          <w:b w:val="0"/>
          <w:bCs/>
          <w:lang w:val="sl-SI"/>
        </w:rPr>
      </w:pPr>
    </w:p>
    <w:p w14:paraId="129CEE1A"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Zaenkrat je možno prehajati med dvema sklopoma pravil o poreklu le na podlagi </w:t>
      </w:r>
      <w:r w:rsidRPr="008E6AE3">
        <w:rPr>
          <w:b w:val="0"/>
          <w:bCs/>
          <w:lang w:val="sl-SI"/>
        </w:rPr>
        <w:t>člen</w:t>
      </w:r>
      <w:r>
        <w:rPr>
          <w:b w:val="0"/>
          <w:bCs/>
          <w:lang w:val="sl-SI"/>
        </w:rPr>
        <w:t>a</w:t>
      </w:r>
      <w:r w:rsidRPr="008E6AE3">
        <w:rPr>
          <w:b w:val="0"/>
          <w:bCs/>
          <w:lang w:val="sl-SI"/>
        </w:rPr>
        <w:t xml:space="preserve"> 21(1)(d) prehodnih pravil (Dodatk</w:t>
      </w:r>
      <w:r>
        <w:rPr>
          <w:b w:val="0"/>
          <w:bCs/>
          <w:lang w:val="sl-SI"/>
        </w:rPr>
        <w:t>a</w:t>
      </w:r>
      <w:r w:rsidRPr="008E6AE3">
        <w:rPr>
          <w:b w:val="0"/>
          <w:bCs/>
          <w:lang w:val="sl-SI"/>
        </w:rPr>
        <w:t xml:space="preserve"> A)</w:t>
      </w:r>
      <w:r>
        <w:rPr>
          <w:b w:val="0"/>
          <w:bCs/>
          <w:lang w:val="sl-SI"/>
        </w:rPr>
        <w:t xml:space="preserve">, ki </w:t>
      </w:r>
      <w:r w:rsidRPr="008E6AE3">
        <w:rPr>
          <w:b w:val="0"/>
          <w:bCs/>
          <w:lang w:val="sl-SI"/>
        </w:rPr>
        <w:t xml:space="preserve">omogoča naknadno izdajo potrdila o gibanju blaga EUR.1 </w:t>
      </w:r>
      <w:r>
        <w:rPr>
          <w:b w:val="0"/>
          <w:bCs/>
          <w:lang w:val="sl-SI"/>
        </w:rPr>
        <w:t>v skladu s prehodnimi</w:t>
      </w:r>
      <w:r w:rsidRPr="008E6AE3">
        <w:rPr>
          <w:b w:val="0"/>
          <w:bCs/>
          <w:lang w:val="sl-SI"/>
        </w:rPr>
        <w:t xml:space="preserve"> pravil</w:t>
      </w:r>
      <w:r>
        <w:rPr>
          <w:b w:val="0"/>
          <w:bCs/>
          <w:lang w:val="sl-SI"/>
        </w:rPr>
        <w:t>i v primerih</w:t>
      </w:r>
      <w:r w:rsidRPr="008E6AE3">
        <w:rPr>
          <w:b w:val="0"/>
          <w:bCs/>
          <w:lang w:val="sl-SI"/>
        </w:rPr>
        <w:t xml:space="preserve">, </w:t>
      </w:r>
      <w:r>
        <w:rPr>
          <w:b w:val="0"/>
          <w:bCs/>
          <w:lang w:val="sl-SI"/>
        </w:rPr>
        <w:t xml:space="preserve">ko je bilo potrdilo o gibanju blaga EUR.1 ali EUR-MED izdano v skladu s PEM pravili, če imajo izdelki poreklo v skladu z obema sklopoma pravil o poreklu. </w:t>
      </w:r>
    </w:p>
    <w:p w14:paraId="29670C27" w14:textId="77777777" w:rsidR="00353861" w:rsidRDefault="00353861" w:rsidP="00353861">
      <w:pPr>
        <w:pStyle w:val="ZADEVA"/>
        <w:tabs>
          <w:tab w:val="clear" w:pos="1701"/>
          <w:tab w:val="left" w:pos="0"/>
        </w:tabs>
        <w:ind w:left="0" w:firstLine="0"/>
        <w:jc w:val="both"/>
        <w:rPr>
          <w:b w:val="0"/>
          <w:bCs/>
          <w:lang w:val="sl-SI"/>
        </w:rPr>
      </w:pPr>
    </w:p>
    <w:p w14:paraId="7149EA30"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Da bi bilo možno prehajati med dvema različnima sklopoma pravil o poreklu tudi v drugih primerih, je potrebna sprememba zakonodaje, in sicer: sprememba nekaterih določb, ki se nanašajo na notranji trg EU in izjavo dobavitelja ter sprememba bilateralnih protokolov o poreklu blaga (člena 8 Dodatka A: </w:t>
      </w:r>
      <w:r w:rsidRPr="00ED6E84">
        <w:rPr>
          <w:b w:val="0"/>
          <w:bCs/>
          <w:lang w:val="sl-SI"/>
        </w:rPr>
        <w:t>Pogoji za uporabo kumulacije porekla</w:t>
      </w:r>
      <w:r>
        <w:rPr>
          <w:b w:val="0"/>
          <w:bCs/>
          <w:lang w:val="sl-SI"/>
        </w:rPr>
        <w:t xml:space="preserve">). V zvezi s spremembo bilateralnih protokolov se ta sprememba nanaša na pogoje za uporabo kumulacije oziroma člen 8(1)(b) Dodatka A, ki določa, da se kumulacija lahko uporablja le pod pogojem, da </w:t>
      </w:r>
      <w:r w:rsidRPr="00AD57C5">
        <w:rPr>
          <w:b w:val="0"/>
          <w:bCs/>
          <w:lang w:val="sl-SI"/>
        </w:rPr>
        <w:t xml:space="preserve">je blago pridobilo status blaga s poreklom na podlagi pravil o poreklu, ki so enaka </w:t>
      </w:r>
      <w:r>
        <w:rPr>
          <w:b w:val="0"/>
          <w:bCs/>
          <w:lang w:val="sl-SI"/>
        </w:rPr>
        <w:t xml:space="preserve">prehodnim </w:t>
      </w:r>
      <w:r w:rsidRPr="00AD57C5">
        <w:rPr>
          <w:b w:val="0"/>
          <w:bCs/>
          <w:lang w:val="sl-SI"/>
        </w:rPr>
        <w:t>pravilom</w:t>
      </w:r>
      <w:r>
        <w:rPr>
          <w:b w:val="0"/>
          <w:bCs/>
          <w:lang w:val="sl-SI"/>
        </w:rPr>
        <w:t>. To pomeni, da se dokazila o poreklu, sestavljena ali izdana v skladu s PEM pravili</w:t>
      </w:r>
      <w:r w:rsidRPr="00AD57C5">
        <w:rPr>
          <w:b w:val="0"/>
          <w:bCs/>
          <w:lang w:val="sl-SI"/>
        </w:rPr>
        <w:t xml:space="preserve"> </w:t>
      </w:r>
      <w:r>
        <w:rPr>
          <w:b w:val="0"/>
          <w:bCs/>
          <w:lang w:val="sl-SI"/>
        </w:rPr>
        <w:t>ne morejo uporabiti za namene kumulacije na podlagi prehodnih pravil. S spremembo člena 8 Dodatka A oziroma z dodanim odstavkom v tem členu bo omogočeno, da se bo kumulacija kljub temu lahko uporabila za izdelke, ki so pridobili poreklo na podlagi strožjih PEM pravil pod pogojem, da so materiali in izdelki s poreklom iz pogodbenic uporabnic, s katerimi je možna kumulacija na podlagi prehodnih pravil o poreklu.</w:t>
      </w:r>
    </w:p>
    <w:p w14:paraId="3BAA3237" w14:textId="77777777" w:rsidR="00353861" w:rsidRDefault="00353861" w:rsidP="00353861">
      <w:pPr>
        <w:pStyle w:val="ZADEVA"/>
        <w:tabs>
          <w:tab w:val="clear" w:pos="1701"/>
          <w:tab w:val="left" w:pos="0"/>
        </w:tabs>
        <w:ind w:left="0" w:firstLine="0"/>
        <w:jc w:val="both"/>
        <w:rPr>
          <w:b w:val="0"/>
          <w:bCs/>
          <w:lang w:val="sl-SI"/>
        </w:rPr>
      </w:pPr>
    </w:p>
    <w:p w14:paraId="0B554EB6"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Možnost prehajanja med dvema različnima sklopoma pravil o poreklu </w:t>
      </w:r>
      <w:r w:rsidRPr="00ED6E84">
        <w:rPr>
          <w:b w:val="0"/>
          <w:bCs/>
          <w:lang w:val="sl-SI"/>
        </w:rPr>
        <w:t>izhaja iz dejstva, da so prehodna pravila v večini primerov milejša od PEM pravil, kar pomeni, da če ima blago preferencialno poreklo v skladu s PEM pravili, ima preferencialno poreklo tudi v skladu s prehodnimi pravili o poreklu</w:t>
      </w:r>
      <w:r>
        <w:rPr>
          <w:b w:val="0"/>
          <w:bCs/>
          <w:lang w:val="sl-SI"/>
        </w:rPr>
        <w:t xml:space="preserve"> (to pa ne velja v obratni smeri, saj so prehodna pravila milejša)</w:t>
      </w:r>
      <w:r w:rsidRPr="00ED6E84">
        <w:rPr>
          <w:b w:val="0"/>
          <w:bCs/>
          <w:lang w:val="sl-SI"/>
        </w:rPr>
        <w:t>.</w:t>
      </w:r>
      <w:r>
        <w:rPr>
          <w:b w:val="0"/>
          <w:bCs/>
          <w:lang w:val="sl-SI"/>
        </w:rPr>
        <w:t xml:space="preserve"> Prehodna pravila pa so milejša od PEM pravil za izdelke, uvrščene v poglavja 1, 3, 16 (samo predelani ribiški izdelki) in poglavja od 25 do 97 HS.</w:t>
      </w:r>
    </w:p>
    <w:p w14:paraId="62B950B7" w14:textId="77777777" w:rsidR="00353861" w:rsidRDefault="00353861" w:rsidP="00353861">
      <w:pPr>
        <w:pStyle w:val="ZADEVA"/>
        <w:tabs>
          <w:tab w:val="clear" w:pos="1701"/>
          <w:tab w:val="left" w:pos="0"/>
        </w:tabs>
        <w:ind w:left="0" w:firstLine="0"/>
        <w:jc w:val="both"/>
        <w:rPr>
          <w:b w:val="0"/>
          <w:bCs/>
          <w:lang w:val="sl-SI"/>
        </w:rPr>
      </w:pPr>
    </w:p>
    <w:p w14:paraId="7A5A69F3" w14:textId="77777777" w:rsidR="00353861" w:rsidRDefault="009A75ED" w:rsidP="00353861">
      <w:pPr>
        <w:pStyle w:val="ZADEVA"/>
        <w:tabs>
          <w:tab w:val="clear" w:pos="1701"/>
          <w:tab w:val="left" w:pos="0"/>
        </w:tabs>
        <w:ind w:left="0" w:firstLine="0"/>
        <w:jc w:val="both"/>
        <w:rPr>
          <w:b w:val="0"/>
          <w:bCs/>
          <w:lang w:val="sl-SI"/>
        </w:rPr>
      </w:pPr>
      <w:r>
        <w:rPr>
          <w:b w:val="0"/>
          <w:bCs/>
          <w:lang w:val="sl-SI"/>
        </w:rPr>
        <w:t>Izvedbena uredba Komisije (EU) 2022/2334, z dne 29. novembra 2022, o spremembi Izvedbene uredbe Komisije (EU) 2015/2447 glede uporabe nadzora odločb v zvezi z zavezujočimi informacijami ter uvedbi prožnosti v postopkih za izdajanje ali sestavljanje dokazil o poreklu (</w:t>
      </w:r>
      <w:hyperlink r:id="rId9" w:history="1">
        <w:r w:rsidRPr="007572C1">
          <w:rPr>
            <w:rStyle w:val="Hiperpovezava"/>
            <w:b w:val="0"/>
            <w:bCs/>
            <w:lang w:val="sl-SI"/>
          </w:rPr>
          <w:t>Uradni list EU L 309</w:t>
        </w:r>
      </w:hyperlink>
      <w:r>
        <w:rPr>
          <w:b w:val="0"/>
          <w:bCs/>
          <w:lang w:val="sl-SI"/>
        </w:rPr>
        <w:t>, z dne 30. 11. 2022) spreminja člen 61 (Izjave dobavitelja in njihova uporaba) in člen 62 (Dolgoročna izjava dobavitelja) Izvedbene uredbe Komisije (EU) 2015/2447 (v nadaljnjem besedilu: izvedbena uredba) na način, da se v oba člena vstavita odstavka 1a in 1b, v Prilogah 22-15 (opomba (</w:t>
      </w:r>
      <w:r w:rsidRPr="00703380">
        <w:rPr>
          <w:b w:val="0"/>
          <w:bCs/>
          <w:vertAlign w:val="superscript"/>
          <w:lang w:val="sl-SI"/>
        </w:rPr>
        <w:t>3</w:t>
      </w:r>
      <w:r>
        <w:rPr>
          <w:b w:val="0"/>
          <w:bCs/>
          <w:lang w:val="sl-SI"/>
        </w:rPr>
        <w:t>)), 22-16 (opomba (</w:t>
      </w:r>
      <w:r w:rsidRPr="00703380">
        <w:rPr>
          <w:b w:val="0"/>
          <w:bCs/>
          <w:vertAlign w:val="superscript"/>
          <w:lang w:val="sl-SI"/>
        </w:rPr>
        <w:t>5</w:t>
      </w:r>
      <w:r>
        <w:rPr>
          <w:b w:val="0"/>
          <w:bCs/>
          <w:lang w:val="sl-SI"/>
        </w:rPr>
        <w:t>)), 22-17 (opombi (</w:t>
      </w:r>
      <w:r w:rsidRPr="00703380">
        <w:rPr>
          <w:b w:val="0"/>
          <w:bCs/>
          <w:vertAlign w:val="superscript"/>
          <w:lang w:val="sl-SI"/>
        </w:rPr>
        <w:t>4</w:t>
      </w:r>
      <w:r>
        <w:rPr>
          <w:b w:val="0"/>
          <w:bCs/>
          <w:lang w:val="sl-SI"/>
        </w:rPr>
        <w:t>) in (</w:t>
      </w:r>
      <w:r w:rsidRPr="00703380">
        <w:rPr>
          <w:b w:val="0"/>
          <w:bCs/>
          <w:vertAlign w:val="superscript"/>
          <w:lang w:val="sl-SI"/>
        </w:rPr>
        <w:t>5</w:t>
      </w:r>
      <w:r>
        <w:rPr>
          <w:b w:val="0"/>
          <w:bCs/>
          <w:lang w:val="sl-SI"/>
        </w:rPr>
        <w:t>)) in 22-18 (opombi (</w:t>
      </w:r>
      <w:r w:rsidRPr="00703380">
        <w:rPr>
          <w:b w:val="0"/>
          <w:bCs/>
          <w:vertAlign w:val="superscript"/>
          <w:lang w:val="sl-SI"/>
        </w:rPr>
        <w:t>5</w:t>
      </w:r>
      <w:r>
        <w:rPr>
          <w:b w:val="0"/>
          <w:bCs/>
          <w:lang w:val="sl-SI"/>
        </w:rPr>
        <w:t>) in (</w:t>
      </w:r>
      <w:r w:rsidRPr="00703380">
        <w:rPr>
          <w:b w:val="0"/>
          <w:bCs/>
          <w:vertAlign w:val="superscript"/>
          <w:lang w:val="sl-SI"/>
        </w:rPr>
        <w:t>6</w:t>
      </w:r>
      <w:r>
        <w:rPr>
          <w:b w:val="0"/>
          <w:bCs/>
          <w:lang w:val="sl-SI"/>
        </w:rPr>
        <w:t xml:space="preserve">)), v katerih se nahajajo besedila izjav dobavitelja, pa so navedene opombe nadomeščene z novim besedilom. </w:t>
      </w:r>
    </w:p>
    <w:p w14:paraId="799F7793" w14:textId="77777777" w:rsidR="00353861" w:rsidRDefault="00353861" w:rsidP="00353861">
      <w:pPr>
        <w:pStyle w:val="ZADEVA"/>
        <w:tabs>
          <w:tab w:val="clear" w:pos="1701"/>
          <w:tab w:val="left" w:pos="0"/>
        </w:tabs>
        <w:ind w:left="0" w:firstLine="0"/>
        <w:jc w:val="both"/>
        <w:rPr>
          <w:b w:val="0"/>
          <w:bCs/>
          <w:lang w:val="sl-SI"/>
        </w:rPr>
      </w:pPr>
    </w:p>
    <w:p w14:paraId="75BB3C9C"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Vstavljena odstavka 1a in 1b v členih 61 in 62 izvedbene uredbe določata, da se lahko v trgovini med pogodbenicami Regionalne konvencije, kjer se uporabljata dva ali več sklopov pravil o poreklu, preferencialno poreklo blaga določi v skladu z enim ali več sklopi pravil o poreklu. Dobavitelji v izjavi dobavitelja navedejo pravni okvir, ki je bil uporabljen za določitev porekla blaga. Če tak pravni okvir v izjavi dobavitelja ni naveden, se privzeto šteje, da so bila za določitev porekla blaga uporabljena PEM pravila. Za namene trgovine med pogodbenicami Regionalne konvencije lahko izvoznik uporabi izjave dobavitelja kot dokazilne listine za vložitev zahtevka za izdajo potrdila o gibanju blaga EUR.1 v skladu s prehodnimi pravili ali za sestavo izjave o poreklu v skladu s prehodnimi pravili, ki se uporabljajo vzporedno s PEM pravili, če je v izjavi dobavitelja naveden status blaga s poreklom v skladu s PEM pravili za izdelke, uvrščene v poglavja 1, 3 in 16 (samo predelani ribiški izdelki) in poglavja od 25 do 97 HS, in če se ni uporabila kumulacija s pogodbenico Regionalne konvencije, ki uporablja samo PEM </w:t>
      </w:r>
      <w:r>
        <w:rPr>
          <w:b w:val="0"/>
          <w:bCs/>
          <w:lang w:val="sl-SI"/>
        </w:rPr>
        <w:lastRenderedPageBreak/>
        <w:t>pravila. Izvoznik sprejme vse potrebne ukrepe za zagotovitev, da so izpolnjeni pogoji za izdajo ali sestavo dokazila o poreklu v skladu s specifičnim sklopom pravil o poreklu.</w:t>
      </w:r>
    </w:p>
    <w:p w14:paraId="2B111067" w14:textId="77777777" w:rsidR="00353861" w:rsidRDefault="00353861" w:rsidP="00353861">
      <w:pPr>
        <w:pStyle w:val="ZADEVA"/>
        <w:tabs>
          <w:tab w:val="clear" w:pos="1701"/>
          <w:tab w:val="left" w:pos="0"/>
        </w:tabs>
        <w:ind w:left="0" w:firstLine="0"/>
        <w:jc w:val="both"/>
        <w:rPr>
          <w:b w:val="0"/>
          <w:bCs/>
          <w:lang w:val="sl-SI"/>
        </w:rPr>
      </w:pPr>
    </w:p>
    <w:p w14:paraId="48AF1044" w14:textId="77777777" w:rsidR="00353861" w:rsidRDefault="009A75ED" w:rsidP="00353861">
      <w:pPr>
        <w:pStyle w:val="ZADEVA"/>
        <w:tabs>
          <w:tab w:val="clear" w:pos="1701"/>
          <w:tab w:val="left" w:pos="0"/>
        </w:tabs>
        <w:ind w:left="0" w:firstLine="0"/>
        <w:jc w:val="both"/>
        <w:rPr>
          <w:b w:val="0"/>
          <w:bCs/>
          <w:lang w:val="sl-SI"/>
        </w:rPr>
      </w:pPr>
      <w:r>
        <w:rPr>
          <w:b w:val="0"/>
          <w:bCs/>
          <w:lang w:val="sl-SI"/>
        </w:rPr>
        <w:t>V praksi v</w:t>
      </w:r>
      <w:r w:rsidRPr="009C7598">
        <w:rPr>
          <w:b w:val="0"/>
          <w:bCs/>
          <w:lang w:val="sl-SI"/>
        </w:rPr>
        <w:t>stavljena odstavka 1a in 1b v členih 61 in 62 izvedbene uredbe</w:t>
      </w:r>
      <w:r>
        <w:rPr>
          <w:b w:val="0"/>
          <w:bCs/>
          <w:lang w:val="sl-SI"/>
        </w:rPr>
        <w:t xml:space="preserve"> pomenita, da imajo izdelki iz poglavij </w:t>
      </w:r>
      <w:r w:rsidRPr="009C7598">
        <w:rPr>
          <w:b w:val="0"/>
          <w:bCs/>
          <w:lang w:val="sl-SI"/>
        </w:rPr>
        <w:t>1, 3</w:t>
      </w:r>
      <w:r>
        <w:rPr>
          <w:b w:val="0"/>
          <w:bCs/>
          <w:lang w:val="sl-SI"/>
        </w:rPr>
        <w:t xml:space="preserve">, </w:t>
      </w:r>
      <w:r w:rsidRPr="009C7598">
        <w:rPr>
          <w:b w:val="0"/>
          <w:bCs/>
          <w:lang w:val="sl-SI"/>
        </w:rPr>
        <w:t>16 (samo predelani ribiški izdelki) in poglav</w:t>
      </w:r>
      <w:r>
        <w:rPr>
          <w:b w:val="0"/>
          <w:bCs/>
          <w:lang w:val="sl-SI"/>
        </w:rPr>
        <w:t>i</w:t>
      </w:r>
      <w:r w:rsidRPr="009C7598">
        <w:rPr>
          <w:b w:val="0"/>
          <w:bCs/>
          <w:lang w:val="sl-SI"/>
        </w:rPr>
        <w:t>j od 25 do 97 HS</w:t>
      </w:r>
      <w:r>
        <w:rPr>
          <w:b w:val="0"/>
          <w:bCs/>
          <w:lang w:val="sl-SI"/>
        </w:rPr>
        <w:t xml:space="preserve"> ne glede na to, ali je v izjavi dobavitelja naveden pravni okvir (PEM pravila, prehodna pravila), v skladu s katerim se lahko izdelki štejejo za izdelke s poreklom, ali ne, ti izdelki poreklo v skladu s prehodnimi pravili o poreklu, če se ni uporabila kumulacija s pogodbenico Regionalne konvencije, ki ne uporablja prehodnih pravil. Navedeno tudi pomeni, da je v določenih primerih možno prehajati med dvema sklopoma pravil o poreklu oziroma, da je v določenih primerih izjava dobavitelja, sestavljena za izdelke, ki imajo preferencialno poreklo v skladu s PEM pravili (opomba: to velja tudi, ko ni navedena pravna podlaga v izjavi dobavitelja), enakovredna izjavi dobavitelja, sestavljeni za izdelke, ki imajo preferencialno poreklo v skladu s prehodnimi pravili.  </w:t>
      </w:r>
    </w:p>
    <w:p w14:paraId="7F0FDA2A" w14:textId="77777777" w:rsidR="00353861" w:rsidRDefault="00353861" w:rsidP="00353861">
      <w:pPr>
        <w:pStyle w:val="ZADEVA"/>
        <w:tabs>
          <w:tab w:val="clear" w:pos="1701"/>
          <w:tab w:val="left" w:pos="0"/>
        </w:tabs>
        <w:ind w:left="0" w:firstLine="0"/>
        <w:jc w:val="both"/>
        <w:rPr>
          <w:b w:val="0"/>
          <w:bCs/>
          <w:lang w:val="sl-SI"/>
        </w:rPr>
      </w:pPr>
    </w:p>
    <w:p w14:paraId="1E3178D1" w14:textId="77777777" w:rsidR="00353861" w:rsidRDefault="009A75ED" w:rsidP="00353861">
      <w:pPr>
        <w:pStyle w:val="ZADEVA"/>
        <w:tabs>
          <w:tab w:val="clear" w:pos="1701"/>
          <w:tab w:val="left" w:pos="0"/>
        </w:tabs>
        <w:ind w:left="0" w:firstLine="0"/>
        <w:jc w:val="both"/>
        <w:rPr>
          <w:b w:val="0"/>
          <w:bCs/>
          <w:lang w:val="sl-SI"/>
        </w:rPr>
      </w:pPr>
      <w:r>
        <w:rPr>
          <w:b w:val="0"/>
          <w:bCs/>
          <w:lang w:val="sl-SI"/>
        </w:rPr>
        <w:t xml:space="preserve">Praktični primeri:    </w:t>
      </w:r>
    </w:p>
    <w:p w14:paraId="6AF4B1A1" w14:textId="77777777" w:rsidR="00353861" w:rsidRDefault="00353861" w:rsidP="00353861">
      <w:pPr>
        <w:pStyle w:val="ZADEVA"/>
        <w:tabs>
          <w:tab w:val="clear" w:pos="1701"/>
          <w:tab w:val="left" w:pos="0"/>
        </w:tabs>
        <w:ind w:left="0" w:firstLine="0"/>
        <w:jc w:val="both"/>
        <w:rPr>
          <w:b w:val="0"/>
          <w:bCs/>
          <w:lang w:val="sl-SI"/>
        </w:rPr>
      </w:pPr>
    </w:p>
    <w:p w14:paraId="484F672C" w14:textId="77777777" w:rsidR="00353861" w:rsidRDefault="009A75ED" w:rsidP="00353861">
      <w:pPr>
        <w:pStyle w:val="ZADEVA"/>
        <w:numPr>
          <w:ilvl w:val="0"/>
          <w:numId w:val="6"/>
        </w:numPr>
        <w:tabs>
          <w:tab w:val="clear" w:pos="1701"/>
          <w:tab w:val="left" w:pos="0"/>
        </w:tabs>
        <w:jc w:val="both"/>
        <w:rPr>
          <w:b w:val="0"/>
          <w:bCs/>
          <w:lang w:val="sl-SI"/>
        </w:rPr>
      </w:pPr>
      <w:r>
        <w:rPr>
          <w:b w:val="0"/>
          <w:bCs/>
          <w:lang w:val="sl-SI"/>
        </w:rPr>
        <w:t xml:space="preserve">za izdelke iz poglavja 29 HS je sestavljena izjava dobavitelja, v kateri je navedeno, da imajo izdelki preferencialno EU poreklo, da se kumulacija ni uporabila, ter da ti izdelki izpolnjujejo pravila o poreklu, ki urejajo preferencialno trgovino z državami EFTE (CH (+LI), IS, NO) in državami zahodnega Balkana (AL, BA, KO, ME, MK, RS). Pravni okvir v izjavi dobavitelja ni naveden. Izvoznik, ki so mu bili ti izdelki dobavljeni in je bila zanje sestavljena izjava dobavitelja, kot je navedeno zgoraj, lahko te izdelke v nespremenjenem stanju izvozi iz EU v države EFTE, AL, KO, MK, RS, ali ME in na osnovi te izjave dobavitelja sestavi izjavo o poreklu v skladu s prehodnimi pravili ali </w:t>
      </w:r>
      <w:r w:rsidRPr="00B81A7A">
        <w:rPr>
          <w:b w:val="0"/>
          <w:bCs/>
          <w:lang w:val="sl-SI"/>
        </w:rPr>
        <w:t>vloži zahtevek za izdajo potrdila o gibanju blaga EUR.1 v skladu s prehodnimi pravili</w:t>
      </w:r>
      <w:r>
        <w:rPr>
          <w:b w:val="0"/>
          <w:bCs/>
          <w:lang w:val="sl-SI"/>
        </w:rPr>
        <w:t>. Za izvoz v BA se dokazilo o poreklu v skladu s prehodnimi pravili ne more sestaviti oziroma izdati, saj se prehodna pravila z BA še ne uporabljajo (BA uporablja samo PEM pravila);</w:t>
      </w:r>
    </w:p>
    <w:p w14:paraId="2935DC3A" w14:textId="77777777" w:rsidR="00353861" w:rsidRDefault="009A75ED" w:rsidP="00353861">
      <w:pPr>
        <w:pStyle w:val="ZADEVA"/>
        <w:numPr>
          <w:ilvl w:val="0"/>
          <w:numId w:val="6"/>
        </w:numPr>
        <w:tabs>
          <w:tab w:val="clear" w:pos="1701"/>
          <w:tab w:val="left" w:pos="0"/>
        </w:tabs>
        <w:jc w:val="both"/>
        <w:rPr>
          <w:b w:val="0"/>
          <w:bCs/>
          <w:lang w:val="sl-SI"/>
        </w:rPr>
      </w:pPr>
      <w:r w:rsidRPr="00B81A7A">
        <w:rPr>
          <w:b w:val="0"/>
          <w:bCs/>
          <w:lang w:val="sl-SI"/>
        </w:rPr>
        <w:t xml:space="preserve">za izdelke iz poglavja 29 HS je sestavljena izjava dobavitelja, v kateri je navedeno, da imajo izdelki preferencialno </w:t>
      </w:r>
      <w:r>
        <w:rPr>
          <w:b w:val="0"/>
          <w:bCs/>
          <w:lang w:val="sl-SI"/>
        </w:rPr>
        <w:t>BA</w:t>
      </w:r>
      <w:r w:rsidRPr="00B81A7A">
        <w:rPr>
          <w:b w:val="0"/>
          <w:bCs/>
          <w:lang w:val="sl-SI"/>
        </w:rPr>
        <w:t xml:space="preserve"> poreklo, da se kumulacija ni uporabila, ter da ti izdelki izpolnjujejo pravila o poreklu, ki urejajo preferencialno trgovino z državami EFTE in državami zahodnega Balkana. Pravni okvir v izjavi dobavitelja ni naveden. </w:t>
      </w:r>
      <w:r>
        <w:rPr>
          <w:b w:val="0"/>
          <w:bCs/>
          <w:lang w:val="sl-SI"/>
        </w:rPr>
        <w:t>Če izvoznik</w:t>
      </w:r>
      <w:r w:rsidRPr="00B81A7A">
        <w:rPr>
          <w:b w:val="0"/>
          <w:bCs/>
          <w:lang w:val="sl-SI"/>
        </w:rPr>
        <w:t xml:space="preserve">, ki so mu bili ti izdelki dobavljeni in je bila zanje sestavljena izjava dobavitelja, kot je navedeno zgoraj, te izdelke </w:t>
      </w:r>
      <w:r>
        <w:rPr>
          <w:b w:val="0"/>
          <w:bCs/>
          <w:lang w:val="sl-SI"/>
        </w:rPr>
        <w:t xml:space="preserve">v nespremenjenem stanju </w:t>
      </w:r>
      <w:r w:rsidRPr="00B81A7A">
        <w:rPr>
          <w:b w:val="0"/>
          <w:bCs/>
          <w:lang w:val="sl-SI"/>
        </w:rPr>
        <w:t xml:space="preserve">izvozi </w:t>
      </w:r>
      <w:r>
        <w:rPr>
          <w:b w:val="0"/>
          <w:bCs/>
          <w:lang w:val="sl-SI"/>
        </w:rPr>
        <w:t xml:space="preserve">iz EU </w:t>
      </w:r>
      <w:r w:rsidRPr="00B81A7A">
        <w:rPr>
          <w:b w:val="0"/>
          <w:bCs/>
          <w:lang w:val="sl-SI"/>
        </w:rPr>
        <w:t xml:space="preserve">v </w:t>
      </w:r>
      <w:r>
        <w:rPr>
          <w:b w:val="0"/>
          <w:bCs/>
          <w:lang w:val="sl-SI"/>
        </w:rPr>
        <w:t xml:space="preserve">Švico, lahko na osnovi te izjave dobavitelja </w:t>
      </w:r>
      <w:r w:rsidRPr="00B81A7A">
        <w:rPr>
          <w:b w:val="0"/>
          <w:bCs/>
          <w:lang w:val="sl-SI"/>
        </w:rPr>
        <w:t xml:space="preserve">sestavi izjavo o poreklu </w:t>
      </w:r>
      <w:r>
        <w:rPr>
          <w:b w:val="0"/>
          <w:bCs/>
          <w:lang w:val="sl-SI"/>
        </w:rPr>
        <w:t xml:space="preserve">zgolj </w:t>
      </w:r>
      <w:r w:rsidRPr="00B81A7A">
        <w:rPr>
          <w:b w:val="0"/>
          <w:bCs/>
          <w:lang w:val="sl-SI"/>
        </w:rPr>
        <w:t xml:space="preserve">v skladu s </w:t>
      </w:r>
      <w:r>
        <w:rPr>
          <w:b w:val="0"/>
          <w:bCs/>
          <w:lang w:val="sl-SI"/>
        </w:rPr>
        <w:t xml:space="preserve">PEM pravili </w:t>
      </w:r>
      <w:r w:rsidRPr="00B81A7A">
        <w:rPr>
          <w:b w:val="0"/>
          <w:bCs/>
          <w:lang w:val="sl-SI"/>
        </w:rPr>
        <w:t xml:space="preserve">ali vloži zahtevek za izdajo potrdila o gibanju blaga EUR.1 </w:t>
      </w:r>
      <w:r>
        <w:rPr>
          <w:b w:val="0"/>
          <w:bCs/>
          <w:lang w:val="sl-SI"/>
        </w:rPr>
        <w:t xml:space="preserve">zgolj </w:t>
      </w:r>
      <w:r w:rsidRPr="00B81A7A">
        <w:rPr>
          <w:b w:val="0"/>
          <w:bCs/>
          <w:lang w:val="sl-SI"/>
        </w:rPr>
        <w:t xml:space="preserve">v skladu s </w:t>
      </w:r>
      <w:r>
        <w:rPr>
          <w:b w:val="0"/>
          <w:bCs/>
          <w:lang w:val="sl-SI"/>
        </w:rPr>
        <w:t xml:space="preserve">PEM pravili, saj se prehodna pravila z BA še ne uporabljajo (BA uporablja samo PEM pravila); </w:t>
      </w:r>
    </w:p>
    <w:p w14:paraId="124E5D5D" w14:textId="77777777" w:rsidR="00353861" w:rsidRPr="00580B13" w:rsidRDefault="009A75ED" w:rsidP="00353861">
      <w:pPr>
        <w:pStyle w:val="Odstavekseznama"/>
        <w:numPr>
          <w:ilvl w:val="0"/>
          <w:numId w:val="6"/>
        </w:numPr>
        <w:jc w:val="both"/>
        <w:rPr>
          <w:bCs/>
          <w:lang w:val="sl-SI"/>
        </w:rPr>
      </w:pPr>
      <w:r w:rsidRPr="00580B13">
        <w:rPr>
          <w:bCs/>
          <w:lang w:val="sl-SI"/>
        </w:rPr>
        <w:t>za izdelke iz poglavja 29 HS je sestavljena izjava dobavitelja</w:t>
      </w:r>
      <w:r>
        <w:rPr>
          <w:bCs/>
          <w:lang w:val="sl-SI"/>
        </w:rPr>
        <w:t xml:space="preserve">, </w:t>
      </w:r>
      <w:r w:rsidRPr="00580B13">
        <w:rPr>
          <w:bCs/>
          <w:lang w:val="sl-SI"/>
        </w:rPr>
        <w:t xml:space="preserve">v kateri je navedeno, da imajo izdelki preferencialno </w:t>
      </w:r>
      <w:r>
        <w:rPr>
          <w:bCs/>
          <w:lang w:val="sl-SI"/>
        </w:rPr>
        <w:t>EU</w:t>
      </w:r>
      <w:r w:rsidRPr="00580B13">
        <w:rPr>
          <w:bCs/>
          <w:lang w:val="sl-SI"/>
        </w:rPr>
        <w:t xml:space="preserve"> poreklo, da se </w:t>
      </w:r>
      <w:r>
        <w:rPr>
          <w:bCs/>
          <w:lang w:val="sl-SI"/>
        </w:rPr>
        <w:t xml:space="preserve">je </w:t>
      </w:r>
      <w:r w:rsidRPr="00580B13">
        <w:rPr>
          <w:bCs/>
          <w:lang w:val="sl-SI"/>
        </w:rPr>
        <w:t>kumulacija uporabila</w:t>
      </w:r>
      <w:r>
        <w:rPr>
          <w:bCs/>
          <w:lang w:val="sl-SI"/>
        </w:rPr>
        <w:t xml:space="preserve"> z BA</w:t>
      </w:r>
      <w:r w:rsidRPr="00580B13">
        <w:rPr>
          <w:bCs/>
          <w:lang w:val="sl-SI"/>
        </w:rPr>
        <w:t xml:space="preserve">, ter da ti izdelki izpolnjujejo pravila o poreklu, ki urejajo preferencialno trgovino z državami EFTE in državami zahodnega Balkana. Pravni okvir v izjavi dobavitelja ni naveden. </w:t>
      </w:r>
      <w:r>
        <w:rPr>
          <w:bCs/>
          <w:lang w:val="sl-SI"/>
        </w:rPr>
        <w:t>Če i</w:t>
      </w:r>
      <w:r w:rsidRPr="00580B13">
        <w:rPr>
          <w:bCs/>
          <w:lang w:val="sl-SI"/>
        </w:rPr>
        <w:t xml:space="preserve">zvoznik, ki so mu bili ti izdelki dobavljeni in je bila zanje sestavljena izjava dobavitelja, kot je navedeno zgoraj, </w:t>
      </w:r>
      <w:r>
        <w:rPr>
          <w:bCs/>
          <w:lang w:val="sl-SI"/>
        </w:rPr>
        <w:t xml:space="preserve">te izdelke v nespremenjenem stanju izvozi iz EU v Švico, </w:t>
      </w:r>
      <w:r w:rsidRPr="00786A36">
        <w:rPr>
          <w:bCs/>
          <w:lang w:val="sl-SI"/>
        </w:rPr>
        <w:t>lahko na osnovi te izjave dobavitelja sestavi</w:t>
      </w:r>
      <w:r>
        <w:rPr>
          <w:bCs/>
          <w:lang w:val="sl-SI"/>
        </w:rPr>
        <w:t xml:space="preserve"> le</w:t>
      </w:r>
      <w:r w:rsidRPr="00786A36">
        <w:rPr>
          <w:bCs/>
          <w:lang w:val="sl-SI"/>
        </w:rPr>
        <w:t xml:space="preserve"> izjavo o poreklu zgolj v skladu s PEM pravili ali vloži zahtevek za izdajo potrdila o gibanju blaga EUR.1 zgolj v skladu s PEM pravili, </w:t>
      </w:r>
      <w:r>
        <w:rPr>
          <w:bCs/>
          <w:lang w:val="sl-SI"/>
        </w:rPr>
        <w:t>saj se je uporabila kumulacija z BA, ki uporablja samo PEM pravila;</w:t>
      </w:r>
      <w:r w:rsidRPr="00580B13">
        <w:rPr>
          <w:bCs/>
          <w:lang w:val="sl-SI"/>
        </w:rPr>
        <w:t xml:space="preserve"> </w:t>
      </w:r>
    </w:p>
    <w:p w14:paraId="6360666A" w14:textId="77777777" w:rsidR="00353861" w:rsidRDefault="009A75ED" w:rsidP="00353861">
      <w:pPr>
        <w:pStyle w:val="ZADEVA"/>
        <w:numPr>
          <w:ilvl w:val="0"/>
          <w:numId w:val="6"/>
        </w:numPr>
        <w:tabs>
          <w:tab w:val="clear" w:pos="1701"/>
          <w:tab w:val="left" w:pos="0"/>
        </w:tabs>
        <w:jc w:val="both"/>
        <w:rPr>
          <w:b w:val="0"/>
          <w:bCs/>
          <w:lang w:val="sl-SI"/>
        </w:rPr>
      </w:pPr>
      <w:r>
        <w:rPr>
          <w:b w:val="0"/>
          <w:bCs/>
          <w:lang w:val="sl-SI"/>
        </w:rPr>
        <w:t>izvoznik izvaža izdelke iz EU v RS. Pri izdelavi teh izdelkov uporabi materiale s poreklom iz EU, CH in ME, za katere je bila sestavljena izjava dobavitelja (kumulacija se ni uporabila, materiali izpolnjujejo PEM pravila o poreklu za izvoz v RS). Pri izdelavi uporabljeni materiali se štejejo za materiale s poreklom (ni treba, da so ti materiali zadosti obdelani ali predelani) v skladu z obema sklopoma pravil o poreklu, ob izvozu iz EU v Srbijo lahko izvoznik sestavi izjavo o poreklu ali vloži zahtevek za izdajo potrdila o gibanju blaga EUR.1 v skladu z obema sklopoma pravil;</w:t>
      </w:r>
    </w:p>
    <w:p w14:paraId="0445E21A" w14:textId="77777777" w:rsidR="00353861" w:rsidRDefault="009A75ED" w:rsidP="00353861">
      <w:pPr>
        <w:pStyle w:val="ZADEVA"/>
        <w:numPr>
          <w:ilvl w:val="0"/>
          <w:numId w:val="6"/>
        </w:numPr>
        <w:tabs>
          <w:tab w:val="clear" w:pos="1701"/>
          <w:tab w:val="left" w:pos="0"/>
        </w:tabs>
        <w:jc w:val="both"/>
        <w:rPr>
          <w:b w:val="0"/>
          <w:bCs/>
          <w:lang w:val="sl-SI"/>
        </w:rPr>
      </w:pPr>
      <w:r>
        <w:rPr>
          <w:b w:val="0"/>
          <w:bCs/>
          <w:lang w:val="sl-SI"/>
        </w:rPr>
        <w:lastRenderedPageBreak/>
        <w:t xml:space="preserve">izvoznik izvaža izdelke iz EU na NO. Pri izdelavi teh izdelkov uporabi materiale s poreklom iz AL, BA, MK, RS in CH, za katere je bila sestavljena izjava dobavitelja (kumulacija se ni uporabila, materiali izpolnjujejo PEM pravila o poreklu za izvoz na NO). Če želi izvoznik v tem primeru sestaviti izjavo o poreklu v skladu s prehodnimi pravili ali vloži zahtevek za izdajo potrdila o gibanju blaga EUR.1 v skladu s prehodnimi pravili, mora šteti materiale s preferencialnim BA poreklom za materiale brez porekla (ker BA še ne uporablja prehodnih pravil z EU), kar pomeni, da mora biti v tem primeru izpolnjeno pravilo iz Priloge II Dodatka A (seznam obdelav ali predelav), v primeru sestave izjave o poreklu v skladu s PEM pravili ali vložitve zahtevka za izdajo potrdila o gibanju blaga EUR.1 v skladu s PEM pravili pa lahko šteje vse materiale za materiale s poreklom.  </w:t>
      </w:r>
    </w:p>
    <w:p w14:paraId="07FFC103" w14:textId="77777777" w:rsidR="00353861" w:rsidRDefault="00353861" w:rsidP="00353861">
      <w:pPr>
        <w:pStyle w:val="ZADEVA"/>
        <w:tabs>
          <w:tab w:val="clear" w:pos="1701"/>
          <w:tab w:val="left" w:pos="0"/>
        </w:tabs>
        <w:jc w:val="both"/>
        <w:rPr>
          <w:b w:val="0"/>
          <w:bCs/>
          <w:lang w:val="sl-SI"/>
        </w:rPr>
      </w:pPr>
    </w:p>
    <w:p w14:paraId="799C4117" w14:textId="77777777" w:rsidR="00353861" w:rsidRDefault="009A75ED" w:rsidP="00353861">
      <w:pPr>
        <w:pStyle w:val="ZADEVA"/>
        <w:tabs>
          <w:tab w:val="clear" w:pos="1701"/>
          <w:tab w:val="left" w:pos="0"/>
        </w:tabs>
        <w:ind w:left="0" w:firstLine="0"/>
        <w:jc w:val="both"/>
        <w:rPr>
          <w:b w:val="0"/>
          <w:bCs/>
          <w:lang w:val="sl-SI"/>
        </w:rPr>
      </w:pPr>
      <w:r>
        <w:rPr>
          <w:b w:val="0"/>
          <w:bCs/>
          <w:lang w:val="sl-SI"/>
        </w:rPr>
        <w:t>Zaključujemo, da je ne glede na možnost prehajanja med dvema sklopoma pravil o poreklu v določenih primerih, ki ga omogoča spremenjena izvedbena uredba, v okviru PEM pravil možna kumulacija z več državami</w:t>
      </w:r>
      <w:r>
        <w:rPr>
          <w:rStyle w:val="Sprotnaopomba-sklic"/>
          <w:b w:val="0"/>
          <w:bCs/>
          <w:lang w:val="sl-SI"/>
        </w:rPr>
        <w:footnoteReference w:id="3"/>
      </w:r>
      <w:r>
        <w:rPr>
          <w:b w:val="0"/>
          <w:bCs/>
          <w:lang w:val="sl-SI"/>
        </w:rPr>
        <w:t xml:space="preserve"> kot v okviru prehodnih pravil</w:t>
      </w:r>
      <w:r>
        <w:rPr>
          <w:rStyle w:val="Sprotnaopomba-sklic"/>
          <w:b w:val="0"/>
          <w:bCs/>
          <w:lang w:val="sl-SI"/>
        </w:rPr>
        <w:footnoteReference w:id="4"/>
      </w:r>
      <w:r>
        <w:rPr>
          <w:b w:val="0"/>
          <w:bCs/>
          <w:lang w:val="sl-SI"/>
        </w:rPr>
        <w:t xml:space="preserve">. Prehodna pravila pa so zelo koristna v primerih, ko izvoznik  izdelke, ki jih izvaža v pogodbenice uporabnice, izdeluje tudi iz materialov brez porekla, saj lahko v tem primeru izdelek pridobi preferencialno EU poreklo na osnovi blažjih prehodnih pravil (ni npr. nujno, da bi isti izdelek pridobil poreklo na podlagi strožjih pravil iz seznama zadostnih obdelav ali predelav v skladu s PEM pravili o poreklu). V praksi to pomeni, da lahko ob dodatni uporabi prehodnih pravil o poreklu več izdelkov pridobi preferencialno poreklo in posledično koristi preferencialno obravnavo. </w:t>
      </w:r>
    </w:p>
    <w:p w14:paraId="7A7A079D" w14:textId="77777777" w:rsidR="00353861" w:rsidRDefault="00353861" w:rsidP="00353861">
      <w:pPr>
        <w:pStyle w:val="ZADEVA"/>
        <w:tabs>
          <w:tab w:val="clear" w:pos="1701"/>
          <w:tab w:val="left" w:pos="0"/>
        </w:tabs>
        <w:ind w:left="0" w:firstLine="0"/>
        <w:jc w:val="both"/>
        <w:rPr>
          <w:b w:val="0"/>
          <w:bCs/>
          <w:lang w:val="sl-SI"/>
        </w:rPr>
      </w:pPr>
    </w:p>
    <w:p w14:paraId="36830068" w14:textId="77777777" w:rsidR="00353861" w:rsidRDefault="009A75ED" w:rsidP="00353861">
      <w:pPr>
        <w:pStyle w:val="ZADEVA"/>
        <w:tabs>
          <w:tab w:val="clear" w:pos="1701"/>
          <w:tab w:val="left" w:pos="0"/>
        </w:tabs>
        <w:ind w:left="0" w:firstLine="0"/>
        <w:jc w:val="both"/>
        <w:rPr>
          <w:b w:val="0"/>
          <w:bCs/>
          <w:lang w:val="sl-SI"/>
        </w:rPr>
      </w:pPr>
      <w:r>
        <w:rPr>
          <w:b w:val="0"/>
          <w:bCs/>
          <w:lang w:val="sl-SI"/>
        </w:rPr>
        <w:t>Novo, nadomeščeno besedilo opombe (</w:t>
      </w:r>
      <w:r w:rsidRPr="00AB0263">
        <w:rPr>
          <w:b w:val="0"/>
          <w:bCs/>
          <w:vertAlign w:val="superscript"/>
          <w:lang w:val="sl-SI"/>
        </w:rPr>
        <w:t>3</w:t>
      </w:r>
      <w:r>
        <w:rPr>
          <w:b w:val="0"/>
          <w:bCs/>
          <w:lang w:val="sl-SI"/>
        </w:rPr>
        <w:t>) v Prilogi 22-15 in opombe (</w:t>
      </w:r>
      <w:r w:rsidRPr="00AB0263">
        <w:rPr>
          <w:b w:val="0"/>
          <w:bCs/>
          <w:vertAlign w:val="superscript"/>
          <w:lang w:val="sl-SI"/>
        </w:rPr>
        <w:t>5</w:t>
      </w:r>
      <w:r>
        <w:rPr>
          <w:b w:val="0"/>
          <w:bCs/>
          <w:lang w:val="sl-SI"/>
        </w:rPr>
        <w:t>) v Prilogi 22-16 izvedbene uredbe se nanaša na navedbo pravnega okvirja, ki je bilo uporabljeno za določitev porekla blaga (PEM pravila / prehodna pravila), kadar je preferencialno poreklo mogoče pridobiti v skladu z več kot enim sklopom pravil o poreklu. Če pravni okvir v izjavi dobavitelja ni naveden, se privzeto šteje, da imajo izdelki preferencialno poreklo v skladu s PEM pravili.</w:t>
      </w:r>
    </w:p>
    <w:p w14:paraId="5AB35EAF" w14:textId="77777777" w:rsidR="00353861" w:rsidRDefault="00353861" w:rsidP="00353861">
      <w:pPr>
        <w:pStyle w:val="ZADEVA"/>
        <w:tabs>
          <w:tab w:val="clear" w:pos="1701"/>
          <w:tab w:val="left" w:pos="0"/>
        </w:tabs>
        <w:ind w:left="0" w:firstLine="0"/>
        <w:jc w:val="both"/>
        <w:rPr>
          <w:b w:val="0"/>
          <w:bCs/>
          <w:lang w:val="sl-SI"/>
        </w:rPr>
      </w:pPr>
    </w:p>
    <w:p w14:paraId="2E4455AA" w14:textId="77777777" w:rsidR="00353861" w:rsidRDefault="009A75ED" w:rsidP="00353861">
      <w:pPr>
        <w:pStyle w:val="ZADEVA"/>
        <w:tabs>
          <w:tab w:val="clear" w:pos="1701"/>
          <w:tab w:val="left" w:pos="0"/>
        </w:tabs>
        <w:ind w:left="0" w:firstLine="0"/>
        <w:jc w:val="both"/>
        <w:rPr>
          <w:b w:val="0"/>
          <w:bCs/>
          <w:lang w:val="sl-SI"/>
        </w:rPr>
      </w:pPr>
      <w:r>
        <w:rPr>
          <w:b w:val="0"/>
          <w:bCs/>
          <w:lang w:val="sl-SI"/>
        </w:rPr>
        <w:t>V novem, nadomeščenem besedilu opomb (</w:t>
      </w:r>
      <w:r w:rsidRPr="00F62976">
        <w:rPr>
          <w:b w:val="0"/>
          <w:bCs/>
          <w:vertAlign w:val="superscript"/>
          <w:lang w:val="sl-SI"/>
        </w:rPr>
        <w:t>4</w:t>
      </w:r>
      <w:r>
        <w:rPr>
          <w:b w:val="0"/>
          <w:bCs/>
          <w:lang w:val="sl-SI"/>
        </w:rPr>
        <w:t>) in (</w:t>
      </w:r>
      <w:r w:rsidRPr="00F62976">
        <w:rPr>
          <w:b w:val="0"/>
          <w:bCs/>
          <w:vertAlign w:val="superscript"/>
          <w:lang w:val="sl-SI"/>
        </w:rPr>
        <w:t>5</w:t>
      </w:r>
      <w:r>
        <w:rPr>
          <w:b w:val="0"/>
          <w:bCs/>
          <w:lang w:val="sl-SI"/>
        </w:rPr>
        <w:t>) v Prilogi 22-17 ter opomb (</w:t>
      </w:r>
      <w:r w:rsidRPr="00AB0263">
        <w:rPr>
          <w:b w:val="0"/>
          <w:bCs/>
          <w:vertAlign w:val="superscript"/>
          <w:lang w:val="sl-SI"/>
        </w:rPr>
        <w:t>5</w:t>
      </w:r>
      <w:r>
        <w:rPr>
          <w:b w:val="0"/>
          <w:bCs/>
          <w:lang w:val="sl-SI"/>
        </w:rPr>
        <w:t>) in (</w:t>
      </w:r>
      <w:r w:rsidRPr="00F62976">
        <w:rPr>
          <w:b w:val="0"/>
          <w:bCs/>
          <w:vertAlign w:val="superscript"/>
          <w:lang w:val="sl-SI"/>
        </w:rPr>
        <w:t>6</w:t>
      </w:r>
      <w:r>
        <w:rPr>
          <w:b w:val="0"/>
          <w:bCs/>
          <w:lang w:val="sl-SI"/>
        </w:rPr>
        <w:t>) v Prilogi 22-18 izvedbene uredbe, v katerih je navedeno besedilo izjave dobavitelja za izdelke, ki nimajo statusa preferencialnega porekla (uporabljata se za namene polne kumulacije na notranjem trgu EU), pa je po novem določeno, da izpolnitev 2. točke izjave, v katerih se nahajajo navedene opombe, ni obvezno glede na to, da se ti izdelki lahko proizvajajo le z uporabo materialov brez porekla. Če je država, skupina držav ali ozemlje pogodbenica Regionalne konvencije in če pravni okvir ni določen, se privzeto šteje, da so se za določitev porekla uporabila PEM pravila.</w:t>
      </w:r>
    </w:p>
    <w:p w14:paraId="0E97186D" w14:textId="77777777" w:rsidR="00353861" w:rsidRDefault="00353861" w:rsidP="00353861">
      <w:pPr>
        <w:pStyle w:val="ZADEVA"/>
        <w:tabs>
          <w:tab w:val="clear" w:pos="1701"/>
          <w:tab w:val="left" w:pos="0"/>
        </w:tabs>
        <w:ind w:left="0" w:firstLine="0"/>
        <w:jc w:val="both"/>
        <w:rPr>
          <w:b w:val="0"/>
          <w:bCs/>
          <w:lang w:val="sl-SI"/>
        </w:rPr>
      </w:pPr>
    </w:p>
    <w:p w14:paraId="5590D3E1" w14:textId="77777777" w:rsidR="00353861" w:rsidRDefault="009A75ED" w:rsidP="00353861">
      <w:pPr>
        <w:pStyle w:val="ZADEVA"/>
        <w:tabs>
          <w:tab w:val="clear" w:pos="1701"/>
          <w:tab w:val="left" w:pos="0"/>
        </w:tabs>
        <w:ind w:left="0" w:firstLine="0"/>
        <w:jc w:val="both"/>
        <w:rPr>
          <w:lang w:val="sl-SI"/>
        </w:rPr>
      </w:pPr>
      <w:r>
        <w:rPr>
          <w:b w:val="0"/>
          <w:bCs/>
          <w:lang w:val="sl-SI"/>
        </w:rPr>
        <w:t xml:space="preserve">Vse zgoraj navedene spremembe izvedbene uredbe začnejo veljati dvajseti dan po objavi v Uradnem listu EU, uporabljajo pa se retroaktivno, od 1. 9. 2021 dalje. </w:t>
      </w:r>
    </w:p>
    <w:p w14:paraId="301D471D" w14:textId="77777777" w:rsidR="007E6DC5" w:rsidRPr="00353861" w:rsidRDefault="007E6DC5" w:rsidP="00353861">
      <w:pPr>
        <w:jc w:val="both"/>
        <w:rPr>
          <w:lang w:val="sl-SI"/>
        </w:rPr>
      </w:pPr>
    </w:p>
    <w:p w14:paraId="586CC255" w14:textId="77777777" w:rsidR="001A3BA5" w:rsidRPr="00353861" w:rsidRDefault="009A75ED" w:rsidP="00353861">
      <w:pPr>
        <w:pStyle w:val="podpisi"/>
        <w:tabs>
          <w:tab w:val="left" w:pos="709"/>
        </w:tabs>
        <w:jc w:val="both"/>
        <w:rPr>
          <w:lang w:val="sl-SI"/>
        </w:rPr>
      </w:pPr>
      <w:r w:rsidRPr="00353861">
        <w:rPr>
          <w:lang w:val="sl-SI"/>
        </w:rPr>
        <w:tab/>
      </w:r>
    </w:p>
    <w:sectPr w:rsidR="001A3BA5" w:rsidRPr="00353861"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F96F" w14:textId="77777777" w:rsidR="00921372" w:rsidRDefault="00921372">
      <w:pPr>
        <w:spacing w:line="240" w:lineRule="auto"/>
      </w:pPr>
      <w:r>
        <w:separator/>
      </w:r>
    </w:p>
  </w:endnote>
  <w:endnote w:type="continuationSeparator" w:id="0">
    <w:p w14:paraId="5D1A8FF3" w14:textId="77777777" w:rsidR="00921372" w:rsidRDefault="0092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30D9"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BD4" w14:textId="77777777" w:rsidR="000B0B21" w:rsidRDefault="009A75E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CEF" w14:textId="77777777" w:rsidR="000B0B21" w:rsidRDefault="009A75E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67BD" w14:textId="77777777" w:rsidR="00921372" w:rsidRDefault="00921372">
      <w:pPr>
        <w:spacing w:line="240" w:lineRule="auto"/>
      </w:pPr>
      <w:r>
        <w:separator/>
      </w:r>
    </w:p>
  </w:footnote>
  <w:footnote w:type="continuationSeparator" w:id="0">
    <w:p w14:paraId="0BC95465" w14:textId="77777777" w:rsidR="00921372" w:rsidRDefault="00921372">
      <w:pPr>
        <w:spacing w:line="240" w:lineRule="auto"/>
      </w:pPr>
      <w:r>
        <w:continuationSeparator/>
      </w:r>
    </w:p>
  </w:footnote>
  <w:footnote w:id="1">
    <w:p w14:paraId="40A1E1D2" w14:textId="77777777" w:rsidR="00353861" w:rsidRPr="004E62D8" w:rsidRDefault="009A75ED" w:rsidP="00353861">
      <w:pPr>
        <w:pStyle w:val="Sprotnaopomba-besedilo"/>
        <w:jc w:val="both"/>
        <w:rPr>
          <w:lang w:val="sl-SI"/>
        </w:rPr>
      </w:pPr>
      <w:r w:rsidRPr="004E62D8">
        <w:rPr>
          <w:rStyle w:val="Sprotnaopomba-sklic"/>
          <w:lang w:val="sl-SI"/>
        </w:rPr>
        <w:footnoteRef/>
      </w:r>
      <w:r w:rsidRPr="004E62D8">
        <w:rPr>
          <w:lang w:val="sl-SI"/>
        </w:rPr>
        <w:t xml:space="preserve"> “Pogodbenica uporabnica” pomeni pogodbenico Regionalne konvencije, ki prehodna pravila o poreklu vključi v svoje dvostranske preferencialne trgovinske sporazume z drugo pogodbenico Regionalne konvencije.</w:t>
      </w:r>
    </w:p>
  </w:footnote>
  <w:footnote w:id="2">
    <w:p w14:paraId="1D610B62" w14:textId="77777777" w:rsidR="00353861" w:rsidRPr="005472F1" w:rsidRDefault="009A75ED" w:rsidP="00353861">
      <w:pPr>
        <w:pStyle w:val="Sprotnaopomba-besedilo"/>
        <w:jc w:val="both"/>
        <w:rPr>
          <w:lang w:val="sl-SI"/>
        </w:rPr>
      </w:pPr>
      <w:r>
        <w:rPr>
          <w:rStyle w:val="Sprotnaopomba-sklic"/>
        </w:rPr>
        <w:footnoteRef/>
      </w:r>
      <w:r w:rsidRPr="005472F1">
        <w:rPr>
          <w:lang w:val="sl-SI"/>
        </w:rPr>
        <w:t xml:space="preserve"> </w:t>
      </w:r>
      <w:r>
        <w:rPr>
          <w:lang w:val="sl-SI"/>
        </w:rPr>
        <w:t>K</w:t>
      </w:r>
      <w:r w:rsidRPr="005472F1">
        <w:rPr>
          <w:lang w:val="sl-SI"/>
        </w:rPr>
        <w:t xml:space="preserve">umulacija porekla </w:t>
      </w:r>
      <w:r>
        <w:rPr>
          <w:lang w:val="sl-SI"/>
        </w:rPr>
        <w:t xml:space="preserve">med pogodbenicami uporabnicami </w:t>
      </w:r>
      <w:r w:rsidRPr="005472F1">
        <w:rPr>
          <w:lang w:val="sl-SI"/>
        </w:rPr>
        <w:t>je mo</w:t>
      </w:r>
      <w:r>
        <w:rPr>
          <w:lang w:val="sl-SI"/>
        </w:rPr>
        <w:t>žna le</w:t>
      </w:r>
      <w:r w:rsidRPr="005472F1">
        <w:rPr>
          <w:lang w:val="sl-SI"/>
        </w:rPr>
        <w:t xml:space="preserve">, če </w:t>
      </w:r>
      <w:r>
        <w:rPr>
          <w:lang w:val="sl-SI"/>
        </w:rPr>
        <w:t xml:space="preserve">so materiali, uporabljeni pri </w:t>
      </w:r>
      <w:r w:rsidRPr="005472F1">
        <w:rPr>
          <w:lang w:val="sl-SI"/>
        </w:rPr>
        <w:t>kumulaciji, pridob</w:t>
      </w:r>
      <w:r>
        <w:rPr>
          <w:lang w:val="sl-SI"/>
        </w:rPr>
        <w:t xml:space="preserve">ili poreklo </w:t>
      </w:r>
      <w:r w:rsidRPr="005472F1">
        <w:rPr>
          <w:lang w:val="sl-SI"/>
        </w:rPr>
        <w:t>v skladu s prehodnimi pravili</w:t>
      </w:r>
      <w:r>
        <w:rPr>
          <w:lang w:val="sl-SI"/>
        </w:rPr>
        <w:t xml:space="preserve"> in je bilo v Uradnem listu EU objavljeno obvestilo </w:t>
      </w:r>
      <w:r w:rsidRPr="008B6A6E">
        <w:rPr>
          <w:lang w:val="sl-SI"/>
        </w:rPr>
        <w:t>o izpolnjevanju potrebnih zahtev za uporabo kumulacije</w:t>
      </w:r>
      <w:r>
        <w:rPr>
          <w:lang w:val="sl-SI"/>
        </w:rPr>
        <w:t xml:space="preserve">. Zadnje tovrstno obvestilo je bilo objavljeno v </w:t>
      </w:r>
      <w:r w:rsidR="00921372">
        <w:fldChar w:fldCharType="begin"/>
      </w:r>
      <w:r w:rsidR="00921372" w:rsidRPr="00D674BE">
        <w:rPr>
          <w:lang w:val="sl-SI"/>
        </w:rPr>
        <w:instrText xml:space="preserve"> HYPERLINK "https://eur-lex.europa.eu/legal-content/SL/TXT/?uri=uriserv%3AOJ.C_.2022.405.01.0056.01.SLV&amp;toc=OJ%3AC%3A2022%3A405%3ATOC" </w:instrText>
      </w:r>
      <w:r w:rsidR="00921372">
        <w:fldChar w:fldCharType="separate"/>
      </w:r>
      <w:r w:rsidRPr="00F75328">
        <w:rPr>
          <w:rStyle w:val="Hiperpovezava"/>
          <w:lang w:val="sl-SI"/>
        </w:rPr>
        <w:t>Uradnem listu EU C 405</w:t>
      </w:r>
      <w:r w:rsidR="00921372">
        <w:rPr>
          <w:rStyle w:val="Hiperpovezava"/>
          <w:lang w:val="sl-SI"/>
        </w:rPr>
        <w:fldChar w:fldCharType="end"/>
      </w:r>
      <w:r>
        <w:rPr>
          <w:lang w:val="sl-SI"/>
        </w:rPr>
        <w:t>, z dne 21. 10. 2022.</w:t>
      </w:r>
    </w:p>
  </w:footnote>
  <w:footnote w:id="3">
    <w:p w14:paraId="2EFE7D21" w14:textId="77777777" w:rsidR="00353861" w:rsidRPr="006A130C" w:rsidRDefault="009A75ED" w:rsidP="00353861">
      <w:pPr>
        <w:pStyle w:val="Sprotnaopomba-besedilo"/>
        <w:jc w:val="both"/>
        <w:rPr>
          <w:lang w:val="sl-SI"/>
        </w:rPr>
      </w:pPr>
      <w:r>
        <w:rPr>
          <w:rStyle w:val="Sprotnaopomba-sklic"/>
        </w:rPr>
        <w:footnoteRef/>
      </w:r>
      <w:r w:rsidRPr="006A130C">
        <w:rPr>
          <w:lang w:val="sl-SI"/>
        </w:rPr>
        <w:t xml:space="preserve"> </w:t>
      </w:r>
      <w:r>
        <w:rPr>
          <w:lang w:val="sl-SI"/>
        </w:rPr>
        <w:t>Z</w:t>
      </w:r>
      <w:r w:rsidRPr="006A130C">
        <w:rPr>
          <w:lang w:val="sl-SI"/>
        </w:rPr>
        <w:t>adnje obvestilo Komisije v zvezi z uporabo Regionalne konvencije o pan-evro-mediteranskih preferencialnih pravilih o poreklu ali protokolov o pravilih o poreklu, ki določajo diagonalno kumulacijo med pogodbenicami k tej konvenciji</w:t>
      </w:r>
      <w:r>
        <w:rPr>
          <w:lang w:val="sl-SI"/>
        </w:rPr>
        <w:t xml:space="preserve"> (</w:t>
      </w:r>
      <w:r w:rsidR="00921372">
        <w:fldChar w:fldCharType="begin"/>
      </w:r>
      <w:r w:rsidR="00921372" w:rsidRPr="00D674BE">
        <w:rPr>
          <w:lang w:val="sl-SI"/>
        </w:rPr>
        <w:instrText xml:space="preserve"> HYPERLINK "https://eur-lex.europa.eu/legal-content/SL/TXT</w:instrText>
      </w:r>
      <w:r w:rsidR="00921372" w:rsidRPr="00D674BE">
        <w:rPr>
          <w:lang w:val="sl-SI"/>
        </w:rPr>
        <w:instrText xml:space="preserve">/?uri=uriserv%3AOJ.C_.2021.418.01.0024.01.SLV&amp;toc=OJ%3AC%3A2021%3A418%3ATOC" </w:instrText>
      </w:r>
      <w:r w:rsidR="00921372">
        <w:fldChar w:fldCharType="separate"/>
      </w:r>
      <w:r w:rsidRPr="006A130C">
        <w:rPr>
          <w:rStyle w:val="Hiperpovezava"/>
          <w:lang w:val="sl-SI"/>
        </w:rPr>
        <w:t>Uradni list EU C 418</w:t>
      </w:r>
      <w:r w:rsidR="00921372">
        <w:rPr>
          <w:rStyle w:val="Hiperpovezava"/>
          <w:lang w:val="sl-SI"/>
        </w:rPr>
        <w:fldChar w:fldCharType="end"/>
      </w:r>
      <w:r w:rsidRPr="006A130C">
        <w:rPr>
          <w:lang w:val="sl-SI"/>
        </w:rPr>
        <w:t>, z dne 15. 10. 2021</w:t>
      </w:r>
      <w:r>
        <w:rPr>
          <w:lang w:val="sl-SI"/>
        </w:rPr>
        <w:t xml:space="preserve">). </w:t>
      </w:r>
    </w:p>
  </w:footnote>
  <w:footnote w:id="4">
    <w:p w14:paraId="74131C3F" w14:textId="77777777" w:rsidR="00353861" w:rsidRPr="006A130C" w:rsidRDefault="009A75ED" w:rsidP="00353861">
      <w:pPr>
        <w:pStyle w:val="Sprotnaopomba-besedilo"/>
        <w:jc w:val="both"/>
        <w:rPr>
          <w:lang w:val="sl-SI"/>
        </w:rPr>
      </w:pPr>
      <w:r>
        <w:rPr>
          <w:rStyle w:val="Sprotnaopomba-sklic"/>
        </w:rPr>
        <w:footnoteRef/>
      </w:r>
      <w:r w:rsidRPr="006A130C">
        <w:rPr>
          <w:lang w:val="sl-SI"/>
        </w:rPr>
        <w:t xml:space="preserve"> </w:t>
      </w:r>
      <w:r>
        <w:rPr>
          <w:lang w:val="sl-SI"/>
        </w:rPr>
        <w:t>Zadnje o</w:t>
      </w:r>
      <w:r w:rsidRPr="006A130C">
        <w:rPr>
          <w:lang w:val="sl-SI"/>
        </w:rPr>
        <w:t>bvestilo Komisije o uporabi prehodnih pravil o poreklu, ki določajo diagonalno kumulacijo med pogodbenicami uporabnicami v pan-evro-mediteranskem območju</w:t>
      </w:r>
      <w:r>
        <w:rPr>
          <w:lang w:val="sl-SI"/>
        </w:rPr>
        <w:t xml:space="preserve"> (</w:t>
      </w:r>
      <w:r w:rsidR="00921372">
        <w:fldChar w:fldCharType="begin"/>
      </w:r>
      <w:r w:rsidR="00921372" w:rsidRPr="00D674BE">
        <w:rPr>
          <w:lang w:val="sl-SI"/>
        </w:rPr>
        <w:instrText xml:space="preserve"> HYPERLINK "https://eur-lex.europa.eu/legal-content/SL/TXT/?uri=uriserv%3AOJ.C_.2022.405.01.0056.01.SLV&amp;toc=OJ%3AC%3A2022%3A405%3ATOC" </w:instrText>
      </w:r>
      <w:r w:rsidR="00921372">
        <w:fldChar w:fldCharType="separate"/>
      </w:r>
      <w:r w:rsidRPr="006A130C">
        <w:rPr>
          <w:rStyle w:val="Hiperpovezava"/>
          <w:lang w:val="sl-SI"/>
        </w:rPr>
        <w:t>Uradni list EU C 405</w:t>
      </w:r>
      <w:r w:rsidR="00921372">
        <w:rPr>
          <w:rStyle w:val="Hiperpovezava"/>
          <w:lang w:val="sl-SI"/>
        </w:rPr>
        <w:fldChar w:fldCharType="end"/>
      </w:r>
      <w:r>
        <w:rPr>
          <w:lang w:val="sl-SI"/>
        </w:rPr>
        <w:t>, z dne 21. 10.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9A3"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22AD"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63108" w14:paraId="5A68243B" w14:textId="77777777">
      <w:trPr>
        <w:cantSplit/>
        <w:trHeight w:hRule="exact" w:val="847"/>
      </w:trPr>
      <w:tc>
        <w:tcPr>
          <w:tcW w:w="567" w:type="dxa"/>
        </w:tcPr>
        <w:p w14:paraId="6CF564C9" w14:textId="77777777" w:rsidR="000B0B21" w:rsidRDefault="009A75E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D28558D" w14:textId="77777777" w:rsidR="000B0B21" w:rsidRPr="006D42D9" w:rsidRDefault="000B0B21" w:rsidP="006D42D9">
          <w:pPr>
            <w:rPr>
              <w:rFonts w:ascii="Republika" w:hAnsi="Republika"/>
              <w:sz w:val="60"/>
              <w:szCs w:val="60"/>
              <w:lang w:val="sl-SI"/>
            </w:rPr>
          </w:pPr>
        </w:p>
        <w:p w14:paraId="2F66D6AB" w14:textId="77777777" w:rsidR="000B0B21" w:rsidRPr="006D42D9" w:rsidRDefault="000B0B21" w:rsidP="006D42D9">
          <w:pPr>
            <w:rPr>
              <w:rFonts w:ascii="Republika" w:hAnsi="Republika"/>
              <w:sz w:val="60"/>
              <w:szCs w:val="60"/>
              <w:lang w:val="sl-SI"/>
            </w:rPr>
          </w:pPr>
        </w:p>
        <w:p w14:paraId="17462CCC" w14:textId="77777777" w:rsidR="000B0B21" w:rsidRPr="006D42D9" w:rsidRDefault="000B0B21" w:rsidP="006D42D9">
          <w:pPr>
            <w:rPr>
              <w:rFonts w:ascii="Republika" w:hAnsi="Republika"/>
              <w:sz w:val="60"/>
              <w:szCs w:val="60"/>
              <w:lang w:val="sl-SI"/>
            </w:rPr>
          </w:pPr>
        </w:p>
        <w:p w14:paraId="7A315D4E" w14:textId="77777777" w:rsidR="000B0B21" w:rsidRPr="006D42D9" w:rsidRDefault="000B0B21" w:rsidP="006D42D9">
          <w:pPr>
            <w:rPr>
              <w:rFonts w:ascii="Republika" w:hAnsi="Republika"/>
              <w:sz w:val="60"/>
              <w:szCs w:val="60"/>
              <w:lang w:val="sl-SI"/>
            </w:rPr>
          </w:pPr>
        </w:p>
        <w:p w14:paraId="52D57950" w14:textId="77777777" w:rsidR="000B0B21" w:rsidRPr="006D42D9" w:rsidRDefault="000B0B21" w:rsidP="006D42D9">
          <w:pPr>
            <w:rPr>
              <w:rFonts w:ascii="Republika" w:hAnsi="Republika"/>
              <w:sz w:val="60"/>
              <w:szCs w:val="60"/>
              <w:lang w:val="sl-SI"/>
            </w:rPr>
          </w:pPr>
        </w:p>
        <w:p w14:paraId="629BD531" w14:textId="77777777" w:rsidR="000B0B21" w:rsidRPr="006D42D9" w:rsidRDefault="000B0B21" w:rsidP="006D42D9">
          <w:pPr>
            <w:rPr>
              <w:rFonts w:ascii="Republika" w:hAnsi="Republika"/>
              <w:sz w:val="60"/>
              <w:szCs w:val="60"/>
              <w:lang w:val="sl-SI"/>
            </w:rPr>
          </w:pPr>
        </w:p>
        <w:p w14:paraId="0F4E9E8F" w14:textId="77777777" w:rsidR="000B0B21" w:rsidRPr="006D42D9" w:rsidRDefault="000B0B21" w:rsidP="006D42D9">
          <w:pPr>
            <w:rPr>
              <w:rFonts w:ascii="Republika" w:hAnsi="Republika"/>
              <w:sz w:val="60"/>
              <w:szCs w:val="60"/>
              <w:lang w:val="sl-SI"/>
            </w:rPr>
          </w:pPr>
        </w:p>
        <w:p w14:paraId="56257AB0" w14:textId="77777777" w:rsidR="000B0B21" w:rsidRPr="006D42D9" w:rsidRDefault="000B0B21" w:rsidP="006D42D9">
          <w:pPr>
            <w:rPr>
              <w:rFonts w:ascii="Republika" w:hAnsi="Republika"/>
              <w:sz w:val="60"/>
              <w:szCs w:val="60"/>
              <w:lang w:val="sl-SI"/>
            </w:rPr>
          </w:pPr>
        </w:p>
        <w:p w14:paraId="76E08840" w14:textId="77777777" w:rsidR="000B0B21" w:rsidRPr="006D42D9" w:rsidRDefault="000B0B21" w:rsidP="006D42D9">
          <w:pPr>
            <w:rPr>
              <w:rFonts w:ascii="Republika" w:hAnsi="Republika"/>
              <w:sz w:val="60"/>
              <w:szCs w:val="60"/>
              <w:lang w:val="sl-SI"/>
            </w:rPr>
          </w:pPr>
        </w:p>
        <w:p w14:paraId="1ED8090C" w14:textId="77777777" w:rsidR="000B0B21" w:rsidRPr="006D42D9" w:rsidRDefault="000B0B21" w:rsidP="006D42D9">
          <w:pPr>
            <w:rPr>
              <w:rFonts w:ascii="Republika" w:hAnsi="Republika"/>
              <w:sz w:val="60"/>
              <w:szCs w:val="60"/>
              <w:lang w:val="sl-SI"/>
            </w:rPr>
          </w:pPr>
        </w:p>
        <w:p w14:paraId="60DFC655" w14:textId="77777777" w:rsidR="000B0B21" w:rsidRPr="006D42D9" w:rsidRDefault="000B0B21" w:rsidP="006D42D9">
          <w:pPr>
            <w:rPr>
              <w:rFonts w:ascii="Republika" w:hAnsi="Republika"/>
              <w:sz w:val="60"/>
              <w:szCs w:val="60"/>
              <w:lang w:val="sl-SI"/>
            </w:rPr>
          </w:pPr>
        </w:p>
        <w:p w14:paraId="03C894D5" w14:textId="77777777" w:rsidR="000B0B21" w:rsidRPr="006D42D9" w:rsidRDefault="000B0B21" w:rsidP="006D42D9">
          <w:pPr>
            <w:rPr>
              <w:rFonts w:ascii="Republika" w:hAnsi="Republika"/>
              <w:sz w:val="60"/>
              <w:szCs w:val="60"/>
              <w:lang w:val="sl-SI"/>
            </w:rPr>
          </w:pPr>
        </w:p>
        <w:p w14:paraId="41025CB6" w14:textId="77777777" w:rsidR="000B0B21" w:rsidRPr="006D42D9" w:rsidRDefault="000B0B21" w:rsidP="006D42D9">
          <w:pPr>
            <w:rPr>
              <w:rFonts w:ascii="Republika" w:hAnsi="Republika"/>
              <w:sz w:val="60"/>
              <w:szCs w:val="60"/>
              <w:lang w:val="sl-SI"/>
            </w:rPr>
          </w:pPr>
        </w:p>
        <w:p w14:paraId="12AB87D7" w14:textId="77777777" w:rsidR="000B0B21" w:rsidRPr="006D42D9" w:rsidRDefault="000B0B21" w:rsidP="006D42D9">
          <w:pPr>
            <w:rPr>
              <w:rFonts w:ascii="Republika" w:hAnsi="Republika"/>
              <w:sz w:val="60"/>
              <w:szCs w:val="60"/>
              <w:lang w:val="sl-SI"/>
            </w:rPr>
          </w:pPr>
        </w:p>
        <w:p w14:paraId="5986EECA" w14:textId="77777777" w:rsidR="000B0B21" w:rsidRPr="006D42D9" w:rsidRDefault="000B0B21" w:rsidP="006D42D9">
          <w:pPr>
            <w:rPr>
              <w:rFonts w:ascii="Republika" w:hAnsi="Republika"/>
              <w:sz w:val="60"/>
              <w:szCs w:val="60"/>
              <w:lang w:val="sl-SI"/>
            </w:rPr>
          </w:pPr>
        </w:p>
        <w:p w14:paraId="28839141" w14:textId="77777777" w:rsidR="000B0B21" w:rsidRPr="006D42D9" w:rsidRDefault="000B0B21" w:rsidP="006D42D9">
          <w:pPr>
            <w:rPr>
              <w:rFonts w:ascii="Republika" w:hAnsi="Republika"/>
              <w:sz w:val="60"/>
              <w:szCs w:val="60"/>
              <w:lang w:val="sl-SI"/>
            </w:rPr>
          </w:pPr>
        </w:p>
      </w:tc>
    </w:tr>
  </w:tbl>
  <w:p w14:paraId="6842DF6C" w14:textId="77777777" w:rsidR="000B0B21" w:rsidRPr="008F3500" w:rsidRDefault="009A75ED"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4C543E2" wp14:editId="1EC9D94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88212F7" w14:textId="77777777" w:rsidR="000B0B21" w:rsidRPr="00FD746A" w:rsidRDefault="009A75E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611E7AAD" w14:textId="77777777" w:rsidR="00ED7E82" w:rsidRDefault="009A75E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9551CBB" w14:textId="77777777" w:rsidR="005254D1" w:rsidRPr="00A12D5C" w:rsidRDefault="009A75E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013C22A1" w14:textId="77777777" w:rsidR="005254D1" w:rsidRPr="008F3500" w:rsidRDefault="009A75E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B093527" w14:textId="77777777" w:rsidR="005254D1" w:rsidRPr="008F3500" w:rsidRDefault="009A75E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B4921FD" w14:textId="77777777" w:rsidR="005254D1" w:rsidRPr="008F3500" w:rsidRDefault="009A75E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FA9BFDA"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510732E">
      <w:start w:val="1"/>
      <w:numFmt w:val="decimal"/>
      <w:lvlText w:val="%1."/>
      <w:lvlJc w:val="left"/>
      <w:pPr>
        <w:tabs>
          <w:tab w:val="num" w:pos="1080"/>
        </w:tabs>
        <w:ind w:left="1080" w:hanging="360"/>
      </w:pPr>
      <w:rPr>
        <w:rFonts w:hint="default"/>
      </w:rPr>
    </w:lvl>
    <w:lvl w:ilvl="1" w:tplc="3DC2B8B8" w:tentative="1">
      <w:start w:val="1"/>
      <w:numFmt w:val="lowerLetter"/>
      <w:lvlText w:val="%2."/>
      <w:lvlJc w:val="left"/>
      <w:pPr>
        <w:ind w:left="1800" w:hanging="360"/>
      </w:pPr>
    </w:lvl>
    <w:lvl w:ilvl="2" w:tplc="E5E063CA" w:tentative="1">
      <w:start w:val="1"/>
      <w:numFmt w:val="lowerRoman"/>
      <w:lvlText w:val="%3."/>
      <w:lvlJc w:val="right"/>
      <w:pPr>
        <w:ind w:left="2520" w:hanging="180"/>
      </w:pPr>
    </w:lvl>
    <w:lvl w:ilvl="3" w:tplc="A1D28D52" w:tentative="1">
      <w:start w:val="1"/>
      <w:numFmt w:val="decimal"/>
      <w:lvlText w:val="%4."/>
      <w:lvlJc w:val="left"/>
      <w:pPr>
        <w:ind w:left="3240" w:hanging="360"/>
      </w:pPr>
    </w:lvl>
    <w:lvl w:ilvl="4" w:tplc="0D9A27F0" w:tentative="1">
      <w:start w:val="1"/>
      <w:numFmt w:val="lowerLetter"/>
      <w:lvlText w:val="%5."/>
      <w:lvlJc w:val="left"/>
      <w:pPr>
        <w:ind w:left="3960" w:hanging="360"/>
      </w:pPr>
    </w:lvl>
    <w:lvl w:ilvl="5" w:tplc="AA0AEAB8" w:tentative="1">
      <w:start w:val="1"/>
      <w:numFmt w:val="lowerRoman"/>
      <w:lvlText w:val="%6."/>
      <w:lvlJc w:val="right"/>
      <w:pPr>
        <w:ind w:left="4680" w:hanging="180"/>
      </w:pPr>
    </w:lvl>
    <w:lvl w:ilvl="6" w:tplc="27DCA1CA" w:tentative="1">
      <w:start w:val="1"/>
      <w:numFmt w:val="decimal"/>
      <w:lvlText w:val="%7."/>
      <w:lvlJc w:val="left"/>
      <w:pPr>
        <w:ind w:left="5400" w:hanging="360"/>
      </w:pPr>
    </w:lvl>
    <w:lvl w:ilvl="7" w:tplc="68CA6368" w:tentative="1">
      <w:start w:val="1"/>
      <w:numFmt w:val="lowerLetter"/>
      <w:lvlText w:val="%8."/>
      <w:lvlJc w:val="left"/>
      <w:pPr>
        <w:ind w:left="6120" w:hanging="360"/>
      </w:pPr>
    </w:lvl>
    <w:lvl w:ilvl="8" w:tplc="EFEA74D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612CE38">
      <w:start w:val="1"/>
      <w:numFmt w:val="decimal"/>
      <w:lvlText w:val="%1."/>
      <w:lvlJc w:val="left"/>
      <w:pPr>
        <w:tabs>
          <w:tab w:val="num" w:pos="360"/>
        </w:tabs>
        <w:ind w:left="360" w:hanging="360"/>
      </w:pPr>
      <w:rPr>
        <w:rFonts w:hint="default"/>
      </w:rPr>
    </w:lvl>
    <w:lvl w:ilvl="1" w:tplc="F2E4CFF8" w:tentative="1">
      <w:start w:val="1"/>
      <w:numFmt w:val="lowerLetter"/>
      <w:lvlText w:val="%2."/>
      <w:lvlJc w:val="left"/>
      <w:pPr>
        <w:ind w:left="1080" w:hanging="360"/>
      </w:pPr>
    </w:lvl>
    <w:lvl w:ilvl="2" w:tplc="009CC122" w:tentative="1">
      <w:start w:val="1"/>
      <w:numFmt w:val="lowerRoman"/>
      <w:lvlText w:val="%3."/>
      <w:lvlJc w:val="right"/>
      <w:pPr>
        <w:ind w:left="1800" w:hanging="180"/>
      </w:pPr>
    </w:lvl>
    <w:lvl w:ilvl="3" w:tplc="E5D8433A" w:tentative="1">
      <w:start w:val="1"/>
      <w:numFmt w:val="decimal"/>
      <w:lvlText w:val="%4."/>
      <w:lvlJc w:val="left"/>
      <w:pPr>
        <w:ind w:left="2520" w:hanging="360"/>
      </w:pPr>
    </w:lvl>
    <w:lvl w:ilvl="4" w:tplc="7004A2AE" w:tentative="1">
      <w:start w:val="1"/>
      <w:numFmt w:val="lowerLetter"/>
      <w:lvlText w:val="%5."/>
      <w:lvlJc w:val="left"/>
      <w:pPr>
        <w:ind w:left="3240" w:hanging="360"/>
      </w:pPr>
    </w:lvl>
    <w:lvl w:ilvl="5" w:tplc="6DEC5200" w:tentative="1">
      <w:start w:val="1"/>
      <w:numFmt w:val="lowerRoman"/>
      <w:lvlText w:val="%6."/>
      <w:lvlJc w:val="right"/>
      <w:pPr>
        <w:ind w:left="3960" w:hanging="180"/>
      </w:pPr>
    </w:lvl>
    <w:lvl w:ilvl="6" w:tplc="61A46556" w:tentative="1">
      <w:start w:val="1"/>
      <w:numFmt w:val="decimal"/>
      <w:lvlText w:val="%7."/>
      <w:lvlJc w:val="left"/>
      <w:pPr>
        <w:ind w:left="4680" w:hanging="360"/>
      </w:pPr>
    </w:lvl>
    <w:lvl w:ilvl="7" w:tplc="11D6BF46" w:tentative="1">
      <w:start w:val="1"/>
      <w:numFmt w:val="lowerLetter"/>
      <w:lvlText w:val="%8."/>
      <w:lvlJc w:val="left"/>
      <w:pPr>
        <w:ind w:left="5400" w:hanging="360"/>
      </w:pPr>
    </w:lvl>
    <w:lvl w:ilvl="8" w:tplc="91AE4F50"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40C2BB72">
      <w:start w:val="1"/>
      <w:numFmt w:val="decimal"/>
      <w:lvlText w:val="%1."/>
      <w:lvlJc w:val="left"/>
      <w:pPr>
        <w:tabs>
          <w:tab w:val="num" w:pos="720"/>
        </w:tabs>
        <w:ind w:left="720" w:hanging="360"/>
      </w:pPr>
      <w:rPr>
        <w:rFonts w:hint="default"/>
      </w:rPr>
    </w:lvl>
    <w:lvl w:ilvl="1" w:tplc="9EDC0904" w:tentative="1">
      <w:start w:val="1"/>
      <w:numFmt w:val="lowerLetter"/>
      <w:lvlText w:val="%2."/>
      <w:lvlJc w:val="left"/>
      <w:pPr>
        <w:tabs>
          <w:tab w:val="num" w:pos="1440"/>
        </w:tabs>
        <w:ind w:left="1440" w:hanging="360"/>
      </w:pPr>
    </w:lvl>
    <w:lvl w:ilvl="2" w:tplc="3E885818" w:tentative="1">
      <w:start w:val="1"/>
      <w:numFmt w:val="lowerRoman"/>
      <w:lvlText w:val="%3."/>
      <w:lvlJc w:val="right"/>
      <w:pPr>
        <w:tabs>
          <w:tab w:val="num" w:pos="2160"/>
        </w:tabs>
        <w:ind w:left="2160" w:hanging="180"/>
      </w:pPr>
    </w:lvl>
    <w:lvl w:ilvl="3" w:tplc="EEDE44FC" w:tentative="1">
      <w:start w:val="1"/>
      <w:numFmt w:val="decimal"/>
      <w:lvlText w:val="%4."/>
      <w:lvlJc w:val="left"/>
      <w:pPr>
        <w:tabs>
          <w:tab w:val="num" w:pos="2880"/>
        </w:tabs>
        <w:ind w:left="2880" w:hanging="360"/>
      </w:pPr>
    </w:lvl>
    <w:lvl w:ilvl="4" w:tplc="FB940A06" w:tentative="1">
      <w:start w:val="1"/>
      <w:numFmt w:val="lowerLetter"/>
      <w:lvlText w:val="%5."/>
      <w:lvlJc w:val="left"/>
      <w:pPr>
        <w:tabs>
          <w:tab w:val="num" w:pos="3600"/>
        </w:tabs>
        <w:ind w:left="3600" w:hanging="360"/>
      </w:pPr>
    </w:lvl>
    <w:lvl w:ilvl="5" w:tplc="EE88957A" w:tentative="1">
      <w:start w:val="1"/>
      <w:numFmt w:val="lowerRoman"/>
      <w:lvlText w:val="%6."/>
      <w:lvlJc w:val="right"/>
      <w:pPr>
        <w:tabs>
          <w:tab w:val="num" w:pos="4320"/>
        </w:tabs>
        <w:ind w:left="4320" w:hanging="180"/>
      </w:pPr>
    </w:lvl>
    <w:lvl w:ilvl="6" w:tplc="DD549224" w:tentative="1">
      <w:start w:val="1"/>
      <w:numFmt w:val="decimal"/>
      <w:lvlText w:val="%7."/>
      <w:lvlJc w:val="left"/>
      <w:pPr>
        <w:tabs>
          <w:tab w:val="num" w:pos="5040"/>
        </w:tabs>
        <w:ind w:left="5040" w:hanging="360"/>
      </w:pPr>
    </w:lvl>
    <w:lvl w:ilvl="7" w:tplc="1A267DCA" w:tentative="1">
      <w:start w:val="1"/>
      <w:numFmt w:val="lowerLetter"/>
      <w:lvlText w:val="%8."/>
      <w:lvlJc w:val="left"/>
      <w:pPr>
        <w:tabs>
          <w:tab w:val="num" w:pos="5760"/>
        </w:tabs>
        <w:ind w:left="5760" w:hanging="360"/>
      </w:pPr>
    </w:lvl>
    <w:lvl w:ilvl="8" w:tplc="40D46E0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5AF7173"/>
    <w:multiLevelType w:val="hybridMultilevel"/>
    <w:tmpl w:val="9C04E7C0"/>
    <w:lvl w:ilvl="0" w:tplc="9BD6DC56">
      <w:start w:val="1"/>
      <w:numFmt w:val="lowerLetter"/>
      <w:lvlText w:val="%1)"/>
      <w:lvlJc w:val="left"/>
      <w:pPr>
        <w:ind w:left="720" w:hanging="360"/>
      </w:pPr>
      <w:rPr>
        <w:rFonts w:hint="default"/>
      </w:rPr>
    </w:lvl>
    <w:lvl w:ilvl="1" w:tplc="6BC621CE" w:tentative="1">
      <w:start w:val="1"/>
      <w:numFmt w:val="lowerLetter"/>
      <w:lvlText w:val="%2."/>
      <w:lvlJc w:val="left"/>
      <w:pPr>
        <w:ind w:left="1440" w:hanging="360"/>
      </w:pPr>
    </w:lvl>
    <w:lvl w:ilvl="2" w:tplc="44B088BA" w:tentative="1">
      <w:start w:val="1"/>
      <w:numFmt w:val="lowerRoman"/>
      <w:lvlText w:val="%3."/>
      <w:lvlJc w:val="right"/>
      <w:pPr>
        <w:ind w:left="2160" w:hanging="180"/>
      </w:pPr>
    </w:lvl>
    <w:lvl w:ilvl="3" w:tplc="CB4E16FA" w:tentative="1">
      <w:start w:val="1"/>
      <w:numFmt w:val="decimal"/>
      <w:lvlText w:val="%4."/>
      <w:lvlJc w:val="left"/>
      <w:pPr>
        <w:ind w:left="2880" w:hanging="360"/>
      </w:pPr>
    </w:lvl>
    <w:lvl w:ilvl="4" w:tplc="CED69D92" w:tentative="1">
      <w:start w:val="1"/>
      <w:numFmt w:val="lowerLetter"/>
      <w:lvlText w:val="%5."/>
      <w:lvlJc w:val="left"/>
      <w:pPr>
        <w:ind w:left="3600" w:hanging="360"/>
      </w:pPr>
    </w:lvl>
    <w:lvl w:ilvl="5" w:tplc="56ECFE90" w:tentative="1">
      <w:start w:val="1"/>
      <w:numFmt w:val="lowerRoman"/>
      <w:lvlText w:val="%6."/>
      <w:lvlJc w:val="right"/>
      <w:pPr>
        <w:ind w:left="4320" w:hanging="180"/>
      </w:pPr>
    </w:lvl>
    <w:lvl w:ilvl="6" w:tplc="6128A91E" w:tentative="1">
      <w:start w:val="1"/>
      <w:numFmt w:val="decimal"/>
      <w:lvlText w:val="%7."/>
      <w:lvlJc w:val="left"/>
      <w:pPr>
        <w:ind w:left="5040" w:hanging="360"/>
      </w:pPr>
    </w:lvl>
    <w:lvl w:ilvl="7" w:tplc="6CB4A3C4" w:tentative="1">
      <w:start w:val="1"/>
      <w:numFmt w:val="lowerLetter"/>
      <w:lvlText w:val="%8."/>
      <w:lvlJc w:val="left"/>
      <w:pPr>
        <w:ind w:left="5760" w:hanging="360"/>
      </w:pPr>
    </w:lvl>
    <w:lvl w:ilvl="8" w:tplc="45F053F4" w:tentative="1">
      <w:start w:val="1"/>
      <w:numFmt w:val="lowerRoman"/>
      <w:lvlText w:val="%9."/>
      <w:lvlJc w:val="right"/>
      <w:pPr>
        <w:ind w:left="6480" w:hanging="180"/>
      </w:pPr>
    </w:lvl>
  </w:abstractNum>
  <w:abstractNum w:abstractNumId="5" w15:restartNumberingAfterBreak="0">
    <w:nsid w:val="63AA4C44"/>
    <w:multiLevelType w:val="hybridMultilevel"/>
    <w:tmpl w:val="092E92F6"/>
    <w:lvl w:ilvl="0" w:tplc="E3885DC0">
      <w:start w:val="1"/>
      <w:numFmt w:val="decimal"/>
      <w:lvlText w:val="%1."/>
      <w:lvlJc w:val="left"/>
      <w:pPr>
        <w:tabs>
          <w:tab w:val="num" w:pos="720"/>
        </w:tabs>
        <w:ind w:left="720" w:hanging="360"/>
      </w:pPr>
    </w:lvl>
    <w:lvl w:ilvl="1" w:tplc="2A9036F6" w:tentative="1">
      <w:start w:val="1"/>
      <w:numFmt w:val="lowerLetter"/>
      <w:lvlText w:val="%2."/>
      <w:lvlJc w:val="left"/>
      <w:pPr>
        <w:tabs>
          <w:tab w:val="num" w:pos="1440"/>
        </w:tabs>
        <w:ind w:left="1440" w:hanging="360"/>
      </w:pPr>
    </w:lvl>
    <w:lvl w:ilvl="2" w:tplc="D1E4ACE6" w:tentative="1">
      <w:start w:val="1"/>
      <w:numFmt w:val="lowerRoman"/>
      <w:lvlText w:val="%3."/>
      <w:lvlJc w:val="right"/>
      <w:pPr>
        <w:tabs>
          <w:tab w:val="num" w:pos="2160"/>
        </w:tabs>
        <w:ind w:left="2160" w:hanging="180"/>
      </w:pPr>
    </w:lvl>
    <w:lvl w:ilvl="3" w:tplc="6A8CF28E" w:tentative="1">
      <w:start w:val="1"/>
      <w:numFmt w:val="decimal"/>
      <w:lvlText w:val="%4."/>
      <w:lvlJc w:val="left"/>
      <w:pPr>
        <w:tabs>
          <w:tab w:val="num" w:pos="2880"/>
        </w:tabs>
        <w:ind w:left="2880" w:hanging="360"/>
      </w:pPr>
    </w:lvl>
    <w:lvl w:ilvl="4" w:tplc="B966F15A" w:tentative="1">
      <w:start w:val="1"/>
      <w:numFmt w:val="lowerLetter"/>
      <w:lvlText w:val="%5."/>
      <w:lvlJc w:val="left"/>
      <w:pPr>
        <w:tabs>
          <w:tab w:val="num" w:pos="3600"/>
        </w:tabs>
        <w:ind w:left="3600" w:hanging="360"/>
      </w:pPr>
    </w:lvl>
    <w:lvl w:ilvl="5" w:tplc="C9FE9A98" w:tentative="1">
      <w:start w:val="1"/>
      <w:numFmt w:val="lowerRoman"/>
      <w:lvlText w:val="%6."/>
      <w:lvlJc w:val="right"/>
      <w:pPr>
        <w:tabs>
          <w:tab w:val="num" w:pos="4320"/>
        </w:tabs>
        <w:ind w:left="4320" w:hanging="180"/>
      </w:pPr>
    </w:lvl>
    <w:lvl w:ilvl="6" w:tplc="681C943C" w:tentative="1">
      <w:start w:val="1"/>
      <w:numFmt w:val="decimal"/>
      <w:lvlText w:val="%7."/>
      <w:lvlJc w:val="left"/>
      <w:pPr>
        <w:tabs>
          <w:tab w:val="num" w:pos="5040"/>
        </w:tabs>
        <w:ind w:left="5040" w:hanging="360"/>
      </w:pPr>
    </w:lvl>
    <w:lvl w:ilvl="7" w:tplc="616CE5C2" w:tentative="1">
      <w:start w:val="1"/>
      <w:numFmt w:val="lowerLetter"/>
      <w:lvlText w:val="%8."/>
      <w:lvlJc w:val="left"/>
      <w:pPr>
        <w:tabs>
          <w:tab w:val="num" w:pos="5760"/>
        </w:tabs>
        <w:ind w:left="5760" w:hanging="360"/>
      </w:pPr>
    </w:lvl>
    <w:lvl w:ilvl="8" w:tplc="E8FEEF90"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25265"/>
    <w:rsid w:val="000636E1"/>
    <w:rsid w:val="0008352D"/>
    <w:rsid w:val="000A07CE"/>
    <w:rsid w:val="000A2C92"/>
    <w:rsid w:val="000A7238"/>
    <w:rsid w:val="000B0B21"/>
    <w:rsid w:val="000D08A9"/>
    <w:rsid w:val="000E56CA"/>
    <w:rsid w:val="000F3D38"/>
    <w:rsid w:val="00110CBD"/>
    <w:rsid w:val="001357B2"/>
    <w:rsid w:val="00151388"/>
    <w:rsid w:val="00151872"/>
    <w:rsid w:val="00160E5F"/>
    <w:rsid w:val="00197A93"/>
    <w:rsid w:val="001A3BA5"/>
    <w:rsid w:val="001E5626"/>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53861"/>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4E62D8"/>
    <w:rsid w:val="00512085"/>
    <w:rsid w:val="005149DF"/>
    <w:rsid w:val="005254D1"/>
    <w:rsid w:val="00525C18"/>
    <w:rsid w:val="00526246"/>
    <w:rsid w:val="005472F1"/>
    <w:rsid w:val="0055206D"/>
    <w:rsid w:val="00567106"/>
    <w:rsid w:val="005709F2"/>
    <w:rsid w:val="00580B13"/>
    <w:rsid w:val="005916E5"/>
    <w:rsid w:val="005B0438"/>
    <w:rsid w:val="005E1D3C"/>
    <w:rsid w:val="006268BE"/>
    <w:rsid w:val="00632253"/>
    <w:rsid w:val="00642714"/>
    <w:rsid w:val="00643C4E"/>
    <w:rsid w:val="006455CE"/>
    <w:rsid w:val="006A130C"/>
    <w:rsid w:val="006C2BB6"/>
    <w:rsid w:val="006D42D9"/>
    <w:rsid w:val="006F142E"/>
    <w:rsid w:val="00703380"/>
    <w:rsid w:val="00726463"/>
    <w:rsid w:val="00733017"/>
    <w:rsid w:val="00751D38"/>
    <w:rsid w:val="007572C1"/>
    <w:rsid w:val="00775FED"/>
    <w:rsid w:val="00783310"/>
    <w:rsid w:val="00786A36"/>
    <w:rsid w:val="00794B95"/>
    <w:rsid w:val="00794E63"/>
    <w:rsid w:val="007A4A6D"/>
    <w:rsid w:val="007D1BCF"/>
    <w:rsid w:val="007D75CF"/>
    <w:rsid w:val="007E6DC5"/>
    <w:rsid w:val="0088043C"/>
    <w:rsid w:val="008906C9"/>
    <w:rsid w:val="008A091A"/>
    <w:rsid w:val="008A5918"/>
    <w:rsid w:val="008B2E72"/>
    <w:rsid w:val="008B6A6E"/>
    <w:rsid w:val="008C00F2"/>
    <w:rsid w:val="008C5738"/>
    <w:rsid w:val="008D04F0"/>
    <w:rsid w:val="008E2D84"/>
    <w:rsid w:val="008E6AE3"/>
    <w:rsid w:val="008F3500"/>
    <w:rsid w:val="009022B3"/>
    <w:rsid w:val="00921372"/>
    <w:rsid w:val="00924E3C"/>
    <w:rsid w:val="00925A8B"/>
    <w:rsid w:val="009612BB"/>
    <w:rsid w:val="009A75ED"/>
    <w:rsid w:val="009B0295"/>
    <w:rsid w:val="009C5340"/>
    <w:rsid w:val="009C7598"/>
    <w:rsid w:val="009E42F2"/>
    <w:rsid w:val="00A05DC7"/>
    <w:rsid w:val="00A125C5"/>
    <w:rsid w:val="00A12D5C"/>
    <w:rsid w:val="00A216AF"/>
    <w:rsid w:val="00A3267F"/>
    <w:rsid w:val="00A36906"/>
    <w:rsid w:val="00A45EAF"/>
    <w:rsid w:val="00A5039D"/>
    <w:rsid w:val="00A65EE7"/>
    <w:rsid w:val="00A70133"/>
    <w:rsid w:val="00A72510"/>
    <w:rsid w:val="00AA47FE"/>
    <w:rsid w:val="00AB0263"/>
    <w:rsid w:val="00AC05DE"/>
    <w:rsid w:val="00AC1369"/>
    <w:rsid w:val="00AC5C16"/>
    <w:rsid w:val="00AD57C5"/>
    <w:rsid w:val="00AD5A5B"/>
    <w:rsid w:val="00AE1792"/>
    <w:rsid w:val="00B011EA"/>
    <w:rsid w:val="00B17141"/>
    <w:rsid w:val="00B31575"/>
    <w:rsid w:val="00B63108"/>
    <w:rsid w:val="00B63BD4"/>
    <w:rsid w:val="00B653A6"/>
    <w:rsid w:val="00B669D1"/>
    <w:rsid w:val="00B677B6"/>
    <w:rsid w:val="00B81A7A"/>
    <w:rsid w:val="00B8547D"/>
    <w:rsid w:val="00BC2517"/>
    <w:rsid w:val="00BC61EF"/>
    <w:rsid w:val="00BE423F"/>
    <w:rsid w:val="00C250D5"/>
    <w:rsid w:val="00C47F8D"/>
    <w:rsid w:val="00C52DAE"/>
    <w:rsid w:val="00C57EED"/>
    <w:rsid w:val="00C81391"/>
    <w:rsid w:val="00C8217D"/>
    <w:rsid w:val="00C92898"/>
    <w:rsid w:val="00C97222"/>
    <w:rsid w:val="00CA28CB"/>
    <w:rsid w:val="00CE7514"/>
    <w:rsid w:val="00D248DE"/>
    <w:rsid w:val="00D25427"/>
    <w:rsid w:val="00D31B74"/>
    <w:rsid w:val="00D3564D"/>
    <w:rsid w:val="00D674BE"/>
    <w:rsid w:val="00D81797"/>
    <w:rsid w:val="00D8542D"/>
    <w:rsid w:val="00DB11E1"/>
    <w:rsid w:val="00DB4E6F"/>
    <w:rsid w:val="00DC62F6"/>
    <w:rsid w:val="00DC6A71"/>
    <w:rsid w:val="00DD6CC3"/>
    <w:rsid w:val="00DE5B46"/>
    <w:rsid w:val="00E0357D"/>
    <w:rsid w:val="00E213FB"/>
    <w:rsid w:val="00E24EC2"/>
    <w:rsid w:val="00E439CA"/>
    <w:rsid w:val="00E51C0F"/>
    <w:rsid w:val="00E8201C"/>
    <w:rsid w:val="00E94ECF"/>
    <w:rsid w:val="00EB1E95"/>
    <w:rsid w:val="00EC4BB6"/>
    <w:rsid w:val="00ED00D1"/>
    <w:rsid w:val="00ED6E84"/>
    <w:rsid w:val="00ED7E82"/>
    <w:rsid w:val="00EF3280"/>
    <w:rsid w:val="00F0025B"/>
    <w:rsid w:val="00F02E53"/>
    <w:rsid w:val="00F12F7D"/>
    <w:rsid w:val="00F240BB"/>
    <w:rsid w:val="00F42CE8"/>
    <w:rsid w:val="00F46724"/>
    <w:rsid w:val="00F47F58"/>
    <w:rsid w:val="00F57FED"/>
    <w:rsid w:val="00F62976"/>
    <w:rsid w:val="00F7532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CDE0F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353861"/>
    <w:pPr>
      <w:spacing w:line="240" w:lineRule="auto"/>
    </w:pPr>
    <w:rPr>
      <w:szCs w:val="20"/>
    </w:rPr>
  </w:style>
  <w:style w:type="character" w:customStyle="1" w:styleId="Sprotnaopomba-besediloZnak">
    <w:name w:val="Sprotna opomba - besedilo Znak"/>
    <w:basedOn w:val="Privzetapisavaodstavka"/>
    <w:link w:val="Sprotnaopomba-besedilo"/>
    <w:semiHidden/>
    <w:rsid w:val="00353861"/>
    <w:rPr>
      <w:rFonts w:ascii="Arial" w:hAnsi="Arial"/>
      <w:lang w:val="en-US" w:eastAsia="en-US"/>
    </w:rPr>
  </w:style>
  <w:style w:type="character" w:styleId="Sprotnaopomba-sklic">
    <w:name w:val="footnote reference"/>
    <w:basedOn w:val="Privzetapisavaodstavka"/>
    <w:semiHidden/>
    <w:unhideWhenUsed/>
    <w:rsid w:val="00353861"/>
    <w:rPr>
      <w:vertAlign w:val="superscript"/>
    </w:rPr>
  </w:style>
  <w:style w:type="paragraph" w:styleId="Odstavekseznama">
    <w:name w:val="List Paragraph"/>
    <w:basedOn w:val="Navaden"/>
    <w:uiPriority w:val="34"/>
    <w:qFormat/>
    <w:rsid w:val="00353861"/>
    <w:pPr>
      <w:ind w:left="720"/>
      <w:contextualSpacing/>
    </w:pPr>
  </w:style>
  <w:style w:type="character" w:styleId="Nerazreenaomemba">
    <w:name w:val="Unresolved Mention"/>
    <w:basedOn w:val="Privzetapisavaodstavka"/>
    <w:uiPriority w:val="99"/>
    <w:semiHidden/>
    <w:unhideWhenUsed/>
    <w:rsid w:val="0075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OJ.L_.2013.054.01.0003.01.SLV&amp;toc=OJ:L:2013:054: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uriserv%3AOJ.L_.2022.309.01.0001.01.SLV&amp;toc=OJ%3AL%3A2022%3A309%3AT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4</Pages>
  <Words>2192</Words>
  <Characters>12496</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Ana Maček</cp:lastModifiedBy>
  <cp:revision>2</cp:revision>
  <cp:lastPrinted>2010-07-05T10:38:00Z</cp:lastPrinted>
  <dcterms:created xsi:type="dcterms:W3CDTF">2022-12-02T11:17:00Z</dcterms:created>
  <dcterms:modified xsi:type="dcterms:W3CDTF">2022-12-02T11:17:00Z</dcterms:modified>
</cp:coreProperties>
</file>