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32A5" w14:textId="77777777" w:rsidR="00D00C15" w:rsidRDefault="00D00C15" w:rsidP="00D00C15">
      <w:pPr>
        <w:pStyle w:val="datumtevilka"/>
        <w:jc w:val="both"/>
      </w:pPr>
    </w:p>
    <w:p w14:paraId="474841F9" w14:textId="2758C923" w:rsidR="007D75CF" w:rsidRDefault="007D75CF" w:rsidP="007D75CF">
      <w:pPr>
        <w:rPr>
          <w:lang w:val="sl-SI"/>
        </w:rPr>
      </w:pPr>
    </w:p>
    <w:p w14:paraId="142913F7" w14:textId="06EFB2D1" w:rsidR="00387147" w:rsidRDefault="00387147" w:rsidP="007D75CF">
      <w:pPr>
        <w:rPr>
          <w:lang w:val="sl-SI"/>
        </w:rPr>
      </w:pPr>
    </w:p>
    <w:p w14:paraId="34ABA55D" w14:textId="37F3A56C" w:rsidR="00387147" w:rsidRDefault="00387147" w:rsidP="007D75CF">
      <w:pPr>
        <w:rPr>
          <w:lang w:val="sl-SI"/>
        </w:rPr>
      </w:pPr>
    </w:p>
    <w:p w14:paraId="191DE266" w14:textId="2A832571" w:rsidR="00387147" w:rsidRDefault="00387147" w:rsidP="007D75CF">
      <w:pPr>
        <w:rPr>
          <w:lang w:val="sl-SI"/>
        </w:rPr>
      </w:pPr>
    </w:p>
    <w:p w14:paraId="04403759" w14:textId="2E97F5E6" w:rsidR="00387147" w:rsidRDefault="00387147" w:rsidP="007D75CF">
      <w:pPr>
        <w:rPr>
          <w:lang w:val="sl-SI"/>
        </w:rPr>
      </w:pPr>
    </w:p>
    <w:p w14:paraId="16C1449C" w14:textId="77777777" w:rsidR="00387147" w:rsidRPr="00BC2517" w:rsidRDefault="00387147" w:rsidP="007D75CF">
      <w:pPr>
        <w:rPr>
          <w:lang w:val="sl-SI"/>
        </w:rPr>
      </w:pPr>
    </w:p>
    <w:p w14:paraId="3A17BA56" w14:textId="77777777" w:rsidR="00D00C15" w:rsidRDefault="00D00C15" w:rsidP="00DC6A71">
      <w:pPr>
        <w:pStyle w:val="ZADEVA"/>
        <w:rPr>
          <w:lang w:val="sl-SI"/>
        </w:rPr>
      </w:pPr>
    </w:p>
    <w:p w14:paraId="3B5436A8" w14:textId="23FE08D1" w:rsidR="007D75CF" w:rsidRPr="00BC2517" w:rsidRDefault="00113CCF" w:rsidP="00387147">
      <w:pPr>
        <w:pStyle w:val="ZADEVA"/>
        <w:tabs>
          <w:tab w:val="clear" w:pos="1701"/>
          <w:tab w:val="left" w:pos="0"/>
        </w:tabs>
        <w:ind w:left="0" w:firstLine="0"/>
        <w:rPr>
          <w:lang w:val="sl-SI"/>
        </w:rPr>
      </w:pPr>
      <w:bookmarkStart w:id="0" w:name="NaslovZadeve"/>
      <w:r w:rsidRPr="00D00C15">
        <w:rPr>
          <w:lang w:val="sl-SI"/>
        </w:rPr>
        <w:t>Seznam materialov, izključenih iz kumulacije med EU in določenimi afriškimi, karibskimi in pacifiškimi državami ter čezmorskimi državami in ozemlji Evropske unije</w:t>
      </w:r>
      <w:bookmarkEnd w:id="0"/>
    </w:p>
    <w:p w14:paraId="28C19476" w14:textId="77777777" w:rsidR="007D75CF" w:rsidRPr="00BC2517" w:rsidRDefault="007D75CF" w:rsidP="007D75CF">
      <w:pPr>
        <w:rPr>
          <w:lang w:val="sl-SI"/>
        </w:rPr>
      </w:pPr>
    </w:p>
    <w:p w14:paraId="25694D02" w14:textId="77777777" w:rsidR="007D75CF" w:rsidRDefault="007D75CF" w:rsidP="007D75CF">
      <w:pPr>
        <w:rPr>
          <w:lang w:val="sl-SI"/>
        </w:rPr>
      </w:pPr>
    </w:p>
    <w:p w14:paraId="53BC0CE8" w14:textId="77777777" w:rsidR="00CE7287" w:rsidRDefault="00113CCF" w:rsidP="00CE7287">
      <w:pPr>
        <w:jc w:val="both"/>
        <w:rPr>
          <w:lang w:val="sl-SI"/>
        </w:rPr>
      </w:pPr>
      <w:r>
        <w:rPr>
          <w:lang w:val="sl-SI"/>
        </w:rPr>
        <w:t xml:space="preserve">V </w:t>
      </w:r>
      <w:hyperlink r:id="rId8" w:history="1">
        <w:r w:rsidRPr="0079661A">
          <w:rPr>
            <w:rStyle w:val="Hiperpovezava"/>
            <w:lang w:val="sl-SI"/>
          </w:rPr>
          <w:t>Uradnem listu EU C 211</w:t>
        </w:r>
      </w:hyperlink>
      <w:r>
        <w:rPr>
          <w:lang w:val="sl-SI"/>
        </w:rPr>
        <w:t>, z dne 30. 5. 2022, je bilo objavljeno obvestilo Komisije v skladu s členom 4(17) Protokola 1 Sporazuma o gospodarskem partnerstvu med EU in njenimi državami članicami na eni strani ter državami SADC, ki izvajajo SGP (</w:t>
      </w:r>
      <w:r w:rsidRPr="00C17FE8">
        <w:rPr>
          <w:lang w:val="sl-SI"/>
        </w:rPr>
        <w:t>držav</w:t>
      </w:r>
      <w:r>
        <w:rPr>
          <w:lang w:val="sl-SI"/>
        </w:rPr>
        <w:t>ami</w:t>
      </w:r>
      <w:r w:rsidRPr="00C17FE8">
        <w:rPr>
          <w:lang w:val="sl-SI"/>
        </w:rPr>
        <w:t xml:space="preserve"> Južnoafriške razvojne skupnosti, ki izvajajo Sporazum o gospodarskem partnerstvu</w:t>
      </w:r>
      <w:r>
        <w:rPr>
          <w:lang w:val="sl-SI"/>
        </w:rPr>
        <w:t>), na drugi strani. To obvestilo Komisije vsebuje seznam materialov, izključenih iz kumulacije med EU in določenimi afriškimi, karibskimi in pacifiškimi državami (v nadaljnjem besedilu: AKP) ter čezmorskimi državami in ozemlji EU (v nadaljnjem besedilu: ČDO), kot je določeno v členu 4(3) Protokola 1 k Sporazumu o gospodarskem partnerstvu med EU in državami SADC</w:t>
      </w:r>
      <w:r w:rsidR="002B1FBA">
        <w:rPr>
          <w:lang w:val="sl-SI"/>
        </w:rPr>
        <w:t>, ki izvajajo SGP</w:t>
      </w:r>
      <w:r>
        <w:rPr>
          <w:lang w:val="sl-SI"/>
        </w:rPr>
        <w:t xml:space="preserve">. </w:t>
      </w:r>
    </w:p>
    <w:p w14:paraId="70480F8C" w14:textId="77777777" w:rsidR="00CE7287" w:rsidRDefault="00CE7287" w:rsidP="00CE7287">
      <w:pPr>
        <w:jc w:val="both"/>
        <w:rPr>
          <w:lang w:val="sl-SI"/>
        </w:rPr>
      </w:pPr>
    </w:p>
    <w:p w14:paraId="178963F3" w14:textId="77777777" w:rsidR="00CE7287" w:rsidRPr="00BC2517" w:rsidRDefault="00113CCF" w:rsidP="00CE7287">
      <w:pPr>
        <w:jc w:val="both"/>
        <w:rPr>
          <w:lang w:val="sl-SI"/>
        </w:rPr>
      </w:pPr>
      <w:r w:rsidRPr="00455FEE">
        <w:rPr>
          <w:lang w:val="sl-SI"/>
        </w:rPr>
        <w:t>Sporazum o gospodarskem partnerstvu med Evropsko unijo in njenimi državami članicami na eni strani ter državami SADC</w:t>
      </w:r>
      <w:r>
        <w:rPr>
          <w:lang w:val="sl-SI"/>
        </w:rPr>
        <w:t xml:space="preserve">, </w:t>
      </w:r>
      <w:r w:rsidRPr="00455FEE">
        <w:rPr>
          <w:lang w:val="sl-SI"/>
        </w:rPr>
        <w:t>ki izvajajo SGP, na drugi strani</w:t>
      </w:r>
      <w:r>
        <w:rPr>
          <w:lang w:val="sl-SI"/>
        </w:rPr>
        <w:t xml:space="preserve">, je bil objavljen v </w:t>
      </w:r>
      <w:hyperlink r:id="rId9" w:history="1">
        <w:r w:rsidRPr="00733369">
          <w:rPr>
            <w:rStyle w:val="Hiperpovezava"/>
            <w:lang w:val="sl-SI"/>
          </w:rPr>
          <w:t>Uradnem listu EU L 250</w:t>
        </w:r>
      </w:hyperlink>
      <w:r w:rsidRPr="00455FEE">
        <w:rPr>
          <w:lang w:val="sl-SI"/>
        </w:rPr>
        <w:t>, z dne 16. 9. 2016</w:t>
      </w:r>
      <w:r>
        <w:rPr>
          <w:lang w:val="sl-SI"/>
        </w:rPr>
        <w:t xml:space="preserve">, popravek navedenega sporazuma pa v </w:t>
      </w:r>
      <w:hyperlink r:id="rId10" w:history="1">
        <w:r w:rsidRPr="00733369">
          <w:rPr>
            <w:rStyle w:val="Hiperpovezava"/>
            <w:lang w:val="sl-SI"/>
          </w:rPr>
          <w:t>Uradnem listu EU L 146</w:t>
        </w:r>
      </w:hyperlink>
      <w:r w:rsidRPr="00733369">
        <w:rPr>
          <w:lang w:val="sl-SI"/>
        </w:rPr>
        <w:t>, z dne 25. 5. 2022</w:t>
      </w:r>
      <w:r>
        <w:rPr>
          <w:lang w:val="sl-SI"/>
        </w:rPr>
        <w:t xml:space="preserve">. </w:t>
      </w:r>
      <w:r w:rsidRPr="00455FEE">
        <w:rPr>
          <w:lang w:val="sl-SI"/>
        </w:rPr>
        <w:t>Protokol 1</w:t>
      </w:r>
      <w:r>
        <w:rPr>
          <w:lang w:val="sl-SI"/>
        </w:rPr>
        <w:t xml:space="preserve"> v</w:t>
      </w:r>
      <w:r w:rsidRPr="00455FEE">
        <w:rPr>
          <w:lang w:val="sl-SI"/>
        </w:rPr>
        <w:t xml:space="preserve"> zvezi z </w:t>
      </w:r>
      <w:r>
        <w:rPr>
          <w:lang w:val="sl-SI"/>
        </w:rPr>
        <w:t>o</w:t>
      </w:r>
      <w:r w:rsidRPr="00455FEE">
        <w:rPr>
          <w:lang w:val="sl-SI"/>
        </w:rPr>
        <w:t xml:space="preserve">predelitvijo </w:t>
      </w:r>
      <w:r>
        <w:rPr>
          <w:lang w:val="sl-SI"/>
        </w:rPr>
        <w:t>p</w:t>
      </w:r>
      <w:r w:rsidRPr="00455FEE">
        <w:rPr>
          <w:lang w:val="sl-SI"/>
        </w:rPr>
        <w:t xml:space="preserve">ojma </w:t>
      </w:r>
      <w:r>
        <w:rPr>
          <w:lang w:val="sl-SI"/>
        </w:rPr>
        <w:t>»i</w:t>
      </w:r>
      <w:r w:rsidRPr="00455FEE">
        <w:rPr>
          <w:lang w:val="sl-SI"/>
        </w:rPr>
        <w:t xml:space="preserve">zdelki s </w:t>
      </w:r>
      <w:r>
        <w:rPr>
          <w:lang w:val="sl-SI"/>
        </w:rPr>
        <w:t>p</w:t>
      </w:r>
      <w:r w:rsidRPr="00455FEE">
        <w:rPr>
          <w:lang w:val="sl-SI"/>
        </w:rPr>
        <w:t>oreklom</w:t>
      </w:r>
      <w:r>
        <w:rPr>
          <w:lang w:val="sl-SI"/>
        </w:rPr>
        <w:t>«</w:t>
      </w:r>
      <w:r w:rsidRPr="00455FEE">
        <w:rPr>
          <w:lang w:val="sl-SI"/>
        </w:rPr>
        <w:t xml:space="preserve"> in </w:t>
      </w:r>
      <w:r>
        <w:rPr>
          <w:lang w:val="sl-SI"/>
        </w:rPr>
        <w:t>nač</w:t>
      </w:r>
      <w:r w:rsidRPr="00455FEE">
        <w:rPr>
          <w:lang w:val="sl-SI"/>
        </w:rPr>
        <w:t xml:space="preserve">ini </w:t>
      </w:r>
      <w:r>
        <w:rPr>
          <w:lang w:val="sl-SI"/>
        </w:rPr>
        <w:t>u</w:t>
      </w:r>
      <w:r w:rsidRPr="00455FEE">
        <w:rPr>
          <w:lang w:val="sl-SI"/>
        </w:rPr>
        <w:t xml:space="preserve">pravnega </w:t>
      </w:r>
      <w:r>
        <w:rPr>
          <w:lang w:val="sl-SI"/>
        </w:rPr>
        <w:t>so</w:t>
      </w:r>
      <w:r w:rsidRPr="00455FEE">
        <w:rPr>
          <w:lang w:val="sl-SI"/>
        </w:rPr>
        <w:t>delovanja</w:t>
      </w:r>
      <w:r>
        <w:rPr>
          <w:lang w:val="sl-SI"/>
        </w:rPr>
        <w:t xml:space="preserve"> (v nadaljnjem besedilu: Protokol 1) se prične na </w:t>
      </w:r>
      <w:r w:rsidRPr="00455FEE">
        <w:rPr>
          <w:lang w:val="sl-SI"/>
        </w:rPr>
        <w:t>str</w:t>
      </w:r>
      <w:r>
        <w:rPr>
          <w:lang w:val="sl-SI"/>
        </w:rPr>
        <w:t>ani</w:t>
      </w:r>
      <w:r w:rsidRPr="00455FEE">
        <w:rPr>
          <w:lang w:val="sl-SI"/>
        </w:rPr>
        <w:t xml:space="preserve"> 1924</w:t>
      </w:r>
      <w:r>
        <w:rPr>
          <w:lang w:val="sl-SI"/>
        </w:rPr>
        <w:t xml:space="preserve">. Sporazum se uporablja med EU ter </w:t>
      </w:r>
      <w:r w:rsidRPr="00733369">
        <w:rPr>
          <w:lang w:val="sl-SI"/>
        </w:rPr>
        <w:t>Republik</w:t>
      </w:r>
      <w:r>
        <w:rPr>
          <w:lang w:val="sl-SI"/>
        </w:rPr>
        <w:t>o</w:t>
      </w:r>
      <w:r w:rsidRPr="00733369">
        <w:rPr>
          <w:lang w:val="sl-SI"/>
        </w:rPr>
        <w:t xml:space="preserve"> Bocvan</w:t>
      </w:r>
      <w:r>
        <w:rPr>
          <w:lang w:val="sl-SI"/>
        </w:rPr>
        <w:t>o</w:t>
      </w:r>
      <w:r w:rsidRPr="00733369">
        <w:rPr>
          <w:lang w:val="sl-SI"/>
        </w:rPr>
        <w:t>, Kraljevin</w:t>
      </w:r>
      <w:r>
        <w:rPr>
          <w:lang w:val="sl-SI"/>
        </w:rPr>
        <w:t>o</w:t>
      </w:r>
      <w:r w:rsidRPr="00733369">
        <w:rPr>
          <w:lang w:val="sl-SI"/>
        </w:rPr>
        <w:t xml:space="preserve"> Lesoto, Republik</w:t>
      </w:r>
      <w:r>
        <w:rPr>
          <w:lang w:val="sl-SI"/>
        </w:rPr>
        <w:t>o</w:t>
      </w:r>
      <w:r w:rsidRPr="00733369">
        <w:rPr>
          <w:lang w:val="sl-SI"/>
        </w:rPr>
        <w:t xml:space="preserve"> Mozambik</w:t>
      </w:r>
      <w:r>
        <w:rPr>
          <w:lang w:val="sl-SI"/>
        </w:rPr>
        <w:t>,</w:t>
      </w:r>
      <w:r w:rsidRPr="00733369">
        <w:rPr>
          <w:lang w:val="sl-SI"/>
        </w:rPr>
        <w:t xml:space="preserve"> Republik</w:t>
      </w:r>
      <w:r>
        <w:rPr>
          <w:lang w:val="sl-SI"/>
        </w:rPr>
        <w:t>o</w:t>
      </w:r>
      <w:r w:rsidRPr="00733369">
        <w:rPr>
          <w:lang w:val="sl-SI"/>
        </w:rPr>
        <w:t xml:space="preserve"> Namibij</w:t>
      </w:r>
      <w:r>
        <w:rPr>
          <w:lang w:val="sl-SI"/>
        </w:rPr>
        <w:t>o</w:t>
      </w:r>
      <w:r w:rsidRPr="00733369">
        <w:rPr>
          <w:lang w:val="sl-SI"/>
        </w:rPr>
        <w:t>, Republik</w:t>
      </w:r>
      <w:r>
        <w:rPr>
          <w:lang w:val="sl-SI"/>
        </w:rPr>
        <w:t>o</w:t>
      </w:r>
      <w:r w:rsidRPr="00733369">
        <w:rPr>
          <w:lang w:val="sl-SI"/>
        </w:rPr>
        <w:t xml:space="preserve"> Južn</w:t>
      </w:r>
      <w:r>
        <w:rPr>
          <w:lang w:val="sl-SI"/>
        </w:rPr>
        <w:t>o</w:t>
      </w:r>
      <w:r w:rsidRPr="00733369">
        <w:rPr>
          <w:lang w:val="sl-SI"/>
        </w:rPr>
        <w:t xml:space="preserve"> Afrik</w:t>
      </w:r>
      <w:r>
        <w:rPr>
          <w:lang w:val="sl-SI"/>
        </w:rPr>
        <w:t xml:space="preserve">o in </w:t>
      </w:r>
      <w:r w:rsidRPr="00733369">
        <w:rPr>
          <w:lang w:val="sl-SI"/>
        </w:rPr>
        <w:t>Kraljevin</w:t>
      </w:r>
      <w:r>
        <w:rPr>
          <w:lang w:val="sl-SI"/>
        </w:rPr>
        <w:t>o Esvatini (do leta 2018 Kraljevina Svazi).</w:t>
      </w:r>
    </w:p>
    <w:p w14:paraId="0CCC1EF2" w14:textId="77777777" w:rsidR="00CE7287" w:rsidRPr="00BC2517" w:rsidRDefault="00CE7287" w:rsidP="00CE7287">
      <w:pPr>
        <w:jc w:val="both"/>
        <w:rPr>
          <w:lang w:val="sl-SI"/>
        </w:rPr>
      </w:pPr>
    </w:p>
    <w:p w14:paraId="0DCBF033" w14:textId="77777777" w:rsidR="00CE7287" w:rsidRDefault="00113CCF" w:rsidP="00CE7287">
      <w:pPr>
        <w:jc w:val="both"/>
        <w:rPr>
          <w:lang w:val="sl-SI"/>
        </w:rPr>
      </w:pPr>
      <w:r w:rsidRPr="00C17FE8">
        <w:rPr>
          <w:lang w:val="sl-SI"/>
        </w:rPr>
        <w:t xml:space="preserve">Točka (a) člena 4(16) Protokola 1 določa, da se v primeru </w:t>
      </w:r>
      <w:r w:rsidRPr="00AF45D5">
        <w:rPr>
          <w:b/>
          <w:bCs/>
          <w:lang w:val="sl-SI"/>
        </w:rPr>
        <w:t>izvoza končnega izdelka v Južnoafriško carinsko unijo</w:t>
      </w:r>
      <w:r w:rsidRPr="00C17FE8">
        <w:rPr>
          <w:lang w:val="sl-SI"/>
        </w:rPr>
        <w:t xml:space="preserve"> (v nadaljnjem besedilu: SACU) kumulacija iz člena 4(3) Protokola 1 ne uporablja za materiale:</w:t>
      </w:r>
    </w:p>
    <w:p w14:paraId="63CA968A" w14:textId="77777777" w:rsidR="00CE7287" w:rsidRDefault="00113CCF" w:rsidP="00CE7287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AF45D5">
        <w:rPr>
          <w:lang w:val="sl-SI"/>
        </w:rPr>
        <w:t>s poreklom iz držav Južnoafriške razvojne skupnosti (v nadaljnjem besedilu: države SADC), ki niso države SACU</w:t>
      </w:r>
      <w:r>
        <w:rPr>
          <w:rStyle w:val="Sprotnaopomba-sklic"/>
          <w:lang w:val="sl-SI"/>
        </w:rPr>
        <w:footnoteReference w:id="1"/>
      </w:r>
      <w:r w:rsidRPr="00AF45D5">
        <w:rPr>
          <w:lang w:val="sl-SI"/>
        </w:rPr>
        <w:t>, ki niso upravičene do brezcarinskega in kvot prostega dostopa do trga SACU v skladu s Protokolom o trgovini v SADC; in</w:t>
      </w:r>
    </w:p>
    <w:p w14:paraId="6DFE06F2" w14:textId="77777777" w:rsidR="00CE7287" w:rsidRDefault="00113CCF" w:rsidP="00CE7287">
      <w:pPr>
        <w:pStyle w:val="Odstavekseznama"/>
        <w:numPr>
          <w:ilvl w:val="0"/>
          <w:numId w:val="6"/>
        </w:numPr>
        <w:jc w:val="both"/>
        <w:rPr>
          <w:lang w:val="sl-SI"/>
        </w:rPr>
      </w:pPr>
      <w:r w:rsidRPr="00FF2128">
        <w:rPr>
          <w:lang w:val="sl-SI"/>
        </w:rPr>
        <w:t>s poreklom iz ČDO ali držav AKP, ki izvajajo SGP, razen iz držav SADC, ki niso države SACU, ki se v SACU ne morejo uvoziti neposredno, brez carine in brez kvot.</w:t>
      </w:r>
    </w:p>
    <w:p w14:paraId="455D5173" w14:textId="77777777" w:rsidR="00CE7287" w:rsidRDefault="00CE7287" w:rsidP="00CE7287">
      <w:pPr>
        <w:jc w:val="both"/>
        <w:rPr>
          <w:lang w:val="sl-SI"/>
        </w:rPr>
      </w:pPr>
    </w:p>
    <w:p w14:paraId="280A7308" w14:textId="77777777" w:rsidR="00CE7287" w:rsidRDefault="00113CCF" w:rsidP="00CE7287">
      <w:pPr>
        <w:jc w:val="both"/>
        <w:rPr>
          <w:lang w:val="sl-SI"/>
        </w:rPr>
      </w:pPr>
      <w:r>
        <w:rPr>
          <w:lang w:val="sl-SI"/>
        </w:rPr>
        <w:t xml:space="preserve">Obveščamo vas tudi, da je Evropska komisija dne 11. 5. 2022 na svoji spletni strani objavila tudi posodobljene </w:t>
      </w:r>
      <w:hyperlink r:id="rId11" w:history="1">
        <w:r w:rsidRPr="0086445E">
          <w:rPr>
            <w:rStyle w:val="Hiperpovezava"/>
            <w:lang w:val="sl-SI"/>
          </w:rPr>
          <w:t>smernice</w:t>
        </w:r>
      </w:hyperlink>
      <w:r>
        <w:rPr>
          <w:lang w:val="sl-SI"/>
        </w:rPr>
        <w:t xml:space="preserve"> v zvezi z uporabo Protokola 1 k Sporazumu o gospodarskem partnerstvu med EU in državami SADC, ki izvajajo SGP. Posodobljene smernice med drugim vsebujejo tudi opredelitev </w:t>
      </w:r>
      <w:r>
        <w:rPr>
          <w:lang w:val="sl-SI"/>
        </w:rPr>
        <w:lastRenderedPageBreak/>
        <w:t>»</w:t>
      </w:r>
      <w:r w:rsidRPr="007B4D52">
        <w:rPr>
          <w:lang w:val="sl-SI"/>
        </w:rPr>
        <w:t>druge</w:t>
      </w:r>
      <w:r>
        <w:rPr>
          <w:lang w:val="sl-SI"/>
        </w:rPr>
        <w:t>ga</w:t>
      </w:r>
      <w:r w:rsidRPr="007B4D52">
        <w:rPr>
          <w:lang w:val="sl-SI"/>
        </w:rPr>
        <w:t xml:space="preserve"> trgovinske</w:t>
      </w:r>
      <w:r>
        <w:rPr>
          <w:lang w:val="sl-SI"/>
        </w:rPr>
        <w:t>ga</w:t>
      </w:r>
      <w:r w:rsidRPr="007B4D52">
        <w:rPr>
          <w:lang w:val="sl-SI"/>
        </w:rPr>
        <w:t xml:space="preserve"> dokument</w:t>
      </w:r>
      <w:r>
        <w:rPr>
          <w:lang w:val="sl-SI"/>
        </w:rPr>
        <w:t>a«, na katerem se lahko sestavi izjava o poreklu, kot je navedeno v členih 19 (dokazilo o poreklu – splošne zahteve) in 24 (p</w:t>
      </w:r>
      <w:r w:rsidRPr="00DE4CD1">
        <w:rPr>
          <w:lang w:val="sl-SI"/>
        </w:rPr>
        <w:t xml:space="preserve">ogoji za </w:t>
      </w:r>
      <w:r>
        <w:rPr>
          <w:lang w:val="sl-SI"/>
        </w:rPr>
        <w:t xml:space="preserve">sestavo </w:t>
      </w:r>
      <w:r w:rsidRPr="00DE4CD1">
        <w:rPr>
          <w:lang w:val="sl-SI"/>
        </w:rPr>
        <w:t>izjav</w:t>
      </w:r>
      <w:r>
        <w:rPr>
          <w:lang w:val="sl-SI"/>
        </w:rPr>
        <w:t>e</w:t>
      </w:r>
      <w:r w:rsidRPr="00DE4CD1">
        <w:rPr>
          <w:lang w:val="sl-SI"/>
        </w:rPr>
        <w:t xml:space="preserve"> o poreklu</w:t>
      </w:r>
      <w:r>
        <w:rPr>
          <w:lang w:val="sl-SI"/>
        </w:rPr>
        <w:t xml:space="preserve">) Protokola 1. </w:t>
      </w:r>
    </w:p>
    <w:p w14:paraId="33EBD3F9" w14:textId="77777777" w:rsidR="00CE7287" w:rsidRPr="00D752E6" w:rsidRDefault="00CE7287" w:rsidP="00CE7287">
      <w:pPr>
        <w:jc w:val="both"/>
        <w:rPr>
          <w:lang w:val="sl-SI"/>
        </w:rPr>
      </w:pPr>
    </w:p>
    <w:p w14:paraId="792FB7AB" w14:textId="77777777" w:rsidR="00CE7287" w:rsidRPr="00DE4CD1" w:rsidRDefault="00113CCF" w:rsidP="00CE7287">
      <w:pPr>
        <w:jc w:val="both"/>
        <w:rPr>
          <w:u w:val="single"/>
          <w:lang w:val="sl-SI"/>
        </w:rPr>
      </w:pPr>
      <w:r w:rsidRPr="00DE4CD1">
        <w:rPr>
          <w:u w:val="single"/>
          <w:lang w:val="sl-SI"/>
        </w:rPr>
        <w:t>Kaj pomeni »drug trgovinski dokument« na katerem je lahko sestavljeno besedilo izjave o poreklu?</w:t>
      </w:r>
    </w:p>
    <w:p w14:paraId="36A60E83" w14:textId="77777777" w:rsidR="00CE7287" w:rsidRDefault="00CE7287" w:rsidP="00CE7287">
      <w:pPr>
        <w:jc w:val="both"/>
        <w:rPr>
          <w:lang w:val="sl-SI"/>
        </w:rPr>
      </w:pPr>
    </w:p>
    <w:p w14:paraId="1B8786F1" w14:textId="77777777" w:rsidR="00CE7287" w:rsidRDefault="00113CCF" w:rsidP="00CE7287">
      <w:pPr>
        <w:jc w:val="both"/>
        <w:rPr>
          <w:lang w:val="sl-SI"/>
        </w:rPr>
      </w:pPr>
      <w:r w:rsidRPr="00DE4CD1">
        <w:rPr>
          <w:lang w:val="sl-SI"/>
        </w:rPr>
        <w:t>Ni pravne definicije, kaj pomeni »</w:t>
      </w:r>
      <w:r>
        <w:rPr>
          <w:lang w:val="sl-SI"/>
        </w:rPr>
        <w:t xml:space="preserve">drug </w:t>
      </w:r>
      <w:r w:rsidRPr="00DE4CD1">
        <w:rPr>
          <w:lang w:val="sl-SI"/>
        </w:rPr>
        <w:t>trgovinski dokument«</w:t>
      </w:r>
      <w:r>
        <w:rPr>
          <w:lang w:val="sl-SI"/>
        </w:rPr>
        <w:t>.</w:t>
      </w:r>
      <w:r w:rsidRPr="00DE4CD1">
        <w:rPr>
          <w:lang w:val="sl-SI"/>
        </w:rPr>
        <w:t xml:space="preserve"> Poleg računa </w:t>
      </w:r>
      <w:r>
        <w:rPr>
          <w:lang w:val="sl-SI"/>
        </w:rPr>
        <w:t>trgovinski</w:t>
      </w:r>
      <w:r w:rsidRPr="00DE4CD1">
        <w:rPr>
          <w:lang w:val="sl-SI"/>
        </w:rPr>
        <w:t xml:space="preserve"> dokument zajema tudi različne vrste dokumentov, kot so predračun, odpremni dokument (seznam pakiranja, dobavnica) itd.</w:t>
      </w:r>
    </w:p>
    <w:p w14:paraId="39508CBD" w14:textId="77777777" w:rsidR="00CE7287" w:rsidRDefault="00CE7287" w:rsidP="00CE7287">
      <w:pPr>
        <w:jc w:val="both"/>
        <w:rPr>
          <w:lang w:val="sl-SI"/>
        </w:rPr>
      </w:pPr>
    </w:p>
    <w:p w14:paraId="6234098C" w14:textId="77777777" w:rsidR="00CE7287" w:rsidRDefault="00113CCF" w:rsidP="00CE7287">
      <w:pPr>
        <w:jc w:val="both"/>
        <w:rPr>
          <w:lang w:val="sl-SI"/>
        </w:rPr>
      </w:pPr>
      <w:r w:rsidRPr="00C41C14">
        <w:rPr>
          <w:lang w:val="sl-SI"/>
        </w:rPr>
        <w:t>Edina zakonska zahteva, zapisana v P</w:t>
      </w:r>
      <w:r>
        <w:rPr>
          <w:lang w:val="sl-SI"/>
        </w:rPr>
        <w:t>rotokolu 1</w:t>
      </w:r>
      <w:r w:rsidRPr="00C41C14">
        <w:rPr>
          <w:lang w:val="sl-SI"/>
        </w:rPr>
        <w:t xml:space="preserve">, je ta, da se lahko sestavi navedba o poreklu na računu ali </w:t>
      </w:r>
      <w:r>
        <w:rPr>
          <w:lang w:val="sl-SI"/>
        </w:rPr>
        <w:t xml:space="preserve">drugem </w:t>
      </w:r>
      <w:r w:rsidRPr="00C41C14">
        <w:rPr>
          <w:lang w:val="sl-SI"/>
        </w:rPr>
        <w:t xml:space="preserve">trgovinskem dokumentu le, če ta dokument vsebuje dovolj </w:t>
      </w:r>
      <w:r>
        <w:rPr>
          <w:lang w:val="sl-SI"/>
        </w:rPr>
        <w:t>natančen</w:t>
      </w:r>
      <w:r w:rsidRPr="00C41C14">
        <w:rPr>
          <w:lang w:val="sl-SI"/>
        </w:rPr>
        <w:t xml:space="preserve"> opis izdelkov s poreklom, da je mogoče </w:t>
      </w:r>
      <w:r>
        <w:rPr>
          <w:lang w:val="sl-SI"/>
        </w:rPr>
        <w:t xml:space="preserve">ugotoviti njihovo istovetnost. </w:t>
      </w:r>
      <w:r w:rsidRPr="00C41C14">
        <w:rPr>
          <w:lang w:val="sl-SI"/>
        </w:rPr>
        <w:t xml:space="preserve">Drugi izdelki, vključeni v ta isti račun ali drug trgovinski dokument, ki nimajo porekla, </w:t>
      </w:r>
      <w:r>
        <w:rPr>
          <w:lang w:val="sl-SI"/>
        </w:rPr>
        <w:t xml:space="preserve">se </w:t>
      </w:r>
      <w:r w:rsidRPr="00C41C14">
        <w:rPr>
          <w:lang w:val="sl-SI"/>
        </w:rPr>
        <w:t>morajo jasno raz</w:t>
      </w:r>
      <w:r>
        <w:rPr>
          <w:lang w:val="sl-SI"/>
        </w:rPr>
        <w:t>likovati od izdelkov s poreklom.</w:t>
      </w:r>
    </w:p>
    <w:p w14:paraId="015F265E" w14:textId="77777777" w:rsidR="00CE7287" w:rsidRDefault="00CE7287" w:rsidP="00CE7287">
      <w:pPr>
        <w:jc w:val="both"/>
        <w:rPr>
          <w:lang w:val="sl-SI"/>
        </w:rPr>
      </w:pPr>
    </w:p>
    <w:p w14:paraId="3A4F83D8" w14:textId="77777777" w:rsidR="00CE7287" w:rsidRPr="00C836DE" w:rsidRDefault="00113CCF" w:rsidP="00CE7287">
      <w:pPr>
        <w:jc w:val="both"/>
        <w:rPr>
          <w:lang w:val="sl-SI"/>
        </w:rPr>
      </w:pPr>
      <w:r>
        <w:rPr>
          <w:lang w:val="sl-SI"/>
        </w:rPr>
        <w:t>Izjava</w:t>
      </w:r>
      <w:r w:rsidRPr="00C836DE">
        <w:rPr>
          <w:lang w:val="sl-SI"/>
        </w:rPr>
        <w:t xml:space="preserve"> o poreklu se lahko natisne na ločenem dokumentu (npr. na papirju z navedbo družbe v glavi lista), ki ni račun ali drug trgovinski dokument, če:</w:t>
      </w:r>
    </w:p>
    <w:p w14:paraId="1781C8F1" w14:textId="77777777" w:rsidR="00CE7287" w:rsidRPr="00C836DE" w:rsidRDefault="00113CCF" w:rsidP="00CE7287">
      <w:pPr>
        <w:jc w:val="both"/>
        <w:rPr>
          <w:lang w:val="sl-SI"/>
        </w:rPr>
      </w:pPr>
      <w:r w:rsidRPr="00C836DE">
        <w:rPr>
          <w:lang w:val="sl-SI"/>
        </w:rPr>
        <w:t>-</w:t>
      </w:r>
      <w:r w:rsidRPr="00C836DE">
        <w:rPr>
          <w:lang w:val="sl-SI"/>
        </w:rPr>
        <w:tab/>
        <w:t>se račun ali drug trgovinski dokument sklicuje na ta ločeni dokument, ali</w:t>
      </w:r>
    </w:p>
    <w:p w14:paraId="690691D3" w14:textId="77777777" w:rsidR="00CE7287" w:rsidRPr="00C836DE" w:rsidRDefault="00113CCF" w:rsidP="00CE7287">
      <w:pPr>
        <w:jc w:val="both"/>
        <w:rPr>
          <w:lang w:val="sl-SI"/>
        </w:rPr>
      </w:pPr>
      <w:r w:rsidRPr="00C836DE">
        <w:rPr>
          <w:lang w:val="sl-SI"/>
        </w:rPr>
        <w:t>-</w:t>
      </w:r>
      <w:r w:rsidRPr="00C836DE">
        <w:rPr>
          <w:lang w:val="sl-SI"/>
        </w:rPr>
        <w:tab/>
        <w:t>se ta ločeni dokument sklicuje na račun ali drug trgovinski dokument.</w:t>
      </w:r>
    </w:p>
    <w:p w14:paraId="3C154869" w14:textId="77777777" w:rsidR="00CE7287" w:rsidRPr="00C836DE" w:rsidRDefault="00CE7287" w:rsidP="00CE7287">
      <w:pPr>
        <w:jc w:val="both"/>
        <w:rPr>
          <w:lang w:val="sl-SI"/>
        </w:rPr>
      </w:pPr>
    </w:p>
    <w:p w14:paraId="1787A82F" w14:textId="77777777" w:rsidR="00CE7287" w:rsidRDefault="00113CCF" w:rsidP="00CE7287">
      <w:pPr>
        <w:jc w:val="both"/>
        <w:rPr>
          <w:lang w:val="sl-SI"/>
        </w:rPr>
      </w:pPr>
      <w:r w:rsidRPr="00C836DE">
        <w:rPr>
          <w:lang w:val="sl-SI"/>
        </w:rPr>
        <w:t xml:space="preserve">Ta ločeni dokument se v takem primeru lahko šteje kot del računa ali drugega trgovinskega dokumenta. </w:t>
      </w:r>
    </w:p>
    <w:p w14:paraId="4A4BC3DA" w14:textId="77777777" w:rsidR="00CE7287" w:rsidRDefault="00CE7287" w:rsidP="00CE7287">
      <w:pPr>
        <w:jc w:val="both"/>
        <w:rPr>
          <w:lang w:val="sl-SI"/>
        </w:rPr>
      </w:pPr>
    </w:p>
    <w:p w14:paraId="57A5658D" w14:textId="77777777" w:rsidR="00CE7287" w:rsidRDefault="00113CCF" w:rsidP="00CE7287">
      <w:pPr>
        <w:jc w:val="both"/>
        <w:rPr>
          <w:lang w:val="sl-SI"/>
        </w:rPr>
      </w:pPr>
      <w:r>
        <w:rPr>
          <w:lang w:val="sl-SI"/>
        </w:rPr>
        <w:t>Evropska komisija</w:t>
      </w:r>
      <w:r w:rsidR="00E423E1">
        <w:rPr>
          <w:lang w:val="sl-SI"/>
        </w:rPr>
        <w:t xml:space="preserve"> </w:t>
      </w:r>
      <w:r w:rsidR="00781EF0">
        <w:rPr>
          <w:lang w:val="sl-SI"/>
        </w:rPr>
        <w:t xml:space="preserve">prosi </w:t>
      </w:r>
      <w:r w:rsidR="00E423E1">
        <w:rPr>
          <w:lang w:val="sl-SI"/>
        </w:rPr>
        <w:t>države članice EU</w:t>
      </w:r>
      <w:r>
        <w:rPr>
          <w:lang w:val="sl-SI"/>
        </w:rPr>
        <w:t>, da upoštevajo to opredelitev »drugega trgovinskega dokumenta« za namene določitve, sli so izjave o poreklu, sestavljene</w:t>
      </w:r>
      <w:r w:rsidR="00781EF0">
        <w:rPr>
          <w:lang w:val="sl-SI"/>
        </w:rPr>
        <w:t xml:space="preserve"> za izvoz iz držav SADC, ki izvajajo SGP, v EU, </w:t>
      </w:r>
      <w:r>
        <w:rPr>
          <w:lang w:val="sl-SI"/>
        </w:rPr>
        <w:t xml:space="preserve">veljavne, ali ne. </w:t>
      </w:r>
    </w:p>
    <w:p w14:paraId="7F35A683" w14:textId="77777777" w:rsidR="007E6DC5" w:rsidRPr="00BC2517" w:rsidRDefault="007E6DC5" w:rsidP="0079661A">
      <w:pPr>
        <w:jc w:val="both"/>
        <w:rPr>
          <w:lang w:val="sl-SI"/>
        </w:rPr>
      </w:pPr>
    </w:p>
    <w:p w14:paraId="527FAA91" w14:textId="77777777" w:rsidR="00CE7287" w:rsidRPr="00BC2517" w:rsidRDefault="00CE7287" w:rsidP="001A3BA5">
      <w:pPr>
        <w:pStyle w:val="podpisi"/>
        <w:rPr>
          <w:lang w:val="sl-SI"/>
        </w:rPr>
      </w:pPr>
    </w:p>
    <w:sectPr w:rsidR="00CE7287" w:rsidRPr="00BC2517" w:rsidSect="00F002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FF76" w14:textId="77777777" w:rsidR="000E2D87" w:rsidRDefault="000E2D87">
      <w:pPr>
        <w:spacing w:line="240" w:lineRule="auto"/>
      </w:pPr>
      <w:r>
        <w:separator/>
      </w:r>
    </w:p>
  </w:endnote>
  <w:endnote w:type="continuationSeparator" w:id="0">
    <w:p w14:paraId="79F4EBA3" w14:textId="77777777" w:rsidR="000E2D87" w:rsidRDefault="000E2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F1A4" w14:textId="77777777" w:rsidR="00B84999" w:rsidRDefault="00B849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FBD" w14:textId="77777777" w:rsidR="000F062C" w:rsidRDefault="00113CCF" w:rsidP="00416CE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5323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E9D5" w14:textId="77777777" w:rsidR="000F062C" w:rsidRDefault="00113CCF" w:rsidP="00416CE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5323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5323F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F887" w14:textId="77777777" w:rsidR="000E2D87" w:rsidRDefault="000E2D87">
      <w:pPr>
        <w:spacing w:line="240" w:lineRule="auto"/>
      </w:pPr>
      <w:r>
        <w:separator/>
      </w:r>
    </w:p>
  </w:footnote>
  <w:footnote w:type="continuationSeparator" w:id="0">
    <w:p w14:paraId="219A8994" w14:textId="77777777" w:rsidR="000E2D87" w:rsidRDefault="000E2D87">
      <w:pPr>
        <w:spacing w:line="240" w:lineRule="auto"/>
      </w:pPr>
      <w:r>
        <w:continuationSeparator/>
      </w:r>
    </w:p>
  </w:footnote>
  <w:footnote w:id="1">
    <w:p w14:paraId="2E30B4D4" w14:textId="77777777" w:rsidR="00CE7287" w:rsidRDefault="00113CCF" w:rsidP="00CE7287">
      <w:pPr>
        <w:pStyle w:val="Sprotnaopomba-besedilo"/>
        <w:ind w:left="142" w:hanging="142"/>
        <w:rPr>
          <w:lang w:val="sl-SI"/>
        </w:rPr>
      </w:pPr>
      <w:r>
        <w:rPr>
          <w:rStyle w:val="Sprotnaopomba-sklic"/>
        </w:rPr>
        <w:footnoteRef/>
      </w:r>
      <w:r w:rsidRPr="00FF2128">
        <w:rPr>
          <w:lang w:val="it-IT"/>
        </w:rPr>
        <w:t xml:space="preserve"> </w:t>
      </w:r>
      <w:hyperlink r:id="rId1" w:history="1">
        <w:r w:rsidRPr="002B1FBA">
          <w:rPr>
            <w:rStyle w:val="Hiperpovezava"/>
            <w:lang w:val="sl-SI"/>
          </w:rPr>
          <w:t>Države članice SACU</w:t>
        </w:r>
      </w:hyperlink>
      <w:r w:rsidRPr="00FF2128">
        <w:rPr>
          <w:lang w:val="sl-SI"/>
        </w:rPr>
        <w:t xml:space="preserve"> so </w:t>
      </w:r>
      <w:r>
        <w:rPr>
          <w:lang w:val="sl-SI"/>
        </w:rPr>
        <w:t xml:space="preserve">Republika </w:t>
      </w:r>
      <w:r w:rsidRPr="00FF2128">
        <w:rPr>
          <w:lang w:val="sl-SI"/>
        </w:rPr>
        <w:t xml:space="preserve">Bocvana, </w:t>
      </w:r>
      <w:r>
        <w:rPr>
          <w:lang w:val="sl-SI"/>
        </w:rPr>
        <w:t xml:space="preserve">Kraljevina </w:t>
      </w:r>
      <w:r w:rsidRPr="00FF2128">
        <w:rPr>
          <w:lang w:val="sl-SI"/>
        </w:rPr>
        <w:t xml:space="preserve">Esvatini, </w:t>
      </w:r>
      <w:r>
        <w:rPr>
          <w:lang w:val="sl-SI"/>
        </w:rPr>
        <w:t xml:space="preserve">Kraljevina </w:t>
      </w:r>
      <w:r w:rsidRPr="00FF2128">
        <w:rPr>
          <w:lang w:val="sl-SI"/>
        </w:rPr>
        <w:t xml:space="preserve">Lesoto, </w:t>
      </w:r>
      <w:r>
        <w:rPr>
          <w:lang w:val="sl-SI"/>
        </w:rPr>
        <w:t xml:space="preserve">Republika </w:t>
      </w:r>
      <w:r w:rsidRPr="00FF2128">
        <w:rPr>
          <w:lang w:val="sl-SI"/>
        </w:rPr>
        <w:t xml:space="preserve">Namibija in </w:t>
      </w:r>
      <w:r>
        <w:rPr>
          <w:lang w:val="sl-SI"/>
        </w:rPr>
        <w:t xml:space="preserve">Republika </w:t>
      </w:r>
      <w:r w:rsidRPr="00FF2128">
        <w:rPr>
          <w:lang w:val="sl-SI"/>
        </w:rPr>
        <w:t>Južna Afrika</w:t>
      </w:r>
      <w:r>
        <w:rPr>
          <w:lang w:val="sl-SI"/>
        </w:rPr>
        <w:t>.</w:t>
      </w:r>
    </w:p>
    <w:p w14:paraId="1D95F7FE" w14:textId="77777777" w:rsidR="00CE7287" w:rsidRPr="00136B73" w:rsidRDefault="00113CCF" w:rsidP="00CE7287">
      <w:pPr>
        <w:pStyle w:val="Sprotnaopomba-besedilo"/>
        <w:ind w:left="142" w:hanging="142"/>
        <w:jc w:val="both"/>
        <w:rPr>
          <w:lang w:val="sl-SI"/>
        </w:rPr>
      </w:pPr>
      <w:r w:rsidRPr="00136B73">
        <w:rPr>
          <w:lang w:val="sl-SI"/>
        </w:rPr>
        <w:t xml:space="preserve">  </w:t>
      </w:r>
      <w:hyperlink r:id="rId2" w:history="1">
        <w:r w:rsidRPr="002B1FBA">
          <w:rPr>
            <w:rStyle w:val="Hiperpovezava"/>
            <w:lang w:val="sl-SI"/>
          </w:rPr>
          <w:t>Države članice SADC</w:t>
        </w:r>
      </w:hyperlink>
      <w:r>
        <w:rPr>
          <w:lang w:val="sl-SI"/>
        </w:rPr>
        <w:t xml:space="preserve"> so Angola, Bocvana, Komori, demokratična Republika Kongo, Esvatini, Lesoto, Madagaskar, Malavi, Mauritius, Mozambik, Namibija, Sejšeli, Južna Afrika, združena Republika Tanzanija, Zambija in Zimbabve.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17CF" w14:textId="77777777" w:rsidR="00B84999" w:rsidRDefault="00B849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A15" w14:textId="77777777"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15E17" w14:paraId="1DFA5896" w14:textId="77777777">
      <w:trPr>
        <w:cantSplit/>
        <w:trHeight w:hRule="exact" w:val="847"/>
      </w:trPr>
      <w:tc>
        <w:tcPr>
          <w:tcW w:w="567" w:type="dxa"/>
        </w:tcPr>
        <w:p w14:paraId="1A73BBC4" w14:textId="77777777" w:rsidR="000F062C" w:rsidRDefault="00113CC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4F71695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62A3DC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91BBF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E59C91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B467B5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FB362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58BD1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5A4C28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287499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0DD1C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E364C2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13AA11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700F70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0D1D8B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33400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2C20FD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82541B1" w14:textId="77777777" w:rsidR="000F062C" w:rsidRPr="008F3500" w:rsidRDefault="00113CC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70F58F2" wp14:editId="52D41B8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3855FCEA" w14:textId="77777777" w:rsidR="000F062C" w:rsidRPr="008F3500" w:rsidRDefault="00113CC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5D48023" w14:textId="77777777" w:rsidR="000F062C" w:rsidRPr="008F3500" w:rsidRDefault="00113CCF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14:paraId="5444A477" w14:textId="77777777" w:rsidR="000F062C" w:rsidRPr="00B84999" w:rsidRDefault="00113CCF" w:rsidP="00B8499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B84999">
      <w:rPr>
        <w:rFonts w:ascii="Republika" w:hAnsi="Republika"/>
        <w:lang w:val="sl-SI"/>
      </w:rPr>
      <w:t>Generalni finančni urad</w:t>
    </w:r>
  </w:p>
  <w:p w14:paraId="68665CB1" w14:textId="77777777" w:rsidR="000F062C" w:rsidRPr="00B84999" w:rsidRDefault="00113CCF" w:rsidP="00B8499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B84999">
      <w:rPr>
        <w:rFonts w:ascii="Republika" w:hAnsi="Republika"/>
        <w:lang w:val="sl-SI"/>
      </w:rPr>
      <w:t>Uprava za carine</w:t>
    </w:r>
    <w:r w:rsidRPr="00B84999">
      <w:rPr>
        <w:rFonts w:ascii="Republika" w:hAnsi="Republika"/>
        <w:caps/>
        <w:lang w:val="sl-SI"/>
      </w:rPr>
      <w:t xml:space="preserve"> </w:t>
    </w:r>
  </w:p>
  <w:p w14:paraId="39FEEEFB" w14:textId="77777777" w:rsidR="00B84999" w:rsidRPr="008F3500" w:rsidRDefault="00113CCF" w:rsidP="00B8499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0422F69E" w14:textId="77777777" w:rsidR="00B84999" w:rsidRPr="008F3500" w:rsidRDefault="00113CCF" w:rsidP="00B8499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C5BC04C" w14:textId="77777777" w:rsidR="00B84999" w:rsidRPr="008F3500" w:rsidRDefault="00113CCF" w:rsidP="00B8499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6ED0696" w14:textId="77777777"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7F184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968BF0" w:tentative="1">
      <w:start w:val="1"/>
      <w:numFmt w:val="lowerLetter"/>
      <w:lvlText w:val="%2."/>
      <w:lvlJc w:val="left"/>
      <w:pPr>
        <w:ind w:left="1800" w:hanging="360"/>
      </w:pPr>
    </w:lvl>
    <w:lvl w:ilvl="2" w:tplc="01BAAD14" w:tentative="1">
      <w:start w:val="1"/>
      <w:numFmt w:val="lowerRoman"/>
      <w:lvlText w:val="%3."/>
      <w:lvlJc w:val="right"/>
      <w:pPr>
        <w:ind w:left="2520" w:hanging="180"/>
      </w:pPr>
    </w:lvl>
    <w:lvl w:ilvl="3" w:tplc="732E2914" w:tentative="1">
      <w:start w:val="1"/>
      <w:numFmt w:val="decimal"/>
      <w:lvlText w:val="%4."/>
      <w:lvlJc w:val="left"/>
      <w:pPr>
        <w:ind w:left="3240" w:hanging="360"/>
      </w:pPr>
    </w:lvl>
    <w:lvl w:ilvl="4" w:tplc="6BC027C8" w:tentative="1">
      <w:start w:val="1"/>
      <w:numFmt w:val="lowerLetter"/>
      <w:lvlText w:val="%5."/>
      <w:lvlJc w:val="left"/>
      <w:pPr>
        <w:ind w:left="3960" w:hanging="360"/>
      </w:pPr>
    </w:lvl>
    <w:lvl w:ilvl="5" w:tplc="8506CE38" w:tentative="1">
      <w:start w:val="1"/>
      <w:numFmt w:val="lowerRoman"/>
      <w:lvlText w:val="%6."/>
      <w:lvlJc w:val="right"/>
      <w:pPr>
        <w:ind w:left="4680" w:hanging="180"/>
      </w:pPr>
    </w:lvl>
    <w:lvl w:ilvl="6" w:tplc="BCC8C724" w:tentative="1">
      <w:start w:val="1"/>
      <w:numFmt w:val="decimal"/>
      <w:lvlText w:val="%7."/>
      <w:lvlJc w:val="left"/>
      <w:pPr>
        <w:ind w:left="5400" w:hanging="360"/>
      </w:pPr>
    </w:lvl>
    <w:lvl w:ilvl="7" w:tplc="3836DC48" w:tentative="1">
      <w:start w:val="1"/>
      <w:numFmt w:val="lowerLetter"/>
      <w:lvlText w:val="%8."/>
      <w:lvlJc w:val="left"/>
      <w:pPr>
        <w:ind w:left="6120" w:hanging="360"/>
      </w:pPr>
    </w:lvl>
    <w:lvl w:ilvl="8" w:tplc="3D8A67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B60A5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6E72A0" w:tentative="1">
      <w:start w:val="1"/>
      <w:numFmt w:val="lowerLetter"/>
      <w:lvlText w:val="%2."/>
      <w:lvlJc w:val="left"/>
      <w:pPr>
        <w:ind w:left="1080" w:hanging="360"/>
      </w:pPr>
    </w:lvl>
    <w:lvl w:ilvl="2" w:tplc="FEC678BE" w:tentative="1">
      <w:start w:val="1"/>
      <w:numFmt w:val="lowerRoman"/>
      <w:lvlText w:val="%3."/>
      <w:lvlJc w:val="right"/>
      <w:pPr>
        <w:ind w:left="1800" w:hanging="180"/>
      </w:pPr>
    </w:lvl>
    <w:lvl w:ilvl="3" w:tplc="6C84A49C" w:tentative="1">
      <w:start w:val="1"/>
      <w:numFmt w:val="decimal"/>
      <w:lvlText w:val="%4."/>
      <w:lvlJc w:val="left"/>
      <w:pPr>
        <w:ind w:left="2520" w:hanging="360"/>
      </w:pPr>
    </w:lvl>
    <w:lvl w:ilvl="4" w:tplc="A5AEB6CE" w:tentative="1">
      <w:start w:val="1"/>
      <w:numFmt w:val="lowerLetter"/>
      <w:lvlText w:val="%5."/>
      <w:lvlJc w:val="left"/>
      <w:pPr>
        <w:ind w:left="3240" w:hanging="360"/>
      </w:pPr>
    </w:lvl>
    <w:lvl w:ilvl="5" w:tplc="8F4CE6D4" w:tentative="1">
      <w:start w:val="1"/>
      <w:numFmt w:val="lowerRoman"/>
      <w:lvlText w:val="%6."/>
      <w:lvlJc w:val="right"/>
      <w:pPr>
        <w:ind w:left="3960" w:hanging="180"/>
      </w:pPr>
    </w:lvl>
    <w:lvl w:ilvl="6" w:tplc="F22286A8" w:tentative="1">
      <w:start w:val="1"/>
      <w:numFmt w:val="decimal"/>
      <w:lvlText w:val="%7."/>
      <w:lvlJc w:val="left"/>
      <w:pPr>
        <w:ind w:left="4680" w:hanging="360"/>
      </w:pPr>
    </w:lvl>
    <w:lvl w:ilvl="7" w:tplc="72EE9370" w:tentative="1">
      <w:start w:val="1"/>
      <w:numFmt w:val="lowerLetter"/>
      <w:lvlText w:val="%8."/>
      <w:lvlJc w:val="left"/>
      <w:pPr>
        <w:ind w:left="5400" w:hanging="360"/>
      </w:pPr>
    </w:lvl>
    <w:lvl w:ilvl="8" w:tplc="C2EC72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BE00A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0B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8E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29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2A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6C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A6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E2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8A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934A4"/>
    <w:multiLevelType w:val="hybridMultilevel"/>
    <w:tmpl w:val="D8B2DEE8"/>
    <w:lvl w:ilvl="0" w:tplc="C34CC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9C21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27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8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D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28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44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E5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A4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FB86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02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E4C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C0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A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08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4E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8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B62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5323F"/>
    <w:rsid w:val="000636E1"/>
    <w:rsid w:val="0008352D"/>
    <w:rsid w:val="000944CF"/>
    <w:rsid w:val="000A07CE"/>
    <w:rsid w:val="000A2C92"/>
    <w:rsid w:val="000A7238"/>
    <w:rsid w:val="000B0B21"/>
    <w:rsid w:val="000D08A9"/>
    <w:rsid w:val="000E2D87"/>
    <w:rsid w:val="000F062C"/>
    <w:rsid w:val="000F3D38"/>
    <w:rsid w:val="00110CBD"/>
    <w:rsid w:val="00113CCF"/>
    <w:rsid w:val="001357B2"/>
    <w:rsid w:val="00136B73"/>
    <w:rsid w:val="00151388"/>
    <w:rsid w:val="00151872"/>
    <w:rsid w:val="00160E5F"/>
    <w:rsid w:val="001A3BA5"/>
    <w:rsid w:val="001F3B21"/>
    <w:rsid w:val="001F7BC0"/>
    <w:rsid w:val="00202A77"/>
    <w:rsid w:val="00232E47"/>
    <w:rsid w:val="00247AEB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B1FBA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147"/>
    <w:rsid w:val="00387B1A"/>
    <w:rsid w:val="003B5CF4"/>
    <w:rsid w:val="003C3B1D"/>
    <w:rsid w:val="003D0306"/>
    <w:rsid w:val="003E1C74"/>
    <w:rsid w:val="003E7E9E"/>
    <w:rsid w:val="003F4966"/>
    <w:rsid w:val="00416CED"/>
    <w:rsid w:val="00455FEE"/>
    <w:rsid w:val="00484A06"/>
    <w:rsid w:val="004A2490"/>
    <w:rsid w:val="004A4233"/>
    <w:rsid w:val="004A6A59"/>
    <w:rsid w:val="004B160E"/>
    <w:rsid w:val="005149DF"/>
    <w:rsid w:val="00525C18"/>
    <w:rsid w:val="00526246"/>
    <w:rsid w:val="0055206D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96406"/>
    <w:rsid w:val="006D42D9"/>
    <w:rsid w:val="006E6072"/>
    <w:rsid w:val="006F142E"/>
    <w:rsid w:val="00706B5F"/>
    <w:rsid w:val="00726463"/>
    <w:rsid w:val="00733017"/>
    <w:rsid w:val="00733369"/>
    <w:rsid w:val="00751D38"/>
    <w:rsid w:val="00775FED"/>
    <w:rsid w:val="00781EF0"/>
    <w:rsid w:val="00783310"/>
    <w:rsid w:val="00794B95"/>
    <w:rsid w:val="00794E63"/>
    <w:rsid w:val="0079661A"/>
    <w:rsid w:val="007A4A6D"/>
    <w:rsid w:val="007B4D52"/>
    <w:rsid w:val="007D1BCF"/>
    <w:rsid w:val="007D5AAF"/>
    <w:rsid w:val="007D75CF"/>
    <w:rsid w:val="007E6DC5"/>
    <w:rsid w:val="0084303D"/>
    <w:rsid w:val="0086445E"/>
    <w:rsid w:val="0088043C"/>
    <w:rsid w:val="008906C9"/>
    <w:rsid w:val="008A5918"/>
    <w:rsid w:val="008B2E72"/>
    <w:rsid w:val="008C00F2"/>
    <w:rsid w:val="008C5738"/>
    <w:rsid w:val="008D04F0"/>
    <w:rsid w:val="008E2D84"/>
    <w:rsid w:val="008F3500"/>
    <w:rsid w:val="009022B3"/>
    <w:rsid w:val="00924E3C"/>
    <w:rsid w:val="00925A8B"/>
    <w:rsid w:val="009612BB"/>
    <w:rsid w:val="009870F8"/>
    <w:rsid w:val="009B0295"/>
    <w:rsid w:val="009C5340"/>
    <w:rsid w:val="009E42F2"/>
    <w:rsid w:val="00A05DC7"/>
    <w:rsid w:val="00A125C5"/>
    <w:rsid w:val="00A12D5C"/>
    <w:rsid w:val="00A216AF"/>
    <w:rsid w:val="00A3267F"/>
    <w:rsid w:val="00A34F6A"/>
    <w:rsid w:val="00A36906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AF45D5"/>
    <w:rsid w:val="00B011EA"/>
    <w:rsid w:val="00B17141"/>
    <w:rsid w:val="00B31575"/>
    <w:rsid w:val="00B63BD4"/>
    <w:rsid w:val="00B677B6"/>
    <w:rsid w:val="00B84999"/>
    <w:rsid w:val="00B8547D"/>
    <w:rsid w:val="00BB43E6"/>
    <w:rsid w:val="00BC2517"/>
    <w:rsid w:val="00BC61EF"/>
    <w:rsid w:val="00BE423F"/>
    <w:rsid w:val="00C17FE8"/>
    <w:rsid w:val="00C250D5"/>
    <w:rsid w:val="00C41C14"/>
    <w:rsid w:val="00C47F8D"/>
    <w:rsid w:val="00C52DAE"/>
    <w:rsid w:val="00C57EED"/>
    <w:rsid w:val="00C81391"/>
    <w:rsid w:val="00C836DE"/>
    <w:rsid w:val="00C92898"/>
    <w:rsid w:val="00C97222"/>
    <w:rsid w:val="00CA28CB"/>
    <w:rsid w:val="00CE7287"/>
    <w:rsid w:val="00CE7514"/>
    <w:rsid w:val="00D00C15"/>
    <w:rsid w:val="00D15E17"/>
    <w:rsid w:val="00D248DE"/>
    <w:rsid w:val="00D25427"/>
    <w:rsid w:val="00D31B74"/>
    <w:rsid w:val="00D3564D"/>
    <w:rsid w:val="00D752E6"/>
    <w:rsid w:val="00D8542D"/>
    <w:rsid w:val="00DB11E1"/>
    <w:rsid w:val="00DB4E6F"/>
    <w:rsid w:val="00DC62F6"/>
    <w:rsid w:val="00DC6A71"/>
    <w:rsid w:val="00DD6CC3"/>
    <w:rsid w:val="00DE4CD1"/>
    <w:rsid w:val="00DE5B46"/>
    <w:rsid w:val="00E0357D"/>
    <w:rsid w:val="00E24EC2"/>
    <w:rsid w:val="00E423E1"/>
    <w:rsid w:val="00E51C0F"/>
    <w:rsid w:val="00E8201C"/>
    <w:rsid w:val="00E94EC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E6E11"/>
    <w:rsid w:val="00FF212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9DF47A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79661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17FE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45D5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AF45D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F45D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F45D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F45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F45D5"/>
    <w:rPr>
      <w:rFonts w:ascii="Arial" w:hAnsi="Arial"/>
      <w:b/>
      <w:bCs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F45D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F45D5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F4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uriserv%3AOJ.C_.2022.211.01.0008.01.SLV&amp;toc=OJ%3AC%3A2022%3A211%3AT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axation_customs/system/files/2022-05/3883130_Guide-SADC-EU%20EPA_2022051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SL/TXT/?uri=uriserv%3AOJ.L_.2022.146.01.0151.01.SLV&amp;toc=OJ%3AL%3A2022%3A146%3AT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uriserv%3AOJ.L_.2016.250.01.0003.01.SLV&amp;toc=OJ%3AL%3A2016%3A250%3ATOC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c.int/member-states/" TargetMode="External"/><Relationship Id="rId1" Type="http://schemas.openxmlformats.org/officeDocument/2006/relationships/hyperlink" Target="https://www.sac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Ana Maček</cp:lastModifiedBy>
  <cp:revision>2</cp:revision>
  <cp:lastPrinted>2010-07-05T10:38:00Z</cp:lastPrinted>
  <dcterms:created xsi:type="dcterms:W3CDTF">2022-06-07T05:34:00Z</dcterms:created>
  <dcterms:modified xsi:type="dcterms:W3CDTF">2022-06-07T05:34:00Z</dcterms:modified>
</cp:coreProperties>
</file>