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DB3E1" w14:textId="77777777" w:rsidR="00887E1E" w:rsidRPr="00B60E37" w:rsidRDefault="00887E1E" w:rsidP="00C861D4">
      <w:pPr>
        <w:pStyle w:val="datumtevilka"/>
        <w:jc w:val="center"/>
        <w:rPr>
          <w:lang w:val="en-GB"/>
        </w:rPr>
      </w:pPr>
    </w:p>
    <w:p w14:paraId="14BAA77E" w14:textId="77777777" w:rsidR="00887E1E" w:rsidRPr="00B60E37" w:rsidRDefault="00887E1E" w:rsidP="00D1195A">
      <w:pPr>
        <w:pStyle w:val="datumtevilka"/>
        <w:jc w:val="both"/>
        <w:rPr>
          <w:lang w:val="en-GB"/>
        </w:rPr>
      </w:pPr>
    </w:p>
    <w:p w14:paraId="57B83DB3" w14:textId="77777777" w:rsidR="00F825FF" w:rsidRPr="00B60E37" w:rsidRDefault="00F825FF" w:rsidP="00D1195A">
      <w:pPr>
        <w:pStyle w:val="datumtevilka"/>
        <w:jc w:val="both"/>
        <w:rPr>
          <w:lang w:val="en-GB"/>
        </w:rPr>
      </w:pPr>
    </w:p>
    <w:p w14:paraId="5223ED51" w14:textId="77777777" w:rsidR="00F825FF" w:rsidRDefault="00F825FF" w:rsidP="00D1195A">
      <w:pPr>
        <w:pStyle w:val="datumtevilka"/>
        <w:jc w:val="both"/>
        <w:rPr>
          <w:lang w:val="en-GB"/>
        </w:rPr>
      </w:pPr>
    </w:p>
    <w:p w14:paraId="47542ED7" w14:textId="77777777" w:rsidR="00A32B40" w:rsidRPr="00B60E37" w:rsidRDefault="00A32B40" w:rsidP="00D1195A">
      <w:pPr>
        <w:pStyle w:val="datumtevilka"/>
        <w:jc w:val="both"/>
        <w:rPr>
          <w:lang w:val="en-GB"/>
        </w:rPr>
      </w:pPr>
    </w:p>
    <w:p w14:paraId="0395D5F6" w14:textId="77777777" w:rsidR="00F825FF" w:rsidRPr="00B60E37" w:rsidRDefault="00F825FF" w:rsidP="00D1195A">
      <w:pPr>
        <w:pStyle w:val="datumtevilka"/>
        <w:jc w:val="both"/>
        <w:rPr>
          <w:lang w:val="en-GB"/>
        </w:rPr>
      </w:pPr>
    </w:p>
    <w:p w14:paraId="263DE867" w14:textId="77777777" w:rsidR="00F825FF" w:rsidRDefault="00F825FF" w:rsidP="00D1195A">
      <w:pPr>
        <w:pStyle w:val="datumtevilka"/>
        <w:jc w:val="both"/>
        <w:rPr>
          <w:lang w:val="en-GB"/>
        </w:rPr>
      </w:pPr>
    </w:p>
    <w:p w14:paraId="30098D70" w14:textId="77777777" w:rsidR="00730B54" w:rsidRDefault="00730B54" w:rsidP="00D1195A">
      <w:pPr>
        <w:pStyle w:val="datumtevilka"/>
        <w:jc w:val="both"/>
        <w:rPr>
          <w:lang w:val="en-GB"/>
        </w:rPr>
      </w:pPr>
    </w:p>
    <w:p w14:paraId="7983C93E" w14:textId="77777777" w:rsidR="00730B54" w:rsidRPr="00B60E37" w:rsidRDefault="00730B54" w:rsidP="00D1195A">
      <w:pPr>
        <w:pStyle w:val="datumtevilka"/>
        <w:jc w:val="both"/>
        <w:rPr>
          <w:lang w:val="en-GB"/>
        </w:rPr>
      </w:pPr>
    </w:p>
    <w:p w14:paraId="4FCC3B45" w14:textId="77777777" w:rsidR="00887E1E" w:rsidRPr="00B60E37" w:rsidRDefault="00887E1E" w:rsidP="00D1195A">
      <w:pPr>
        <w:pStyle w:val="datumtevilka"/>
        <w:jc w:val="both"/>
        <w:rPr>
          <w:lang w:val="en-GB"/>
        </w:rPr>
      </w:pPr>
    </w:p>
    <w:p w14:paraId="690AA7B2" w14:textId="77777777" w:rsidR="00887E1E" w:rsidRPr="00B60E37" w:rsidRDefault="00887E1E" w:rsidP="00D1195A">
      <w:pPr>
        <w:pStyle w:val="datumtevilka"/>
        <w:jc w:val="both"/>
        <w:rPr>
          <w:lang w:val="en-GB"/>
        </w:rPr>
      </w:pPr>
    </w:p>
    <w:p w14:paraId="58D04B81" w14:textId="77777777" w:rsidR="00981C18" w:rsidRDefault="00B60E37" w:rsidP="00C861D4">
      <w:pPr>
        <w:pStyle w:val="datumtevilka"/>
        <w:jc w:val="center"/>
        <w:rPr>
          <w:rFonts w:cs="Arial"/>
          <w:b/>
          <w:bCs/>
          <w:sz w:val="32"/>
          <w:szCs w:val="32"/>
          <w:lang w:val="en-GB"/>
        </w:rPr>
      </w:pPr>
      <w:r w:rsidRPr="00B60E37">
        <w:rPr>
          <w:rFonts w:cs="Arial"/>
          <w:b/>
          <w:bCs/>
          <w:sz w:val="32"/>
          <w:szCs w:val="32"/>
          <w:lang w:val="en-GB"/>
        </w:rPr>
        <w:t>THE C</w:t>
      </w:r>
      <w:r w:rsidR="00370FCA" w:rsidRPr="00B60E37">
        <w:rPr>
          <w:rFonts w:cs="Arial"/>
          <w:b/>
          <w:bCs/>
          <w:sz w:val="32"/>
          <w:szCs w:val="32"/>
          <w:lang w:val="en-GB"/>
        </w:rPr>
        <w:t>OMBIN</w:t>
      </w:r>
      <w:r w:rsidRPr="00B60E37">
        <w:rPr>
          <w:rFonts w:cs="Arial"/>
          <w:b/>
          <w:bCs/>
          <w:sz w:val="32"/>
          <w:szCs w:val="32"/>
          <w:lang w:val="en-GB"/>
        </w:rPr>
        <w:t>ED</w:t>
      </w:r>
      <w:r w:rsidR="00370FCA" w:rsidRPr="00B60E37">
        <w:rPr>
          <w:rFonts w:cs="Arial"/>
          <w:b/>
          <w:bCs/>
          <w:sz w:val="32"/>
          <w:szCs w:val="32"/>
          <w:lang w:val="en-GB"/>
        </w:rPr>
        <w:t xml:space="preserve"> NOMEN</w:t>
      </w:r>
      <w:r w:rsidRPr="00B60E37">
        <w:rPr>
          <w:rFonts w:cs="Arial"/>
          <w:b/>
          <w:bCs/>
          <w:sz w:val="32"/>
          <w:szCs w:val="32"/>
          <w:lang w:val="en-GB"/>
        </w:rPr>
        <w:t>C</w:t>
      </w:r>
      <w:r w:rsidR="00370FCA" w:rsidRPr="00B60E37">
        <w:rPr>
          <w:rFonts w:cs="Arial"/>
          <w:b/>
          <w:bCs/>
          <w:sz w:val="32"/>
          <w:szCs w:val="32"/>
          <w:lang w:val="en-GB"/>
        </w:rPr>
        <w:t>LATUR</w:t>
      </w:r>
      <w:r w:rsidRPr="00B60E37">
        <w:rPr>
          <w:rFonts w:cs="Arial"/>
          <w:b/>
          <w:bCs/>
          <w:sz w:val="32"/>
          <w:szCs w:val="32"/>
          <w:lang w:val="en-GB"/>
        </w:rPr>
        <w:t xml:space="preserve">E </w:t>
      </w:r>
    </w:p>
    <w:p w14:paraId="49ED66A9" w14:textId="77777777" w:rsidR="00730B54" w:rsidRDefault="00730B54" w:rsidP="00C861D4">
      <w:pPr>
        <w:pStyle w:val="datumtevilka"/>
        <w:jc w:val="center"/>
        <w:rPr>
          <w:rFonts w:cs="Arial"/>
          <w:b/>
          <w:bCs/>
          <w:sz w:val="32"/>
          <w:szCs w:val="32"/>
          <w:lang w:val="en-GB"/>
        </w:rPr>
      </w:pPr>
    </w:p>
    <w:p w14:paraId="33883038" w14:textId="77777777" w:rsidR="00370FCA" w:rsidRPr="00B60E37" w:rsidRDefault="00B60E37" w:rsidP="00C861D4">
      <w:pPr>
        <w:pStyle w:val="datumtevilka"/>
        <w:jc w:val="center"/>
        <w:rPr>
          <w:rFonts w:cs="Arial"/>
          <w:sz w:val="32"/>
          <w:szCs w:val="32"/>
          <w:lang w:val="en-GB"/>
        </w:rPr>
      </w:pPr>
      <w:r w:rsidRPr="00B60E37">
        <w:rPr>
          <w:rFonts w:cs="Arial"/>
          <w:b/>
          <w:bCs/>
          <w:sz w:val="32"/>
          <w:szCs w:val="32"/>
          <w:lang w:val="en-GB"/>
        </w:rPr>
        <w:t xml:space="preserve">OF THE </w:t>
      </w:r>
      <w:r w:rsidR="00370FCA" w:rsidRPr="00B60E37">
        <w:rPr>
          <w:rFonts w:cs="Arial"/>
          <w:b/>
          <w:bCs/>
          <w:sz w:val="32"/>
          <w:szCs w:val="32"/>
          <w:lang w:val="en-GB"/>
        </w:rPr>
        <w:t>E</w:t>
      </w:r>
      <w:r w:rsidRPr="00B60E37">
        <w:rPr>
          <w:rFonts w:cs="Arial"/>
          <w:b/>
          <w:bCs/>
          <w:sz w:val="32"/>
          <w:szCs w:val="32"/>
          <w:lang w:val="en-GB"/>
        </w:rPr>
        <w:t>U</w:t>
      </w:r>
      <w:r w:rsidR="00370FCA" w:rsidRPr="00B60E37">
        <w:rPr>
          <w:rFonts w:cs="Arial"/>
          <w:b/>
          <w:bCs/>
          <w:sz w:val="32"/>
          <w:szCs w:val="32"/>
          <w:lang w:val="en-GB"/>
        </w:rPr>
        <w:t>ROPE</w:t>
      </w:r>
      <w:r w:rsidRPr="00B60E37">
        <w:rPr>
          <w:rFonts w:cs="Arial"/>
          <w:b/>
          <w:bCs/>
          <w:sz w:val="32"/>
          <w:szCs w:val="32"/>
          <w:lang w:val="en-GB"/>
        </w:rPr>
        <w:t>AN</w:t>
      </w:r>
      <w:r w:rsidR="00370FCA" w:rsidRPr="00B60E37">
        <w:rPr>
          <w:rFonts w:cs="Arial"/>
          <w:b/>
          <w:bCs/>
          <w:sz w:val="32"/>
          <w:szCs w:val="32"/>
          <w:lang w:val="en-GB"/>
        </w:rPr>
        <w:t xml:space="preserve"> UNI</w:t>
      </w:r>
      <w:r w:rsidRPr="00B60E37">
        <w:rPr>
          <w:rFonts w:cs="Arial"/>
          <w:b/>
          <w:bCs/>
          <w:sz w:val="32"/>
          <w:szCs w:val="32"/>
          <w:lang w:val="en-GB"/>
        </w:rPr>
        <w:t>ON</w:t>
      </w:r>
    </w:p>
    <w:p w14:paraId="0AAEB17C" w14:textId="77777777" w:rsidR="00E853E8" w:rsidRPr="00B60E37" w:rsidRDefault="00E853E8" w:rsidP="00D1195A">
      <w:pPr>
        <w:pStyle w:val="datumtevilka"/>
        <w:jc w:val="both"/>
        <w:rPr>
          <w:lang w:val="en-GB"/>
        </w:rPr>
      </w:pPr>
    </w:p>
    <w:p w14:paraId="6ADB8D0E" w14:textId="77777777" w:rsidR="00E853E8" w:rsidRPr="00B60E37" w:rsidRDefault="00E853E8" w:rsidP="00D1195A">
      <w:pPr>
        <w:pStyle w:val="datumtevilka"/>
        <w:jc w:val="both"/>
        <w:rPr>
          <w:lang w:val="en-GB"/>
        </w:rPr>
      </w:pPr>
    </w:p>
    <w:p w14:paraId="03BF35F8" w14:textId="77777777" w:rsidR="00E853E8" w:rsidRPr="00B60E37" w:rsidRDefault="00E853E8" w:rsidP="00D1195A">
      <w:pPr>
        <w:pStyle w:val="datumtevilka"/>
        <w:jc w:val="both"/>
        <w:rPr>
          <w:lang w:val="en-GB"/>
        </w:rPr>
      </w:pPr>
    </w:p>
    <w:p w14:paraId="59862383" w14:textId="77777777" w:rsidR="00E853E8" w:rsidRPr="00B60E37" w:rsidRDefault="00E853E8" w:rsidP="00D1195A">
      <w:pPr>
        <w:pStyle w:val="datumtevilka"/>
        <w:jc w:val="both"/>
        <w:rPr>
          <w:lang w:val="en-GB"/>
        </w:rPr>
      </w:pPr>
    </w:p>
    <w:p w14:paraId="0A0D502E" w14:textId="77777777" w:rsidR="00887E1E" w:rsidRPr="00B60E37" w:rsidRDefault="00887E1E" w:rsidP="00D1195A">
      <w:pPr>
        <w:pStyle w:val="datumtevilka"/>
        <w:jc w:val="both"/>
        <w:rPr>
          <w:lang w:val="en-GB"/>
        </w:rPr>
      </w:pPr>
    </w:p>
    <w:p w14:paraId="3BC9A44A" w14:textId="77777777" w:rsidR="00F825FF" w:rsidRPr="00B60E37" w:rsidRDefault="00F825FF" w:rsidP="00D1195A">
      <w:pPr>
        <w:pStyle w:val="datumtevilka"/>
        <w:jc w:val="both"/>
        <w:rPr>
          <w:lang w:val="en-GB"/>
        </w:rPr>
      </w:pPr>
    </w:p>
    <w:p w14:paraId="41B091D6" w14:textId="77777777" w:rsidR="00F825FF" w:rsidRPr="001609CE" w:rsidRDefault="00F825FF" w:rsidP="00D1195A">
      <w:pPr>
        <w:pStyle w:val="datumtevilka"/>
        <w:jc w:val="both"/>
      </w:pPr>
    </w:p>
    <w:p w14:paraId="2DD78840" w14:textId="77777777" w:rsidR="00F825FF" w:rsidRPr="00B60E37" w:rsidRDefault="00F825FF" w:rsidP="00D1195A">
      <w:pPr>
        <w:pStyle w:val="datumtevilka"/>
        <w:jc w:val="both"/>
        <w:rPr>
          <w:lang w:val="en-GB"/>
        </w:rPr>
      </w:pPr>
    </w:p>
    <w:p w14:paraId="4092B9FE" w14:textId="77777777" w:rsidR="00F825FF" w:rsidRPr="00B60E37" w:rsidRDefault="00F825FF" w:rsidP="00D1195A">
      <w:pPr>
        <w:pStyle w:val="datumtevilka"/>
        <w:jc w:val="both"/>
        <w:rPr>
          <w:lang w:val="en-GB"/>
        </w:rPr>
      </w:pPr>
    </w:p>
    <w:p w14:paraId="57F62EB2" w14:textId="77777777" w:rsidR="00887E1E" w:rsidRPr="00B60E37" w:rsidRDefault="00887E1E" w:rsidP="00D1195A">
      <w:pPr>
        <w:pStyle w:val="podpisi"/>
        <w:jc w:val="both"/>
        <w:rPr>
          <w:lang w:val="en-GB"/>
        </w:rPr>
      </w:pPr>
    </w:p>
    <w:p w14:paraId="1A6A524F" w14:textId="77777777" w:rsidR="00F825FF" w:rsidRPr="00B60E37" w:rsidRDefault="00F825FF" w:rsidP="00D1195A">
      <w:pPr>
        <w:pStyle w:val="podpisi"/>
        <w:jc w:val="both"/>
        <w:rPr>
          <w:lang w:val="en-GB"/>
        </w:rPr>
      </w:pPr>
    </w:p>
    <w:p w14:paraId="7BE46CE6" w14:textId="77777777" w:rsidR="00887E1E" w:rsidRPr="00B60E37" w:rsidRDefault="00887E1E" w:rsidP="00D1195A">
      <w:pPr>
        <w:pStyle w:val="podpisi"/>
        <w:jc w:val="both"/>
        <w:rPr>
          <w:lang w:val="en-GB"/>
        </w:rPr>
      </w:pPr>
    </w:p>
    <w:p w14:paraId="0532A959" w14:textId="77777777" w:rsidR="00887E1E" w:rsidRPr="00B60E37" w:rsidRDefault="00887E1E" w:rsidP="00D1195A">
      <w:pPr>
        <w:pStyle w:val="podpisi"/>
        <w:jc w:val="both"/>
        <w:rPr>
          <w:lang w:val="en-GB"/>
        </w:rPr>
      </w:pPr>
    </w:p>
    <w:p w14:paraId="03975D21" w14:textId="77777777" w:rsidR="00887E1E" w:rsidRPr="00B60E37" w:rsidRDefault="00887E1E" w:rsidP="00D1195A">
      <w:pPr>
        <w:pStyle w:val="podpisi"/>
        <w:jc w:val="both"/>
        <w:rPr>
          <w:lang w:val="en-GB"/>
        </w:rPr>
      </w:pPr>
    </w:p>
    <w:p w14:paraId="60DC6B64" w14:textId="77777777" w:rsidR="00887E1E" w:rsidRPr="00B60E37" w:rsidRDefault="00887E1E" w:rsidP="00D1195A">
      <w:pPr>
        <w:pStyle w:val="podpisi"/>
        <w:jc w:val="both"/>
        <w:rPr>
          <w:noProof/>
          <w:lang w:val="en-GB"/>
        </w:rPr>
      </w:pPr>
    </w:p>
    <w:p w14:paraId="0310C235" w14:textId="77777777" w:rsidR="00887E1E" w:rsidRPr="00B60E37" w:rsidRDefault="00887E1E" w:rsidP="00D1195A">
      <w:pPr>
        <w:pStyle w:val="podpisi"/>
        <w:jc w:val="both"/>
        <w:rPr>
          <w:lang w:val="en-GB"/>
        </w:rPr>
      </w:pPr>
    </w:p>
    <w:p w14:paraId="34F72DCB" w14:textId="77777777" w:rsidR="00887E1E" w:rsidRPr="00B60E37" w:rsidRDefault="00887E1E" w:rsidP="00D1195A">
      <w:pPr>
        <w:pStyle w:val="podpisi"/>
        <w:jc w:val="both"/>
        <w:rPr>
          <w:lang w:val="en-GB"/>
        </w:rPr>
      </w:pPr>
    </w:p>
    <w:p w14:paraId="09A4839E" w14:textId="77777777" w:rsidR="00887E1E" w:rsidRPr="00B60E37" w:rsidRDefault="00887E1E" w:rsidP="00D1195A">
      <w:pPr>
        <w:pStyle w:val="podpisi"/>
        <w:jc w:val="both"/>
        <w:rPr>
          <w:lang w:val="en-GB"/>
        </w:rPr>
      </w:pPr>
    </w:p>
    <w:p w14:paraId="0759F7BA" w14:textId="77777777" w:rsidR="00E853E8" w:rsidRPr="00B60E37" w:rsidRDefault="00E853E8" w:rsidP="00D1195A">
      <w:pPr>
        <w:pStyle w:val="podpisi"/>
        <w:jc w:val="both"/>
        <w:rPr>
          <w:lang w:val="en-GB"/>
        </w:rPr>
      </w:pPr>
    </w:p>
    <w:p w14:paraId="21815E4F" w14:textId="77777777" w:rsidR="00E853E8" w:rsidRPr="00B60E37" w:rsidRDefault="00E853E8" w:rsidP="00D1195A">
      <w:pPr>
        <w:pStyle w:val="podpisi"/>
        <w:jc w:val="both"/>
        <w:rPr>
          <w:lang w:val="en-GB"/>
        </w:rPr>
      </w:pPr>
    </w:p>
    <w:p w14:paraId="7B0BB7F7" w14:textId="77777777" w:rsidR="00E853E8" w:rsidRPr="00B60E37" w:rsidRDefault="00E853E8" w:rsidP="00D1195A">
      <w:pPr>
        <w:pStyle w:val="podpisi"/>
        <w:jc w:val="both"/>
        <w:rPr>
          <w:lang w:val="en-GB"/>
        </w:rPr>
      </w:pPr>
    </w:p>
    <w:p w14:paraId="0B9D7293" w14:textId="77777777" w:rsidR="00E853E8" w:rsidRPr="00B60E37" w:rsidRDefault="00E853E8" w:rsidP="00D1195A">
      <w:pPr>
        <w:pStyle w:val="podpisi"/>
        <w:jc w:val="both"/>
        <w:rPr>
          <w:lang w:val="en-GB"/>
        </w:rPr>
      </w:pPr>
    </w:p>
    <w:p w14:paraId="32411DFC" w14:textId="77777777" w:rsidR="00E853E8" w:rsidRPr="00B60E37" w:rsidRDefault="00E853E8" w:rsidP="00D1195A">
      <w:pPr>
        <w:pStyle w:val="podpisi"/>
        <w:jc w:val="both"/>
        <w:rPr>
          <w:lang w:val="en-GB"/>
        </w:rPr>
      </w:pPr>
    </w:p>
    <w:p w14:paraId="07282950" w14:textId="77777777" w:rsidR="00E853E8" w:rsidRPr="00B60E37" w:rsidRDefault="00E853E8" w:rsidP="00D1195A">
      <w:pPr>
        <w:pStyle w:val="podpisi"/>
        <w:jc w:val="both"/>
        <w:rPr>
          <w:lang w:val="en-GB"/>
        </w:rPr>
      </w:pPr>
    </w:p>
    <w:p w14:paraId="2AC59098" w14:textId="77777777" w:rsidR="00887E1E" w:rsidRPr="00B60E37" w:rsidRDefault="00887E1E" w:rsidP="00D1195A">
      <w:pPr>
        <w:pStyle w:val="podpisi"/>
        <w:jc w:val="both"/>
        <w:rPr>
          <w:lang w:val="en-GB"/>
        </w:rPr>
      </w:pPr>
    </w:p>
    <w:p w14:paraId="7848E956" w14:textId="77777777" w:rsidR="00887E1E" w:rsidRPr="00B60E37" w:rsidRDefault="00887E1E" w:rsidP="00D1195A">
      <w:pPr>
        <w:pStyle w:val="podpisi"/>
        <w:jc w:val="both"/>
        <w:rPr>
          <w:lang w:val="en-GB"/>
        </w:rPr>
      </w:pPr>
    </w:p>
    <w:p w14:paraId="202C8B72" w14:textId="77777777" w:rsidR="00887E1E" w:rsidRPr="00B60E37" w:rsidRDefault="00887E1E" w:rsidP="00D1195A">
      <w:pPr>
        <w:pStyle w:val="podpisi"/>
        <w:jc w:val="both"/>
        <w:rPr>
          <w:lang w:val="en-GB"/>
        </w:rPr>
      </w:pPr>
    </w:p>
    <w:p w14:paraId="67EE49FC" w14:textId="77777777" w:rsidR="00887E1E" w:rsidRPr="00B60E37" w:rsidRDefault="00887E1E" w:rsidP="00D1195A">
      <w:pPr>
        <w:pStyle w:val="podpisi"/>
        <w:jc w:val="both"/>
        <w:rPr>
          <w:lang w:val="en-GB"/>
        </w:rPr>
      </w:pPr>
    </w:p>
    <w:p w14:paraId="3B9943E1" w14:textId="77777777" w:rsidR="00887E1E" w:rsidRPr="00B60E37" w:rsidRDefault="00887E1E" w:rsidP="00D1195A">
      <w:pPr>
        <w:pStyle w:val="podpisi"/>
        <w:jc w:val="both"/>
        <w:rPr>
          <w:lang w:val="en-GB"/>
        </w:rPr>
      </w:pPr>
    </w:p>
    <w:p w14:paraId="01CDE7D5" w14:textId="77777777" w:rsidR="00887E1E" w:rsidRPr="00B60E37" w:rsidRDefault="00887E1E" w:rsidP="00D1195A">
      <w:pPr>
        <w:pStyle w:val="podpisi"/>
        <w:jc w:val="both"/>
        <w:rPr>
          <w:lang w:val="en-GB"/>
        </w:rPr>
      </w:pPr>
    </w:p>
    <w:p w14:paraId="534388BB" w14:textId="77777777" w:rsidR="00806844" w:rsidRPr="00806844" w:rsidRDefault="00806844" w:rsidP="00806844">
      <w:pPr>
        <w:ind w:left="720"/>
        <w:rPr>
          <w:b/>
          <w:sz w:val="24"/>
        </w:rPr>
      </w:pPr>
    </w:p>
    <w:p w14:paraId="60E14A2C" w14:textId="77777777" w:rsidR="00806844" w:rsidRDefault="00806844" w:rsidP="00806844">
      <w:pPr>
        <w:ind w:left="720"/>
        <w:rPr>
          <w:b/>
          <w:sz w:val="24"/>
        </w:rPr>
      </w:pPr>
    </w:p>
    <w:p w14:paraId="3DE75B77" w14:textId="77777777" w:rsidR="00806844" w:rsidRDefault="00806844" w:rsidP="00806844">
      <w:pPr>
        <w:ind w:left="720"/>
        <w:rPr>
          <w:b/>
          <w:sz w:val="24"/>
        </w:rPr>
      </w:pPr>
    </w:p>
    <w:p w14:paraId="6FACCA21" w14:textId="77777777" w:rsidR="00DA2C9A" w:rsidRPr="00B60E37" w:rsidRDefault="00B60E37" w:rsidP="00E2083E">
      <w:pPr>
        <w:rPr>
          <w:b/>
          <w:sz w:val="24"/>
        </w:rPr>
      </w:pPr>
      <w:r w:rsidRPr="00B60E37">
        <w:rPr>
          <w:b/>
          <w:sz w:val="24"/>
        </w:rPr>
        <w:lastRenderedPageBreak/>
        <w:t>CONTENTS</w:t>
      </w:r>
    </w:p>
    <w:p w14:paraId="52D35563" w14:textId="77777777" w:rsidR="003379F3" w:rsidRPr="00B60E37" w:rsidRDefault="003379F3" w:rsidP="00D1195A">
      <w:pPr>
        <w:ind w:left="720"/>
        <w:jc w:val="both"/>
        <w:rPr>
          <w:b/>
          <w:sz w:val="24"/>
          <w:highlight w:val="yellow"/>
        </w:rPr>
      </w:pPr>
    </w:p>
    <w:p w14:paraId="107FAB7B" w14:textId="77777777" w:rsidR="003379F3" w:rsidRPr="00B60E37" w:rsidRDefault="003379F3" w:rsidP="00D1195A">
      <w:pPr>
        <w:pStyle w:val="Default"/>
        <w:jc w:val="both"/>
        <w:rPr>
          <w:sz w:val="20"/>
          <w:szCs w:val="20"/>
          <w:lang w:val="en-GB"/>
        </w:rPr>
      </w:pPr>
    </w:p>
    <w:p w14:paraId="0CE25279" w14:textId="77777777" w:rsidR="003379F3" w:rsidRPr="00D1195A" w:rsidRDefault="003379F3" w:rsidP="00D1195A">
      <w:pPr>
        <w:pStyle w:val="Default"/>
        <w:jc w:val="both"/>
        <w:rPr>
          <w:sz w:val="22"/>
          <w:szCs w:val="22"/>
          <w:lang w:val="en-GB"/>
        </w:rPr>
      </w:pPr>
      <w:r w:rsidRPr="00D1195A">
        <w:rPr>
          <w:sz w:val="22"/>
          <w:szCs w:val="22"/>
          <w:lang w:val="en-GB"/>
        </w:rPr>
        <w:t xml:space="preserve">1. </w:t>
      </w:r>
      <w:r w:rsidR="005216BA" w:rsidRPr="005216BA">
        <w:rPr>
          <w:sz w:val="22"/>
          <w:szCs w:val="22"/>
          <w:lang w:val="en-GB"/>
        </w:rPr>
        <w:t xml:space="preserve">THE COMBINED NOMENCLATURE OF THE EUROPEAN UNION </w:t>
      </w:r>
      <w:r w:rsidRPr="00D1195A">
        <w:rPr>
          <w:sz w:val="22"/>
          <w:szCs w:val="22"/>
          <w:lang w:val="en-GB"/>
        </w:rPr>
        <w:t>.............</w:t>
      </w:r>
      <w:r w:rsidR="005216BA">
        <w:rPr>
          <w:sz w:val="22"/>
          <w:szCs w:val="22"/>
          <w:lang w:val="en-GB"/>
        </w:rPr>
        <w:t>.</w:t>
      </w:r>
      <w:r w:rsidRPr="00D1195A">
        <w:rPr>
          <w:sz w:val="22"/>
          <w:szCs w:val="22"/>
          <w:lang w:val="en-GB"/>
        </w:rPr>
        <w:t xml:space="preserve">.......... 3 </w:t>
      </w:r>
    </w:p>
    <w:p w14:paraId="618295B1" w14:textId="77777777" w:rsidR="00DA2C9A" w:rsidRPr="00D1195A" w:rsidRDefault="00D1195A" w:rsidP="00D1195A">
      <w:pPr>
        <w:jc w:val="both"/>
        <w:rPr>
          <w:rFonts w:cs="Arial"/>
          <w:b/>
          <w:sz w:val="24"/>
        </w:rPr>
      </w:pPr>
      <w:r w:rsidRPr="00D1195A">
        <w:rPr>
          <w:rFonts w:cs="Arial"/>
          <w:sz w:val="22"/>
          <w:szCs w:val="22"/>
        </w:rPr>
        <w:t xml:space="preserve">2. </w:t>
      </w:r>
      <w:r w:rsidR="005216BA" w:rsidRPr="005216BA">
        <w:rPr>
          <w:rFonts w:cs="Arial"/>
          <w:bCs/>
          <w:sz w:val="22"/>
          <w:szCs w:val="22"/>
        </w:rPr>
        <w:t>THE CONTENT OF THE COMBINED NOMENCLATURE</w:t>
      </w:r>
      <w:r w:rsidR="005216BA">
        <w:rPr>
          <w:rFonts w:cs="Arial"/>
          <w:bCs/>
          <w:sz w:val="22"/>
          <w:szCs w:val="22"/>
        </w:rPr>
        <w:t>…</w:t>
      </w:r>
      <w:r w:rsidR="003379F3" w:rsidRPr="00D1195A">
        <w:rPr>
          <w:rFonts w:cs="Arial"/>
          <w:sz w:val="22"/>
          <w:szCs w:val="22"/>
        </w:rPr>
        <w:t>..................................... 3</w:t>
      </w:r>
    </w:p>
    <w:p w14:paraId="69B587CE" w14:textId="77777777" w:rsidR="00370FCA" w:rsidRDefault="00370FCA" w:rsidP="00D1195A">
      <w:pPr>
        <w:autoSpaceDE w:val="0"/>
        <w:autoSpaceDN w:val="0"/>
        <w:adjustRightInd w:val="0"/>
        <w:spacing w:line="240" w:lineRule="auto"/>
        <w:jc w:val="both"/>
        <w:rPr>
          <w:rFonts w:cs="Arial"/>
          <w:b/>
          <w:bCs/>
          <w:sz w:val="23"/>
          <w:szCs w:val="23"/>
          <w:highlight w:val="yellow"/>
        </w:rPr>
      </w:pPr>
    </w:p>
    <w:p w14:paraId="7427E83D" w14:textId="77777777" w:rsidR="00614928" w:rsidRDefault="00614928" w:rsidP="00D1195A">
      <w:pPr>
        <w:autoSpaceDE w:val="0"/>
        <w:autoSpaceDN w:val="0"/>
        <w:adjustRightInd w:val="0"/>
        <w:spacing w:line="240" w:lineRule="auto"/>
        <w:jc w:val="both"/>
        <w:rPr>
          <w:rFonts w:cs="Arial"/>
          <w:b/>
          <w:bCs/>
          <w:sz w:val="23"/>
          <w:szCs w:val="23"/>
          <w:highlight w:val="yellow"/>
        </w:rPr>
      </w:pPr>
    </w:p>
    <w:p w14:paraId="3A055669" w14:textId="77777777" w:rsidR="00614928" w:rsidRDefault="00614928" w:rsidP="00D1195A">
      <w:pPr>
        <w:autoSpaceDE w:val="0"/>
        <w:autoSpaceDN w:val="0"/>
        <w:adjustRightInd w:val="0"/>
        <w:spacing w:line="240" w:lineRule="auto"/>
        <w:jc w:val="both"/>
        <w:rPr>
          <w:rFonts w:cs="Arial"/>
          <w:b/>
          <w:bCs/>
          <w:sz w:val="23"/>
          <w:szCs w:val="23"/>
          <w:highlight w:val="yellow"/>
        </w:rPr>
      </w:pPr>
    </w:p>
    <w:p w14:paraId="79D0C37F" w14:textId="77777777" w:rsidR="00614928" w:rsidRDefault="00614928" w:rsidP="00D1195A">
      <w:pPr>
        <w:autoSpaceDE w:val="0"/>
        <w:autoSpaceDN w:val="0"/>
        <w:adjustRightInd w:val="0"/>
        <w:spacing w:line="240" w:lineRule="auto"/>
        <w:jc w:val="both"/>
        <w:rPr>
          <w:rFonts w:cs="Arial"/>
          <w:b/>
          <w:bCs/>
          <w:sz w:val="23"/>
          <w:szCs w:val="23"/>
          <w:highlight w:val="yellow"/>
        </w:rPr>
      </w:pPr>
    </w:p>
    <w:p w14:paraId="58E8D8AB" w14:textId="77777777" w:rsidR="00614928" w:rsidRDefault="00614928" w:rsidP="00D1195A">
      <w:pPr>
        <w:autoSpaceDE w:val="0"/>
        <w:autoSpaceDN w:val="0"/>
        <w:adjustRightInd w:val="0"/>
        <w:spacing w:line="240" w:lineRule="auto"/>
        <w:jc w:val="both"/>
        <w:rPr>
          <w:rFonts w:cs="Arial"/>
          <w:b/>
          <w:bCs/>
          <w:sz w:val="23"/>
          <w:szCs w:val="23"/>
          <w:highlight w:val="yellow"/>
        </w:rPr>
      </w:pPr>
    </w:p>
    <w:p w14:paraId="77CD09EF" w14:textId="77777777" w:rsidR="00614928" w:rsidRDefault="00614928" w:rsidP="00D1195A">
      <w:pPr>
        <w:autoSpaceDE w:val="0"/>
        <w:autoSpaceDN w:val="0"/>
        <w:adjustRightInd w:val="0"/>
        <w:spacing w:line="240" w:lineRule="auto"/>
        <w:jc w:val="both"/>
        <w:rPr>
          <w:rFonts w:cs="Arial"/>
          <w:b/>
          <w:bCs/>
          <w:sz w:val="23"/>
          <w:szCs w:val="23"/>
          <w:highlight w:val="yellow"/>
        </w:rPr>
      </w:pPr>
    </w:p>
    <w:p w14:paraId="100312A8" w14:textId="77777777" w:rsidR="00614928" w:rsidRDefault="00614928" w:rsidP="00D1195A">
      <w:pPr>
        <w:autoSpaceDE w:val="0"/>
        <w:autoSpaceDN w:val="0"/>
        <w:adjustRightInd w:val="0"/>
        <w:spacing w:line="240" w:lineRule="auto"/>
        <w:jc w:val="both"/>
        <w:rPr>
          <w:rFonts w:cs="Arial"/>
          <w:b/>
          <w:bCs/>
          <w:sz w:val="23"/>
          <w:szCs w:val="23"/>
          <w:highlight w:val="yellow"/>
        </w:rPr>
      </w:pPr>
    </w:p>
    <w:p w14:paraId="60EF822F" w14:textId="77777777" w:rsidR="00614928" w:rsidRDefault="00614928" w:rsidP="00D1195A">
      <w:pPr>
        <w:autoSpaceDE w:val="0"/>
        <w:autoSpaceDN w:val="0"/>
        <w:adjustRightInd w:val="0"/>
        <w:spacing w:line="240" w:lineRule="auto"/>
        <w:jc w:val="both"/>
        <w:rPr>
          <w:rFonts w:cs="Arial"/>
          <w:b/>
          <w:bCs/>
          <w:sz w:val="23"/>
          <w:szCs w:val="23"/>
          <w:highlight w:val="yellow"/>
        </w:rPr>
      </w:pPr>
    </w:p>
    <w:p w14:paraId="5F622608" w14:textId="77777777" w:rsidR="00614928" w:rsidRDefault="00614928" w:rsidP="00D1195A">
      <w:pPr>
        <w:autoSpaceDE w:val="0"/>
        <w:autoSpaceDN w:val="0"/>
        <w:adjustRightInd w:val="0"/>
        <w:spacing w:line="240" w:lineRule="auto"/>
        <w:jc w:val="both"/>
        <w:rPr>
          <w:rFonts w:cs="Arial"/>
          <w:b/>
          <w:bCs/>
          <w:sz w:val="23"/>
          <w:szCs w:val="23"/>
          <w:highlight w:val="yellow"/>
        </w:rPr>
      </w:pPr>
    </w:p>
    <w:p w14:paraId="5359DC65" w14:textId="77777777" w:rsidR="00614928" w:rsidRDefault="00614928" w:rsidP="00D1195A">
      <w:pPr>
        <w:autoSpaceDE w:val="0"/>
        <w:autoSpaceDN w:val="0"/>
        <w:adjustRightInd w:val="0"/>
        <w:spacing w:line="240" w:lineRule="auto"/>
        <w:jc w:val="both"/>
        <w:rPr>
          <w:rFonts w:cs="Arial"/>
          <w:b/>
          <w:bCs/>
          <w:sz w:val="23"/>
          <w:szCs w:val="23"/>
          <w:highlight w:val="yellow"/>
        </w:rPr>
      </w:pPr>
    </w:p>
    <w:p w14:paraId="3968E037" w14:textId="77777777" w:rsidR="00614928" w:rsidRDefault="00614928" w:rsidP="00D1195A">
      <w:pPr>
        <w:autoSpaceDE w:val="0"/>
        <w:autoSpaceDN w:val="0"/>
        <w:adjustRightInd w:val="0"/>
        <w:spacing w:line="240" w:lineRule="auto"/>
        <w:jc w:val="both"/>
        <w:rPr>
          <w:rFonts w:cs="Arial"/>
          <w:b/>
          <w:bCs/>
          <w:sz w:val="23"/>
          <w:szCs w:val="23"/>
          <w:highlight w:val="yellow"/>
        </w:rPr>
      </w:pPr>
    </w:p>
    <w:p w14:paraId="076E6970" w14:textId="77777777" w:rsidR="00614928" w:rsidRDefault="00614928" w:rsidP="00D1195A">
      <w:pPr>
        <w:autoSpaceDE w:val="0"/>
        <w:autoSpaceDN w:val="0"/>
        <w:adjustRightInd w:val="0"/>
        <w:spacing w:line="240" w:lineRule="auto"/>
        <w:jc w:val="both"/>
        <w:rPr>
          <w:rFonts w:cs="Arial"/>
          <w:b/>
          <w:bCs/>
          <w:sz w:val="23"/>
          <w:szCs w:val="23"/>
          <w:highlight w:val="yellow"/>
        </w:rPr>
      </w:pPr>
    </w:p>
    <w:p w14:paraId="31CF9DCB" w14:textId="77777777" w:rsidR="00614928" w:rsidRDefault="00614928" w:rsidP="00D1195A">
      <w:pPr>
        <w:autoSpaceDE w:val="0"/>
        <w:autoSpaceDN w:val="0"/>
        <w:adjustRightInd w:val="0"/>
        <w:spacing w:line="240" w:lineRule="auto"/>
        <w:jc w:val="both"/>
        <w:rPr>
          <w:rFonts w:cs="Arial"/>
          <w:b/>
          <w:bCs/>
          <w:sz w:val="23"/>
          <w:szCs w:val="23"/>
          <w:highlight w:val="yellow"/>
        </w:rPr>
      </w:pPr>
    </w:p>
    <w:p w14:paraId="04E53FC1" w14:textId="77777777" w:rsidR="00614928" w:rsidRDefault="00614928" w:rsidP="00D1195A">
      <w:pPr>
        <w:autoSpaceDE w:val="0"/>
        <w:autoSpaceDN w:val="0"/>
        <w:adjustRightInd w:val="0"/>
        <w:spacing w:line="240" w:lineRule="auto"/>
        <w:jc w:val="both"/>
        <w:rPr>
          <w:rFonts w:cs="Arial"/>
          <w:b/>
          <w:bCs/>
          <w:sz w:val="23"/>
          <w:szCs w:val="23"/>
          <w:highlight w:val="yellow"/>
        </w:rPr>
      </w:pPr>
    </w:p>
    <w:p w14:paraId="69CB7BC5" w14:textId="77777777" w:rsidR="00614928" w:rsidRDefault="00614928" w:rsidP="00D1195A">
      <w:pPr>
        <w:autoSpaceDE w:val="0"/>
        <w:autoSpaceDN w:val="0"/>
        <w:adjustRightInd w:val="0"/>
        <w:spacing w:line="240" w:lineRule="auto"/>
        <w:jc w:val="both"/>
        <w:rPr>
          <w:rFonts w:cs="Arial"/>
          <w:b/>
          <w:bCs/>
          <w:sz w:val="23"/>
          <w:szCs w:val="23"/>
          <w:highlight w:val="yellow"/>
        </w:rPr>
      </w:pPr>
    </w:p>
    <w:p w14:paraId="3E58184C" w14:textId="77777777" w:rsidR="00614928" w:rsidRDefault="00614928" w:rsidP="00D1195A">
      <w:pPr>
        <w:autoSpaceDE w:val="0"/>
        <w:autoSpaceDN w:val="0"/>
        <w:adjustRightInd w:val="0"/>
        <w:spacing w:line="240" w:lineRule="auto"/>
        <w:jc w:val="both"/>
        <w:rPr>
          <w:rFonts w:cs="Arial"/>
          <w:b/>
          <w:bCs/>
          <w:sz w:val="23"/>
          <w:szCs w:val="23"/>
          <w:highlight w:val="yellow"/>
        </w:rPr>
      </w:pPr>
    </w:p>
    <w:p w14:paraId="54A8EC62" w14:textId="77777777" w:rsidR="00614928" w:rsidRDefault="00614928" w:rsidP="00D1195A">
      <w:pPr>
        <w:autoSpaceDE w:val="0"/>
        <w:autoSpaceDN w:val="0"/>
        <w:adjustRightInd w:val="0"/>
        <w:spacing w:line="240" w:lineRule="auto"/>
        <w:jc w:val="both"/>
        <w:rPr>
          <w:rFonts w:cs="Arial"/>
          <w:b/>
          <w:bCs/>
          <w:sz w:val="23"/>
          <w:szCs w:val="23"/>
          <w:highlight w:val="yellow"/>
        </w:rPr>
      </w:pPr>
    </w:p>
    <w:p w14:paraId="6F813E18" w14:textId="77777777" w:rsidR="00614928" w:rsidRDefault="00614928" w:rsidP="00D1195A">
      <w:pPr>
        <w:autoSpaceDE w:val="0"/>
        <w:autoSpaceDN w:val="0"/>
        <w:adjustRightInd w:val="0"/>
        <w:spacing w:line="240" w:lineRule="auto"/>
        <w:jc w:val="both"/>
        <w:rPr>
          <w:rFonts w:cs="Arial"/>
          <w:b/>
          <w:bCs/>
          <w:sz w:val="23"/>
          <w:szCs w:val="23"/>
          <w:highlight w:val="yellow"/>
        </w:rPr>
      </w:pPr>
    </w:p>
    <w:p w14:paraId="4C381E65" w14:textId="77777777" w:rsidR="00614928" w:rsidRDefault="00614928" w:rsidP="00D1195A">
      <w:pPr>
        <w:autoSpaceDE w:val="0"/>
        <w:autoSpaceDN w:val="0"/>
        <w:adjustRightInd w:val="0"/>
        <w:spacing w:line="240" w:lineRule="auto"/>
        <w:jc w:val="both"/>
        <w:rPr>
          <w:rFonts w:cs="Arial"/>
          <w:b/>
          <w:bCs/>
          <w:sz w:val="23"/>
          <w:szCs w:val="23"/>
          <w:highlight w:val="yellow"/>
        </w:rPr>
      </w:pPr>
    </w:p>
    <w:p w14:paraId="1FF2F650" w14:textId="77777777" w:rsidR="00614928" w:rsidRDefault="00614928" w:rsidP="00D1195A">
      <w:pPr>
        <w:autoSpaceDE w:val="0"/>
        <w:autoSpaceDN w:val="0"/>
        <w:adjustRightInd w:val="0"/>
        <w:spacing w:line="240" w:lineRule="auto"/>
        <w:jc w:val="both"/>
        <w:rPr>
          <w:rFonts w:cs="Arial"/>
          <w:b/>
          <w:bCs/>
          <w:sz w:val="23"/>
          <w:szCs w:val="23"/>
          <w:highlight w:val="yellow"/>
        </w:rPr>
      </w:pPr>
    </w:p>
    <w:p w14:paraId="46E02AF0" w14:textId="77777777" w:rsidR="00614928" w:rsidRDefault="00614928" w:rsidP="00D1195A">
      <w:pPr>
        <w:autoSpaceDE w:val="0"/>
        <w:autoSpaceDN w:val="0"/>
        <w:adjustRightInd w:val="0"/>
        <w:spacing w:line="240" w:lineRule="auto"/>
        <w:jc w:val="both"/>
        <w:rPr>
          <w:rFonts w:cs="Arial"/>
          <w:b/>
          <w:bCs/>
          <w:sz w:val="23"/>
          <w:szCs w:val="23"/>
          <w:highlight w:val="yellow"/>
        </w:rPr>
      </w:pPr>
    </w:p>
    <w:p w14:paraId="20DC04CB" w14:textId="77777777" w:rsidR="00614928" w:rsidRDefault="00614928" w:rsidP="00D1195A">
      <w:pPr>
        <w:autoSpaceDE w:val="0"/>
        <w:autoSpaceDN w:val="0"/>
        <w:adjustRightInd w:val="0"/>
        <w:spacing w:line="240" w:lineRule="auto"/>
        <w:jc w:val="both"/>
        <w:rPr>
          <w:rFonts w:cs="Arial"/>
          <w:b/>
          <w:bCs/>
          <w:sz w:val="23"/>
          <w:szCs w:val="23"/>
          <w:highlight w:val="yellow"/>
        </w:rPr>
      </w:pPr>
    </w:p>
    <w:p w14:paraId="33B09DCA" w14:textId="77777777" w:rsidR="00614928" w:rsidRDefault="00614928" w:rsidP="00D1195A">
      <w:pPr>
        <w:autoSpaceDE w:val="0"/>
        <w:autoSpaceDN w:val="0"/>
        <w:adjustRightInd w:val="0"/>
        <w:spacing w:line="240" w:lineRule="auto"/>
        <w:jc w:val="both"/>
        <w:rPr>
          <w:rFonts w:cs="Arial"/>
          <w:b/>
          <w:bCs/>
          <w:sz w:val="23"/>
          <w:szCs w:val="23"/>
          <w:highlight w:val="yellow"/>
        </w:rPr>
      </w:pPr>
    </w:p>
    <w:p w14:paraId="19A21126" w14:textId="77777777" w:rsidR="00614928" w:rsidRDefault="00614928" w:rsidP="00D1195A">
      <w:pPr>
        <w:autoSpaceDE w:val="0"/>
        <w:autoSpaceDN w:val="0"/>
        <w:adjustRightInd w:val="0"/>
        <w:spacing w:line="240" w:lineRule="auto"/>
        <w:jc w:val="both"/>
        <w:rPr>
          <w:rFonts w:cs="Arial"/>
          <w:b/>
          <w:bCs/>
          <w:sz w:val="23"/>
          <w:szCs w:val="23"/>
          <w:highlight w:val="yellow"/>
        </w:rPr>
      </w:pPr>
    </w:p>
    <w:p w14:paraId="79788C35" w14:textId="77777777" w:rsidR="00614928" w:rsidRDefault="00614928" w:rsidP="00D1195A">
      <w:pPr>
        <w:autoSpaceDE w:val="0"/>
        <w:autoSpaceDN w:val="0"/>
        <w:adjustRightInd w:val="0"/>
        <w:spacing w:line="240" w:lineRule="auto"/>
        <w:jc w:val="both"/>
        <w:rPr>
          <w:rFonts w:cs="Arial"/>
          <w:b/>
          <w:bCs/>
          <w:sz w:val="23"/>
          <w:szCs w:val="23"/>
          <w:highlight w:val="yellow"/>
        </w:rPr>
      </w:pPr>
    </w:p>
    <w:p w14:paraId="20A7D04E" w14:textId="77777777" w:rsidR="00614928" w:rsidRDefault="00614928" w:rsidP="00D1195A">
      <w:pPr>
        <w:autoSpaceDE w:val="0"/>
        <w:autoSpaceDN w:val="0"/>
        <w:adjustRightInd w:val="0"/>
        <w:spacing w:line="240" w:lineRule="auto"/>
        <w:jc w:val="both"/>
        <w:rPr>
          <w:rFonts w:cs="Arial"/>
          <w:b/>
          <w:bCs/>
          <w:sz w:val="23"/>
          <w:szCs w:val="23"/>
          <w:highlight w:val="yellow"/>
        </w:rPr>
      </w:pPr>
    </w:p>
    <w:p w14:paraId="60EF0E56" w14:textId="77777777" w:rsidR="00614928" w:rsidRDefault="00614928" w:rsidP="00D1195A">
      <w:pPr>
        <w:autoSpaceDE w:val="0"/>
        <w:autoSpaceDN w:val="0"/>
        <w:adjustRightInd w:val="0"/>
        <w:spacing w:line="240" w:lineRule="auto"/>
        <w:jc w:val="both"/>
        <w:rPr>
          <w:rFonts w:cs="Arial"/>
          <w:b/>
          <w:bCs/>
          <w:sz w:val="23"/>
          <w:szCs w:val="23"/>
          <w:highlight w:val="yellow"/>
        </w:rPr>
      </w:pPr>
    </w:p>
    <w:p w14:paraId="4E05D674" w14:textId="77777777" w:rsidR="00614928" w:rsidRDefault="00614928" w:rsidP="00D1195A">
      <w:pPr>
        <w:autoSpaceDE w:val="0"/>
        <w:autoSpaceDN w:val="0"/>
        <w:adjustRightInd w:val="0"/>
        <w:spacing w:line="240" w:lineRule="auto"/>
        <w:jc w:val="both"/>
        <w:rPr>
          <w:rFonts w:cs="Arial"/>
          <w:b/>
          <w:bCs/>
          <w:sz w:val="23"/>
          <w:szCs w:val="23"/>
          <w:highlight w:val="yellow"/>
        </w:rPr>
      </w:pPr>
    </w:p>
    <w:p w14:paraId="5100F87B" w14:textId="77777777" w:rsidR="00614928" w:rsidRDefault="00614928" w:rsidP="00D1195A">
      <w:pPr>
        <w:autoSpaceDE w:val="0"/>
        <w:autoSpaceDN w:val="0"/>
        <w:adjustRightInd w:val="0"/>
        <w:spacing w:line="240" w:lineRule="auto"/>
        <w:jc w:val="both"/>
        <w:rPr>
          <w:rFonts w:cs="Arial"/>
          <w:b/>
          <w:bCs/>
          <w:sz w:val="23"/>
          <w:szCs w:val="23"/>
          <w:highlight w:val="yellow"/>
        </w:rPr>
      </w:pPr>
    </w:p>
    <w:p w14:paraId="2D496672" w14:textId="77777777" w:rsidR="00614928" w:rsidRDefault="00614928" w:rsidP="00D1195A">
      <w:pPr>
        <w:autoSpaceDE w:val="0"/>
        <w:autoSpaceDN w:val="0"/>
        <w:adjustRightInd w:val="0"/>
        <w:spacing w:line="240" w:lineRule="auto"/>
        <w:jc w:val="both"/>
        <w:rPr>
          <w:rFonts w:cs="Arial"/>
          <w:b/>
          <w:bCs/>
          <w:sz w:val="23"/>
          <w:szCs w:val="23"/>
          <w:highlight w:val="yellow"/>
        </w:rPr>
      </w:pPr>
    </w:p>
    <w:p w14:paraId="73EBDC22" w14:textId="77777777" w:rsidR="00614928" w:rsidRDefault="00614928" w:rsidP="00D1195A">
      <w:pPr>
        <w:autoSpaceDE w:val="0"/>
        <w:autoSpaceDN w:val="0"/>
        <w:adjustRightInd w:val="0"/>
        <w:spacing w:line="240" w:lineRule="auto"/>
        <w:jc w:val="both"/>
        <w:rPr>
          <w:rFonts w:cs="Arial"/>
          <w:b/>
          <w:bCs/>
          <w:sz w:val="23"/>
          <w:szCs w:val="23"/>
          <w:highlight w:val="yellow"/>
        </w:rPr>
      </w:pPr>
    </w:p>
    <w:p w14:paraId="3A68F173" w14:textId="77777777" w:rsidR="00614928" w:rsidRDefault="00614928" w:rsidP="00D1195A">
      <w:pPr>
        <w:autoSpaceDE w:val="0"/>
        <w:autoSpaceDN w:val="0"/>
        <w:adjustRightInd w:val="0"/>
        <w:spacing w:line="240" w:lineRule="auto"/>
        <w:jc w:val="both"/>
        <w:rPr>
          <w:rFonts w:cs="Arial"/>
          <w:b/>
          <w:bCs/>
          <w:sz w:val="23"/>
          <w:szCs w:val="23"/>
          <w:highlight w:val="yellow"/>
        </w:rPr>
      </w:pPr>
    </w:p>
    <w:p w14:paraId="67038E3C" w14:textId="77777777" w:rsidR="00614928" w:rsidRDefault="00614928" w:rsidP="00D1195A">
      <w:pPr>
        <w:autoSpaceDE w:val="0"/>
        <w:autoSpaceDN w:val="0"/>
        <w:adjustRightInd w:val="0"/>
        <w:spacing w:line="240" w:lineRule="auto"/>
        <w:jc w:val="both"/>
        <w:rPr>
          <w:rFonts w:cs="Arial"/>
          <w:b/>
          <w:bCs/>
          <w:sz w:val="23"/>
          <w:szCs w:val="23"/>
          <w:highlight w:val="yellow"/>
        </w:rPr>
      </w:pPr>
    </w:p>
    <w:p w14:paraId="0E747C40" w14:textId="77777777" w:rsidR="00614928" w:rsidRDefault="00614928" w:rsidP="00D1195A">
      <w:pPr>
        <w:autoSpaceDE w:val="0"/>
        <w:autoSpaceDN w:val="0"/>
        <w:adjustRightInd w:val="0"/>
        <w:spacing w:line="240" w:lineRule="auto"/>
        <w:jc w:val="both"/>
        <w:rPr>
          <w:rFonts w:cs="Arial"/>
          <w:b/>
          <w:bCs/>
          <w:sz w:val="23"/>
          <w:szCs w:val="23"/>
          <w:highlight w:val="yellow"/>
        </w:rPr>
      </w:pPr>
    </w:p>
    <w:p w14:paraId="25CF5EAC" w14:textId="77777777" w:rsidR="00614928" w:rsidRDefault="00614928" w:rsidP="00D1195A">
      <w:pPr>
        <w:autoSpaceDE w:val="0"/>
        <w:autoSpaceDN w:val="0"/>
        <w:adjustRightInd w:val="0"/>
        <w:spacing w:line="240" w:lineRule="auto"/>
        <w:jc w:val="both"/>
        <w:rPr>
          <w:rFonts w:cs="Arial"/>
          <w:b/>
          <w:bCs/>
          <w:sz w:val="23"/>
          <w:szCs w:val="23"/>
          <w:highlight w:val="yellow"/>
        </w:rPr>
      </w:pPr>
    </w:p>
    <w:p w14:paraId="1F6FA189" w14:textId="77777777" w:rsidR="00614928" w:rsidRDefault="00614928" w:rsidP="00D1195A">
      <w:pPr>
        <w:autoSpaceDE w:val="0"/>
        <w:autoSpaceDN w:val="0"/>
        <w:adjustRightInd w:val="0"/>
        <w:spacing w:line="240" w:lineRule="auto"/>
        <w:jc w:val="both"/>
        <w:rPr>
          <w:rFonts w:cs="Arial"/>
          <w:b/>
          <w:bCs/>
          <w:sz w:val="23"/>
          <w:szCs w:val="23"/>
          <w:highlight w:val="yellow"/>
        </w:rPr>
      </w:pPr>
    </w:p>
    <w:p w14:paraId="1894CF53" w14:textId="77777777" w:rsidR="00614928" w:rsidRDefault="00614928" w:rsidP="00D1195A">
      <w:pPr>
        <w:autoSpaceDE w:val="0"/>
        <w:autoSpaceDN w:val="0"/>
        <w:adjustRightInd w:val="0"/>
        <w:spacing w:line="240" w:lineRule="auto"/>
        <w:jc w:val="both"/>
        <w:rPr>
          <w:rFonts w:cs="Arial"/>
          <w:b/>
          <w:bCs/>
          <w:sz w:val="23"/>
          <w:szCs w:val="23"/>
          <w:highlight w:val="yellow"/>
        </w:rPr>
      </w:pPr>
    </w:p>
    <w:p w14:paraId="1FE272BA" w14:textId="77777777" w:rsidR="00614928" w:rsidRDefault="00614928" w:rsidP="00D1195A">
      <w:pPr>
        <w:autoSpaceDE w:val="0"/>
        <w:autoSpaceDN w:val="0"/>
        <w:adjustRightInd w:val="0"/>
        <w:spacing w:line="240" w:lineRule="auto"/>
        <w:jc w:val="both"/>
        <w:rPr>
          <w:rFonts w:cs="Arial"/>
          <w:b/>
          <w:bCs/>
          <w:sz w:val="23"/>
          <w:szCs w:val="23"/>
          <w:highlight w:val="yellow"/>
        </w:rPr>
      </w:pPr>
    </w:p>
    <w:p w14:paraId="4D581FAA" w14:textId="77777777" w:rsidR="00614928" w:rsidRDefault="00614928" w:rsidP="00D1195A">
      <w:pPr>
        <w:autoSpaceDE w:val="0"/>
        <w:autoSpaceDN w:val="0"/>
        <w:adjustRightInd w:val="0"/>
        <w:spacing w:line="240" w:lineRule="auto"/>
        <w:jc w:val="both"/>
        <w:rPr>
          <w:rFonts w:cs="Arial"/>
          <w:b/>
          <w:bCs/>
          <w:sz w:val="23"/>
          <w:szCs w:val="23"/>
          <w:highlight w:val="yellow"/>
        </w:rPr>
      </w:pPr>
    </w:p>
    <w:p w14:paraId="48C38B48" w14:textId="77777777" w:rsidR="00614928" w:rsidRDefault="00614928" w:rsidP="00D1195A">
      <w:pPr>
        <w:autoSpaceDE w:val="0"/>
        <w:autoSpaceDN w:val="0"/>
        <w:adjustRightInd w:val="0"/>
        <w:spacing w:line="240" w:lineRule="auto"/>
        <w:jc w:val="both"/>
        <w:rPr>
          <w:rFonts w:cs="Arial"/>
          <w:b/>
          <w:bCs/>
          <w:sz w:val="23"/>
          <w:szCs w:val="23"/>
          <w:highlight w:val="yellow"/>
        </w:rPr>
      </w:pPr>
    </w:p>
    <w:p w14:paraId="10C330C9" w14:textId="77777777" w:rsidR="00614928" w:rsidRDefault="00614928" w:rsidP="00D1195A">
      <w:pPr>
        <w:autoSpaceDE w:val="0"/>
        <w:autoSpaceDN w:val="0"/>
        <w:adjustRightInd w:val="0"/>
        <w:spacing w:line="240" w:lineRule="auto"/>
        <w:jc w:val="both"/>
        <w:rPr>
          <w:rFonts w:cs="Arial"/>
          <w:b/>
          <w:bCs/>
          <w:sz w:val="23"/>
          <w:szCs w:val="23"/>
          <w:highlight w:val="yellow"/>
        </w:rPr>
      </w:pPr>
    </w:p>
    <w:p w14:paraId="2B334A84" w14:textId="77777777" w:rsidR="00614928" w:rsidRDefault="00614928" w:rsidP="00D1195A">
      <w:pPr>
        <w:autoSpaceDE w:val="0"/>
        <w:autoSpaceDN w:val="0"/>
        <w:adjustRightInd w:val="0"/>
        <w:spacing w:line="240" w:lineRule="auto"/>
        <w:jc w:val="both"/>
        <w:rPr>
          <w:rFonts w:cs="Arial"/>
          <w:b/>
          <w:bCs/>
          <w:sz w:val="23"/>
          <w:szCs w:val="23"/>
          <w:highlight w:val="yellow"/>
        </w:rPr>
      </w:pPr>
    </w:p>
    <w:p w14:paraId="69BE65F8" w14:textId="77777777" w:rsidR="00614928" w:rsidRDefault="00614928" w:rsidP="00D1195A">
      <w:pPr>
        <w:autoSpaceDE w:val="0"/>
        <w:autoSpaceDN w:val="0"/>
        <w:adjustRightInd w:val="0"/>
        <w:spacing w:line="240" w:lineRule="auto"/>
        <w:jc w:val="both"/>
        <w:rPr>
          <w:rFonts w:cs="Arial"/>
          <w:b/>
          <w:bCs/>
          <w:sz w:val="23"/>
          <w:szCs w:val="23"/>
          <w:highlight w:val="yellow"/>
        </w:rPr>
      </w:pPr>
    </w:p>
    <w:p w14:paraId="485AC7E4" w14:textId="77777777" w:rsidR="00614928" w:rsidRDefault="00614928" w:rsidP="00D1195A">
      <w:pPr>
        <w:autoSpaceDE w:val="0"/>
        <w:autoSpaceDN w:val="0"/>
        <w:adjustRightInd w:val="0"/>
        <w:spacing w:line="240" w:lineRule="auto"/>
        <w:jc w:val="both"/>
        <w:rPr>
          <w:rFonts w:cs="Arial"/>
          <w:b/>
          <w:bCs/>
          <w:sz w:val="23"/>
          <w:szCs w:val="23"/>
          <w:highlight w:val="yellow"/>
        </w:rPr>
      </w:pPr>
    </w:p>
    <w:p w14:paraId="5DB345C6" w14:textId="77777777" w:rsidR="00614928" w:rsidRDefault="00614928" w:rsidP="00D1195A">
      <w:pPr>
        <w:autoSpaceDE w:val="0"/>
        <w:autoSpaceDN w:val="0"/>
        <w:adjustRightInd w:val="0"/>
        <w:spacing w:line="240" w:lineRule="auto"/>
        <w:jc w:val="both"/>
        <w:rPr>
          <w:rFonts w:cs="Arial"/>
          <w:b/>
          <w:bCs/>
          <w:sz w:val="23"/>
          <w:szCs w:val="23"/>
          <w:highlight w:val="yellow"/>
        </w:rPr>
      </w:pPr>
    </w:p>
    <w:p w14:paraId="4188B5DD" w14:textId="77777777" w:rsidR="00614928" w:rsidRDefault="00614928" w:rsidP="00D1195A">
      <w:pPr>
        <w:autoSpaceDE w:val="0"/>
        <w:autoSpaceDN w:val="0"/>
        <w:adjustRightInd w:val="0"/>
        <w:spacing w:line="240" w:lineRule="auto"/>
        <w:jc w:val="both"/>
        <w:rPr>
          <w:rFonts w:cs="Arial"/>
          <w:b/>
          <w:bCs/>
          <w:sz w:val="23"/>
          <w:szCs w:val="23"/>
          <w:highlight w:val="yellow"/>
        </w:rPr>
      </w:pPr>
    </w:p>
    <w:p w14:paraId="34B5BF92" w14:textId="77777777" w:rsidR="00614928" w:rsidRDefault="00614928" w:rsidP="00D1195A">
      <w:pPr>
        <w:autoSpaceDE w:val="0"/>
        <w:autoSpaceDN w:val="0"/>
        <w:adjustRightInd w:val="0"/>
        <w:spacing w:line="240" w:lineRule="auto"/>
        <w:jc w:val="both"/>
        <w:rPr>
          <w:rFonts w:cs="Arial"/>
          <w:b/>
          <w:bCs/>
          <w:sz w:val="23"/>
          <w:szCs w:val="23"/>
          <w:highlight w:val="yellow"/>
        </w:rPr>
      </w:pPr>
    </w:p>
    <w:p w14:paraId="3B83072D" w14:textId="77777777" w:rsidR="00614928" w:rsidRDefault="00614928" w:rsidP="00D1195A">
      <w:pPr>
        <w:autoSpaceDE w:val="0"/>
        <w:autoSpaceDN w:val="0"/>
        <w:adjustRightInd w:val="0"/>
        <w:spacing w:line="240" w:lineRule="auto"/>
        <w:jc w:val="both"/>
        <w:rPr>
          <w:rFonts w:cs="Arial"/>
          <w:b/>
          <w:bCs/>
          <w:sz w:val="23"/>
          <w:szCs w:val="23"/>
          <w:highlight w:val="yellow"/>
        </w:rPr>
      </w:pPr>
    </w:p>
    <w:p w14:paraId="2CB71999" w14:textId="77777777" w:rsidR="00370FCA" w:rsidRPr="00D1195A" w:rsidRDefault="00370FCA" w:rsidP="00D1195A">
      <w:pPr>
        <w:autoSpaceDE w:val="0"/>
        <w:autoSpaceDN w:val="0"/>
        <w:adjustRightInd w:val="0"/>
        <w:spacing w:line="240" w:lineRule="auto"/>
        <w:jc w:val="both"/>
        <w:rPr>
          <w:rFonts w:cs="Arial"/>
          <w:sz w:val="23"/>
          <w:szCs w:val="23"/>
        </w:rPr>
      </w:pPr>
      <w:r w:rsidRPr="00D1195A">
        <w:rPr>
          <w:rFonts w:cs="Arial"/>
          <w:b/>
          <w:bCs/>
          <w:sz w:val="23"/>
          <w:szCs w:val="23"/>
        </w:rPr>
        <w:lastRenderedPageBreak/>
        <w:t xml:space="preserve">1. </w:t>
      </w:r>
      <w:r w:rsidR="00614928">
        <w:rPr>
          <w:rFonts w:cs="Arial"/>
          <w:b/>
          <w:bCs/>
          <w:sz w:val="23"/>
          <w:szCs w:val="23"/>
        </w:rPr>
        <w:t>T</w:t>
      </w:r>
      <w:r w:rsidR="003B74CE">
        <w:rPr>
          <w:rFonts w:cs="Arial"/>
          <w:b/>
          <w:bCs/>
          <w:sz w:val="23"/>
          <w:szCs w:val="23"/>
        </w:rPr>
        <w:t>HE COMBINED NOMENCLATURE OF THE EUROPEAN UNION</w:t>
      </w:r>
      <w:r w:rsidRPr="00D1195A">
        <w:rPr>
          <w:rFonts w:cs="Arial"/>
          <w:b/>
          <w:bCs/>
          <w:sz w:val="23"/>
          <w:szCs w:val="23"/>
        </w:rPr>
        <w:t xml:space="preserve"> </w:t>
      </w:r>
    </w:p>
    <w:p w14:paraId="075DCAAB" w14:textId="77777777" w:rsidR="00370FCA" w:rsidRPr="00B60E37" w:rsidRDefault="00370FCA" w:rsidP="00D1195A">
      <w:pPr>
        <w:autoSpaceDE w:val="0"/>
        <w:autoSpaceDN w:val="0"/>
        <w:adjustRightInd w:val="0"/>
        <w:spacing w:line="240" w:lineRule="auto"/>
        <w:jc w:val="both"/>
        <w:rPr>
          <w:rFonts w:cs="Arial"/>
          <w:szCs w:val="20"/>
          <w:highlight w:val="yellow"/>
        </w:rPr>
      </w:pPr>
    </w:p>
    <w:p w14:paraId="3434AB8F" w14:textId="77777777" w:rsidR="00370FCA" w:rsidRDefault="00D1195A" w:rsidP="00D1195A">
      <w:pPr>
        <w:autoSpaceDE w:val="0"/>
        <w:autoSpaceDN w:val="0"/>
        <w:adjustRightInd w:val="0"/>
        <w:spacing w:line="240" w:lineRule="auto"/>
        <w:jc w:val="both"/>
        <w:rPr>
          <w:rFonts w:cs="Arial"/>
          <w:szCs w:val="20"/>
        </w:rPr>
      </w:pPr>
      <w:r w:rsidRPr="00D1195A">
        <w:rPr>
          <w:rFonts w:cs="Arial"/>
          <w:szCs w:val="20"/>
        </w:rPr>
        <w:t xml:space="preserve">The </w:t>
      </w:r>
      <w:r>
        <w:rPr>
          <w:rFonts w:cs="Arial"/>
          <w:szCs w:val="20"/>
        </w:rPr>
        <w:t xml:space="preserve">basic </w:t>
      </w:r>
      <w:r w:rsidR="00191D89">
        <w:rPr>
          <w:rFonts w:cs="Arial"/>
          <w:szCs w:val="20"/>
        </w:rPr>
        <w:t>R</w:t>
      </w:r>
      <w:r>
        <w:rPr>
          <w:rFonts w:cs="Arial"/>
          <w:szCs w:val="20"/>
        </w:rPr>
        <w:t xml:space="preserve">egulation introducing the Combined Nomenclature of the EU is </w:t>
      </w:r>
      <w:hyperlink r:id="rId11" w:history="1">
        <w:r w:rsidRPr="00981C18">
          <w:rPr>
            <w:rStyle w:val="Hiperpovezava"/>
            <w:rFonts w:cs="Arial"/>
            <w:szCs w:val="20"/>
          </w:rPr>
          <w:t>Council Regulation (EEC) No 2658/87 on the tariff and statistical nomenclature and on the Common Customs Tariff</w:t>
        </w:r>
      </w:hyperlink>
      <w:r>
        <w:rPr>
          <w:rFonts w:cs="Arial"/>
          <w:szCs w:val="20"/>
        </w:rPr>
        <w:t xml:space="preserve">. The Combined Nomenclature is </w:t>
      </w:r>
      <w:r w:rsidR="00250E5F">
        <w:rPr>
          <w:rFonts w:cs="Arial"/>
          <w:szCs w:val="20"/>
        </w:rPr>
        <w:t>published</w:t>
      </w:r>
      <w:r>
        <w:rPr>
          <w:rFonts w:cs="Arial"/>
          <w:szCs w:val="20"/>
        </w:rPr>
        <w:t xml:space="preserve"> </w:t>
      </w:r>
      <w:r w:rsidR="001A61A9">
        <w:rPr>
          <w:rFonts w:cs="Arial"/>
          <w:szCs w:val="20"/>
        </w:rPr>
        <w:t xml:space="preserve">in </w:t>
      </w:r>
      <w:r>
        <w:rPr>
          <w:rFonts w:cs="Arial"/>
          <w:szCs w:val="20"/>
        </w:rPr>
        <w:t xml:space="preserve">Annex I to the mentioned Regulation. </w:t>
      </w:r>
    </w:p>
    <w:p w14:paraId="63A65195" w14:textId="77777777" w:rsidR="003B74CE" w:rsidRDefault="003B74CE" w:rsidP="00D1195A">
      <w:pPr>
        <w:autoSpaceDE w:val="0"/>
        <w:autoSpaceDN w:val="0"/>
        <w:adjustRightInd w:val="0"/>
        <w:spacing w:line="240" w:lineRule="auto"/>
        <w:jc w:val="both"/>
        <w:rPr>
          <w:rFonts w:cs="Arial"/>
          <w:szCs w:val="20"/>
        </w:rPr>
      </w:pPr>
    </w:p>
    <w:p w14:paraId="7E94A9A6" w14:textId="77777777" w:rsidR="003B74CE" w:rsidRPr="00D1195A" w:rsidRDefault="003B74CE" w:rsidP="00D1195A">
      <w:pPr>
        <w:autoSpaceDE w:val="0"/>
        <w:autoSpaceDN w:val="0"/>
        <w:adjustRightInd w:val="0"/>
        <w:spacing w:line="240" w:lineRule="auto"/>
        <w:jc w:val="both"/>
        <w:rPr>
          <w:rFonts w:cs="Arial"/>
          <w:szCs w:val="20"/>
        </w:rPr>
      </w:pPr>
      <w:r w:rsidRPr="003B74CE">
        <w:rPr>
          <w:rFonts w:cs="Arial"/>
          <w:szCs w:val="20"/>
        </w:rPr>
        <w:t xml:space="preserve">The EU Combined Nomenclature is </w:t>
      </w:r>
      <w:r w:rsidR="00881AA2">
        <w:rPr>
          <w:rFonts w:cs="Arial"/>
          <w:szCs w:val="20"/>
        </w:rPr>
        <w:t xml:space="preserve">used </w:t>
      </w:r>
      <w:r w:rsidRPr="003B74CE">
        <w:rPr>
          <w:rFonts w:cs="Arial"/>
          <w:szCs w:val="20"/>
        </w:rPr>
        <w:t xml:space="preserve">for the classification of goods </w:t>
      </w:r>
      <w:r w:rsidR="00036F14">
        <w:rPr>
          <w:rFonts w:cs="Arial"/>
          <w:szCs w:val="20"/>
        </w:rPr>
        <w:t>in terms of t</w:t>
      </w:r>
      <w:r w:rsidRPr="003B74CE">
        <w:rPr>
          <w:rFonts w:cs="Arial"/>
          <w:szCs w:val="20"/>
        </w:rPr>
        <w:t xml:space="preserve">he Common Customs Tariff and </w:t>
      </w:r>
      <w:r w:rsidR="00036F14">
        <w:rPr>
          <w:rFonts w:cs="Arial"/>
          <w:szCs w:val="20"/>
        </w:rPr>
        <w:t>collection of customs duties, taxes</w:t>
      </w:r>
      <w:r w:rsidR="00730B54">
        <w:rPr>
          <w:rFonts w:cs="Arial"/>
          <w:szCs w:val="20"/>
        </w:rPr>
        <w:t>,</w:t>
      </w:r>
      <w:r w:rsidR="00036F14">
        <w:rPr>
          <w:rFonts w:cs="Arial"/>
          <w:szCs w:val="20"/>
        </w:rPr>
        <w:t xml:space="preserve"> and trade statistics. It is </w:t>
      </w:r>
      <w:r w:rsidRPr="003B74CE">
        <w:rPr>
          <w:rFonts w:cs="Arial"/>
          <w:szCs w:val="20"/>
        </w:rPr>
        <w:t>based on the international nomenclature of the Harmonised System (HS).</w:t>
      </w:r>
    </w:p>
    <w:p w14:paraId="283D546B" w14:textId="77777777" w:rsidR="00370FCA" w:rsidRPr="00B60E37" w:rsidRDefault="00370FCA" w:rsidP="00D1195A">
      <w:pPr>
        <w:autoSpaceDE w:val="0"/>
        <w:autoSpaceDN w:val="0"/>
        <w:adjustRightInd w:val="0"/>
        <w:spacing w:line="240" w:lineRule="auto"/>
        <w:jc w:val="both"/>
        <w:rPr>
          <w:rFonts w:cs="Arial"/>
          <w:szCs w:val="20"/>
          <w:highlight w:val="yellow"/>
        </w:rPr>
      </w:pPr>
    </w:p>
    <w:p w14:paraId="53DC6450" w14:textId="77777777" w:rsidR="00614928" w:rsidRDefault="005723DA" w:rsidP="00D1195A">
      <w:pPr>
        <w:autoSpaceDE w:val="0"/>
        <w:autoSpaceDN w:val="0"/>
        <w:adjustRightInd w:val="0"/>
        <w:spacing w:line="240" w:lineRule="auto"/>
        <w:jc w:val="both"/>
        <w:rPr>
          <w:rFonts w:cs="Arial"/>
          <w:szCs w:val="20"/>
        </w:rPr>
      </w:pPr>
      <w:r w:rsidRPr="005723DA">
        <w:rPr>
          <w:rFonts w:cs="Arial"/>
          <w:szCs w:val="20"/>
        </w:rPr>
        <w:t>An</w:t>
      </w:r>
      <w:r>
        <w:rPr>
          <w:rFonts w:cs="Arial"/>
          <w:szCs w:val="20"/>
        </w:rPr>
        <w:t xml:space="preserve"> updated version of the Combined Nomenclature </w:t>
      </w:r>
      <w:r w:rsidR="00250E5F">
        <w:rPr>
          <w:rFonts w:cs="Arial"/>
          <w:szCs w:val="20"/>
        </w:rPr>
        <w:t>along</w:t>
      </w:r>
      <w:r>
        <w:rPr>
          <w:rFonts w:cs="Arial"/>
          <w:szCs w:val="20"/>
        </w:rPr>
        <w:t xml:space="preserve"> with the rates of duty is published as a </w:t>
      </w:r>
      <w:r w:rsidR="00B7405B">
        <w:rPr>
          <w:rFonts w:cs="Arial"/>
          <w:szCs w:val="20"/>
        </w:rPr>
        <w:t xml:space="preserve">European Commission </w:t>
      </w:r>
      <w:r w:rsidR="00614928">
        <w:rPr>
          <w:rFonts w:cs="Arial"/>
          <w:szCs w:val="20"/>
        </w:rPr>
        <w:t>R</w:t>
      </w:r>
      <w:r>
        <w:rPr>
          <w:rFonts w:cs="Arial"/>
          <w:szCs w:val="20"/>
        </w:rPr>
        <w:t xml:space="preserve">egulation every year in the </w:t>
      </w:r>
      <w:r w:rsidR="00250E5F">
        <w:rPr>
          <w:rFonts w:cs="Arial"/>
          <w:szCs w:val="20"/>
        </w:rPr>
        <w:t xml:space="preserve">L-series of the </w:t>
      </w:r>
      <w:r w:rsidR="00CB003B">
        <w:rPr>
          <w:rFonts w:cs="Arial"/>
          <w:szCs w:val="20"/>
        </w:rPr>
        <w:t>E</w:t>
      </w:r>
      <w:r w:rsidR="0099521E">
        <w:rPr>
          <w:rFonts w:cs="Arial"/>
          <w:szCs w:val="20"/>
        </w:rPr>
        <w:t>U</w:t>
      </w:r>
      <w:r w:rsidR="00CB003B">
        <w:rPr>
          <w:rFonts w:cs="Arial"/>
          <w:szCs w:val="20"/>
        </w:rPr>
        <w:t xml:space="preserve"> </w:t>
      </w:r>
      <w:r>
        <w:rPr>
          <w:rFonts w:cs="Arial"/>
          <w:szCs w:val="20"/>
        </w:rPr>
        <w:t xml:space="preserve">Official Journal </w:t>
      </w:r>
      <w:r w:rsidR="007630D9">
        <w:rPr>
          <w:rFonts w:cs="Arial"/>
          <w:szCs w:val="20"/>
        </w:rPr>
        <w:t>no later than</w:t>
      </w:r>
      <w:r>
        <w:rPr>
          <w:rFonts w:cs="Arial"/>
          <w:szCs w:val="20"/>
        </w:rPr>
        <w:t xml:space="preserve"> 31 October</w:t>
      </w:r>
      <w:r w:rsidR="00250E5F">
        <w:rPr>
          <w:rFonts w:cs="Arial"/>
          <w:szCs w:val="20"/>
        </w:rPr>
        <w:t>,</w:t>
      </w:r>
      <w:r>
        <w:rPr>
          <w:rFonts w:cs="Arial"/>
          <w:szCs w:val="20"/>
        </w:rPr>
        <w:t xml:space="preserve"> and </w:t>
      </w:r>
      <w:r w:rsidR="007630D9">
        <w:rPr>
          <w:rFonts w:cs="Arial"/>
          <w:szCs w:val="20"/>
        </w:rPr>
        <w:t>it</w:t>
      </w:r>
      <w:r>
        <w:rPr>
          <w:rFonts w:cs="Arial"/>
          <w:szCs w:val="20"/>
        </w:rPr>
        <w:t xml:space="preserve"> applie</w:t>
      </w:r>
      <w:r w:rsidR="007630D9">
        <w:rPr>
          <w:rFonts w:cs="Arial"/>
          <w:szCs w:val="20"/>
        </w:rPr>
        <w:t>s</w:t>
      </w:r>
      <w:r>
        <w:rPr>
          <w:rFonts w:cs="Arial"/>
          <w:szCs w:val="20"/>
        </w:rPr>
        <w:t xml:space="preserve"> from 1 January of the following year. </w:t>
      </w:r>
    </w:p>
    <w:p w14:paraId="490129ED" w14:textId="39BE7EC5" w:rsidR="00CB003B" w:rsidRPr="00385FDD" w:rsidRDefault="00385FDD" w:rsidP="00D1195A">
      <w:pPr>
        <w:autoSpaceDE w:val="0"/>
        <w:autoSpaceDN w:val="0"/>
        <w:adjustRightInd w:val="0"/>
        <w:spacing w:line="240" w:lineRule="auto"/>
        <w:jc w:val="both"/>
        <w:rPr>
          <w:rStyle w:val="Hiperpovezava"/>
          <w:rFonts w:cs="Arial"/>
          <w:szCs w:val="20"/>
        </w:rPr>
      </w:pPr>
      <w:r>
        <w:rPr>
          <w:rFonts w:cs="Arial"/>
          <w:szCs w:val="20"/>
        </w:rPr>
        <w:fldChar w:fldCharType="begin"/>
      </w:r>
      <w:r>
        <w:rPr>
          <w:rFonts w:cs="Arial"/>
          <w:szCs w:val="20"/>
        </w:rPr>
        <w:instrText>HYPERLINK "https://eur-lex.europa.eu/legal-content/SL/TXT/PDF/?uri=OJ:L_202402522"</w:instrText>
      </w:r>
      <w:r>
        <w:rPr>
          <w:rFonts w:cs="Arial"/>
          <w:szCs w:val="20"/>
        </w:rPr>
      </w:r>
      <w:r>
        <w:rPr>
          <w:rFonts w:cs="Arial"/>
          <w:szCs w:val="20"/>
        </w:rPr>
        <w:fldChar w:fldCharType="separate"/>
      </w:r>
    </w:p>
    <w:p w14:paraId="4CB25345" w14:textId="581E3316" w:rsidR="00CB003B" w:rsidRDefault="00CB003B" w:rsidP="00D1195A">
      <w:pPr>
        <w:autoSpaceDE w:val="0"/>
        <w:autoSpaceDN w:val="0"/>
        <w:adjustRightInd w:val="0"/>
        <w:spacing w:line="240" w:lineRule="auto"/>
        <w:jc w:val="both"/>
        <w:rPr>
          <w:rFonts w:cs="Arial"/>
          <w:szCs w:val="20"/>
        </w:rPr>
      </w:pPr>
      <w:r w:rsidRPr="00385FDD">
        <w:rPr>
          <w:rStyle w:val="Hiperpovezava"/>
          <w:rFonts w:cs="Arial"/>
          <w:szCs w:val="20"/>
        </w:rPr>
        <w:t xml:space="preserve">The </w:t>
      </w:r>
      <w:r w:rsidR="009D09C8" w:rsidRPr="00385FDD">
        <w:rPr>
          <w:rStyle w:val="Hiperpovezava"/>
          <w:rFonts w:cs="Arial"/>
          <w:szCs w:val="20"/>
        </w:rPr>
        <w:t>202</w:t>
      </w:r>
      <w:r w:rsidR="00385FDD" w:rsidRPr="00385FDD">
        <w:rPr>
          <w:rStyle w:val="Hiperpovezava"/>
          <w:rFonts w:cs="Arial"/>
          <w:szCs w:val="20"/>
        </w:rPr>
        <w:t>5</w:t>
      </w:r>
      <w:r w:rsidR="009D09C8" w:rsidRPr="00385FDD">
        <w:rPr>
          <w:rStyle w:val="Hiperpovezava"/>
          <w:rFonts w:cs="Arial"/>
          <w:szCs w:val="20"/>
        </w:rPr>
        <w:t xml:space="preserve"> </w:t>
      </w:r>
      <w:r w:rsidRPr="00385FDD">
        <w:rPr>
          <w:rStyle w:val="Hiperpovezava"/>
          <w:rFonts w:cs="Arial"/>
          <w:szCs w:val="20"/>
        </w:rPr>
        <w:t>Combined Nomenclature</w:t>
      </w:r>
      <w:r w:rsidR="00385FDD">
        <w:rPr>
          <w:rFonts w:cs="Arial"/>
          <w:szCs w:val="20"/>
        </w:rPr>
        <w:fldChar w:fldCharType="end"/>
      </w:r>
      <w:r w:rsidR="00730B54" w:rsidRPr="00730B54">
        <w:rPr>
          <w:rFonts w:cs="Arial"/>
          <w:szCs w:val="20"/>
        </w:rPr>
        <w:t xml:space="preserve"> </w:t>
      </w:r>
      <w:r w:rsidRPr="00CB003B">
        <w:rPr>
          <w:rFonts w:cs="Arial"/>
          <w:szCs w:val="20"/>
        </w:rPr>
        <w:t>was published on 3</w:t>
      </w:r>
      <w:r w:rsidR="00730B54">
        <w:rPr>
          <w:rFonts w:cs="Arial"/>
          <w:szCs w:val="20"/>
        </w:rPr>
        <w:t>1</w:t>
      </w:r>
      <w:r w:rsidRPr="00CB003B">
        <w:rPr>
          <w:rFonts w:cs="Arial"/>
          <w:szCs w:val="20"/>
        </w:rPr>
        <w:t xml:space="preserve"> October 202</w:t>
      </w:r>
      <w:r w:rsidR="00385FDD">
        <w:rPr>
          <w:rFonts w:cs="Arial"/>
          <w:szCs w:val="20"/>
        </w:rPr>
        <w:t>4</w:t>
      </w:r>
      <w:r w:rsidRPr="00CB003B">
        <w:rPr>
          <w:rFonts w:cs="Arial"/>
          <w:szCs w:val="20"/>
        </w:rPr>
        <w:t xml:space="preserve"> in the </w:t>
      </w:r>
      <w:r w:rsidR="0099521E">
        <w:rPr>
          <w:rFonts w:cs="Arial"/>
          <w:szCs w:val="20"/>
        </w:rPr>
        <w:t xml:space="preserve">EU </w:t>
      </w:r>
      <w:r w:rsidRPr="00CB003B">
        <w:rPr>
          <w:rFonts w:cs="Arial"/>
          <w:szCs w:val="20"/>
        </w:rPr>
        <w:t>Official Journal L</w:t>
      </w:r>
      <w:r w:rsidR="00274050">
        <w:rPr>
          <w:rFonts w:cs="Arial"/>
          <w:szCs w:val="20"/>
        </w:rPr>
        <w:t>/202</w:t>
      </w:r>
      <w:r w:rsidR="00385FDD">
        <w:rPr>
          <w:rFonts w:cs="Arial"/>
          <w:szCs w:val="20"/>
        </w:rPr>
        <w:t>4</w:t>
      </w:r>
      <w:r w:rsidR="00274050">
        <w:rPr>
          <w:rFonts w:cs="Arial"/>
          <w:szCs w:val="20"/>
        </w:rPr>
        <w:t>/2</w:t>
      </w:r>
      <w:r w:rsidR="00385FDD">
        <w:rPr>
          <w:rFonts w:cs="Arial"/>
          <w:szCs w:val="20"/>
        </w:rPr>
        <w:t>522</w:t>
      </w:r>
      <w:r w:rsidRPr="00CB003B">
        <w:rPr>
          <w:rFonts w:cs="Arial"/>
          <w:szCs w:val="20"/>
        </w:rPr>
        <w:t>.</w:t>
      </w:r>
    </w:p>
    <w:p w14:paraId="703166AA" w14:textId="77777777" w:rsidR="00614928" w:rsidRDefault="00614928" w:rsidP="00D1195A">
      <w:pPr>
        <w:autoSpaceDE w:val="0"/>
        <w:autoSpaceDN w:val="0"/>
        <w:adjustRightInd w:val="0"/>
        <w:spacing w:line="240" w:lineRule="auto"/>
        <w:jc w:val="both"/>
        <w:rPr>
          <w:rFonts w:cs="Arial"/>
          <w:szCs w:val="20"/>
        </w:rPr>
      </w:pPr>
    </w:p>
    <w:p w14:paraId="323C777A" w14:textId="77777777" w:rsidR="00E77903" w:rsidRPr="00E77903" w:rsidRDefault="005723DA" w:rsidP="00E77903">
      <w:pPr>
        <w:autoSpaceDE w:val="0"/>
        <w:autoSpaceDN w:val="0"/>
        <w:adjustRightInd w:val="0"/>
        <w:spacing w:line="240" w:lineRule="auto"/>
        <w:jc w:val="both"/>
        <w:rPr>
          <w:rFonts w:cs="Arial"/>
          <w:szCs w:val="20"/>
        </w:rPr>
      </w:pPr>
      <w:r>
        <w:rPr>
          <w:rFonts w:cs="Arial"/>
          <w:szCs w:val="20"/>
        </w:rPr>
        <w:t xml:space="preserve">The updated version of the </w:t>
      </w:r>
      <w:r w:rsidR="00E77903">
        <w:rPr>
          <w:rFonts w:cs="Arial"/>
          <w:szCs w:val="20"/>
        </w:rPr>
        <w:t>Combined Nomenclature covers</w:t>
      </w:r>
      <w:r w:rsidR="00A36177">
        <w:rPr>
          <w:rFonts w:cs="Arial"/>
          <w:szCs w:val="20"/>
        </w:rPr>
        <w:t xml:space="preserve"> all amend</w:t>
      </w:r>
      <w:r w:rsidR="00881071">
        <w:rPr>
          <w:rFonts w:cs="Arial"/>
          <w:szCs w:val="20"/>
        </w:rPr>
        <w:t xml:space="preserve">ments </w:t>
      </w:r>
      <w:r w:rsidR="00E77903">
        <w:rPr>
          <w:rFonts w:cs="Arial"/>
          <w:szCs w:val="20"/>
        </w:rPr>
        <w:t>agreed in the framework of the World Customs Organisation (WCO)</w:t>
      </w:r>
      <w:r w:rsidR="00E77903" w:rsidRPr="00E77903">
        <w:rPr>
          <w:rFonts w:cs="Arial"/>
          <w:szCs w:val="20"/>
        </w:rPr>
        <w:t xml:space="preserve"> </w:t>
      </w:r>
      <w:r w:rsidR="00E77903">
        <w:rPr>
          <w:rFonts w:cs="Arial"/>
          <w:szCs w:val="20"/>
        </w:rPr>
        <w:t xml:space="preserve">in relation </w:t>
      </w:r>
      <w:r w:rsidR="00E77903" w:rsidRPr="00E77903">
        <w:rPr>
          <w:rFonts w:cs="Arial"/>
          <w:szCs w:val="20"/>
        </w:rPr>
        <w:t xml:space="preserve">to the </w:t>
      </w:r>
      <w:hyperlink r:id="rId12" w:history="1">
        <w:r w:rsidR="00E77903" w:rsidRPr="00E77903">
          <w:rPr>
            <w:rStyle w:val="Hiperpovezava"/>
            <w:rFonts w:cs="Arial"/>
            <w:szCs w:val="20"/>
          </w:rPr>
          <w:t>HS Nomenclature</w:t>
        </w:r>
      </w:hyperlink>
      <w:r w:rsidR="00E77903">
        <w:rPr>
          <w:rFonts w:cs="Arial"/>
          <w:szCs w:val="20"/>
        </w:rPr>
        <w:t xml:space="preserve">, amendments </w:t>
      </w:r>
      <w:r w:rsidR="00E77903" w:rsidRPr="00E77903">
        <w:rPr>
          <w:rFonts w:cs="Arial"/>
          <w:szCs w:val="20"/>
        </w:rPr>
        <w:t>within the framework of the World Trade Organisation (WTO)</w:t>
      </w:r>
      <w:r w:rsidR="00982D91">
        <w:rPr>
          <w:rFonts w:cs="Arial"/>
          <w:szCs w:val="20"/>
        </w:rPr>
        <w:t xml:space="preserve"> </w:t>
      </w:r>
      <w:r w:rsidR="00E77903" w:rsidRPr="00E77903">
        <w:rPr>
          <w:rFonts w:cs="Arial"/>
          <w:szCs w:val="20"/>
        </w:rPr>
        <w:t>in relation to customs duties and other changes resulting from statistical requirements, adaptation to trade and product technological developments, addressing environmental and social issues of global concern, health, safety and social security and counter-terrorism, which are of increasing importance to customs.</w:t>
      </w:r>
    </w:p>
    <w:p w14:paraId="54C05691" w14:textId="77777777" w:rsidR="00E77903" w:rsidRPr="00E77903" w:rsidRDefault="00E77903" w:rsidP="00E77903">
      <w:pPr>
        <w:autoSpaceDE w:val="0"/>
        <w:autoSpaceDN w:val="0"/>
        <w:adjustRightInd w:val="0"/>
        <w:spacing w:line="240" w:lineRule="auto"/>
        <w:jc w:val="both"/>
        <w:rPr>
          <w:rFonts w:cs="Arial"/>
          <w:szCs w:val="20"/>
        </w:rPr>
      </w:pPr>
    </w:p>
    <w:p w14:paraId="71C5CAF2" w14:textId="77777777" w:rsidR="00982D91" w:rsidRDefault="00982D91" w:rsidP="00D1195A">
      <w:pPr>
        <w:autoSpaceDE w:val="0"/>
        <w:autoSpaceDN w:val="0"/>
        <w:adjustRightInd w:val="0"/>
        <w:spacing w:line="240" w:lineRule="auto"/>
        <w:jc w:val="both"/>
        <w:rPr>
          <w:rFonts w:cs="Arial"/>
          <w:b/>
          <w:bCs/>
          <w:sz w:val="23"/>
          <w:szCs w:val="23"/>
        </w:rPr>
      </w:pPr>
    </w:p>
    <w:p w14:paraId="4C0790B0" w14:textId="77777777" w:rsidR="00370FCA" w:rsidRPr="00C861D4" w:rsidRDefault="00370FCA" w:rsidP="00D1195A">
      <w:pPr>
        <w:autoSpaceDE w:val="0"/>
        <w:autoSpaceDN w:val="0"/>
        <w:adjustRightInd w:val="0"/>
        <w:spacing w:line="240" w:lineRule="auto"/>
        <w:jc w:val="both"/>
        <w:rPr>
          <w:rFonts w:cs="Arial"/>
          <w:sz w:val="23"/>
          <w:szCs w:val="23"/>
        </w:rPr>
      </w:pPr>
      <w:r w:rsidRPr="00C861D4">
        <w:rPr>
          <w:rFonts w:cs="Arial"/>
          <w:b/>
          <w:bCs/>
          <w:sz w:val="23"/>
          <w:szCs w:val="23"/>
        </w:rPr>
        <w:t xml:space="preserve">2. </w:t>
      </w:r>
      <w:r w:rsidR="00C861D4" w:rsidRPr="00C861D4">
        <w:rPr>
          <w:rFonts w:cs="Arial"/>
          <w:b/>
          <w:bCs/>
          <w:sz w:val="23"/>
          <w:szCs w:val="23"/>
        </w:rPr>
        <w:t>T</w:t>
      </w:r>
      <w:r w:rsidR="003B74CE">
        <w:rPr>
          <w:rFonts w:cs="Arial"/>
          <w:b/>
          <w:bCs/>
          <w:sz w:val="23"/>
          <w:szCs w:val="23"/>
        </w:rPr>
        <w:t>HE CONTENT OF THE COMBINED NOMENCLATURE</w:t>
      </w:r>
      <w:r w:rsidRPr="00C861D4">
        <w:rPr>
          <w:rFonts w:cs="Arial"/>
          <w:b/>
          <w:bCs/>
          <w:sz w:val="23"/>
          <w:szCs w:val="23"/>
        </w:rPr>
        <w:t xml:space="preserve"> </w:t>
      </w:r>
    </w:p>
    <w:p w14:paraId="594683A2" w14:textId="77777777" w:rsidR="00370FCA" w:rsidRPr="00B60E37" w:rsidRDefault="00370FCA" w:rsidP="00D1195A">
      <w:pPr>
        <w:autoSpaceDE w:val="0"/>
        <w:autoSpaceDN w:val="0"/>
        <w:adjustRightInd w:val="0"/>
        <w:spacing w:line="240" w:lineRule="auto"/>
        <w:jc w:val="both"/>
        <w:rPr>
          <w:rFonts w:cs="Arial"/>
          <w:szCs w:val="20"/>
          <w:highlight w:val="yellow"/>
        </w:rPr>
      </w:pPr>
    </w:p>
    <w:p w14:paraId="0134B393" w14:textId="77777777" w:rsidR="00370FCA" w:rsidRDefault="00C861D4" w:rsidP="00D1195A">
      <w:pPr>
        <w:autoSpaceDE w:val="0"/>
        <w:autoSpaceDN w:val="0"/>
        <w:adjustRightInd w:val="0"/>
        <w:spacing w:line="240" w:lineRule="auto"/>
        <w:jc w:val="both"/>
        <w:rPr>
          <w:rFonts w:cs="Arial"/>
          <w:szCs w:val="20"/>
        </w:rPr>
      </w:pPr>
      <w:r w:rsidRPr="00C861D4">
        <w:rPr>
          <w:rFonts w:cs="Arial"/>
          <w:szCs w:val="20"/>
        </w:rPr>
        <w:t xml:space="preserve">The Combined Nomenclature </w:t>
      </w:r>
      <w:r w:rsidR="0017132A">
        <w:rPr>
          <w:rFonts w:cs="Arial"/>
          <w:szCs w:val="20"/>
        </w:rPr>
        <w:t>is composed of</w:t>
      </w:r>
      <w:r w:rsidRPr="00C861D4">
        <w:rPr>
          <w:rFonts w:cs="Arial"/>
          <w:szCs w:val="20"/>
        </w:rPr>
        <w:t xml:space="preserve"> three parts</w:t>
      </w:r>
      <w:r w:rsidR="00370FCA" w:rsidRPr="00C861D4">
        <w:rPr>
          <w:rFonts w:cs="Arial"/>
          <w:szCs w:val="20"/>
        </w:rPr>
        <w:t xml:space="preserve">: </w:t>
      </w:r>
    </w:p>
    <w:p w14:paraId="5DD9BA16" w14:textId="77777777" w:rsidR="00F076DC" w:rsidRPr="00C861D4" w:rsidRDefault="00F076DC" w:rsidP="00D1195A">
      <w:pPr>
        <w:autoSpaceDE w:val="0"/>
        <w:autoSpaceDN w:val="0"/>
        <w:adjustRightInd w:val="0"/>
        <w:spacing w:line="240" w:lineRule="auto"/>
        <w:jc w:val="both"/>
        <w:rPr>
          <w:rFonts w:cs="Arial"/>
          <w:szCs w:val="20"/>
        </w:rPr>
      </w:pPr>
    </w:p>
    <w:p w14:paraId="04C4B3DD" w14:textId="77777777" w:rsidR="00370FCA" w:rsidRPr="00111CC0" w:rsidRDefault="00370FCA" w:rsidP="00D1195A">
      <w:pPr>
        <w:autoSpaceDE w:val="0"/>
        <w:autoSpaceDN w:val="0"/>
        <w:adjustRightInd w:val="0"/>
        <w:spacing w:after="42" w:line="240" w:lineRule="auto"/>
        <w:jc w:val="both"/>
        <w:rPr>
          <w:rFonts w:ascii="Republika" w:hAnsi="Republika" w:cs="Republika"/>
          <w:szCs w:val="20"/>
        </w:rPr>
      </w:pPr>
      <w:r w:rsidRPr="00111CC0">
        <w:rPr>
          <w:rFonts w:cs="Arial"/>
          <w:szCs w:val="20"/>
        </w:rPr>
        <w:t xml:space="preserve">1. </w:t>
      </w:r>
      <w:r w:rsidR="00111CC0" w:rsidRPr="00111CC0">
        <w:rPr>
          <w:rFonts w:cs="Arial"/>
          <w:b/>
          <w:szCs w:val="20"/>
        </w:rPr>
        <w:t>Preliminary provisions</w:t>
      </w:r>
      <w:r w:rsidRPr="00111CC0">
        <w:rPr>
          <w:rFonts w:cs="Arial"/>
          <w:b/>
          <w:bCs/>
          <w:szCs w:val="20"/>
        </w:rPr>
        <w:t xml:space="preserve"> </w:t>
      </w:r>
      <w:r w:rsidR="00111CC0" w:rsidRPr="00111CC0">
        <w:rPr>
          <w:rFonts w:cs="Arial"/>
          <w:szCs w:val="20"/>
        </w:rPr>
        <w:t xml:space="preserve">which comprise </w:t>
      </w:r>
      <w:hyperlink r:id="rId13" w:history="1">
        <w:r w:rsidR="00111CC0" w:rsidRPr="00990E30">
          <w:rPr>
            <w:rStyle w:val="Hiperpovezava"/>
            <w:rFonts w:cs="Arial"/>
            <w:szCs w:val="20"/>
          </w:rPr>
          <w:t>General Rules</w:t>
        </w:r>
      </w:hyperlink>
      <w:r w:rsidR="00111CC0" w:rsidRPr="00111CC0">
        <w:rPr>
          <w:rFonts w:cs="Arial"/>
          <w:szCs w:val="20"/>
        </w:rPr>
        <w:t xml:space="preserve"> and </w:t>
      </w:r>
      <w:r w:rsidR="00111CC0" w:rsidRPr="00A32B40">
        <w:rPr>
          <w:rFonts w:cs="Arial"/>
          <w:szCs w:val="20"/>
        </w:rPr>
        <w:t>Special Provisions</w:t>
      </w:r>
      <w:r w:rsidR="00D95B30">
        <w:rPr>
          <w:rFonts w:cs="Arial"/>
          <w:szCs w:val="20"/>
        </w:rPr>
        <w:t xml:space="preserve"> </w:t>
      </w:r>
      <w:r w:rsidR="00D95B30" w:rsidRPr="00D95B30">
        <w:rPr>
          <w:rFonts w:cs="Arial"/>
          <w:szCs w:val="20"/>
        </w:rPr>
        <w:t>for classification</w:t>
      </w:r>
      <w:r w:rsidR="00361A37">
        <w:rPr>
          <w:rFonts w:cs="Arial"/>
          <w:szCs w:val="20"/>
        </w:rPr>
        <w:t>.</w:t>
      </w:r>
    </w:p>
    <w:p w14:paraId="0934EA5F" w14:textId="77777777" w:rsidR="00754954" w:rsidRDefault="00754954" w:rsidP="00F076DC">
      <w:pPr>
        <w:autoSpaceDE w:val="0"/>
        <w:autoSpaceDN w:val="0"/>
        <w:adjustRightInd w:val="0"/>
        <w:spacing w:after="42" w:line="240" w:lineRule="auto"/>
        <w:jc w:val="both"/>
        <w:rPr>
          <w:rFonts w:cs="Arial"/>
          <w:szCs w:val="20"/>
        </w:rPr>
      </w:pPr>
    </w:p>
    <w:p w14:paraId="4E10041F" w14:textId="77777777" w:rsidR="00370FCA" w:rsidRPr="002F662E" w:rsidRDefault="00370FCA" w:rsidP="00F076DC">
      <w:pPr>
        <w:autoSpaceDE w:val="0"/>
        <w:autoSpaceDN w:val="0"/>
        <w:adjustRightInd w:val="0"/>
        <w:spacing w:after="42" w:line="240" w:lineRule="auto"/>
        <w:jc w:val="both"/>
        <w:rPr>
          <w:rFonts w:cs="Arial"/>
          <w:szCs w:val="20"/>
        </w:rPr>
      </w:pPr>
      <w:r w:rsidRPr="002F46C5">
        <w:rPr>
          <w:rFonts w:cs="Arial"/>
          <w:szCs w:val="20"/>
        </w:rPr>
        <w:t xml:space="preserve">2. </w:t>
      </w:r>
      <w:r w:rsidR="00D95B30" w:rsidRPr="00D95B30">
        <w:rPr>
          <w:rFonts w:cs="Arial"/>
          <w:b/>
          <w:szCs w:val="20"/>
        </w:rPr>
        <w:t xml:space="preserve">Nomenclature </w:t>
      </w:r>
      <w:r w:rsidR="00191D89">
        <w:rPr>
          <w:rFonts w:cs="Arial"/>
          <w:b/>
          <w:szCs w:val="20"/>
        </w:rPr>
        <w:t xml:space="preserve">(description) of the goods </w:t>
      </w:r>
      <w:r w:rsidR="00D95B30" w:rsidRPr="00D95B30">
        <w:rPr>
          <w:rFonts w:cs="Arial"/>
          <w:b/>
          <w:szCs w:val="20"/>
        </w:rPr>
        <w:t>and s</w:t>
      </w:r>
      <w:r w:rsidR="00111CC0" w:rsidRPr="002F46C5">
        <w:rPr>
          <w:rFonts w:cs="Arial"/>
          <w:b/>
          <w:bCs/>
          <w:szCs w:val="20"/>
        </w:rPr>
        <w:t>chedule of customs duties</w:t>
      </w:r>
      <w:r w:rsidR="00361A37">
        <w:rPr>
          <w:rFonts w:cs="Arial"/>
          <w:b/>
          <w:bCs/>
          <w:szCs w:val="20"/>
        </w:rPr>
        <w:t>;</w:t>
      </w:r>
      <w:r w:rsidR="00111CC0" w:rsidRPr="002F46C5">
        <w:rPr>
          <w:rFonts w:cs="Arial"/>
          <w:bCs/>
          <w:szCs w:val="20"/>
        </w:rPr>
        <w:t xml:space="preserve"> </w:t>
      </w:r>
      <w:r w:rsidR="00361A37">
        <w:rPr>
          <w:rFonts w:cs="Arial"/>
          <w:bCs/>
          <w:szCs w:val="20"/>
        </w:rPr>
        <w:t xml:space="preserve">it is </w:t>
      </w:r>
      <w:r w:rsidR="00111CC0" w:rsidRPr="002F46C5">
        <w:rPr>
          <w:rFonts w:cs="Arial"/>
          <w:bCs/>
          <w:szCs w:val="20"/>
        </w:rPr>
        <w:t>the largest part of the CN</w:t>
      </w:r>
      <w:r w:rsidR="0017132A" w:rsidRPr="002F46C5">
        <w:rPr>
          <w:rFonts w:cs="Arial"/>
          <w:bCs/>
          <w:szCs w:val="20"/>
        </w:rPr>
        <w:t xml:space="preserve"> </w:t>
      </w:r>
      <w:r w:rsidR="00361A37">
        <w:rPr>
          <w:rFonts w:cs="Arial"/>
          <w:bCs/>
          <w:szCs w:val="20"/>
        </w:rPr>
        <w:t>which c</w:t>
      </w:r>
      <w:r w:rsidR="00111CC0" w:rsidRPr="002F46C5">
        <w:rPr>
          <w:rFonts w:cs="Arial"/>
          <w:bCs/>
          <w:szCs w:val="20"/>
        </w:rPr>
        <w:t xml:space="preserve">ontains the nomenclature arranged in 21 </w:t>
      </w:r>
      <w:r w:rsidR="002F662E" w:rsidRPr="002F46C5">
        <w:rPr>
          <w:rFonts w:cs="Arial"/>
          <w:bCs/>
          <w:szCs w:val="20"/>
        </w:rPr>
        <w:t>s</w:t>
      </w:r>
      <w:r w:rsidR="00111CC0" w:rsidRPr="002F46C5">
        <w:rPr>
          <w:rFonts w:cs="Arial"/>
          <w:bCs/>
          <w:szCs w:val="20"/>
        </w:rPr>
        <w:t>ection</w:t>
      </w:r>
      <w:r w:rsidR="00802FDA">
        <w:rPr>
          <w:rFonts w:cs="Arial"/>
          <w:bCs/>
          <w:szCs w:val="20"/>
        </w:rPr>
        <w:t>s</w:t>
      </w:r>
      <w:r w:rsidR="002F662E" w:rsidRPr="002F46C5">
        <w:rPr>
          <w:rFonts w:cs="Arial"/>
          <w:bCs/>
          <w:szCs w:val="20"/>
        </w:rPr>
        <w:t xml:space="preserve">. The sections are then further divided in 97 chapters. Chapters 98 and 99 are added, the former for statistical purposes, the later </w:t>
      </w:r>
      <w:r w:rsidR="002F46C5" w:rsidRPr="002F46C5">
        <w:rPr>
          <w:rFonts w:cs="Arial"/>
          <w:bCs/>
          <w:szCs w:val="20"/>
        </w:rPr>
        <w:t>for</w:t>
      </w:r>
      <w:r w:rsidR="002F662E" w:rsidRPr="002F46C5">
        <w:rPr>
          <w:rFonts w:cs="Arial"/>
          <w:bCs/>
          <w:szCs w:val="20"/>
        </w:rPr>
        <w:t xml:space="preserve"> contain</w:t>
      </w:r>
      <w:r w:rsidR="002F46C5" w:rsidRPr="002F46C5">
        <w:rPr>
          <w:rFonts w:cs="Arial"/>
          <w:bCs/>
          <w:szCs w:val="20"/>
        </w:rPr>
        <w:t>ing</w:t>
      </w:r>
      <w:r w:rsidR="002F662E" w:rsidRPr="002F46C5">
        <w:rPr>
          <w:rFonts w:cs="Arial"/>
          <w:bCs/>
          <w:szCs w:val="20"/>
        </w:rPr>
        <w:t xml:space="preserve"> CN code</w:t>
      </w:r>
      <w:r w:rsidR="0017132A" w:rsidRPr="002F46C5">
        <w:rPr>
          <w:rFonts w:cs="Arial"/>
          <w:bCs/>
          <w:szCs w:val="20"/>
        </w:rPr>
        <w:t>s</w:t>
      </w:r>
      <w:r w:rsidR="002F662E" w:rsidRPr="002F46C5">
        <w:rPr>
          <w:rFonts w:cs="Arial"/>
          <w:bCs/>
          <w:szCs w:val="20"/>
        </w:rPr>
        <w:t xml:space="preserve"> denoting speci</w:t>
      </w:r>
      <w:r w:rsidR="0017132A" w:rsidRPr="002F46C5">
        <w:rPr>
          <w:rFonts w:cs="Arial"/>
          <w:bCs/>
          <w:szCs w:val="20"/>
        </w:rPr>
        <w:t>fic</w:t>
      </w:r>
      <w:r w:rsidR="002F662E" w:rsidRPr="002F46C5">
        <w:rPr>
          <w:rFonts w:cs="Arial"/>
          <w:bCs/>
          <w:szCs w:val="20"/>
        </w:rPr>
        <w:t xml:space="preserve"> movement</w:t>
      </w:r>
      <w:r w:rsidR="0017132A" w:rsidRPr="002F46C5">
        <w:rPr>
          <w:rFonts w:cs="Arial"/>
          <w:bCs/>
          <w:szCs w:val="20"/>
        </w:rPr>
        <w:t>s</w:t>
      </w:r>
      <w:r w:rsidR="002F662E" w:rsidRPr="002F46C5">
        <w:rPr>
          <w:rFonts w:cs="Arial"/>
          <w:bCs/>
          <w:szCs w:val="20"/>
        </w:rPr>
        <w:t xml:space="preserve"> of goods. </w:t>
      </w:r>
      <w:r w:rsidR="00A64F7C" w:rsidRPr="002F46C5">
        <w:rPr>
          <w:rFonts w:cs="Arial"/>
          <w:bCs/>
          <w:szCs w:val="20"/>
        </w:rPr>
        <w:t>T</w:t>
      </w:r>
      <w:r w:rsidR="002F662E" w:rsidRPr="002F46C5">
        <w:rPr>
          <w:rFonts w:cs="Arial"/>
          <w:bCs/>
          <w:szCs w:val="20"/>
        </w:rPr>
        <w:t xml:space="preserve">he </w:t>
      </w:r>
      <w:r w:rsidR="00A64F7C" w:rsidRPr="002F46C5">
        <w:rPr>
          <w:rFonts w:cs="Arial"/>
          <w:bCs/>
          <w:szCs w:val="20"/>
        </w:rPr>
        <w:t>Chapters are further</w:t>
      </w:r>
      <w:r w:rsidR="002F662E" w:rsidRPr="002F46C5">
        <w:rPr>
          <w:rFonts w:cs="Arial"/>
          <w:bCs/>
          <w:szCs w:val="20"/>
        </w:rPr>
        <w:t xml:space="preserve"> divided into individual </w:t>
      </w:r>
      <w:r w:rsidR="00191D89">
        <w:rPr>
          <w:rFonts w:cs="Arial"/>
          <w:bCs/>
          <w:szCs w:val="20"/>
        </w:rPr>
        <w:t>H</w:t>
      </w:r>
      <w:r w:rsidR="002F662E" w:rsidRPr="002F46C5">
        <w:rPr>
          <w:rFonts w:cs="Arial"/>
          <w:b/>
          <w:bCs/>
          <w:szCs w:val="20"/>
        </w:rPr>
        <w:t>eadings</w:t>
      </w:r>
      <w:r w:rsidR="00D95B30">
        <w:rPr>
          <w:rFonts w:cs="Arial"/>
          <w:b/>
          <w:bCs/>
          <w:szCs w:val="20"/>
        </w:rPr>
        <w:t xml:space="preserve"> and </w:t>
      </w:r>
      <w:r w:rsidR="00191D89">
        <w:rPr>
          <w:rFonts w:cs="Arial"/>
          <w:b/>
          <w:bCs/>
          <w:szCs w:val="20"/>
        </w:rPr>
        <w:t>S</w:t>
      </w:r>
      <w:r w:rsidR="00D95B30">
        <w:rPr>
          <w:rFonts w:cs="Arial"/>
          <w:b/>
          <w:bCs/>
          <w:szCs w:val="20"/>
        </w:rPr>
        <w:t>ubheadings</w:t>
      </w:r>
      <w:r w:rsidR="002F662E" w:rsidRPr="002F46C5">
        <w:rPr>
          <w:rFonts w:cs="Arial"/>
          <w:bCs/>
          <w:szCs w:val="20"/>
        </w:rPr>
        <w:t>.</w:t>
      </w:r>
      <w:r w:rsidR="00A64F7C" w:rsidRPr="002F46C5">
        <w:rPr>
          <w:rFonts w:cs="Arial"/>
          <w:bCs/>
          <w:szCs w:val="20"/>
        </w:rPr>
        <w:t xml:space="preserve"> Furthermore, the </w:t>
      </w:r>
      <w:r w:rsidR="00D95B30">
        <w:rPr>
          <w:rFonts w:cs="Arial"/>
          <w:bCs/>
          <w:szCs w:val="20"/>
        </w:rPr>
        <w:t>Nomenclature</w:t>
      </w:r>
      <w:r w:rsidR="002F662E" w:rsidRPr="002F46C5">
        <w:rPr>
          <w:rFonts w:cs="Arial"/>
          <w:bCs/>
          <w:szCs w:val="20"/>
        </w:rPr>
        <w:t xml:space="preserve"> contains </w:t>
      </w:r>
      <w:r w:rsidR="00745509">
        <w:rPr>
          <w:rFonts w:cs="Arial"/>
          <w:bCs/>
          <w:szCs w:val="20"/>
        </w:rPr>
        <w:t>Section</w:t>
      </w:r>
      <w:r w:rsidR="00625C42">
        <w:rPr>
          <w:rFonts w:cs="Arial"/>
          <w:bCs/>
          <w:szCs w:val="20"/>
        </w:rPr>
        <w:t xml:space="preserve"> Notes</w:t>
      </w:r>
      <w:r w:rsidR="00D95B30">
        <w:rPr>
          <w:rFonts w:cs="Arial"/>
          <w:bCs/>
          <w:szCs w:val="20"/>
        </w:rPr>
        <w:t>,</w:t>
      </w:r>
      <w:r w:rsidR="00745509">
        <w:rPr>
          <w:rFonts w:cs="Arial"/>
          <w:bCs/>
          <w:szCs w:val="20"/>
        </w:rPr>
        <w:t xml:space="preserve"> Chapter </w:t>
      </w:r>
      <w:r w:rsidR="00625C42">
        <w:rPr>
          <w:rFonts w:cs="Arial"/>
          <w:bCs/>
          <w:szCs w:val="20"/>
        </w:rPr>
        <w:t>N</w:t>
      </w:r>
      <w:r w:rsidR="002F662E" w:rsidRPr="002F46C5">
        <w:rPr>
          <w:rFonts w:cs="Arial"/>
          <w:bCs/>
          <w:szCs w:val="20"/>
        </w:rPr>
        <w:t>otes</w:t>
      </w:r>
      <w:r w:rsidR="00745509">
        <w:rPr>
          <w:rFonts w:cs="Arial"/>
          <w:bCs/>
          <w:szCs w:val="20"/>
        </w:rPr>
        <w:t xml:space="preserve"> and </w:t>
      </w:r>
      <w:r w:rsidR="00D95B30">
        <w:rPr>
          <w:rFonts w:cs="Arial"/>
          <w:bCs/>
          <w:szCs w:val="20"/>
        </w:rPr>
        <w:t>Additional Notes</w:t>
      </w:r>
      <w:r w:rsidR="002F662E" w:rsidRPr="002F46C5">
        <w:rPr>
          <w:rFonts w:cs="Arial"/>
          <w:bCs/>
          <w:szCs w:val="20"/>
        </w:rPr>
        <w:t>.</w:t>
      </w:r>
    </w:p>
    <w:p w14:paraId="577AE949" w14:textId="77777777" w:rsidR="00754954" w:rsidRDefault="00754954" w:rsidP="00D1195A">
      <w:pPr>
        <w:autoSpaceDE w:val="0"/>
        <w:autoSpaceDN w:val="0"/>
        <w:adjustRightInd w:val="0"/>
        <w:spacing w:line="240" w:lineRule="auto"/>
        <w:jc w:val="both"/>
        <w:rPr>
          <w:rFonts w:cs="Arial"/>
          <w:szCs w:val="20"/>
        </w:rPr>
      </w:pPr>
    </w:p>
    <w:p w14:paraId="21546F10" w14:textId="77777777" w:rsidR="00370FCA" w:rsidRDefault="00370FCA" w:rsidP="00D1195A">
      <w:pPr>
        <w:autoSpaceDE w:val="0"/>
        <w:autoSpaceDN w:val="0"/>
        <w:adjustRightInd w:val="0"/>
        <w:spacing w:line="240" w:lineRule="auto"/>
        <w:jc w:val="both"/>
        <w:rPr>
          <w:rFonts w:cs="Arial"/>
          <w:szCs w:val="20"/>
        </w:rPr>
      </w:pPr>
      <w:r w:rsidRPr="002F46C5">
        <w:rPr>
          <w:rFonts w:cs="Arial"/>
          <w:szCs w:val="20"/>
        </w:rPr>
        <w:t xml:space="preserve">3. </w:t>
      </w:r>
      <w:r w:rsidR="00625C42" w:rsidRPr="00625C42">
        <w:rPr>
          <w:rFonts w:cs="Arial"/>
          <w:b/>
          <w:szCs w:val="20"/>
        </w:rPr>
        <w:t>A</w:t>
      </w:r>
      <w:r w:rsidR="002F46C5" w:rsidRPr="002F46C5">
        <w:rPr>
          <w:rFonts w:cs="Arial"/>
          <w:b/>
          <w:bCs/>
          <w:szCs w:val="20"/>
        </w:rPr>
        <w:t>nnexes</w:t>
      </w:r>
      <w:r w:rsidR="00625C42">
        <w:rPr>
          <w:rFonts w:cs="Arial"/>
          <w:b/>
          <w:bCs/>
          <w:szCs w:val="20"/>
        </w:rPr>
        <w:t xml:space="preserve"> to the Combined Nomenclature</w:t>
      </w:r>
      <w:r w:rsidRPr="002F46C5">
        <w:rPr>
          <w:rFonts w:cs="Arial"/>
          <w:b/>
          <w:bCs/>
          <w:szCs w:val="20"/>
        </w:rPr>
        <w:t xml:space="preserve"> </w:t>
      </w:r>
      <w:r w:rsidR="002F46C5" w:rsidRPr="002F46C5">
        <w:rPr>
          <w:rFonts w:cs="Arial"/>
          <w:bCs/>
          <w:szCs w:val="20"/>
        </w:rPr>
        <w:t>comprise</w:t>
      </w:r>
      <w:r w:rsidR="002F46C5" w:rsidRPr="002F46C5">
        <w:rPr>
          <w:rFonts w:cs="Arial"/>
          <w:b/>
          <w:bCs/>
          <w:szCs w:val="20"/>
        </w:rPr>
        <w:t xml:space="preserve"> </w:t>
      </w:r>
      <w:r w:rsidR="00C93ECE">
        <w:rPr>
          <w:rFonts w:cs="Arial"/>
          <w:bCs/>
          <w:szCs w:val="20"/>
        </w:rPr>
        <w:t>s</w:t>
      </w:r>
      <w:r w:rsidR="002F46C5" w:rsidRPr="002F46C5">
        <w:rPr>
          <w:rFonts w:cs="Arial"/>
          <w:bCs/>
          <w:szCs w:val="20"/>
        </w:rPr>
        <w:t xml:space="preserve">ection </w:t>
      </w:r>
      <w:r w:rsidR="00625C42">
        <w:rPr>
          <w:rFonts w:cs="Arial"/>
          <w:bCs/>
          <w:szCs w:val="20"/>
        </w:rPr>
        <w:t>of</w:t>
      </w:r>
      <w:r w:rsidR="002F46C5" w:rsidRPr="002F46C5">
        <w:rPr>
          <w:rFonts w:cs="Arial"/>
          <w:bCs/>
          <w:szCs w:val="20"/>
        </w:rPr>
        <w:t xml:space="preserve"> Agricultural </w:t>
      </w:r>
      <w:r w:rsidR="00625C42">
        <w:rPr>
          <w:rFonts w:cs="Arial"/>
          <w:bCs/>
          <w:szCs w:val="20"/>
        </w:rPr>
        <w:t>products</w:t>
      </w:r>
      <w:r w:rsidR="002F46C5" w:rsidRPr="002F46C5">
        <w:rPr>
          <w:rFonts w:cs="Arial"/>
          <w:bCs/>
          <w:szCs w:val="20"/>
        </w:rPr>
        <w:t>, Lists of pharmaceutical substances</w:t>
      </w:r>
      <w:r w:rsidR="00625C42">
        <w:rPr>
          <w:rFonts w:cs="Arial"/>
          <w:bCs/>
          <w:szCs w:val="20"/>
        </w:rPr>
        <w:t>,</w:t>
      </w:r>
      <w:r w:rsidR="002F46C5" w:rsidRPr="002F46C5">
        <w:rPr>
          <w:rFonts w:cs="Arial"/>
          <w:bCs/>
          <w:szCs w:val="20"/>
        </w:rPr>
        <w:t xml:space="preserve"> </w:t>
      </w:r>
      <w:r w:rsidR="00625C42">
        <w:rPr>
          <w:rFonts w:cs="Arial"/>
          <w:bCs/>
          <w:szCs w:val="20"/>
        </w:rPr>
        <w:t xml:space="preserve">section of </w:t>
      </w:r>
      <w:r w:rsidR="002F46C5" w:rsidRPr="002F46C5">
        <w:rPr>
          <w:rFonts w:cs="Arial"/>
          <w:bCs/>
          <w:szCs w:val="20"/>
        </w:rPr>
        <w:t xml:space="preserve">Favourable tariff treatment </w:t>
      </w:r>
      <w:r w:rsidR="00191D89">
        <w:rPr>
          <w:rFonts w:cs="Arial"/>
          <w:bCs/>
          <w:szCs w:val="20"/>
        </w:rPr>
        <w:t>due to</w:t>
      </w:r>
      <w:r w:rsidR="002F46C5" w:rsidRPr="002F46C5">
        <w:rPr>
          <w:rFonts w:cs="Arial"/>
          <w:bCs/>
          <w:szCs w:val="20"/>
        </w:rPr>
        <w:t xml:space="preserve"> the nature of the goods</w:t>
      </w:r>
      <w:r w:rsidR="00625C42">
        <w:rPr>
          <w:rFonts w:cs="Arial"/>
          <w:bCs/>
          <w:szCs w:val="20"/>
        </w:rPr>
        <w:t>, Certificates</w:t>
      </w:r>
      <w:r w:rsidR="00191D89">
        <w:rPr>
          <w:rFonts w:cs="Arial"/>
          <w:bCs/>
          <w:szCs w:val="20"/>
        </w:rPr>
        <w:t>,</w:t>
      </w:r>
      <w:r w:rsidR="00625C42">
        <w:rPr>
          <w:rFonts w:cs="Arial"/>
          <w:bCs/>
          <w:szCs w:val="20"/>
        </w:rPr>
        <w:t xml:space="preserve"> and TARIC Statistical Codes.</w:t>
      </w:r>
      <w:r w:rsidRPr="002F46C5">
        <w:rPr>
          <w:rFonts w:cs="Arial"/>
          <w:szCs w:val="20"/>
        </w:rPr>
        <w:t xml:space="preserve"> </w:t>
      </w:r>
    </w:p>
    <w:p w14:paraId="3F356E9D" w14:textId="77777777" w:rsidR="00754954" w:rsidRDefault="00754954" w:rsidP="00D1195A">
      <w:pPr>
        <w:autoSpaceDE w:val="0"/>
        <w:autoSpaceDN w:val="0"/>
        <w:adjustRightInd w:val="0"/>
        <w:spacing w:line="240" w:lineRule="auto"/>
        <w:jc w:val="both"/>
        <w:rPr>
          <w:rFonts w:cs="Arial"/>
          <w:szCs w:val="20"/>
        </w:rPr>
      </w:pPr>
    </w:p>
    <w:p w14:paraId="7FE1408B" w14:textId="77777777" w:rsidR="00754954" w:rsidRDefault="00754954" w:rsidP="00754954">
      <w:pPr>
        <w:autoSpaceDE w:val="0"/>
        <w:autoSpaceDN w:val="0"/>
        <w:adjustRightInd w:val="0"/>
        <w:spacing w:line="240" w:lineRule="auto"/>
        <w:jc w:val="both"/>
        <w:rPr>
          <w:rFonts w:cs="Arial"/>
          <w:szCs w:val="20"/>
        </w:rPr>
      </w:pPr>
    </w:p>
    <w:p w14:paraId="7F760795" w14:textId="77777777" w:rsidR="00754954" w:rsidRPr="00754954" w:rsidRDefault="00B24A8C" w:rsidP="00754954">
      <w:pPr>
        <w:autoSpaceDE w:val="0"/>
        <w:autoSpaceDN w:val="0"/>
        <w:adjustRightInd w:val="0"/>
        <w:spacing w:line="240" w:lineRule="auto"/>
        <w:jc w:val="both"/>
        <w:rPr>
          <w:rFonts w:cs="Arial"/>
          <w:szCs w:val="20"/>
        </w:rPr>
      </w:pPr>
      <w:r>
        <w:rPr>
          <w:rFonts w:cs="Arial"/>
          <w:szCs w:val="20"/>
        </w:rPr>
        <w:t xml:space="preserve">As a </w:t>
      </w:r>
      <w:r w:rsidR="00754954" w:rsidRPr="00754954">
        <w:rPr>
          <w:rFonts w:cs="Arial"/>
          <w:szCs w:val="20"/>
        </w:rPr>
        <w:t xml:space="preserve">rule, goods in the nomenclature are classified according to the level of production: raw materials, raw products, semi-finished products, finished products. The same escalation is also applied within </w:t>
      </w:r>
      <w:r>
        <w:rPr>
          <w:rFonts w:cs="Arial"/>
          <w:szCs w:val="20"/>
        </w:rPr>
        <w:t>C</w:t>
      </w:r>
      <w:r w:rsidR="00754954" w:rsidRPr="00754954">
        <w:rPr>
          <w:rFonts w:cs="Arial"/>
          <w:szCs w:val="20"/>
        </w:rPr>
        <w:t xml:space="preserve">hapters and </w:t>
      </w:r>
      <w:r>
        <w:rPr>
          <w:rFonts w:cs="Arial"/>
          <w:szCs w:val="20"/>
        </w:rPr>
        <w:t>H</w:t>
      </w:r>
      <w:r w:rsidR="00754954" w:rsidRPr="00754954">
        <w:rPr>
          <w:rFonts w:cs="Arial"/>
          <w:szCs w:val="20"/>
        </w:rPr>
        <w:t xml:space="preserve">eadings. </w:t>
      </w:r>
    </w:p>
    <w:p w14:paraId="6E0DDF54" w14:textId="77777777" w:rsidR="00754954" w:rsidRPr="00754954" w:rsidRDefault="00754954" w:rsidP="00754954">
      <w:pPr>
        <w:autoSpaceDE w:val="0"/>
        <w:autoSpaceDN w:val="0"/>
        <w:adjustRightInd w:val="0"/>
        <w:spacing w:line="240" w:lineRule="auto"/>
        <w:jc w:val="both"/>
        <w:rPr>
          <w:rFonts w:cs="Arial"/>
          <w:szCs w:val="20"/>
        </w:rPr>
      </w:pPr>
    </w:p>
    <w:p w14:paraId="253D91A1" w14:textId="77777777" w:rsidR="00754954" w:rsidRPr="00754954" w:rsidRDefault="00754954" w:rsidP="00754954">
      <w:pPr>
        <w:autoSpaceDE w:val="0"/>
        <w:autoSpaceDN w:val="0"/>
        <w:adjustRightInd w:val="0"/>
        <w:spacing w:line="240" w:lineRule="auto"/>
        <w:jc w:val="both"/>
        <w:rPr>
          <w:rFonts w:cs="Arial"/>
          <w:szCs w:val="20"/>
        </w:rPr>
      </w:pPr>
      <w:r w:rsidRPr="00754954">
        <w:rPr>
          <w:rFonts w:cs="Arial"/>
          <w:szCs w:val="20"/>
        </w:rPr>
        <w:t xml:space="preserve">The EU Combined Nomenclature is interpreted by means of the </w:t>
      </w:r>
      <w:r w:rsidRPr="00754954">
        <w:rPr>
          <w:rFonts w:cs="Arial"/>
          <w:i/>
          <w:szCs w:val="20"/>
        </w:rPr>
        <w:t>CN Explanatory Notes</w:t>
      </w:r>
      <w:r w:rsidRPr="00754954">
        <w:rPr>
          <w:rFonts w:cs="Arial"/>
          <w:szCs w:val="20"/>
        </w:rPr>
        <w:t xml:space="preserve"> </w:t>
      </w:r>
      <w:r w:rsidR="00B24A8C">
        <w:rPr>
          <w:rFonts w:cs="Arial"/>
          <w:szCs w:val="20"/>
        </w:rPr>
        <w:t>that</w:t>
      </w:r>
      <w:r w:rsidRPr="00754954">
        <w:rPr>
          <w:rFonts w:cs="Arial"/>
          <w:szCs w:val="20"/>
        </w:rPr>
        <w:t xml:space="preserve"> clarify the scope of the different </w:t>
      </w:r>
      <w:r w:rsidR="00A32B40">
        <w:rPr>
          <w:rFonts w:cs="Arial"/>
          <w:szCs w:val="20"/>
        </w:rPr>
        <w:t>t</w:t>
      </w:r>
      <w:r w:rsidRPr="00754954">
        <w:rPr>
          <w:rFonts w:cs="Arial"/>
          <w:szCs w:val="20"/>
        </w:rPr>
        <w:t xml:space="preserve">ariff </w:t>
      </w:r>
      <w:r w:rsidR="00A32B40">
        <w:rPr>
          <w:rFonts w:cs="Arial"/>
          <w:szCs w:val="20"/>
        </w:rPr>
        <w:t>h</w:t>
      </w:r>
      <w:r w:rsidRPr="00754954">
        <w:rPr>
          <w:rFonts w:cs="Arial"/>
          <w:szCs w:val="20"/>
        </w:rPr>
        <w:t xml:space="preserve">eadings. </w:t>
      </w:r>
    </w:p>
    <w:p w14:paraId="4608878F" w14:textId="77777777" w:rsidR="00754954" w:rsidRPr="00754954" w:rsidRDefault="00754954" w:rsidP="00754954">
      <w:pPr>
        <w:autoSpaceDE w:val="0"/>
        <w:autoSpaceDN w:val="0"/>
        <w:adjustRightInd w:val="0"/>
        <w:spacing w:line="240" w:lineRule="auto"/>
        <w:jc w:val="both"/>
        <w:rPr>
          <w:rFonts w:cs="Arial"/>
          <w:szCs w:val="20"/>
        </w:rPr>
      </w:pPr>
    </w:p>
    <w:p w14:paraId="50454A05" w14:textId="77777777" w:rsidR="00754954" w:rsidRPr="002F46C5" w:rsidRDefault="00000000" w:rsidP="00754954">
      <w:pPr>
        <w:autoSpaceDE w:val="0"/>
        <w:autoSpaceDN w:val="0"/>
        <w:adjustRightInd w:val="0"/>
        <w:spacing w:line="240" w:lineRule="auto"/>
        <w:jc w:val="both"/>
        <w:rPr>
          <w:rFonts w:cs="Arial"/>
          <w:szCs w:val="20"/>
        </w:rPr>
      </w:pPr>
      <w:hyperlink r:id="rId14" w:history="1">
        <w:r w:rsidR="00754954" w:rsidRPr="008902EE">
          <w:rPr>
            <w:rStyle w:val="Hiperpovezava"/>
            <w:rFonts w:cs="Arial"/>
            <w:szCs w:val="20"/>
          </w:rPr>
          <w:t>The latest version of the CN Explanatory Notes</w:t>
        </w:r>
      </w:hyperlink>
      <w:r w:rsidR="00754954" w:rsidRPr="00754954">
        <w:rPr>
          <w:rFonts w:cs="Arial"/>
          <w:szCs w:val="20"/>
        </w:rPr>
        <w:t xml:space="preserve"> was published on 29 March 2019 in the </w:t>
      </w:r>
      <w:r w:rsidR="00F65661">
        <w:rPr>
          <w:rFonts w:cs="Arial"/>
          <w:szCs w:val="20"/>
        </w:rPr>
        <w:t xml:space="preserve">EU </w:t>
      </w:r>
      <w:r w:rsidR="00754954" w:rsidRPr="00754954">
        <w:rPr>
          <w:rFonts w:cs="Arial"/>
          <w:szCs w:val="20"/>
        </w:rPr>
        <w:t>Official Journal C 119. A</w:t>
      </w:r>
      <w:r w:rsidR="00F65661">
        <w:rPr>
          <w:rFonts w:cs="Arial"/>
          <w:szCs w:val="20"/>
        </w:rPr>
        <w:t>mendments</w:t>
      </w:r>
      <w:r w:rsidR="00754954" w:rsidRPr="00754954">
        <w:rPr>
          <w:rFonts w:cs="Arial"/>
          <w:szCs w:val="20"/>
        </w:rPr>
        <w:t xml:space="preserve"> of the Explanatory Notes from March 2019 onwards can be found </w:t>
      </w:r>
      <w:r w:rsidR="009A52AE">
        <w:rPr>
          <w:rFonts w:cs="Arial"/>
          <w:szCs w:val="20"/>
        </w:rPr>
        <w:t>within</w:t>
      </w:r>
      <w:r w:rsidR="00754954" w:rsidRPr="00754954">
        <w:rPr>
          <w:rFonts w:cs="Arial"/>
          <w:szCs w:val="20"/>
        </w:rPr>
        <w:t xml:space="preserve"> the </w:t>
      </w:r>
      <w:hyperlink r:id="rId15" w:anchor="c1009" w:history="1">
        <w:r w:rsidR="00754954" w:rsidRPr="008902EE">
          <w:rPr>
            <w:rStyle w:val="Hiperpovezava"/>
            <w:rFonts w:cs="Arial"/>
            <w:szCs w:val="20"/>
          </w:rPr>
          <w:t>Legislation</w:t>
        </w:r>
      </w:hyperlink>
      <w:r w:rsidR="00754954" w:rsidRPr="00754954">
        <w:rPr>
          <w:rFonts w:cs="Arial"/>
          <w:szCs w:val="20"/>
        </w:rPr>
        <w:t>.</w:t>
      </w:r>
    </w:p>
    <w:p w14:paraId="0D359030" w14:textId="77777777" w:rsidR="00F076DC" w:rsidRPr="00D531C4" w:rsidRDefault="00D531C4" w:rsidP="00D1195A">
      <w:pPr>
        <w:pageBreakBefore/>
        <w:autoSpaceDE w:val="0"/>
        <w:autoSpaceDN w:val="0"/>
        <w:adjustRightInd w:val="0"/>
        <w:spacing w:line="240" w:lineRule="auto"/>
        <w:jc w:val="both"/>
        <w:rPr>
          <w:rFonts w:cs="Arial"/>
          <w:szCs w:val="20"/>
        </w:rPr>
      </w:pPr>
      <w:r w:rsidRPr="00D531C4">
        <w:rPr>
          <w:rFonts w:cs="Arial"/>
          <w:b/>
          <w:bCs/>
          <w:szCs w:val="20"/>
        </w:rPr>
        <w:lastRenderedPageBreak/>
        <w:t>Heading</w:t>
      </w:r>
      <w:r w:rsidR="00370FCA" w:rsidRPr="00D531C4">
        <w:rPr>
          <w:rFonts w:cs="Arial"/>
          <w:b/>
          <w:bCs/>
          <w:szCs w:val="20"/>
        </w:rPr>
        <w:t xml:space="preserve"> </w:t>
      </w:r>
    </w:p>
    <w:p w14:paraId="5AE94A44" w14:textId="77777777" w:rsidR="00F076DC" w:rsidRDefault="00F076DC" w:rsidP="00D1195A">
      <w:pPr>
        <w:autoSpaceDE w:val="0"/>
        <w:autoSpaceDN w:val="0"/>
        <w:adjustRightInd w:val="0"/>
        <w:spacing w:line="240" w:lineRule="auto"/>
        <w:jc w:val="both"/>
        <w:rPr>
          <w:rFonts w:cs="Arial"/>
          <w:szCs w:val="20"/>
        </w:rPr>
      </w:pPr>
    </w:p>
    <w:p w14:paraId="42D301D2" w14:textId="77777777" w:rsidR="00370FCA" w:rsidRDefault="00D531C4" w:rsidP="00D1195A">
      <w:pPr>
        <w:autoSpaceDE w:val="0"/>
        <w:autoSpaceDN w:val="0"/>
        <w:adjustRightInd w:val="0"/>
        <w:spacing w:line="240" w:lineRule="auto"/>
        <w:jc w:val="both"/>
        <w:rPr>
          <w:rFonts w:cs="Arial"/>
          <w:szCs w:val="20"/>
        </w:rPr>
      </w:pPr>
      <w:r w:rsidRPr="00D531C4">
        <w:rPr>
          <w:rFonts w:cs="Arial"/>
          <w:szCs w:val="20"/>
        </w:rPr>
        <w:t xml:space="preserve">An individual </w:t>
      </w:r>
      <w:r w:rsidR="008C0D96">
        <w:rPr>
          <w:rFonts w:cs="Arial"/>
          <w:szCs w:val="20"/>
        </w:rPr>
        <w:t>h</w:t>
      </w:r>
      <w:r w:rsidRPr="00D531C4">
        <w:rPr>
          <w:rFonts w:cs="Arial"/>
          <w:szCs w:val="20"/>
        </w:rPr>
        <w:t>eading of the Nomenclature is composed of:</w:t>
      </w:r>
      <w:r w:rsidR="00370FCA" w:rsidRPr="00D531C4">
        <w:rPr>
          <w:rFonts w:cs="Arial"/>
          <w:szCs w:val="20"/>
        </w:rPr>
        <w:t xml:space="preserve"> </w:t>
      </w:r>
    </w:p>
    <w:p w14:paraId="33F9BD71" w14:textId="77777777" w:rsidR="00123BB1" w:rsidRPr="00D531C4" w:rsidRDefault="00123BB1" w:rsidP="00D1195A">
      <w:pPr>
        <w:autoSpaceDE w:val="0"/>
        <w:autoSpaceDN w:val="0"/>
        <w:adjustRightInd w:val="0"/>
        <w:spacing w:line="240" w:lineRule="auto"/>
        <w:jc w:val="both"/>
        <w:rPr>
          <w:rFonts w:cs="Arial"/>
          <w:szCs w:val="20"/>
        </w:rPr>
      </w:pPr>
    </w:p>
    <w:p w14:paraId="0EE55DF6" w14:textId="77777777" w:rsidR="00370FCA" w:rsidRPr="00D531C4" w:rsidRDefault="00370FCA" w:rsidP="00D1195A">
      <w:pPr>
        <w:autoSpaceDE w:val="0"/>
        <w:autoSpaceDN w:val="0"/>
        <w:adjustRightInd w:val="0"/>
        <w:spacing w:after="33" w:line="240" w:lineRule="auto"/>
        <w:jc w:val="both"/>
        <w:rPr>
          <w:rFonts w:cs="Arial"/>
          <w:szCs w:val="20"/>
        </w:rPr>
      </w:pPr>
      <w:r w:rsidRPr="00D531C4">
        <w:rPr>
          <w:rFonts w:ascii="Wingdings" w:hAnsi="Wingdings" w:cs="Wingdings"/>
          <w:szCs w:val="20"/>
        </w:rPr>
        <w:t></w:t>
      </w:r>
      <w:r w:rsidRPr="00D531C4">
        <w:rPr>
          <w:rFonts w:ascii="Wingdings" w:hAnsi="Wingdings" w:cs="Wingdings"/>
          <w:szCs w:val="20"/>
        </w:rPr>
        <w:t></w:t>
      </w:r>
      <w:r w:rsidR="0006227F">
        <w:rPr>
          <w:rFonts w:cs="Arial"/>
          <w:szCs w:val="20"/>
        </w:rPr>
        <w:t>C</w:t>
      </w:r>
      <w:r w:rsidRPr="00D531C4">
        <w:rPr>
          <w:rFonts w:cs="Arial"/>
          <w:szCs w:val="20"/>
        </w:rPr>
        <w:t xml:space="preserve">N </w:t>
      </w:r>
      <w:r w:rsidR="009A52AE">
        <w:rPr>
          <w:rFonts w:cs="Arial"/>
          <w:szCs w:val="20"/>
        </w:rPr>
        <w:t>C</w:t>
      </w:r>
      <w:r w:rsidR="00D531C4" w:rsidRPr="00D531C4">
        <w:rPr>
          <w:rFonts w:cs="Arial"/>
          <w:szCs w:val="20"/>
        </w:rPr>
        <w:t xml:space="preserve">ode </w:t>
      </w:r>
      <w:r w:rsidRPr="00D531C4">
        <w:rPr>
          <w:rFonts w:cs="Arial"/>
          <w:szCs w:val="20"/>
        </w:rPr>
        <w:t xml:space="preserve">– </w:t>
      </w:r>
      <w:r w:rsidR="00D531C4" w:rsidRPr="00D531C4">
        <w:rPr>
          <w:rFonts w:cs="Arial"/>
          <w:szCs w:val="20"/>
        </w:rPr>
        <w:t xml:space="preserve">Column </w:t>
      </w:r>
      <w:r w:rsidRPr="00D531C4">
        <w:rPr>
          <w:rFonts w:cs="Arial"/>
          <w:szCs w:val="20"/>
        </w:rPr>
        <w:t xml:space="preserve">1 </w:t>
      </w:r>
    </w:p>
    <w:p w14:paraId="10526BE7" w14:textId="77777777" w:rsidR="00370FCA" w:rsidRPr="00781C07" w:rsidRDefault="00370FCA" w:rsidP="00D1195A">
      <w:pPr>
        <w:autoSpaceDE w:val="0"/>
        <w:autoSpaceDN w:val="0"/>
        <w:adjustRightInd w:val="0"/>
        <w:spacing w:after="33" w:line="240" w:lineRule="auto"/>
        <w:jc w:val="both"/>
        <w:rPr>
          <w:rFonts w:cs="Arial"/>
          <w:szCs w:val="20"/>
        </w:rPr>
      </w:pPr>
      <w:r w:rsidRPr="00781C07">
        <w:rPr>
          <w:rFonts w:ascii="Wingdings" w:hAnsi="Wingdings" w:cs="Wingdings"/>
          <w:szCs w:val="20"/>
        </w:rPr>
        <w:t></w:t>
      </w:r>
      <w:r w:rsidRPr="00781C07">
        <w:rPr>
          <w:rFonts w:ascii="Wingdings" w:hAnsi="Wingdings" w:cs="Wingdings"/>
          <w:szCs w:val="20"/>
        </w:rPr>
        <w:t></w:t>
      </w:r>
      <w:r w:rsidR="0006227F">
        <w:rPr>
          <w:rFonts w:cs="Arial"/>
          <w:szCs w:val="20"/>
        </w:rPr>
        <w:t>l</w:t>
      </w:r>
      <w:r w:rsidR="00DF7BB5" w:rsidRPr="00781C07">
        <w:rPr>
          <w:rFonts w:cs="Arial"/>
          <w:szCs w:val="20"/>
        </w:rPr>
        <w:t xml:space="preserve">evel of subdivision marked with </w:t>
      </w:r>
      <w:r w:rsidR="00781C07" w:rsidRPr="00781C07">
        <w:rPr>
          <w:rFonts w:cs="Arial"/>
          <w:szCs w:val="20"/>
        </w:rPr>
        <w:t xml:space="preserve">a dash </w:t>
      </w:r>
      <w:r w:rsidR="009A52AE" w:rsidRPr="009A52AE">
        <w:rPr>
          <w:rFonts w:cs="Arial"/>
          <w:szCs w:val="20"/>
        </w:rPr>
        <w:t>–</w:t>
      </w:r>
      <w:r w:rsidR="00781C07" w:rsidRPr="00781C07">
        <w:rPr>
          <w:rFonts w:cs="Arial"/>
          <w:szCs w:val="20"/>
        </w:rPr>
        <w:t xml:space="preserve"> </w:t>
      </w:r>
      <w:r w:rsidR="004E5E8E">
        <w:rPr>
          <w:rFonts w:cs="Arial"/>
          <w:szCs w:val="20"/>
        </w:rPr>
        <w:t>C</w:t>
      </w:r>
      <w:r w:rsidR="00781C07" w:rsidRPr="00781C07">
        <w:rPr>
          <w:rFonts w:cs="Arial"/>
          <w:szCs w:val="20"/>
        </w:rPr>
        <w:t>olumn</w:t>
      </w:r>
      <w:r w:rsidRPr="00781C07">
        <w:rPr>
          <w:rFonts w:cs="Arial"/>
          <w:szCs w:val="20"/>
        </w:rPr>
        <w:t xml:space="preserve"> 2 </w:t>
      </w:r>
    </w:p>
    <w:p w14:paraId="450245F9" w14:textId="77777777" w:rsidR="00370FCA" w:rsidRPr="00781C07" w:rsidRDefault="00781C07" w:rsidP="00D1195A">
      <w:pPr>
        <w:autoSpaceDE w:val="0"/>
        <w:autoSpaceDN w:val="0"/>
        <w:adjustRightInd w:val="0"/>
        <w:spacing w:after="33" w:line="240" w:lineRule="auto"/>
        <w:jc w:val="both"/>
        <w:rPr>
          <w:rFonts w:cs="Arial"/>
          <w:szCs w:val="20"/>
        </w:rPr>
      </w:pPr>
      <w:r w:rsidRPr="00781C07">
        <w:rPr>
          <w:rFonts w:ascii="Wingdings" w:hAnsi="Wingdings" w:cs="Wingdings"/>
          <w:szCs w:val="20"/>
        </w:rPr>
        <w:t></w:t>
      </w:r>
      <w:r w:rsidRPr="00781C07">
        <w:rPr>
          <w:rFonts w:ascii="Wingdings" w:hAnsi="Wingdings" w:cs="Wingdings"/>
          <w:szCs w:val="20"/>
        </w:rPr>
        <w:t></w:t>
      </w:r>
      <w:r w:rsidR="0006227F">
        <w:rPr>
          <w:rFonts w:cs="Arial"/>
          <w:szCs w:val="20"/>
        </w:rPr>
        <w:t>d</w:t>
      </w:r>
      <w:r w:rsidRPr="00781C07">
        <w:rPr>
          <w:rFonts w:cs="Arial"/>
          <w:szCs w:val="20"/>
        </w:rPr>
        <w:t>escription of goods</w:t>
      </w:r>
      <w:r w:rsidR="00370FCA" w:rsidRPr="00781C07">
        <w:rPr>
          <w:rFonts w:cs="Arial"/>
          <w:szCs w:val="20"/>
        </w:rPr>
        <w:t xml:space="preserve"> – </w:t>
      </w:r>
      <w:r w:rsidR="004E5E8E">
        <w:rPr>
          <w:rFonts w:cs="Arial"/>
          <w:szCs w:val="20"/>
        </w:rPr>
        <w:t>C</w:t>
      </w:r>
      <w:r w:rsidRPr="00781C07">
        <w:rPr>
          <w:rFonts w:cs="Arial"/>
          <w:szCs w:val="20"/>
        </w:rPr>
        <w:t xml:space="preserve">olumn </w:t>
      </w:r>
      <w:r w:rsidR="00370FCA" w:rsidRPr="00781C07">
        <w:rPr>
          <w:rFonts w:cs="Arial"/>
          <w:szCs w:val="20"/>
        </w:rPr>
        <w:t xml:space="preserve">2 </w:t>
      </w:r>
    </w:p>
    <w:p w14:paraId="03433F1F" w14:textId="77777777" w:rsidR="00370FCA" w:rsidRPr="00781C07" w:rsidRDefault="00370FCA" w:rsidP="00D1195A">
      <w:pPr>
        <w:autoSpaceDE w:val="0"/>
        <w:autoSpaceDN w:val="0"/>
        <w:adjustRightInd w:val="0"/>
        <w:spacing w:after="33" w:line="240" w:lineRule="auto"/>
        <w:jc w:val="both"/>
        <w:rPr>
          <w:rFonts w:cs="Arial"/>
          <w:szCs w:val="20"/>
        </w:rPr>
      </w:pPr>
      <w:r w:rsidRPr="00781C07">
        <w:rPr>
          <w:rFonts w:ascii="Wingdings" w:hAnsi="Wingdings" w:cs="Wingdings"/>
          <w:szCs w:val="20"/>
        </w:rPr>
        <w:t></w:t>
      </w:r>
      <w:r w:rsidRPr="00781C07">
        <w:rPr>
          <w:rFonts w:ascii="Wingdings" w:hAnsi="Wingdings" w:cs="Wingdings"/>
          <w:szCs w:val="20"/>
        </w:rPr>
        <w:t></w:t>
      </w:r>
      <w:r w:rsidR="0006227F">
        <w:rPr>
          <w:rFonts w:cs="Arial"/>
          <w:szCs w:val="20"/>
        </w:rPr>
        <w:t>c</w:t>
      </w:r>
      <w:r w:rsidRPr="00781C07">
        <w:rPr>
          <w:rFonts w:cs="Arial"/>
          <w:szCs w:val="20"/>
        </w:rPr>
        <w:t>onven</w:t>
      </w:r>
      <w:r w:rsidR="00781C07" w:rsidRPr="00781C07">
        <w:rPr>
          <w:rFonts w:cs="Arial"/>
          <w:szCs w:val="20"/>
        </w:rPr>
        <w:t>t</w:t>
      </w:r>
      <w:r w:rsidRPr="00781C07">
        <w:rPr>
          <w:rFonts w:cs="Arial"/>
          <w:szCs w:val="20"/>
        </w:rPr>
        <w:t>ional</w:t>
      </w:r>
      <w:r w:rsidR="00781C07" w:rsidRPr="00781C07">
        <w:rPr>
          <w:rFonts w:cs="Arial"/>
          <w:szCs w:val="20"/>
        </w:rPr>
        <w:t xml:space="preserve"> rate of duty</w:t>
      </w:r>
      <w:r w:rsidRPr="00781C07">
        <w:rPr>
          <w:rFonts w:cs="Arial"/>
          <w:szCs w:val="20"/>
        </w:rPr>
        <w:t xml:space="preserve"> – </w:t>
      </w:r>
      <w:r w:rsidR="004E5E8E">
        <w:rPr>
          <w:rFonts w:cs="Arial"/>
          <w:szCs w:val="20"/>
        </w:rPr>
        <w:t>C</w:t>
      </w:r>
      <w:r w:rsidR="00781C07" w:rsidRPr="00781C07">
        <w:rPr>
          <w:rFonts w:cs="Arial"/>
          <w:szCs w:val="20"/>
        </w:rPr>
        <w:t xml:space="preserve">olumn </w:t>
      </w:r>
      <w:r w:rsidRPr="00781C07">
        <w:rPr>
          <w:rFonts w:cs="Arial"/>
          <w:szCs w:val="20"/>
        </w:rPr>
        <w:t xml:space="preserve">3 </w:t>
      </w:r>
    </w:p>
    <w:p w14:paraId="45D93DB0" w14:textId="77777777" w:rsidR="00370FCA" w:rsidRPr="00781C07" w:rsidRDefault="00370FCA" w:rsidP="00D1195A">
      <w:pPr>
        <w:autoSpaceDE w:val="0"/>
        <w:autoSpaceDN w:val="0"/>
        <w:adjustRightInd w:val="0"/>
        <w:spacing w:line="240" w:lineRule="auto"/>
        <w:jc w:val="both"/>
        <w:rPr>
          <w:rFonts w:cs="Arial"/>
          <w:szCs w:val="20"/>
        </w:rPr>
      </w:pPr>
      <w:r w:rsidRPr="00781C07">
        <w:rPr>
          <w:rFonts w:ascii="Wingdings" w:hAnsi="Wingdings" w:cs="Wingdings"/>
          <w:szCs w:val="20"/>
        </w:rPr>
        <w:t></w:t>
      </w:r>
      <w:r w:rsidRPr="00781C07">
        <w:rPr>
          <w:rFonts w:ascii="Wingdings" w:hAnsi="Wingdings" w:cs="Wingdings"/>
          <w:szCs w:val="20"/>
        </w:rPr>
        <w:t></w:t>
      </w:r>
      <w:r w:rsidR="0006227F">
        <w:rPr>
          <w:rFonts w:cs="Arial"/>
          <w:szCs w:val="20"/>
        </w:rPr>
        <w:t>s</w:t>
      </w:r>
      <w:r w:rsidR="00781C07" w:rsidRPr="00781C07">
        <w:rPr>
          <w:rFonts w:cs="Arial"/>
          <w:szCs w:val="20"/>
        </w:rPr>
        <w:t xml:space="preserve">upplementary unit </w:t>
      </w:r>
      <w:r w:rsidRPr="00781C07">
        <w:rPr>
          <w:rFonts w:cs="Arial"/>
          <w:szCs w:val="20"/>
        </w:rPr>
        <w:t xml:space="preserve">– </w:t>
      </w:r>
      <w:r w:rsidR="004E5E8E">
        <w:rPr>
          <w:rFonts w:cs="Arial"/>
          <w:szCs w:val="20"/>
        </w:rPr>
        <w:t>C</w:t>
      </w:r>
      <w:r w:rsidR="00781C07" w:rsidRPr="00781C07">
        <w:rPr>
          <w:rFonts w:cs="Arial"/>
          <w:szCs w:val="20"/>
        </w:rPr>
        <w:t xml:space="preserve">olumn </w:t>
      </w:r>
      <w:r w:rsidRPr="00781C07">
        <w:rPr>
          <w:rFonts w:cs="Arial"/>
          <w:szCs w:val="20"/>
        </w:rPr>
        <w:t xml:space="preserve">4 </w:t>
      </w:r>
    </w:p>
    <w:p w14:paraId="3A204FF9" w14:textId="77777777" w:rsidR="00370FCA" w:rsidRPr="00B60E37" w:rsidRDefault="00370FCA" w:rsidP="00D1195A">
      <w:pPr>
        <w:autoSpaceDE w:val="0"/>
        <w:autoSpaceDN w:val="0"/>
        <w:adjustRightInd w:val="0"/>
        <w:spacing w:line="240" w:lineRule="auto"/>
        <w:jc w:val="both"/>
        <w:rPr>
          <w:rFonts w:cs="Arial"/>
          <w:szCs w:val="20"/>
          <w:highlight w:val="yellow"/>
        </w:rPr>
      </w:pPr>
    </w:p>
    <w:p w14:paraId="04A8D56F" w14:textId="77777777" w:rsidR="00A32B40" w:rsidRDefault="00A32B40" w:rsidP="00D1195A">
      <w:pPr>
        <w:autoSpaceDE w:val="0"/>
        <w:autoSpaceDN w:val="0"/>
        <w:adjustRightInd w:val="0"/>
        <w:spacing w:line="240" w:lineRule="auto"/>
        <w:jc w:val="both"/>
        <w:rPr>
          <w:rFonts w:cs="Arial"/>
          <w:b/>
          <w:bCs/>
          <w:szCs w:val="20"/>
        </w:rPr>
      </w:pPr>
    </w:p>
    <w:p w14:paraId="5C10ABDC" w14:textId="77777777" w:rsidR="00C95CF7" w:rsidRPr="0006227F" w:rsidRDefault="00D531C4" w:rsidP="00D1195A">
      <w:pPr>
        <w:autoSpaceDE w:val="0"/>
        <w:autoSpaceDN w:val="0"/>
        <w:adjustRightInd w:val="0"/>
        <w:spacing w:line="240" w:lineRule="auto"/>
        <w:jc w:val="both"/>
        <w:rPr>
          <w:rFonts w:cs="Arial"/>
          <w:b/>
          <w:bCs/>
          <w:szCs w:val="20"/>
        </w:rPr>
      </w:pPr>
      <w:r w:rsidRPr="0006227F">
        <w:rPr>
          <w:rFonts w:cs="Arial"/>
          <w:b/>
          <w:bCs/>
          <w:szCs w:val="20"/>
        </w:rPr>
        <w:t>Example</w:t>
      </w:r>
      <w:r w:rsidR="009A52AE">
        <w:rPr>
          <w:rFonts w:cs="Arial"/>
          <w:b/>
          <w:bCs/>
          <w:szCs w:val="20"/>
        </w:rPr>
        <w:t xml:space="preserve"> of the Heading</w:t>
      </w:r>
      <w:r w:rsidR="00C95CF7" w:rsidRPr="0006227F">
        <w:rPr>
          <w:rFonts w:cs="Arial"/>
          <w:b/>
          <w:bCs/>
          <w:szCs w:val="20"/>
        </w:rPr>
        <w:t>:</w:t>
      </w:r>
    </w:p>
    <w:p w14:paraId="069DFB08" w14:textId="77777777" w:rsidR="00C95CF7" w:rsidRPr="00B60E37" w:rsidRDefault="00C95CF7" w:rsidP="00D1195A">
      <w:pPr>
        <w:autoSpaceDE w:val="0"/>
        <w:autoSpaceDN w:val="0"/>
        <w:adjustRightInd w:val="0"/>
        <w:spacing w:line="240" w:lineRule="auto"/>
        <w:jc w:val="both"/>
        <w:rPr>
          <w:rFonts w:cs="Arial"/>
          <w:szCs w:val="20"/>
          <w:highlight w:val="yellow"/>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4"/>
        <w:gridCol w:w="3652"/>
        <w:gridCol w:w="1901"/>
        <w:gridCol w:w="1661"/>
      </w:tblGrid>
      <w:tr w:rsidR="00C95CF7" w:rsidRPr="0006227F" w14:paraId="3D33AF7F" w14:textId="77777777" w:rsidTr="00843E28">
        <w:tc>
          <w:tcPr>
            <w:tcW w:w="1384" w:type="dxa"/>
            <w:shd w:val="clear" w:color="auto" w:fill="auto"/>
          </w:tcPr>
          <w:p w14:paraId="75B408CB" w14:textId="77777777" w:rsidR="00C95CF7" w:rsidRPr="0006227F" w:rsidRDefault="0006227F" w:rsidP="009A52AE">
            <w:pPr>
              <w:autoSpaceDE w:val="0"/>
              <w:autoSpaceDN w:val="0"/>
              <w:adjustRightInd w:val="0"/>
              <w:spacing w:line="240" w:lineRule="auto"/>
              <w:jc w:val="both"/>
              <w:rPr>
                <w:rFonts w:cs="Arial"/>
                <w:szCs w:val="20"/>
              </w:rPr>
            </w:pPr>
            <w:r w:rsidRPr="0006227F">
              <w:rPr>
                <w:rFonts w:cs="Arial"/>
                <w:b/>
                <w:bCs/>
                <w:color w:val="000000"/>
                <w:szCs w:val="20"/>
              </w:rPr>
              <w:t xml:space="preserve">CN </w:t>
            </w:r>
            <w:r w:rsidR="009A52AE">
              <w:rPr>
                <w:rFonts w:cs="Arial"/>
                <w:b/>
                <w:bCs/>
                <w:color w:val="000000"/>
                <w:szCs w:val="20"/>
              </w:rPr>
              <w:t>C</w:t>
            </w:r>
            <w:r w:rsidRPr="0006227F">
              <w:rPr>
                <w:rFonts w:cs="Arial"/>
                <w:b/>
                <w:bCs/>
                <w:color w:val="000000"/>
                <w:szCs w:val="20"/>
              </w:rPr>
              <w:t>ode</w:t>
            </w:r>
          </w:p>
        </w:tc>
        <w:tc>
          <w:tcPr>
            <w:tcW w:w="4111" w:type="dxa"/>
            <w:shd w:val="clear" w:color="auto" w:fill="auto"/>
          </w:tcPr>
          <w:p w14:paraId="16C23801" w14:textId="77777777" w:rsidR="00C95CF7" w:rsidRPr="0006227F" w:rsidRDefault="0006227F" w:rsidP="0006227F">
            <w:pPr>
              <w:autoSpaceDE w:val="0"/>
              <w:autoSpaceDN w:val="0"/>
              <w:adjustRightInd w:val="0"/>
              <w:spacing w:line="240" w:lineRule="auto"/>
              <w:jc w:val="both"/>
              <w:rPr>
                <w:rFonts w:cs="Arial"/>
                <w:szCs w:val="20"/>
              </w:rPr>
            </w:pPr>
            <w:r w:rsidRPr="0006227F">
              <w:rPr>
                <w:rFonts w:cs="Arial"/>
                <w:b/>
                <w:bCs/>
                <w:color w:val="000000"/>
                <w:szCs w:val="20"/>
              </w:rPr>
              <w:t>Level of subdivision and description of goods</w:t>
            </w:r>
          </w:p>
        </w:tc>
        <w:tc>
          <w:tcPr>
            <w:tcW w:w="1984" w:type="dxa"/>
            <w:shd w:val="clear" w:color="auto" w:fill="auto"/>
          </w:tcPr>
          <w:p w14:paraId="33EB3357" w14:textId="77777777" w:rsidR="00C95CF7" w:rsidRPr="0006227F" w:rsidRDefault="0006227F" w:rsidP="0006227F">
            <w:pPr>
              <w:autoSpaceDE w:val="0"/>
              <w:autoSpaceDN w:val="0"/>
              <w:adjustRightInd w:val="0"/>
              <w:spacing w:line="240" w:lineRule="auto"/>
              <w:jc w:val="both"/>
              <w:rPr>
                <w:rFonts w:cs="Arial"/>
                <w:szCs w:val="20"/>
              </w:rPr>
            </w:pPr>
            <w:r w:rsidRPr="0006227F">
              <w:rPr>
                <w:rFonts w:cs="Arial"/>
                <w:b/>
                <w:bCs/>
                <w:color w:val="000000"/>
                <w:szCs w:val="20"/>
              </w:rPr>
              <w:t>C</w:t>
            </w:r>
            <w:r w:rsidR="00C95CF7" w:rsidRPr="0006227F">
              <w:rPr>
                <w:rFonts w:cs="Arial"/>
                <w:b/>
                <w:bCs/>
                <w:color w:val="000000"/>
                <w:szCs w:val="20"/>
              </w:rPr>
              <w:t>onven</w:t>
            </w:r>
            <w:r w:rsidRPr="0006227F">
              <w:rPr>
                <w:rFonts w:cs="Arial"/>
                <w:b/>
                <w:bCs/>
                <w:color w:val="000000"/>
                <w:szCs w:val="20"/>
              </w:rPr>
              <w:t>tional rate of duty</w:t>
            </w:r>
          </w:p>
        </w:tc>
        <w:tc>
          <w:tcPr>
            <w:tcW w:w="1159" w:type="dxa"/>
            <w:shd w:val="clear" w:color="auto" w:fill="auto"/>
          </w:tcPr>
          <w:p w14:paraId="611D5430" w14:textId="77777777" w:rsidR="00C95CF7" w:rsidRPr="0006227F" w:rsidRDefault="0006227F" w:rsidP="00D1195A">
            <w:pPr>
              <w:autoSpaceDE w:val="0"/>
              <w:autoSpaceDN w:val="0"/>
              <w:adjustRightInd w:val="0"/>
              <w:spacing w:line="240" w:lineRule="auto"/>
              <w:jc w:val="both"/>
              <w:rPr>
                <w:rFonts w:cs="Arial"/>
                <w:color w:val="000000"/>
                <w:szCs w:val="20"/>
              </w:rPr>
            </w:pPr>
            <w:r w:rsidRPr="0006227F">
              <w:rPr>
                <w:rFonts w:cs="Arial"/>
                <w:b/>
                <w:bCs/>
                <w:color w:val="000000"/>
                <w:szCs w:val="20"/>
              </w:rPr>
              <w:t>Supplementary duty</w:t>
            </w:r>
          </w:p>
        </w:tc>
      </w:tr>
      <w:tr w:rsidR="00C95CF7" w:rsidRPr="0006227F" w14:paraId="6BCB77AB" w14:textId="77777777" w:rsidTr="00843E28">
        <w:tc>
          <w:tcPr>
            <w:tcW w:w="1384" w:type="dxa"/>
            <w:shd w:val="clear" w:color="auto" w:fill="auto"/>
          </w:tcPr>
          <w:p w14:paraId="02E070DC" w14:textId="77777777" w:rsidR="00C95CF7" w:rsidRPr="0006227F" w:rsidRDefault="00C95CF7" w:rsidP="00D1195A">
            <w:pPr>
              <w:autoSpaceDE w:val="0"/>
              <w:autoSpaceDN w:val="0"/>
              <w:adjustRightInd w:val="0"/>
              <w:spacing w:line="240" w:lineRule="auto"/>
              <w:jc w:val="both"/>
              <w:rPr>
                <w:rFonts w:cs="Arial"/>
                <w:szCs w:val="20"/>
              </w:rPr>
            </w:pPr>
            <w:r w:rsidRPr="0006227F">
              <w:rPr>
                <w:rFonts w:cs="Arial"/>
                <w:color w:val="000000"/>
                <w:szCs w:val="20"/>
              </w:rPr>
              <w:t>0106 14 10</w:t>
            </w:r>
          </w:p>
        </w:tc>
        <w:tc>
          <w:tcPr>
            <w:tcW w:w="4111" w:type="dxa"/>
            <w:shd w:val="clear" w:color="auto" w:fill="auto"/>
          </w:tcPr>
          <w:p w14:paraId="7756539A" w14:textId="77777777" w:rsidR="00C95CF7" w:rsidRPr="0006227F" w:rsidRDefault="00C95CF7" w:rsidP="0006227F">
            <w:pPr>
              <w:autoSpaceDE w:val="0"/>
              <w:autoSpaceDN w:val="0"/>
              <w:adjustRightInd w:val="0"/>
              <w:spacing w:line="240" w:lineRule="auto"/>
              <w:jc w:val="both"/>
              <w:rPr>
                <w:rFonts w:cs="Arial"/>
                <w:szCs w:val="20"/>
              </w:rPr>
            </w:pPr>
            <w:r w:rsidRPr="0006227F">
              <w:rPr>
                <w:rFonts w:cs="Arial"/>
                <w:color w:val="000000"/>
                <w:szCs w:val="20"/>
              </w:rPr>
              <w:t>− − − dom</w:t>
            </w:r>
            <w:r w:rsidR="0006227F" w:rsidRPr="0006227F">
              <w:rPr>
                <w:rFonts w:cs="Arial"/>
                <w:color w:val="000000"/>
                <w:szCs w:val="20"/>
              </w:rPr>
              <w:t>estic rabbits</w:t>
            </w:r>
          </w:p>
        </w:tc>
        <w:tc>
          <w:tcPr>
            <w:tcW w:w="1984" w:type="dxa"/>
            <w:shd w:val="clear" w:color="auto" w:fill="auto"/>
          </w:tcPr>
          <w:p w14:paraId="45D2372E" w14:textId="77777777" w:rsidR="00C95CF7" w:rsidRPr="0006227F" w:rsidRDefault="00C95CF7" w:rsidP="00D1195A">
            <w:pPr>
              <w:autoSpaceDE w:val="0"/>
              <w:autoSpaceDN w:val="0"/>
              <w:adjustRightInd w:val="0"/>
              <w:spacing w:line="240" w:lineRule="auto"/>
              <w:jc w:val="both"/>
              <w:rPr>
                <w:rFonts w:cs="Arial"/>
                <w:szCs w:val="20"/>
              </w:rPr>
            </w:pPr>
            <w:r w:rsidRPr="0006227F">
              <w:rPr>
                <w:rFonts w:cs="Arial"/>
                <w:color w:val="000000"/>
                <w:szCs w:val="20"/>
              </w:rPr>
              <w:t>3,8</w:t>
            </w:r>
          </w:p>
        </w:tc>
        <w:tc>
          <w:tcPr>
            <w:tcW w:w="1159" w:type="dxa"/>
            <w:shd w:val="clear" w:color="auto" w:fill="auto"/>
          </w:tcPr>
          <w:p w14:paraId="2C9BB069" w14:textId="77777777" w:rsidR="00C95CF7" w:rsidRPr="0006227F" w:rsidRDefault="00C95CF7" w:rsidP="00D1195A">
            <w:pPr>
              <w:autoSpaceDE w:val="0"/>
              <w:autoSpaceDN w:val="0"/>
              <w:adjustRightInd w:val="0"/>
              <w:spacing w:line="240" w:lineRule="auto"/>
              <w:jc w:val="both"/>
              <w:rPr>
                <w:rFonts w:cs="Arial"/>
                <w:szCs w:val="20"/>
              </w:rPr>
            </w:pPr>
            <w:r w:rsidRPr="0006227F">
              <w:rPr>
                <w:rFonts w:cs="Arial"/>
                <w:color w:val="000000"/>
                <w:szCs w:val="20"/>
              </w:rPr>
              <w:t>p/</w:t>
            </w:r>
            <w:proofErr w:type="spellStart"/>
            <w:r w:rsidRPr="0006227F">
              <w:rPr>
                <w:rFonts w:cs="Arial"/>
                <w:color w:val="000000"/>
                <w:szCs w:val="20"/>
              </w:rPr>
              <w:t>st</w:t>
            </w:r>
            <w:proofErr w:type="spellEnd"/>
          </w:p>
        </w:tc>
      </w:tr>
    </w:tbl>
    <w:p w14:paraId="77BADEEB" w14:textId="77777777" w:rsidR="00C95CF7" w:rsidRPr="00B60E37" w:rsidRDefault="00C95CF7" w:rsidP="00D1195A">
      <w:pPr>
        <w:autoSpaceDE w:val="0"/>
        <w:autoSpaceDN w:val="0"/>
        <w:adjustRightInd w:val="0"/>
        <w:spacing w:line="240" w:lineRule="auto"/>
        <w:jc w:val="both"/>
        <w:rPr>
          <w:rFonts w:cs="Arial"/>
          <w:szCs w:val="20"/>
          <w:highlight w:val="yellow"/>
        </w:rPr>
      </w:pPr>
    </w:p>
    <w:p w14:paraId="5706CAB1" w14:textId="77777777" w:rsidR="00F076DC" w:rsidRDefault="00F076DC" w:rsidP="00D1195A">
      <w:pPr>
        <w:pStyle w:val="Default"/>
        <w:jc w:val="both"/>
        <w:rPr>
          <w:b/>
          <w:bCs/>
          <w:sz w:val="20"/>
          <w:szCs w:val="20"/>
          <w:lang w:val="en-GB"/>
        </w:rPr>
      </w:pPr>
    </w:p>
    <w:p w14:paraId="3A9AC2BD" w14:textId="77777777" w:rsidR="00370FCA" w:rsidRPr="004E5E8E" w:rsidRDefault="004E5E8E" w:rsidP="00D1195A">
      <w:pPr>
        <w:pStyle w:val="Default"/>
        <w:jc w:val="both"/>
        <w:rPr>
          <w:sz w:val="20"/>
          <w:szCs w:val="20"/>
          <w:lang w:val="en-GB"/>
        </w:rPr>
      </w:pPr>
      <w:r w:rsidRPr="004E5E8E">
        <w:rPr>
          <w:b/>
          <w:bCs/>
          <w:sz w:val="20"/>
          <w:szCs w:val="20"/>
          <w:lang w:val="en-GB"/>
        </w:rPr>
        <w:t xml:space="preserve">CN </w:t>
      </w:r>
      <w:r w:rsidR="009A52AE">
        <w:rPr>
          <w:b/>
          <w:bCs/>
          <w:sz w:val="20"/>
          <w:szCs w:val="20"/>
          <w:lang w:val="en-GB"/>
        </w:rPr>
        <w:t>C</w:t>
      </w:r>
      <w:r w:rsidRPr="004E5E8E">
        <w:rPr>
          <w:b/>
          <w:bCs/>
          <w:sz w:val="20"/>
          <w:szCs w:val="20"/>
          <w:lang w:val="en-GB"/>
        </w:rPr>
        <w:t>ode</w:t>
      </w:r>
      <w:r w:rsidR="00370FCA" w:rsidRPr="004E5E8E">
        <w:rPr>
          <w:b/>
          <w:bCs/>
          <w:sz w:val="20"/>
          <w:szCs w:val="20"/>
          <w:lang w:val="en-GB"/>
        </w:rPr>
        <w:t xml:space="preserve"> </w:t>
      </w:r>
    </w:p>
    <w:p w14:paraId="5E2DAFB7" w14:textId="77777777" w:rsidR="00F076DC" w:rsidRDefault="00F076DC" w:rsidP="00D1195A">
      <w:pPr>
        <w:pStyle w:val="Default"/>
        <w:jc w:val="both"/>
        <w:rPr>
          <w:sz w:val="20"/>
          <w:szCs w:val="20"/>
          <w:lang w:val="en-GB"/>
        </w:rPr>
      </w:pPr>
    </w:p>
    <w:p w14:paraId="19BADE44" w14:textId="77777777" w:rsidR="00370FCA" w:rsidRPr="004E5E8E" w:rsidRDefault="004E5E8E" w:rsidP="00D1195A">
      <w:pPr>
        <w:pStyle w:val="Default"/>
        <w:jc w:val="both"/>
        <w:rPr>
          <w:sz w:val="20"/>
          <w:szCs w:val="20"/>
          <w:lang w:val="en-GB"/>
        </w:rPr>
      </w:pPr>
      <w:r w:rsidRPr="004E5E8E">
        <w:rPr>
          <w:sz w:val="20"/>
          <w:szCs w:val="20"/>
          <w:lang w:val="en-GB"/>
        </w:rPr>
        <w:t>It is composed of eight digits:</w:t>
      </w:r>
      <w:r w:rsidR="00370FCA" w:rsidRPr="004E5E8E">
        <w:rPr>
          <w:sz w:val="20"/>
          <w:szCs w:val="20"/>
          <w:lang w:val="en-GB"/>
        </w:rPr>
        <w:t xml:space="preserve"> </w:t>
      </w:r>
    </w:p>
    <w:p w14:paraId="30EDA7ED" w14:textId="77777777" w:rsidR="00370FCA" w:rsidRPr="00B60E37" w:rsidRDefault="00370FCA" w:rsidP="00D1195A">
      <w:pPr>
        <w:pStyle w:val="Default"/>
        <w:spacing w:after="44"/>
        <w:jc w:val="both"/>
        <w:rPr>
          <w:sz w:val="20"/>
          <w:szCs w:val="20"/>
          <w:highlight w:val="yellow"/>
          <w:lang w:val="en-GB"/>
        </w:rPr>
      </w:pPr>
    </w:p>
    <w:p w14:paraId="2850050B" w14:textId="77777777" w:rsidR="00370FCA" w:rsidRPr="00291D93" w:rsidRDefault="00370FCA" w:rsidP="00D1195A">
      <w:pPr>
        <w:pStyle w:val="Default"/>
        <w:spacing w:after="44"/>
        <w:jc w:val="both"/>
        <w:rPr>
          <w:sz w:val="20"/>
          <w:szCs w:val="20"/>
          <w:lang w:val="en-GB"/>
        </w:rPr>
      </w:pPr>
      <w:r w:rsidRPr="00291D93">
        <w:rPr>
          <w:sz w:val="20"/>
          <w:szCs w:val="20"/>
          <w:lang w:val="en-GB"/>
        </w:rPr>
        <w:t xml:space="preserve">1. </w:t>
      </w:r>
      <w:r w:rsidR="00B24A8C">
        <w:rPr>
          <w:sz w:val="20"/>
          <w:szCs w:val="20"/>
          <w:lang w:val="en-GB"/>
        </w:rPr>
        <w:t>T</w:t>
      </w:r>
      <w:r w:rsidR="004E5E8E" w:rsidRPr="00291D93">
        <w:rPr>
          <w:sz w:val="20"/>
          <w:szCs w:val="20"/>
          <w:lang w:val="en-GB"/>
        </w:rPr>
        <w:t xml:space="preserve">he first six digits </w:t>
      </w:r>
      <w:r w:rsidR="009A52AE">
        <w:rPr>
          <w:sz w:val="20"/>
          <w:szCs w:val="20"/>
          <w:lang w:val="en-GB"/>
        </w:rPr>
        <w:t>indicate the HS H</w:t>
      </w:r>
      <w:r w:rsidR="004E5E8E" w:rsidRPr="00291D93">
        <w:rPr>
          <w:sz w:val="20"/>
          <w:szCs w:val="20"/>
          <w:lang w:val="en-GB"/>
        </w:rPr>
        <w:t xml:space="preserve">eading and </w:t>
      </w:r>
      <w:r w:rsidR="009A52AE">
        <w:rPr>
          <w:sz w:val="20"/>
          <w:szCs w:val="20"/>
          <w:lang w:val="en-GB"/>
        </w:rPr>
        <w:t>S</w:t>
      </w:r>
      <w:r w:rsidR="004E5E8E" w:rsidRPr="00291D93">
        <w:rPr>
          <w:sz w:val="20"/>
          <w:szCs w:val="20"/>
          <w:lang w:val="en-GB"/>
        </w:rPr>
        <w:t>ubheading,</w:t>
      </w:r>
    </w:p>
    <w:p w14:paraId="20DE3796" w14:textId="77777777" w:rsidR="00370FCA" w:rsidRPr="004E5E8E" w:rsidRDefault="00370FCA" w:rsidP="00D1195A">
      <w:pPr>
        <w:pStyle w:val="Default"/>
        <w:jc w:val="both"/>
        <w:rPr>
          <w:sz w:val="20"/>
          <w:szCs w:val="20"/>
          <w:lang w:val="en-GB"/>
        </w:rPr>
      </w:pPr>
      <w:r w:rsidRPr="00291D93">
        <w:rPr>
          <w:sz w:val="20"/>
          <w:szCs w:val="20"/>
          <w:lang w:val="en-GB"/>
        </w:rPr>
        <w:t xml:space="preserve">2. </w:t>
      </w:r>
      <w:r w:rsidR="004E5E8E" w:rsidRPr="00291D93">
        <w:rPr>
          <w:sz w:val="20"/>
          <w:szCs w:val="20"/>
          <w:lang w:val="en-GB"/>
        </w:rPr>
        <w:t xml:space="preserve">The seventh and the eighth digits </w:t>
      </w:r>
      <w:r w:rsidR="009A52AE">
        <w:rPr>
          <w:sz w:val="20"/>
          <w:szCs w:val="20"/>
          <w:lang w:val="en-GB"/>
        </w:rPr>
        <w:t>indicate</w:t>
      </w:r>
      <w:r w:rsidR="004E5E8E" w:rsidRPr="00291D93">
        <w:rPr>
          <w:sz w:val="20"/>
          <w:szCs w:val="20"/>
          <w:lang w:val="en-GB"/>
        </w:rPr>
        <w:t xml:space="preserve"> the CN </w:t>
      </w:r>
      <w:r w:rsidR="009A52AE">
        <w:rPr>
          <w:sz w:val="20"/>
          <w:szCs w:val="20"/>
          <w:lang w:val="en-GB"/>
        </w:rPr>
        <w:t>S</w:t>
      </w:r>
      <w:r w:rsidR="004E5E8E" w:rsidRPr="00291D93">
        <w:rPr>
          <w:sz w:val="20"/>
          <w:szCs w:val="20"/>
          <w:lang w:val="en-GB"/>
        </w:rPr>
        <w:t xml:space="preserve">ubheading. If the HS </w:t>
      </w:r>
      <w:r w:rsidR="009A52AE">
        <w:rPr>
          <w:sz w:val="20"/>
          <w:szCs w:val="20"/>
          <w:lang w:val="en-GB"/>
        </w:rPr>
        <w:t>H</w:t>
      </w:r>
      <w:r w:rsidR="004E5E8E" w:rsidRPr="00291D93">
        <w:rPr>
          <w:sz w:val="20"/>
          <w:szCs w:val="20"/>
          <w:lang w:val="en-GB"/>
        </w:rPr>
        <w:t xml:space="preserve">eading or </w:t>
      </w:r>
      <w:r w:rsidR="009A52AE">
        <w:rPr>
          <w:sz w:val="20"/>
          <w:szCs w:val="20"/>
          <w:lang w:val="en-GB"/>
        </w:rPr>
        <w:t>S</w:t>
      </w:r>
      <w:r w:rsidR="004E5E8E" w:rsidRPr="00291D93">
        <w:rPr>
          <w:sz w:val="20"/>
          <w:szCs w:val="20"/>
          <w:lang w:val="en-GB"/>
        </w:rPr>
        <w:t xml:space="preserve">ubheading </w:t>
      </w:r>
      <w:r w:rsidR="00745509" w:rsidRPr="00291D93">
        <w:rPr>
          <w:sz w:val="20"/>
          <w:szCs w:val="20"/>
          <w:lang w:val="en-GB"/>
        </w:rPr>
        <w:t>is</w:t>
      </w:r>
      <w:r w:rsidR="004E5E8E" w:rsidRPr="00291D93">
        <w:rPr>
          <w:sz w:val="20"/>
          <w:szCs w:val="20"/>
          <w:lang w:val="en-GB"/>
        </w:rPr>
        <w:t xml:space="preserve"> not further subdivided, the</w:t>
      </w:r>
      <w:r w:rsidR="00291D93" w:rsidRPr="00291D93">
        <w:rPr>
          <w:sz w:val="20"/>
          <w:szCs w:val="20"/>
          <w:lang w:val="en-GB"/>
        </w:rPr>
        <w:t>n the</w:t>
      </w:r>
      <w:r w:rsidR="004E5E8E" w:rsidRPr="00291D93">
        <w:rPr>
          <w:sz w:val="20"/>
          <w:szCs w:val="20"/>
          <w:lang w:val="en-GB"/>
        </w:rPr>
        <w:t xml:space="preserve"> seventh and the eighth digits are »00«.</w:t>
      </w:r>
    </w:p>
    <w:p w14:paraId="08073F00" w14:textId="77777777" w:rsidR="00CA0922" w:rsidRDefault="00CA0922" w:rsidP="00D1195A">
      <w:pPr>
        <w:pStyle w:val="FURSnaslov1"/>
        <w:jc w:val="both"/>
        <w:rPr>
          <w:lang w:val="en-GB"/>
        </w:rPr>
      </w:pPr>
    </w:p>
    <w:p w14:paraId="19089DBF" w14:textId="77777777" w:rsidR="00A32B40" w:rsidRPr="004E5E8E" w:rsidRDefault="00A32B40" w:rsidP="00D1195A">
      <w:pPr>
        <w:pStyle w:val="FURSnaslov1"/>
        <w:jc w:val="both"/>
        <w:rPr>
          <w:lang w:val="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2"/>
        <w:gridCol w:w="425"/>
        <w:gridCol w:w="425"/>
        <w:gridCol w:w="426"/>
        <w:gridCol w:w="425"/>
        <w:gridCol w:w="425"/>
        <w:gridCol w:w="425"/>
        <w:gridCol w:w="426"/>
        <w:gridCol w:w="2835"/>
      </w:tblGrid>
      <w:tr w:rsidR="00C95CF7" w:rsidRPr="00752683" w14:paraId="075FDFCE" w14:textId="77777777" w:rsidTr="00843E28">
        <w:tc>
          <w:tcPr>
            <w:tcW w:w="3369" w:type="dxa"/>
            <w:gridSpan w:val="8"/>
            <w:shd w:val="clear" w:color="auto" w:fill="auto"/>
          </w:tcPr>
          <w:p w14:paraId="7A986B72" w14:textId="77777777" w:rsidR="00C95CF7" w:rsidRPr="00752683" w:rsidRDefault="00C95CF7" w:rsidP="00752683">
            <w:pPr>
              <w:pStyle w:val="Default"/>
              <w:jc w:val="both"/>
              <w:rPr>
                <w:szCs w:val="20"/>
                <w:lang w:val="en-GB"/>
              </w:rPr>
            </w:pPr>
            <w:r w:rsidRPr="00752683">
              <w:rPr>
                <w:b/>
                <w:bCs/>
                <w:i/>
                <w:iCs/>
                <w:sz w:val="20"/>
                <w:szCs w:val="20"/>
                <w:lang w:val="en-GB"/>
              </w:rPr>
              <w:t>Tarif</w:t>
            </w:r>
            <w:r w:rsidR="00752683" w:rsidRPr="00752683">
              <w:rPr>
                <w:b/>
                <w:bCs/>
                <w:i/>
                <w:iCs/>
                <w:sz w:val="20"/>
                <w:szCs w:val="20"/>
                <w:lang w:val="en-GB"/>
              </w:rPr>
              <w:t>f code</w:t>
            </w:r>
            <w:r w:rsidRPr="00752683">
              <w:rPr>
                <w:b/>
                <w:bCs/>
                <w:i/>
                <w:iCs/>
                <w:sz w:val="20"/>
                <w:szCs w:val="20"/>
                <w:lang w:val="en-GB"/>
              </w:rPr>
              <w:t xml:space="preserve"> </w:t>
            </w:r>
          </w:p>
        </w:tc>
        <w:tc>
          <w:tcPr>
            <w:tcW w:w="2835" w:type="dxa"/>
            <w:shd w:val="clear" w:color="auto" w:fill="auto"/>
          </w:tcPr>
          <w:p w14:paraId="445EE40F" w14:textId="77777777" w:rsidR="00C95CF7" w:rsidRPr="00752683" w:rsidRDefault="00752683" w:rsidP="00752683">
            <w:pPr>
              <w:pStyle w:val="Default"/>
              <w:jc w:val="both"/>
              <w:rPr>
                <w:szCs w:val="20"/>
                <w:lang w:val="en-GB"/>
              </w:rPr>
            </w:pPr>
            <w:r w:rsidRPr="00752683">
              <w:rPr>
                <w:b/>
                <w:bCs/>
                <w:i/>
                <w:iCs/>
                <w:sz w:val="20"/>
                <w:szCs w:val="20"/>
                <w:lang w:val="en-GB"/>
              </w:rPr>
              <w:t xml:space="preserve">Description </w:t>
            </w:r>
            <w:r w:rsidR="00C95CF7" w:rsidRPr="00752683">
              <w:rPr>
                <w:b/>
                <w:bCs/>
                <w:i/>
                <w:iCs/>
                <w:sz w:val="20"/>
                <w:szCs w:val="20"/>
                <w:lang w:val="en-GB"/>
              </w:rPr>
              <w:t xml:space="preserve"> </w:t>
            </w:r>
          </w:p>
        </w:tc>
      </w:tr>
      <w:tr w:rsidR="00C95CF7" w:rsidRPr="00752683" w14:paraId="2B0E4716" w14:textId="77777777" w:rsidTr="00843E28">
        <w:tc>
          <w:tcPr>
            <w:tcW w:w="392" w:type="dxa"/>
            <w:shd w:val="clear" w:color="auto" w:fill="auto"/>
          </w:tcPr>
          <w:p w14:paraId="041998D6" w14:textId="77777777" w:rsidR="00C95CF7" w:rsidRPr="00752683" w:rsidRDefault="00C95CF7" w:rsidP="00D1195A">
            <w:pPr>
              <w:pStyle w:val="FURSnaslov1"/>
              <w:jc w:val="both"/>
              <w:rPr>
                <w:lang w:val="en-GB"/>
              </w:rPr>
            </w:pPr>
            <w:r w:rsidRPr="00752683">
              <w:rPr>
                <w:lang w:val="en-GB"/>
              </w:rPr>
              <w:t>1</w:t>
            </w:r>
          </w:p>
        </w:tc>
        <w:tc>
          <w:tcPr>
            <w:tcW w:w="425" w:type="dxa"/>
            <w:shd w:val="clear" w:color="auto" w:fill="auto"/>
          </w:tcPr>
          <w:p w14:paraId="650909A7" w14:textId="77777777" w:rsidR="00C95CF7" w:rsidRPr="00752683" w:rsidRDefault="00C95CF7" w:rsidP="00D1195A">
            <w:pPr>
              <w:pStyle w:val="FURSnaslov1"/>
              <w:jc w:val="both"/>
              <w:rPr>
                <w:lang w:val="en-GB"/>
              </w:rPr>
            </w:pPr>
            <w:r w:rsidRPr="00752683">
              <w:rPr>
                <w:lang w:val="en-GB"/>
              </w:rPr>
              <w:t>2</w:t>
            </w:r>
          </w:p>
        </w:tc>
        <w:tc>
          <w:tcPr>
            <w:tcW w:w="425" w:type="dxa"/>
            <w:shd w:val="clear" w:color="auto" w:fill="auto"/>
          </w:tcPr>
          <w:p w14:paraId="26C4498D" w14:textId="77777777" w:rsidR="00C95CF7" w:rsidRPr="00752683" w:rsidRDefault="00C95CF7" w:rsidP="00D1195A">
            <w:pPr>
              <w:pStyle w:val="FURSnaslov1"/>
              <w:jc w:val="both"/>
              <w:rPr>
                <w:lang w:val="en-GB"/>
              </w:rPr>
            </w:pPr>
          </w:p>
        </w:tc>
        <w:tc>
          <w:tcPr>
            <w:tcW w:w="426" w:type="dxa"/>
            <w:shd w:val="clear" w:color="auto" w:fill="auto"/>
          </w:tcPr>
          <w:p w14:paraId="53465FB1" w14:textId="77777777" w:rsidR="00C95CF7" w:rsidRPr="00752683" w:rsidRDefault="00C95CF7" w:rsidP="00D1195A">
            <w:pPr>
              <w:pStyle w:val="FURSnaslov1"/>
              <w:jc w:val="both"/>
              <w:rPr>
                <w:lang w:val="en-GB"/>
              </w:rPr>
            </w:pPr>
          </w:p>
        </w:tc>
        <w:tc>
          <w:tcPr>
            <w:tcW w:w="425" w:type="dxa"/>
            <w:shd w:val="clear" w:color="auto" w:fill="auto"/>
          </w:tcPr>
          <w:p w14:paraId="4DD1EF5A" w14:textId="77777777" w:rsidR="00C95CF7" w:rsidRPr="00752683" w:rsidRDefault="00C95CF7" w:rsidP="00D1195A">
            <w:pPr>
              <w:pStyle w:val="FURSnaslov1"/>
              <w:jc w:val="both"/>
              <w:rPr>
                <w:lang w:val="en-GB"/>
              </w:rPr>
            </w:pPr>
          </w:p>
        </w:tc>
        <w:tc>
          <w:tcPr>
            <w:tcW w:w="425" w:type="dxa"/>
            <w:shd w:val="clear" w:color="auto" w:fill="auto"/>
          </w:tcPr>
          <w:p w14:paraId="09D838AC" w14:textId="77777777" w:rsidR="00C95CF7" w:rsidRPr="00752683" w:rsidRDefault="00C95CF7" w:rsidP="00D1195A">
            <w:pPr>
              <w:pStyle w:val="FURSnaslov1"/>
              <w:jc w:val="both"/>
              <w:rPr>
                <w:lang w:val="en-GB"/>
              </w:rPr>
            </w:pPr>
          </w:p>
        </w:tc>
        <w:tc>
          <w:tcPr>
            <w:tcW w:w="425" w:type="dxa"/>
            <w:shd w:val="clear" w:color="auto" w:fill="auto"/>
          </w:tcPr>
          <w:p w14:paraId="4702E451" w14:textId="77777777" w:rsidR="00C95CF7" w:rsidRPr="00752683" w:rsidRDefault="00C95CF7" w:rsidP="00D1195A">
            <w:pPr>
              <w:pStyle w:val="FURSnaslov1"/>
              <w:jc w:val="both"/>
              <w:rPr>
                <w:lang w:val="en-GB"/>
              </w:rPr>
            </w:pPr>
          </w:p>
        </w:tc>
        <w:tc>
          <w:tcPr>
            <w:tcW w:w="426" w:type="dxa"/>
            <w:shd w:val="clear" w:color="auto" w:fill="auto"/>
          </w:tcPr>
          <w:p w14:paraId="54FDDC5A" w14:textId="77777777" w:rsidR="00C95CF7" w:rsidRPr="00752683" w:rsidRDefault="00C95CF7" w:rsidP="00D1195A">
            <w:pPr>
              <w:pStyle w:val="FURSnaslov1"/>
              <w:jc w:val="both"/>
              <w:rPr>
                <w:lang w:val="en-GB"/>
              </w:rPr>
            </w:pPr>
          </w:p>
        </w:tc>
        <w:tc>
          <w:tcPr>
            <w:tcW w:w="2835" w:type="dxa"/>
            <w:shd w:val="clear" w:color="auto" w:fill="auto"/>
          </w:tcPr>
          <w:p w14:paraId="29FB5C3D" w14:textId="77777777" w:rsidR="00C95CF7" w:rsidRPr="00752683" w:rsidRDefault="00C95CF7" w:rsidP="00D1195A">
            <w:pPr>
              <w:pStyle w:val="Default"/>
              <w:jc w:val="both"/>
              <w:rPr>
                <w:szCs w:val="20"/>
                <w:lang w:val="en-GB"/>
              </w:rPr>
            </w:pPr>
            <w:r w:rsidRPr="00752683">
              <w:rPr>
                <w:sz w:val="20"/>
                <w:szCs w:val="20"/>
                <w:lang w:val="en-GB"/>
              </w:rPr>
              <w:t xml:space="preserve">HS </w:t>
            </w:r>
            <w:r w:rsidR="00752683" w:rsidRPr="00752683">
              <w:rPr>
                <w:sz w:val="20"/>
                <w:szCs w:val="20"/>
                <w:lang w:val="en-GB"/>
              </w:rPr>
              <w:t>Chapter</w:t>
            </w:r>
          </w:p>
        </w:tc>
      </w:tr>
      <w:tr w:rsidR="00C95CF7" w:rsidRPr="00752683" w14:paraId="48B2BFF9" w14:textId="77777777" w:rsidTr="00843E28">
        <w:tc>
          <w:tcPr>
            <w:tcW w:w="392" w:type="dxa"/>
            <w:shd w:val="clear" w:color="auto" w:fill="auto"/>
          </w:tcPr>
          <w:p w14:paraId="5DC9CFF0" w14:textId="77777777" w:rsidR="00C95CF7" w:rsidRPr="00752683" w:rsidRDefault="00C95CF7" w:rsidP="00D1195A">
            <w:pPr>
              <w:pStyle w:val="FURSnaslov1"/>
              <w:jc w:val="both"/>
              <w:rPr>
                <w:lang w:val="en-GB"/>
              </w:rPr>
            </w:pPr>
            <w:r w:rsidRPr="00752683">
              <w:rPr>
                <w:lang w:val="en-GB"/>
              </w:rPr>
              <w:t>1</w:t>
            </w:r>
          </w:p>
        </w:tc>
        <w:tc>
          <w:tcPr>
            <w:tcW w:w="425" w:type="dxa"/>
            <w:shd w:val="clear" w:color="auto" w:fill="auto"/>
          </w:tcPr>
          <w:p w14:paraId="223B05D4" w14:textId="77777777" w:rsidR="00C95CF7" w:rsidRPr="00752683" w:rsidRDefault="00C95CF7" w:rsidP="00D1195A">
            <w:pPr>
              <w:pStyle w:val="FURSnaslov1"/>
              <w:jc w:val="both"/>
              <w:rPr>
                <w:lang w:val="en-GB"/>
              </w:rPr>
            </w:pPr>
            <w:r w:rsidRPr="00752683">
              <w:rPr>
                <w:lang w:val="en-GB"/>
              </w:rPr>
              <w:t>2</w:t>
            </w:r>
          </w:p>
        </w:tc>
        <w:tc>
          <w:tcPr>
            <w:tcW w:w="425" w:type="dxa"/>
            <w:shd w:val="clear" w:color="auto" w:fill="auto"/>
          </w:tcPr>
          <w:p w14:paraId="4D5B4F1C" w14:textId="77777777" w:rsidR="00C95CF7" w:rsidRPr="00752683" w:rsidRDefault="00C95CF7" w:rsidP="00D1195A">
            <w:pPr>
              <w:pStyle w:val="FURSnaslov1"/>
              <w:jc w:val="both"/>
              <w:rPr>
                <w:lang w:val="en-GB"/>
              </w:rPr>
            </w:pPr>
            <w:r w:rsidRPr="00752683">
              <w:rPr>
                <w:lang w:val="en-GB"/>
              </w:rPr>
              <w:t>3</w:t>
            </w:r>
          </w:p>
        </w:tc>
        <w:tc>
          <w:tcPr>
            <w:tcW w:w="426" w:type="dxa"/>
            <w:shd w:val="clear" w:color="auto" w:fill="auto"/>
          </w:tcPr>
          <w:p w14:paraId="42F6CEBF" w14:textId="77777777" w:rsidR="00C95CF7" w:rsidRPr="00752683" w:rsidRDefault="00C95CF7" w:rsidP="00D1195A">
            <w:pPr>
              <w:pStyle w:val="FURSnaslov1"/>
              <w:jc w:val="both"/>
              <w:rPr>
                <w:lang w:val="en-GB"/>
              </w:rPr>
            </w:pPr>
            <w:r w:rsidRPr="00752683">
              <w:rPr>
                <w:lang w:val="en-GB"/>
              </w:rPr>
              <w:t>4</w:t>
            </w:r>
          </w:p>
        </w:tc>
        <w:tc>
          <w:tcPr>
            <w:tcW w:w="425" w:type="dxa"/>
            <w:shd w:val="clear" w:color="auto" w:fill="auto"/>
          </w:tcPr>
          <w:p w14:paraId="11664C9B" w14:textId="77777777" w:rsidR="00C95CF7" w:rsidRPr="00752683" w:rsidRDefault="00C95CF7" w:rsidP="00D1195A">
            <w:pPr>
              <w:pStyle w:val="FURSnaslov1"/>
              <w:jc w:val="both"/>
              <w:rPr>
                <w:lang w:val="en-GB"/>
              </w:rPr>
            </w:pPr>
          </w:p>
        </w:tc>
        <w:tc>
          <w:tcPr>
            <w:tcW w:w="425" w:type="dxa"/>
            <w:shd w:val="clear" w:color="auto" w:fill="auto"/>
          </w:tcPr>
          <w:p w14:paraId="1C959A45" w14:textId="77777777" w:rsidR="00C95CF7" w:rsidRPr="00752683" w:rsidRDefault="00C95CF7" w:rsidP="00D1195A">
            <w:pPr>
              <w:pStyle w:val="FURSnaslov1"/>
              <w:jc w:val="both"/>
              <w:rPr>
                <w:lang w:val="en-GB"/>
              </w:rPr>
            </w:pPr>
          </w:p>
        </w:tc>
        <w:tc>
          <w:tcPr>
            <w:tcW w:w="425" w:type="dxa"/>
            <w:shd w:val="clear" w:color="auto" w:fill="auto"/>
          </w:tcPr>
          <w:p w14:paraId="324C193E" w14:textId="77777777" w:rsidR="00C95CF7" w:rsidRPr="00752683" w:rsidRDefault="00C95CF7" w:rsidP="00D1195A">
            <w:pPr>
              <w:pStyle w:val="FURSnaslov1"/>
              <w:jc w:val="both"/>
              <w:rPr>
                <w:lang w:val="en-GB"/>
              </w:rPr>
            </w:pPr>
          </w:p>
        </w:tc>
        <w:tc>
          <w:tcPr>
            <w:tcW w:w="426" w:type="dxa"/>
            <w:shd w:val="clear" w:color="auto" w:fill="auto"/>
          </w:tcPr>
          <w:p w14:paraId="2C7120A3" w14:textId="77777777" w:rsidR="00C95CF7" w:rsidRPr="00752683" w:rsidRDefault="00C95CF7" w:rsidP="00D1195A">
            <w:pPr>
              <w:pStyle w:val="FURSnaslov1"/>
              <w:jc w:val="both"/>
              <w:rPr>
                <w:lang w:val="en-GB"/>
              </w:rPr>
            </w:pPr>
          </w:p>
        </w:tc>
        <w:tc>
          <w:tcPr>
            <w:tcW w:w="2835" w:type="dxa"/>
            <w:shd w:val="clear" w:color="auto" w:fill="auto"/>
          </w:tcPr>
          <w:p w14:paraId="0AFDE123" w14:textId="77777777" w:rsidR="00C95CF7" w:rsidRPr="00752683" w:rsidRDefault="00752683" w:rsidP="009A52AE">
            <w:pPr>
              <w:pStyle w:val="Default"/>
              <w:jc w:val="both"/>
              <w:rPr>
                <w:szCs w:val="20"/>
                <w:lang w:val="en-GB"/>
              </w:rPr>
            </w:pPr>
            <w:r w:rsidRPr="00752683">
              <w:rPr>
                <w:sz w:val="20"/>
                <w:szCs w:val="20"/>
                <w:lang w:val="en-GB"/>
              </w:rPr>
              <w:t xml:space="preserve">HS </w:t>
            </w:r>
            <w:r w:rsidR="009A52AE">
              <w:rPr>
                <w:sz w:val="20"/>
                <w:szCs w:val="20"/>
                <w:lang w:val="en-GB"/>
              </w:rPr>
              <w:t>H</w:t>
            </w:r>
            <w:r w:rsidRPr="00752683">
              <w:rPr>
                <w:sz w:val="20"/>
                <w:szCs w:val="20"/>
                <w:lang w:val="en-GB"/>
              </w:rPr>
              <w:t xml:space="preserve">eading </w:t>
            </w:r>
            <w:r w:rsidR="00C95CF7" w:rsidRPr="00752683">
              <w:rPr>
                <w:sz w:val="20"/>
                <w:szCs w:val="20"/>
                <w:lang w:val="en-GB"/>
              </w:rPr>
              <w:t xml:space="preserve"> </w:t>
            </w:r>
          </w:p>
        </w:tc>
      </w:tr>
      <w:tr w:rsidR="00C95CF7" w:rsidRPr="00752683" w14:paraId="6BA4E438" w14:textId="77777777" w:rsidTr="00843E28">
        <w:tc>
          <w:tcPr>
            <w:tcW w:w="392" w:type="dxa"/>
            <w:shd w:val="clear" w:color="auto" w:fill="auto"/>
          </w:tcPr>
          <w:p w14:paraId="0C7B9F82" w14:textId="77777777" w:rsidR="00C95CF7" w:rsidRPr="00752683" w:rsidRDefault="00C95CF7" w:rsidP="00D1195A">
            <w:pPr>
              <w:pStyle w:val="FURSnaslov1"/>
              <w:jc w:val="both"/>
              <w:rPr>
                <w:lang w:val="en-GB"/>
              </w:rPr>
            </w:pPr>
            <w:r w:rsidRPr="00752683">
              <w:rPr>
                <w:lang w:val="en-GB"/>
              </w:rPr>
              <w:t>1</w:t>
            </w:r>
          </w:p>
        </w:tc>
        <w:tc>
          <w:tcPr>
            <w:tcW w:w="425" w:type="dxa"/>
            <w:shd w:val="clear" w:color="auto" w:fill="auto"/>
          </w:tcPr>
          <w:p w14:paraId="7DA2EEDA" w14:textId="77777777" w:rsidR="00C95CF7" w:rsidRPr="00752683" w:rsidRDefault="00C95CF7" w:rsidP="00D1195A">
            <w:pPr>
              <w:pStyle w:val="FURSnaslov1"/>
              <w:jc w:val="both"/>
              <w:rPr>
                <w:lang w:val="en-GB"/>
              </w:rPr>
            </w:pPr>
            <w:r w:rsidRPr="00752683">
              <w:rPr>
                <w:lang w:val="en-GB"/>
              </w:rPr>
              <w:t>2</w:t>
            </w:r>
          </w:p>
        </w:tc>
        <w:tc>
          <w:tcPr>
            <w:tcW w:w="425" w:type="dxa"/>
            <w:shd w:val="clear" w:color="auto" w:fill="auto"/>
          </w:tcPr>
          <w:p w14:paraId="6EB21CF9" w14:textId="77777777" w:rsidR="00C95CF7" w:rsidRPr="00752683" w:rsidRDefault="00C95CF7" w:rsidP="00D1195A">
            <w:pPr>
              <w:pStyle w:val="FURSnaslov1"/>
              <w:jc w:val="both"/>
              <w:rPr>
                <w:lang w:val="en-GB"/>
              </w:rPr>
            </w:pPr>
            <w:r w:rsidRPr="00752683">
              <w:rPr>
                <w:lang w:val="en-GB"/>
              </w:rPr>
              <w:t>3</w:t>
            </w:r>
          </w:p>
        </w:tc>
        <w:tc>
          <w:tcPr>
            <w:tcW w:w="426" w:type="dxa"/>
            <w:shd w:val="clear" w:color="auto" w:fill="auto"/>
          </w:tcPr>
          <w:p w14:paraId="420E7F5B" w14:textId="77777777" w:rsidR="00C95CF7" w:rsidRPr="00752683" w:rsidRDefault="00C95CF7" w:rsidP="00D1195A">
            <w:pPr>
              <w:pStyle w:val="FURSnaslov1"/>
              <w:jc w:val="both"/>
              <w:rPr>
                <w:lang w:val="en-GB"/>
              </w:rPr>
            </w:pPr>
            <w:r w:rsidRPr="00752683">
              <w:rPr>
                <w:lang w:val="en-GB"/>
              </w:rPr>
              <w:t>4</w:t>
            </w:r>
          </w:p>
        </w:tc>
        <w:tc>
          <w:tcPr>
            <w:tcW w:w="425" w:type="dxa"/>
            <w:shd w:val="clear" w:color="auto" w:fill="auto"/>
          </w:tcPr>
          <w:p w14:paraId="4138AC7C" w14:textId="77777777" w:rsidR="00C95CF7" w:rsidRPr="00752683" w:rsidRDefault="00C95CF7" w:rsidP="00D1195A">
            <w:pPr>
              <w:pStyle w:val="FURSnaslov1"/>
              <w:jc w:val="both"/>
              <w:rPr>
                <w:lang w:val="en-GB"/>
              </w:rPr>
            </w:pPr>
            <w:r w:rsidRPr="00752683">
              <w:rPr>
                <w:lang w:val="en-GB"/>
              </w:rPr>
              <w:t>5</w:t>
            </w:r>
          </w:p>
        </w:tc>
        <w:tc>
          <w:tcPr>
            <w:tcW w:w="425" w:type="dxa"/>
            <w:shd w:val="clear" w:color="auto" w:fill="auto"/>
          </w:tcPr>
          <w:p w14:paraId="363DF680" w14:textId="77777777" w:rsidR="00C95CF7" w:rsidRPr="00752683" w:rsidRDefault="00C95CF7" w:rsidP="00D1195A">
            <w:pPr>
              <w:pStyle w:val="FURSnaslov1"/>
              <w:jc w:val="both"/>
              <w:rPr>
                <w:lang w:val="en-GB"/>
              </w:rPr>
            </w:pPr>
            <w:r w:rsidRPr="00752683">
              <w:rPr>
                <w:lang w:val="en-GB"/>
              </w:rPr>
              <w:t>6</w:t>
            </w:r>
          </w:p>
        </w:tc>
        <w:tc>
          <w:tcPr>
            <w:tcW w:w="425" w:type="dxa"/>
            <w:shd w:val="clear" w:color="auto" w:fill="auto"/>
          </w:tcPr>
          <w:p w14:paraId="02266418" w14:textId="77777777" w:rsidR="00C95CF7" w:rsidRPr="00752683" w:rsidRDefault="00C95CF7" w:rsidP="00D1195A">
            <w:pPr>
              <w:pStyle w:val="FURSnaslov1"/>
              <w:jc w:val="both"/>
              <w:rPr>
                <w:lang w:val="en-GB"/>
              </w:rPr>
            </w:pPr>
          </w:p>
        </w:tc>
        <w:tc>
          <w:tcPr>
            <w:tcW w:w="426" w:type="dxa"/>
            <w:shd w:val="clear" w:color="auto" w:fill="auto"/>
          </w:tcPr>
          <w:p w14:paraId="15DAAD29" w14:textId="77777777" w:rsidR="00C95CF7" w:rsidRPr="00752683" w:rsidRDefault="00C95CF7" w:rsidP="00D1195A">
            <w:pPr>
              <w:pStyle w:val="FURSnaslov1"/>
              <w:jc w:val="both"/>
              <w:rPr>
                <w:lang w:val="en-GB"/>
              </w:rPr>
            </w:pPr>
          </w:p>
        </w:tc>
        <w:tc>
          <w:tcPr>
            <w:tcW w:w="2835" w:type="dxa"/>
            <w:shd w:val="clear" w:color="auto" w:fill="auto"/>
          </w:tcPr>
          <w:p w14:paraId="0131B978" w14:textId="77777777" w:rsidR="00C95CF7" w:rsidRPr="00752683" w:rsidRDefault="00752683" w:rsidP="009A52AE">
            <w:pPr>
              <w:pStyle w:val="Default"/>
              <w:jc w:val="both"/>
              <w:rPr>
                <w:szCs w:val="20"/>
                <w:lang w:val="en-GB"/>
              </w:rPr>
            </w:pPr>
            <w:r w:rsidRPr="00752683">
              <w:rPr>
                <w:sz w:val="20"/>
                <w:szCs w:val="20"/>
                <w:lang w:val="en-GB"/>
              </w:rPr>
              <w:t xml:space="preserve">HS </w:t>
            </w:r>
            <w:r w:rsidR="009A52AE">
              <w:rPr>
                <w:sz w:val="20"/>
                <w:szCs w:val="20"/>
                <w:lang w:val="en-GB"/>
              </w:rPr>
              <w:t>S</w:t>
            </w:r>
            <w:r w:rsidRPr="00752683">
              <w:rPr>
                <w:sz w:val="20"/>
                <w:szCs w:val="20"/>
                <w:lang w:val="en-GB"/>
              </w:rPr>
              <w:t>ubheading</w:t>
            </w:r>
            <w:r w:rsidR="00C95CF7" w:rsidRPr="00752683">
              <w:rPr>
                <w:sz w:val="20"/>
                <w:szCs w:val="20"/>
                <w:lang w:val="en-GB"/>
              </w:rPr>
              <w:t xml:space="preserve"> </w:t>
            </w:r>
          </w:p>
        </w:tc>
      </w:tr>
      <w:tr w:rsidR="00C95CF7" w:rsidRPr="00B60E37" w14:paraId="30895D9E" w14:textId="77777777" w:rsidTr="00843E28">
        <w:tc>
          <w:tcPr>
            <w:tcW w:w="392" w:type="dxa"/>
            <w:shd w:val="clear" w:color="auto" w:fill="auto"/>
          </w:tcPr>
          <w:p w14:paraId="2FD417F4" w14:textId="77777777" w:rsidR="00C95CF7" w:rsidRPr="00752683" w:rsidRDefault="00C95CF7" w:rsidP="00D1195A">
            <w:pPr>
              <w:pStyle w:val="FURSnaslov1"/>
              <w:jc w:val="both"/>
              <w:rPr>
                <w:lang w:val="en-GB"/>
              </w:rPr>
            </w:pPr>
          </w:p>
        </w:tc>
        <w:tc>
          <w:tcPr>
            <w:tcW w:w="425" w:type="dxa"/>
            <w:shd w:val="clear" w:color="auto" w:fill="auto"/>
          </w:tcPr>
          <w:p w14:paraId="76A7C853" w14:textId="77777777" w:rsidR="00C95CF7" w:rsidRPr="00752683" w:rsidRDefault="00C95CF7" w:rsidP="00D1195A">
            <w:pPr>
              <w:pStyle w:val="FURSnaslov1"/>
              <w:jc w:val="both"/>
              <w:rPr>
                <w:lang w:val="en-GB"/>
              </w:rPr>
            </w:pPr>
          </w:p>
        </w:tc>
        <w:tc>
          <w:tcPr>
            <w:tcW w:w="425" w:type="dxa"/>
            <w:shd w:val="clear" w:color="auto" w:fill="auto"/>
          </w:tcPr>
          <w:p w14:paraId="1DBD0C72" w14:textId="77777777" w:rsidR="00C95CF7" w:rsidRPr="00752683" w:rsidRDefault="00C95CF7" w:rsidP="00D1195A">
            <w:pPr>
              <w:pStyle w:val="FURSnaslov1"/>
              <w:jc w:val="both"/>
              <w:rPr>
                <w:lang w:val="en-GB"/>
              </w:rPr>
            </w:pPr>
          </w:p>
        </w:tc>
        <w:tc>
          <w:tcPr>
            <w:tcW w:w="426" w:type="dxa"/>
            <w:shd w:val="clear" w:color="auto" w:fill="auto"/>
          </w:tcPr>
          <w:p w14:paraId="7893214A" w14:textId="77777777" w:rsidR="00C95CF7" w:rsidRPr="00752683" w:rsidRDefault="00C95CF7" w:rsidP="00D1195A">
            <w:pPr>
              <w:pStyle w:val="FURSnaslov1"/>
              <w:jc w:val="both"/>
              <w:rPr>
                <w:lang w:val="en-GB"/>
              </w:rPr>
            </w:pPr>
          </w:p>
        </w:tc>
        <w:tc>
          <w:tcPr>
            <w:tcW w:w="425" w:type="dxa"/>
            <w:shd w:val="clear" w:color="auto" w:fill="auto"/>
          </w:tcPr>
          <w:p w14:paraId="3F7116B5" w14:textId="77777777" w:rsidR="00C95CF7" w:rsidRPr="00752683" w:rsidRDefault="00C95CF7" w:rsidP="00D1195A">
            <w:pPr>
              <w:pStyle w:val="FURSnaslov1"/>
              <w:jc w:val="both"/>
              <w:rPr>
                <w:lang w:val="en-GB"/>
              </w:rPr>
            </w:pPr>
          </w:p>
        </w:tc>
        <w:tc>
          <w:tcPr>
            <w:tcW w:w="425" w:type="dxa"/>
            <w:shd w:val="clear" w:color="auto" w:fill="auto"/>
          </w:tcPr>
          <w:p w14:paraId="7080FD49" w14:textId="77777777" w:rsidR="00C95CF7" w:rsidRPr="00752683" w:rsidRDefault="00C95CF7" w:rsidP="00D1195A">
            <w:pPr>
              <w:pStyle w:val="FURSnaslov1"/>
              <w:jc w:val="both"/>
              <w:rPr>
                <w:lang w:val="en-GB"/>
              </w:rPr>
            </w:pPr>
          </w:p>
        </w:tc>
        <w:tc>
          <w:tcPr>
            <w:tcW w:w="425" w:type="dxa"/>
            <w:shd w:val="clear" w:color="auto" w:fill="auto"/>
          </w:tcPr>
          <w:p w14:paraId="1F81CA10" w14:textId="77777777" w:rsidR="00C95CF7" w:rsidRPr="00752683" w:rsidRDefault="00C95CF7" w:rsidP="00D1195A">
            <w:pPr>
              <w:pStyle w:val="FURSnaslov1"/>
              <w:jc w:val="both"/>
              <w:rPr>
                <w:lang w:val="en-GB"/>
              </w:rPr>
            </w:pPr>
            <w:r w:rsidRPr="00752683">
              <w:rPr>
                <w:lang w:val="en-GB"/>
              </w:rPr>
              <w:t>7</w:t>
            </w:r>
          </w:p>
        </w:tc>
        <w:tc>
          <w:tcPr>
            <w:tcW w:w="426" w:type="dxa"/>
            <w:shd w:val="clear" w:color="auto" w:fill="auto"/>
          </w:tcPr>
          <w:p w14:paraId="51319B0F" w14:textId="77777777" w:rsidR="00C95CF7" w:rsidRPr="00752683" w:rsidRDefault="00C95CF7" w:rsidP="00D1195A">
            <w:pPr>
              <w:pStyle w:val="FURSnaslov1"/>
              <w:jc w:val="both"/>
              <w:rPr>
                <w:lang w:val="en-GB"/>
              </w:rPr>
            </w:pPr>
            <w:r w:rsidRPr="00752683">
              <w:rPr>
                <w:lang w:val="en-GB"/>
              </w:rPr>
              <w:t>8</w:t>
            </w:r>
          </w:p>
        </w:tc>
        <w:tc>
          <w:tcPr>
            <w:tcW w:w="2835" w:type="dxa"/>
            <w:shd w:val="clear" w:color="auto" w:fill="auto"/>
          </w:tcPr>
          <w:p w14:paraId="771660B8" w14:textId="77777777" w:rsidR="00C95CF7" w:rsidRPr="00B60E37" w:rsidRDefault="00625246" w:rsidP="009A52AE">
            <w:pPr>
              <w:pStyle w:val="Default"/>
              <w:jc w:val="both"/>
              <w:rPr>
                <w:szCs w:val="20"/>
                <w:highlight w:val="yellow"/>
                <w:lang w:val="en-GB"/>
              </w:rPr>
            </w:pPr>
            <w:r>
              <w:rPr>
                <w:sz w:val="20"/>
                <w:szCs w:val="20"/>
                <w:lang w:val="en-GB"/>
              </w:rPr>
              <w:t>C</w:t>
            </w:r>
            <w:r w:rsidR="00752683" w:rsidRPr="00752683">
              <w:rPr>
                <w:sz w:val="20"/>
                <w:szCs w:val="20"/>
                <w:lang w:val="en-GB"/>
              </w:rPr>
              <w:t xml:space="preserve">N </w:t>
            </w:r>
            <w:r w:rsidR="009A52AE">
              <w:rPr>
                <w:sz w:val="20"/>
                <w:szCs w:val="20"/>
                <w:lang w:val="en-GB"/>
              </w:rPr>
              <w:t>S</w:t>
            </w:r>
            <w:r w:rsidR="00752683" w:rsidRPr="00752683">
              <w:rPr>
                <w:sz w:val="20"/>
                <w:szCs w:val="20"/>
                <w:lang w:val="en-GB"/>
              </w:rPr>
              <w:t xml:space="preserve">ubheading </w:t>
            </w:r>
          </w:p>
        </w:tc>
      </w:tr>
      <w:tr w:rsidR="00C95CF7" w:rsidRPr="00B60E37" w14:paraId="78D63B8D" w14:textId="77777777" w:rsidTr="00843E28">
        <w:tc>
          <w:tcPr>
            <w:tcW w:w="392" w:type="dxa"/>
            <w:shd w:val="clear" w:color="auto" w:fill="auto"/>
          </w:tcPr>
          <w:p w14:paraId="20D94A18" w14:textId="77777777" w:rsidR="00C95CF7" w:rsidRPr="00752683" w:rsidRDefault="00C95CF7" w:rsidP="00D1195A">
            <w:pPr>
              <w:pStyle w:val="FURSnaslov1"/>
              <w:jc w:val="both"/>
              <w:rPr>
                <w:lang w:val="en-GB"/>
              </w:rPr>
            </w:pPr>
            <w:r w:rsidRPr="00752683">
              <w:rPr>
                <w:lang w:val="en-GB"/>
              </w:rPr>
              <w:t>1</w:t>
            </w:r>
          </w:p>
        </w:tc>
        <w:tc>
          <w:tcPr>
            <w:tcW w:w="425" w:type="dxa"/>
            <w:shd w:val="clear" w:color="auto" w:fill="auto"/>
          </w:tcPr>
          <w:p w14:paraId="4AFC5070" w14:textId="77777777" w:rsidR="00C95CF7" w:rsidRPr="00752683" w:rsidRDefault="00C95CF7" w:rsidP="00D1195A">
            <w:pPr>
              <w:pStyle w:val="FURSnaslov1"/>
              <w:jc w:val="both"/>
              <w:rPr>
                <w:lang w:val="en-GB"/>
              </w:rPr>
            </w:pPr>
            <w:r w:rsidRPr="00752683">
              <w:rPr>
                <w:lang w:val="en-GB"/>
              </w:rPr>
              <w:t>2</w:t>
            </w:r>
          </w:p>
        </w:tc>
        <w:tc>
          <w:tcPr>
            <w:tcW w:w="425" w:type="dxa"/>
            <w:shd w:val="clear" w:color="auto" w:fill="auto"/>
          </w:tcPr>
          <w:p w14:paraId="4CA6AABC" w14:textId="77777777" w:rsidR="00C95CF7" w:rsidRPr="00752683" w:rsidRDefault="00C95CF7" w:rsidP="00D1195A">
            <w:pPr>
              <w:pStyle w:val="FURSnaslov1"/>
              <w:jc w:val="both"/>
              <w:rPr>
                <w:lang w:val="en-GB"/>
              </w:rPr>
            </w:pPr>
            <w:r w:rsidRPr="00752683">
              <w:rPr>
                <w:lang w:val="en-GB"/>
              </w:rPr>
              <w:t>3</w:t>
            </w:r>
          </w:p>
        </w:tc>
        <w:tc>
          <w:tcPr>
            <w:tcW w:w="426" w:type="dxa"/>
            <w:shd w:val="clear" w:color="auto" w:fill="auto"/>
          </w:tcPr>
          <w:p w14:paraId="30F0C42A" w14:textId="77777777" w:rsidR="00C95CF7" w:rsidRPr="00752683" w:rsidRDefault="00C95CF7" w:rsidP="00D1195A">
            <w:pPr>
              <w:pStyle w:val="FURSnaslov1"/>
              <w:jc w:val="both"/>
              <w:rPr>
                <w:lang w:val="en-GB"/>
              </w:rPr>
            </w:pPr>
            <w:r w:rsidRPr="00752683">
              <w:rPr>
                <w:lang w:val="en-GB"/>
              </w:rPr>
              <w:t>4</w:t>
            </w:r>
          </w:p>
        </w:tc>
        <w:tc>
          <w:tcPr>
            <w:tcW w:w="425" w:type="dxa"/>
            <w:shd w:val="clear" w:color="auto" w:fill="auto"/>
          </w:tcPr>
          <w:p w14:paraId="1FA25F3E" w14:textId="77777777" w:rsidR="00C95CF7" w:rsidRPr="00752683" w:rsidRDefault="00C95CF7" w:rsidP="00D1195A">
            <w:pPr>
              <w:pStyle w:val="FURSnaslov1"/>
              <w:jc w:val="both"/>
              <w:rPr>
                <w:lang w:val="en-GB"/>
              </w:rPr>
            </w:pPr>
            <w:r w:rsidRPr="00752683">
              <w:rPr>
                <w:lang w:val="en-GB"/>
              </w:rPr>
              <w:t>5</w:t>
            </w:r>
          </w:p>
        </w:tc>
        <w:tc>
          <w:tcPr>
            <w:tcW w:w="425" w:type="dxa"/>
            <w:shd w:val="clear" w:color="auto" w:fill="auto"/>
          </w:tcPr>
          <w:p w14:paraId="332C9B26" w14:textId="77777777" w:rsidR="00C95CF7" w:rsidRPr="00752683" w:rsidRDefault="00C95CF7" w:rsidP="00D1195A">
            <w:pPr>
              <w:pStyle w:val="FURSnaslov1"/>
              <w:jc w:val="both"/>
              <w:rPr>
                <w:lang w:val="en-GB"/>
              </w:rPr>
            </w:pPr>
            <w:r w:rsidRPr="00752683">
              <w:rPr>
                <w:lang w:val="en-GB"/>
              </w:rPr>
              <w:t>6</w:t>
            </w:r>
          </w:p>
        </w:tc>
        <w:tc>
          <w:tcPr>
            <w:tcW w:w="425" w:type="dxa"/>
            <w:shd w:val="clear" w:color="auto" w:fill="auto"/>
          </w:tcPr>
          <w:p w14:paraId="5148E189" w14:textId="77777777" w:rsidR="00C95CF7" w:rsidRPr="00752683" w:rsidRDefault="00C95CF7" w:rsidP="00D1195A">
            <w:pPr>
              <w:pStyle w:val="FURSnaslov1"/>
              <w:jc w:val="both"/>
              <w:rPr>
                <w:lang w:val="en-GB"/>
              </w:rPr>
            </w:pPr>
            <w:r w:rsidRPr="00752683">
              <w:rPr>
                <w:lang w:val="en-GB"/>
              </w:rPr>
              <w:t>7</w:t>
            </w:r>
          </w:p>
        </w:tc>
        <w:tc>
          <w:tcPr>
            <w:tcW w:w="426" w:type="dxa"/>
            <w:shd w:val="clear" w:color="auto" w:fill="auto"/>
          </w:tcPr>
          <w:p w14:paraId="740131B6" w14:textId="77777777" w:rsidR="00C95CF7" w:rsidRPr="00752683" w:rsidRDefault="00C95CF7" w:rsidP="00D1195A">
            <w:pPr>
              <w:pStyle w:val="FURSnaslov1"/>
              <w:jc w:val="both"/>
              <w:rPr>
                <w:lang w:val="en-GB"/>
              </w:rPr>
            </w:pPr>
            <w:r w:rsidRPr="00752683">
              <w:rPr>
                <w:lang w:val="en-GB"/>
              </w:rPr>
              <w:t>8</w:t>
            </w:r>
          </w:p>
        </w:tc>
        <w:tc>
          <w:tcPr>
            <w:tcW w:w="2835" w:type="dxa"/>
            <w:shd w:val="clear" w:color="auto" w:fill="auto"/>
          </w:tcPr>
          <w:p w14:paraId="6CDD175D" w14:textId="77777777" w:rsidR="00C95CF7" w:rsidRPr="00B60E37" w:rsidRDefault="00625246" w:rsidP="009A52AE">
            <w:pPr>
              <w:pStyle w:val="Default"/>
              <w:jc w:val="both"/>
              <w:rPr>
                <w:szCs w:val="20"/>
                <w:highlight w:val="yellow"/>
                <w:lang w:val="en-GB"/>
              </w:rPr>
            </w:pPr>
            <w:r>
              <w:rPr>
                <w:sz w:val="20"/>
                <w:szCs w:val="20"/>
                <w:lang w:val="en-GB"/>
              </w:rPr>
              <w:t xml:space="preserve">CN </w:t>
            </w:r>
            <w:r w:rsidR="009A52AE">
              <w:rPr>
                <w:sz w:val="20"/>
                <w:szCs w:val="20"/>
                <w:lang w:val="en-GB"/>
              </w:rPr>
              <w:t>C</w:t>
            </w:r>
            <w:r>
              <w:rPr>
                <w:sz w:val="20"/>
                <w:szCs w:val="20"/>
                <w:lang w:val="en-GB"/>
              </w:rPr>
              <w:t>ode</w:t>
            </w:r>
            <w:r w:rsidR="00C95CF7" w:rsidRPr="00B60E37">
              <w:rPr>
                <w:sz w:val="20"/>
                <w:szCs w:val="20"/>
                <w:highlight w:val="yellow"/>
                <w:lang w:val="en-GB"/>
              </w:rPr>
              <w:t xml:space="preserve"> </w:t>
            </w:r>
          </w:p>
        </w:tc>
      </w:tr>
    </w:tbl>
    <w:p w14:paraId="4DB7784C" w14:textId="77777777" w:rsidR="00370FCA" w:rsidRPr="00B60E37" w:rsidRDefault="00370FCA" w:rsidP="00D1195A">
      <w:pPr>
        <w:pStyle w:val="FURSnaslov1"/>
        <w:jc w:val="both"/>
        <w:rPr>
          <w:highlight w:val="yellow"/>
          <w:lang w:val="en-GB"/>
        </w:rPr>
      </w:pPr>
    </w:p>
    <w:p w14:paraId="128EE0FE" w14:textId="77777777" w:rsidR="00F076DC" w:rsidRDefault="00F076DC" w:rsidP="00D1195A">
      <w:pPr>
        <w:pStyle w:val="FURSnaslov1"/>
        <w:jc w:val="both"/>
        <w:rPr>
          <w:sz w:val="20"/>
          <w:szCs w:val="20"/>
          <w:lang w:val="en-GB"/>
        </w:rPr>
      </w:pPr>
    </w:p>
    <w:p w14:paraId="0E5A1A89" w14:textId="77777777" w:rsidR="00C95CF7" w:rsidRPr="00416EE2" w:rsidRDefault="00416EE2" w:rsidP="00D1195A">
      <w:pPr>
        <w:pStyle w:val="FURSnaslov1"/>
        <w:jc w:val="both"/>
        <w:rPr>
          <w:sz w:val="20"/>
          <w:szCs w:val="20"/>
          <w:lang w:val="en-GB"/>
        </w:rPr>
      </w:pPr>
      <w:r w:rsidRPr="00416EE2">
        <w:rPr>
          <w:sz w:val="20"/>
          <w:szCs w:val="20"/>
          <w:lang w:val="en-GB"/>
        </w:rPr>
        <w:t>Conventional rate of duty</w:t>
      </w:r>
    </w:p>
    <w:p w14:paraId="31B8BE55" w14:textId="77777777" w:rsidR="00C95CF7" w:rsidRPr="00B60E37" w:rsidRDefault="00C95CF7" w:rsidP="00D1195A">
      <w:pPr>
        <w:pStyle w:val="FURSnaslov1"/>
        <w:jc w:val="both"/>
        <w:rPr>
          <w:b w:val="0"/>
          <w:sz w:val="20"/>
          <w:szCs w:val="20"/>
          <w:highlight w:val="yellow"/>
          <w:lang w:val="en-GB"/>
        </w:rPr>
      </w:pPr>
    </w:p>
    <w:p w14:paraId="176A7E13" w14:textId="77777777" w:rsidR="00416EE2" w:rsidRPr="00416EE2" w:rsidRDefault="00416EE2" w:rsidP="00D1195A">
      <w:pPr>
        <w:pStyle w:val="FURSnaslov1"/>
        <w:jc w:val="both"/>
        <w:rPr>
          <w:b w:val="0"/>
          <w:sz w:val="20"/>
          <w:szCs w:val="20"/>
          <w:lang w:val="en-GB"/>
        </w:rPr>
      </w:pPr>
      <w:r>
        <w:rPr>
          <w:b w:val="0"/>
          <w:sz w:val="20"/>
          <w:szCs w:val="20"/>
          <w:lang w:val="en-GB"/>
        </w:rPr>
        <w:t xml:space="preserve">Imported goods originating </w:t>
      </w:r>
      <w:r w:rsidR="00EA7F14">
        <w:rPr>
          <w:b w:val="0"/>
          <w:sz w:val="20"/>
          <w:szCs w:val="20"/>
          <w:lang w:val="en-GB"/>
        </w:rPr>
        <w:t>in</w:t>
      </w:r>
      <w:r>
        <w:rPr>
          <w:b w:val="0"/>
          <w:sz w:val="20"/>
          <w:szCs w:val="20"/>
          <w:lang w:val="en-GB"/>
        </w:rPr>
        <w:t xml:space="preserve"> the Contracting Parties to the </w:t>
      </w:r>
      <w:r w:rsidRPr="00416EE2">
        <w:rPr>
          <w:b w:val="0"/>
          <w:sz w:val="20"/>
          <w:szCs w:val="20"/>
          <w:lang w:val="en-GB"/>
        </w:rPr>
        <w:t>General Agreement on Tariffs and Trade</w:t>
      </w:r>
      <w:r w:rsidR="009A52AE">
        <w:rPr>
          <w:b w:val="0"/>
          <w:sz w:val="20"/>
          <w:szCs w:val="20"/>
          <w:lang w:val="en-GB"/>
        </w:rPr>
        <w:t xml:space="preserve"> (GATT)</w:t>
      </w:r>
      <w:r>
        <w:rPr>
          <w:b w:val="0"/>
          <w:sz w:val="20"/>
          <w:szCs w:val="20"/>
          <w:lang w:val="en-GB"/>
        </w:rPr>
        <w:t xml:space="preserve"> or from countries </w:t>
      </w:r>
      <w:r w:rsidR="00A85F25">
        <w:rPr>
          <w:b w:val="0"/>
          <w:sz w:val="20"/>
          <w:szCs w:val="20"/>
          <w:lang w:val="en-GB"/>
        </w:rPr>
        <w:t>that</w:t>
      </w:r>
      <w:r>
        <w:rPr>
          <w:b w:val="0"/>
          <w:sz w:val="20"/>
          <w:szCs w:val="20"/>
          <w:lang w:val="en-GB"/>
        </w:rPr>
        <w:t xml:space="preserve"> have </w:t>
      </w:r>
      <w:r w:rsidR="00EA4C70">
        <w:rPr>
          <w:b w:val="0"/>
          <w:sz w:val="20"/>
          <w:szCs w:val="20"/>
          <w:lang w:val="en-GB"/>
        </w:rPr>
        <w:t>concluded</w:t>
      </w:r>
      <w:r>
        <w:rPr>
          <w:b w:val="0"/>
          <w:sz w:val="20"/>
          <w:szCs w:val="20"/>
          <w:lang w:val="en-GB"/>
        </w:rPr>
        <w:t xml:space="preserve"> agreements with the EU containing the </w:t>
      </w:r>
      <w:r w:rsidRPr="00416EE2">
        <w:rPr>
          <w:b w:val="0"/>
          <w:sz w:val="20"/>
          <w:szCs w:val="20"/>
        </w:rPr>
        <w:t>most</w:t>
      </w:r>
      <w:r w:rsidRPr="00416EE2">
        <w:rPr>
          <w:b w:val="0"/>
          <w:sz w:val="20"/>
          <w:szCs w:val="20"/>
          <w:lang w:val="en-GB"/>
        </w:rPr>
        <w:t>-favoured-nation treatment</w:t>
      </w:r>
      <w:r>
        <w:rPr>
          <w:b w:val="0"/>
          <w:sz w:val="20"/>
          <w:szCs w:val="20"/>
          <w:lang w:val="en-GB"/>
        </w:rPr>
        <w:t xml:space="preserve"> </w:t>
      </w:r>
      <w:r w:rsidR="00EA4C70">
        <w:rPr>
          <w:b w:val="0"/>
          <w:sz w:val="20"/>
          <w:szCs w:val="20"/>
          <w:lang w:val="en-GB"/>
        </w:rPr>
        <w:t xml:space="preserve">clause </w:t>
      </w:r>
      <w:r>
        <w:rPr>
          <w:b w:val="0"/>
          <w:sz w:val="20"/>
          <w:szCs w:val="20"/>
          <w:lang w:val="en-GB"/>
        </w:rPr>
        <w:t xml:space="preserve">are subject to </w:t>
      </w:r>
      <w:r w:rsidR="00DB321D">
        <w:rPr>
          <w:b w:val="0"/>
          <w:sz w:val="20"/>
          <w:szCs w:val="20"/>
          <w:lang w:val="en-GB"/>
        </w:rPr>
        <w:t xml:space="preserve">the </w:t>
      </w:r>
      <w:r>
        <w:rPr>
          <w:b w:val="0"/>
          <w:sz w:val="20"/>
          <w:szCs w:val="20"/>
          <w:lang w:val="en-GB"/>
        </w:rPr>
        <w:t xml:space="preserve">conventional rates of duty given in Column 3 of the </w:t>
      </w:r>
      <w:r w:rsidR="00DB321D">
        <w:rPr>
          <w:b w:val="0"/>
          <w:sz w:val="20"/>
          <w:szCs w:val="20"/>
          <w:lang w:val="en-GB"/>
        </w:rPr>
        <w:t>Schedule of customs dut</w:t>
      </w:r>
      <w:r w:rsidR="009A52AE">
        <w:rPr>
          <w:b w:val="0"/>
          <w:sz w:val="20"/>
          <w:szCs w:val="20"/>
          <w:lang w:val="en-GB"/>
        </w:rPr>
        <w:t>ies</w:t>
      </w:r>
      <w:r w:rsidR="00DB321D">
        <w:rPr>
          <w:b w:val="0"/>
          <w:sz w:val="20"/>
          <w:szCs w:val="20"/>
          <w:lang w:val="en-GB"/>
        </w:rPr>
        <w:t xml:space="preserve">. </w:t>
      </w:r>
      <w:r w:rsidR="00A85F25">
        <w:rPr>
          <w:b w:val="0"/>
          <w:sz w:val="20"/>
          <w:szCs w:val="20"/>
          <w:lang w:val="en-GB"/>
        </w:rPr>
        <w:t>T</w:t>
      </w:r>
      <w:r w:rsidR="00DB321D">
        <w:rPr>
          <w:b w:val="0"/>
          <w:sz w:val="20"/>
          <w:szCs w:val="20"/>
          <w:lang w:val="en-GB"/>
        </w:rPr>
        <w:t>he conventional rates of duty also appl</w:t>
      </w:r>
      <w:r w:rsidR="00A85F25">
        <w:rPr>
          <w:b w:val="0"/>
          <w:sz w:val="20"/>
          <w:szCs w:val="20"/>
          <w:lang w:val="en-GB"/>
        </w:rPr>
        <w:t>y</w:t>
      </w:r>
      <w:r w:rsidR="00DB321D">
        <w:rPr>
          <w:b w:val="0"/>
          <w:sz w:val="20"/>
          <w:szCs w:val="20"/>
          <w:lang w:val="en-GB"/>
        </w:rPr>
        <w:t xml:space="preserve"> to other goods imported from third countr</w:t>
      </w:r>
      <w:r w:rsidR="00EA7F14">
        <w:rPr>
          <w:b w:val="0"/>
          <w:sz w:val="20"/>
          <w:szCs w:val="20"/>
          <w:lang w:val="en-GB"/>
        </w:rPr>
        <w:t>ies</w:t>
      </w:r>
      <w:r w:rsidR="00A85F25">
        <w:rPr>
          <w:b w:val="0"/>
          <w:sz w:val="20"/>
          <w:szCs w:val="20"/>
          <w:lang w:val="en-GB"/>
        </w:rPr>
        <w:t xml:space="preserve"> u</w:t>
      </w:r>
      <w:r w:rsidR="00A85F25" w:rsidRPr="00A85F25">
        <w:rPr>
          <w:b w:val="0"/>
          <w:sz w:val="20"/>
          <w:szCs w:val="20"/>
          <w:lang w:val="en-GB"/>
        </w:rPr>
        <w:t>nless otherwise provided for</w:t>
      </w:r>
      <w:r w:rsidR="00A85F25">
        <w:rPr>
          <w:b w:val="0"/>
          <w:sz w:val="20"/>
          <w:szCs w:val="20"/>
          <w:lang w:val="en-GB"/>
        </w:rPr>
        <w:t>.</w:t>
      </w:r>
    </w:p>
    <w:sectPr w:rsidR="00416EE2" w:rsidRPr="00416EE2" w:rsidSect="00783310">
      <w:headerReference w:type="default" r:id="rId16"/>
      <w:footerReference w:type="default" r:id="rId17"/>
      <w:headerReference w:type="first" r:id="rId18"/>
      <w:footerReference w:type="first" r:id="rId19"/>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93EC36" w14:textId="77777777" w:rsidR="008B024D" w:rsidRDefault="008B024D">
      <w:r>
        <w:separator/>
      </w:r>
    </w:p>
  </w:endnote>
  <w:endnote w:type="continuationSeparator" w:id="0">
    <w:p w14:paraId="059AB3E7" w14:textId="77777777" w:rsidR="008B024D" w:rsidRDefault="008B02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Republika Bold">
    <w:altName w:val="Courier New"/>
    <w:panose1 w:val="02000806030000020004"/>
    <w:charset w:val="00"/>
    <w:family w:val="auto"/>
    <w:pitch w:val="variable"/>
    <w:sig w:usb0="03000000"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E8721" w14:textId="77777777" w:rsidR="00A86AA7" w:rsidRDefault="00A86AA7" w:rsidP="009F30FB">
    <w:pPr>
      <w:pStyle w:val="Noga"/>
      <w:jc w:val="right"/>
    </w:pPr>
    <w:r>
      <w:fldChar w:fldCharType="begin"/>
    </w:r>
    <w:r>
      <w:instrText>PAGE   \* MERGEFORMAT</w:instrText>
    </w:r>
    <w:r>
      <w:fldChar w:fldCharType="separate"/>
    </w:r>
    <w:r w:rsidR="00A32B40" w:rsidRPr="00A32B40">
      <w:rPr>
        <w:noProof/>
        <w:lang w:val="sl-SI"/>
      </w:rPr>
      <w:t>4</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DFDA5" w14:textId="77777777" w:rsidR="00A86AA7" w:rsidRDefault="00A86AA7" w:rsidP="00751D38">
    <w:pPr>
      <w:pStyle w:val="Nog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EF7F6C" w14:textId="77777777" w:rsidR="008B024D" w:rsidRDefault="008B024D">
      <w:r>
        <w:separator/>
      </w:r>
    </w:p>
  </w:footnote>
  <w:footnote w:type="continuationSeparator" w:id="0">
    <w:p w14:paraId="4BD94578" w14:textId="77777777" w:rsidR="008B024D" w:rsidRDefault="008B02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B4BF2" w14:textId="77777777" w:rsidR="00A86AA7" w:rsidRPr="00110CBD" w:rsidRDefault="00A86AA7"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A86AA7" w:rsidRPr="008F3500" w14:paraId="238312CF" w14:textId="77777777">
      <w:trPr>
        <w:cantSplit/>
        <w:trHeight w:hRule="exact" w:val="847"/>
      </w:trPr>
      <w:tc>
        <w:tcPr>
          <w:tcW w:w="567" w:type="dxa"/>
        </w:tcPr>
        <w:p w14:paraId="78ADC9B5" w14:textId="77777777" w:rsidR="00A86AA7" w:rsidRDefault="00A86AA7" w:rsidP="00D248DE">
          <w:pPr>
            <w:autoSpaceDE w:val="0"/>
            <w:autoSpaceDN w:val="0"/>
            <w:adjustRightInd w:val="0"/>
            <w:spacing w:line="240" w:lineRule="auto"/>
            <w:rPr>
              <w:rFonts w:ascii="Republika" w:hAnsi="Republika"/>
              <w:color w:val="529DBA"/>
              <w:sz w:val="60"/>
              <w:szCs w:val="60"/>
              <w:lang w:val="sl-SI"/>
            </w:rPr>
          </w:pPr>
          <w:r w:rsidRPr="008F3500">
            <w:rPr>
              <w:rFonts w:ascii="Republika" w:hAnsi="Republika" w:cs="Republika"/>
              <w:color w:val="529DBA"/>
              <w:sz w:val="60"/>
              <w:szCs w:val="60"/>
              <w:lang w:val="sl-SI" w:eastAsia="sl-SI"/>
            </w:rPr>
            <w:t></w:t>
          </w:r>
        </w:p>
        <w:p w14:paraId="3E202628" w14:textId="77777777" w:rsidR="00A86AA7" w:rsidRPr="006D42D9" w:rsidRDefault="00A86AA7" w:rsidP="006D42D9">
          <w:pPr>
            <w:rPr>
              <w:rFonts w:ascii="Republika" w:hAnsi="Republika"/>
              <w:sz w:val="60"/>
              <w:szCs w:val="60"/>
              <w:lang w:val="sl-SI"/>
            </w:rPr>
          </w:pPr>
        </w:p>
        <w:p w14:paraId="72649AAE" w14:textId="77777777" w:rsidR="00A86AA7" w:rsidRPr="006D42D9" w:rsidRDefault="00A86AA7" w:rsidP="006D42D9">
          <w:pPr>
            <w:rPr>
              <w:rFonts w:ascii="Republika" w:hAnsi="Republika"/>
              <w:sz w:val="60"/>
              <w:szCs w:val="60"/>
              <w:lang w:val="sl-SI"/>
            </w:rPr>
          </w:pPr>
        </w:p>
        <w:p w14:paraId="188EF05C" w14:textId="77777777" w:rsidR="00A86AA7" w:rsidRPr="006D42D9" w:rsidRDefault="00A86AA7" w:rsidP="006D42D9">
          <w:pPr>
            <w:rPr>
              <w:rFonts w:ascii="Republika" w:hAnsi="Republika"/>
              <w:sz w:val="60"/>
              <w:szCs w:val="60"/>
              <w:lang w:val="sl-SI"/>
            </w:rPr>
          </w:pPr>
        </w:p>
        <w:p w14:paraId="3EA7C9AC" w14:textId="77777777" w:rsidR="00A86AA7" w:rsidRPr="006D42D9" w:rsidRDefault="00A86AA7" w:rsidP="006D42D9">
          <w:pPr>
            <w:rPr>
              <w:rFonts w:ascii="Republika" w:hAnsi="Republika"/>
              <w:sz w:val="60"/>
              <w:szCs w:val="60"/>
              <w:lang w:val="sl-SI"/>
            </w:rPr>
          </w:pPr>
        </w:p>
        <w:p w14:paraId="45F09391" w14:textId="77777777" w:rsidR="00A86AA7" w:rsidRPr="006D42D9" w:rsidRDefault="00A86AA7" w:rsidP="006D42D9">
          <w:pPr>
            <w:rPr>
              <w:rFonts w:ascii="Republika" w:hAnsi="Republika"/>
              <w:sz w:val="60"/>
              <w:szCs w:val="60"/>
              <w:lang w:val="sl-SI"/>
            </w:rPr>
          </w:pPr>
        </w:p>
        <w:p w14:paraId="3959F17A" w14:textId="77777777" w:rsidR="00A86AA7" w:rsidRPr="006D42D9" w:rsidRDefault="00A86AA7" w:rsidP="006D42D9">
          <w:pPr>
            <w:rPr>
              <w:rFonts w:ascii="Republika" w:hAnsi="Republika"/>
              <w:sz w:val="60"/>
              <w:szCs w:val="60"/>
              <w:lang w:val="sl-SI"/>
            </w:rPr>
          </w:pPr>
        </w:p>
        <w:p w14:paraId="4A9199F4" w14:textId="77777777" w:rsidR="00A86AA7" w:rsidRPr="006D42D9" w:rsidRDefault="00A86AA7" w:rsidP="006D42D9">
          <w:pPr>
            <w:rPr>
              <w:rFonts w:ascii="Republika" w:hAnsi="Republika"/>
              <w:sz w:val="60"/>
              <w:szCs w:val="60"/>
              <w:lang w:val="sl-SI"/>
            </w:rPr>
          </w:pPr>
        </w:p>
        <w:p w14:paraId="4ECC0E2A" w14:textId="77777777" w:rsidR="00A86AA7" w:rsidRPr="006D42D9" w:rsidRDefault="00A86AA7" w:rsidP="006D42D9">
          <w:pPr>
            <w:rPr>
              <w:rFonts w:ascii="Republika" w:hAnsi="Republika"/>
              <w:sz w:val="60"/>
              <w:szCs w:val="60"/>
              <w:lang w:val="sl-SI"/>
            </w:rPr>
          </w:pPr>
        </w:p>
        <w:p w14:paraId="05484A03" w14:textId="77777777" w:rsidR="00A86AA7" w:rsidRPr="006D42D9" w:rsidRDefault="00A86AA7" w:rsidP="006D42D9">
          <w:pPr>
            <w:rPr>
              <w:rFonts w:ascii="Republika" w:hAnsi="Republika"/>
              <w:sz w:val="60"/>
              <w:szCs w:val="60"/>
              <w:lang w:val="sl-SI"/>
            </w:rPr>
          </w:pPr>
        </w:p>
        <w:p w14:paraId="414C0605" w14:textId="77777777" w:rsidR="00A86AA7" w:rsidRPr="006D42D9" w:rsidRDefault="00A86AA7" w:rsidP="006D42D9">
          <w:pPr>
            <w:rPr>
              <w:rFonts w:ascii="Republika" w:hAnsi="Republika"/>
              <w:sz w:val="60"/>
              <w:szCs w:val="60"/>
              <w:lang w:val="sl-SI"/>
            </w:rPr>
          </w:pPr>
        </w:p>
        <w:p w14:paraId="1C8FB8BF" w14:textId="77777777" w:rsidR="00A86AA7" w:rsidRPr="006D42D9" w:rsidRDefault="00A86AA7" w:rsidP="006D42D9">
          <w:pPr>
            <w:rPr>
              <w:rFonts w:ascii="Republika" w:hAnsi="Republika"/>
              <w:sz w:val="60"/>
              <w:szCs w:val="60"/>
              <w:lang w:val="sl-SI"/>
            </w:rPr>
          </w:pPr>
        </w:p>
        <w:p w14:paraId="50AF4370" w14:textId="77777777" w:rsidR="00A86AA7" w:rsidRPr="006D42D9" w:rsidRDefault="00A86AA7" w:rsidP="006D42D9">
          <w:pPr>
            <w:rPr>
              <w:rFonts w:ascii="Republika" w:hAnsi="Republika"/>
              <w:sz w:val="60"/>
              <w:szCs w:val="60"/>
              <w:lang w:val="sl-SI"/>
            </w:rPr>
          </w:pPr>
        </w:p>
        <w:p w14:paraId="6EBB0789" w14:textId="77777777" w:rsidR="00A86AA7" w:rsidRPr="006D42D9" w:rsidRDefault="00A86AA7" w:rsidP="006D42D9">
          <w:pPr>
            <w:rPr>
              <w:rFonts w:ascii="Republika" w:hAnsi="Republika"/>
              <w:sz w:val="60"/>
              <w:szCs w:val="60"/>
              <w:lang w:val="sl-SI"/>
            </w:rPr>
          </w:pPr>
        </w:p>
        <w:p w14:paraId="181D0989" w14:textId="77777777" w:rsidR="00A86AA7" w:rsidRPr="006D42D9" w:rsidRDefault="00A86AA7" w:rsidP="006D42D9">
          <w:pPr>
            <w:rPr>
              <w:rFonts w:ascii="Republika" w:hAnsi="Republika"/>
              <w:sz w:val="60"/>
              <w:szCs w:val="60"/>
              <w:lang w:val="sl-SI"/>
            </w:rPr>
          </w:pPr>
        </w:p>
        <w:p w14:paraId="2D037C80" w14:textId="77777777" w:rsidR="00A86AA7" w:rsidRPr="006D42D9" w:rsidRDefault="00A86AA7" w:rsidP="006D42D9">
          <w:pPr>
            <w:rPr>
              <w:rFonts w:ascii="Republika" w:hAnsi="Republika"/>
              <w:sz w:val="60"/>
              <w:szCs w:val="60"/>
              <w:lang w:val="sl-SI"/>
            </w:rPr>
          </w:pPr>
        </w:p>
        <w:p w14:paraId="79CC0906" w14:textId="77777777" w:rsidR="00A86AA7" w:rsidRPr="006D42D9" w:rsidRDefault="00A86AA7" w:rsidP="006D42D9">
          <w:pPr>
            <w:rPr>
              <w:rFonts w:ascii="Republika" w:hAnsi="Republika"/>
              <w:sz w:val="60"/>
              <w:szCs w:val="60"/>
              <w:lang w:val="sl-SI"/>
            </w:rPr>
          </w:pPr>
        </w:p>
      </w:tc>
    </w:tr>
  </w:tbl>
  <w:p w14:paraId="76754AC4" w14:textId="17295E78" w:rsidR="00A86AA7" w:rsidRPr="008F3500" w:rsidRDefault="001C1852" w:rsidP="00924E3C">
    <w:pPr>
      <w:autoSpaceDE w:val="0"/>
      <w:autoSpaceDN w:val="0"/>
      <w:adjustRightInd w:val="0"/>
      <w:spacing w:line="240" w:lineRule="auto"/>
      <w:rPr>
        <w:rFonts w:ascii="Republika" w:hAnsi="Republika"/>
        <w:lang w:val="sl-SI"/>
      </w:rPr>
    </w:pPr>
    <w:r w:rsidRPr="008F3500">
      <w:rPr>
        <w:noProof/>
        <w:szCs w:val="20"/>
        <w:lang w:val="sl-SI" w:eastAsia="sl-SI"/>
      </w:rPr>
      <mc:AlternateContent>
        <mc:Choice Requires="wps">
          <w:drawing>
            <wp:anchor distT="0" distB="0" distL="114300" distR="114300" simplePos="0" relativeHeight="251657728" behindDoc="1" locked="0" layoutInCell="0" allowOverlap="1" wp14:anchorId="479D8C24" wp14:editId="643D1A5D">
              <wp:simplePos x="0" y="0"/>
              <wp:positionH relativeFrom="column">
                <wp:posOffset>-431800</wp:posOffset>
              </wp:positionH>
              <wp:positionV relativeFrom="page">
                <wp:posOffset>3600450</wp:posOffset>
              </wp:positionV>
              <wp:extent cx="252095" cy="0"/>
              <wp:effectExtent l="6350" t="9525" r="8255" b="9525"/>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727DCB" id="Line 5"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00A86AA7" w:rsidRPr="008F3500">
      <w:rPr>
        <w:rFonts w:ascii="Republika" w:hAnsi="Republika"/>
        <w:lang w:val="sl-SI"/>
      </w:rPr>
      <w:t>REPUBLIKA SLOVENIJA</w:t>
    </w:r>
  </w:p>
  <w:p w14:paraId="0CC22A8E" w14:textId="77777777" w:rsidR="00A86AA7" w:rsidRPr="008F3500" w:rsidRDefault="00A86AA7" w:rsidP="00924E3C">
    <w:pPr>
      <w:pStyle w:val="Glava"/>
      <w:tabs>
        <w:tab w:val="clear" w:pos="4320"/>
        <w:tab w:val="clear" w:pos="8640"/>
        <w:tab w:val="left" w:pos="5112"/>
      </w:tabs>
      <w:spacing w:after="120" w:line="240" w:lineRule="exact"/>
      <w:rPr>
        <w:rFonts w:ascii="Republika Bold" w:hAnsi="Republika Bold"/>
        <w:b/>
        <w:caps/>
        <w:lang w:val="sl-SI"/>
      </w:rPr>
    </w:pPr>
    <w:r>
      <w:rPr>
        <w:rFonts w:ascii="Republika Bold" w:hAnsi="Republika Bold"/>
        <w:b/>
        <w:caps/>
        <w:lang w:val="sl-SI"/>
      </w:rPr>
      <w:t>Ministrstvo za finance</w:t>
    </w:r>
  </w:p>
  <w:p w14:paraId="0FE74C0D" w14:textId="77777777" w:rsidR="00A86AA7" w:rsidRDefault="00A86AA7" w:rsidP="00ED7E82">
    <w:pPr>
      <w:pStyle w:val="Glava"/>
      <w:tabs>
        <w:tab w:val="clear" w:pos="4320"/>
        <w:tab w:val="clear" w:pos="8640"/>
        <w:tab w:val="left" w:pos="5112"/>
      </w:tabs>
      <w:spacing w:before="120" w:after="120" w:line="240" w:lineRule="exact"/>
      <w:rPr>
        <w:rFonts w:ascii="Republika" w:hAnsi="Republika"/>
        <w:caps/>
        <w:lang w:val="sl-SI"/>
      </w:rPr>
    </w:pPr>
    <w:r>
      <w:rPr>
        <w:rFonts w:ascii="Republika" w:hAnsi="Republika"/>
        <w:caps/>
        <w:lang w:val="sl-SI"/>
      </w:rPr>
      <w:t>FINANČNA uprava Republike Slovenije</w:t>
    </w:r>
  </w:p>
  <w:p w14:paraId="375D469F" w14:textId="77777777" w:rsidR="00A86AA7" w:rsidRPr="008F3500" w:rsidRDefault="00A86AA7" w:rsidP="00ED7E82">
    <w:pPr>
      <w:pStyle w:val="Glava"/>
      <w:tabs>
        <w:tab w:val="clear" w:pos="4320"/>
        <w:tab w:val="clear" w:pos="8640"/>
        <w:tab w:val="left" w:pos="5112"/>
      </w:tabs>
      <w:spacing w:before="240" w:line="240" w:lineRule="exact"/>
      <w:rPr>
        <w:rFonts w:cs="Arial"/>
        <w:sz w:val="16"/>
        <w:lang w:val="sl-SI"/>
      </w:rPr>
    </w:pPr>
    <w:r>
      <w:rPr>
        <w:rFonts w:cs="Arial"/>
        <w:sz w:val="16"/>
        <w:lang w:val="sl-SI"/>
      </w:rPr>
      <w:t xml:space="preserve">Šmartinska cesta 55, </w:t>
    </w:r>
    <w:proofErr w:type="spellStart"/>
    <w:r>
      <w:rPr>
        <w:rFonts w:cs="Arial"/>
        <w:sz w:val="16"/>
        <w:lang w:val="sl-SI"/>
      </w:rPr>
      <w:t>p.p</w:t>
    </w:r>
    <w:proofErr w:type="spellEnd"/>
    <w:r>
      <w:rPr>
        <w:rFonts w:cs="Arial"/>
        <w:sz w:val="16"/>
        <w:lang w:val="sl-SI"/>
      </w:rPr>
      <w:t>. 631</w:t>
    </w:r>
    <w:r w:rsidRPr="008F3500">
      <w:rPr>
        <w:rFonts w:cs="Arial"/>
        <w:sz w:val="16"/>
        <w:lang w:val="sl-SI"/>
      </w:rPr>
      <w:t xml:space="preserve">, </w:t>
    </w:r>
    <w:r>
      <w:rPr>
        <w:rFonts w:cs="Arial"/>
        <w:sz w:val="16"/>
        <w:lang w:val="sl-SI"/>
      </w:rPr>
      <w:t>1001 Ljubljana</w:t>
    </w:r>
    <w:r w:rsidRPr="008F3500">
      <w:rPr>
        <w:rFonts w:cs="Arial"/>
        <w:sz w:val="16"/>
        <w:lang w:val="sl-SI"/>
      </w:rPr>
      <w:tab/>
      <w:t xml:space="preserve">T: </w:t>
    </w:r>
    <w:r>
      <w:rPr>
        <w:rFonts w:cs="Arial"/>
        <w:sz w:val="16"/>
        <w:lang w:val="sl-SI"/>
      </w:rPr>
      <w:t>01 478 38 00</w:t>
    </w:r>
  </w:p>
  <w:p w14:paraId="106B0892" w14:textId="77777777" w:rsidR="00A86AA7" w:rsidRPr="008F3500" w:rsidRDefault="00A86AA7" w:rsidP="007D75CF">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Pr>
        <w:rFonts w:cs="Arial"/>
        <w:sz w:val="16"/>
        <w:lang w:val="sl-SI"/>
      </w:rPr>
      <w:t>gfu.fu@gov.si</w:t>
    </w:r>
  </w:p>
  <w:p w14:paraId="75349577" w14:textId="77777777" w:rsidR="00A86AA7" w:rsidRPr="008F3500" w:rsidRDefault="00A86AA7" w:rsidP="007D75CF">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Pr>
        <w:rFonts w:cs="Arial"/>
        <w:sz w:val="16"/>
        <w:lang w:val="sl-SI"/>
      </w:rPr>
      <w:t>www.fu.gov.si</w:t>
    </w:r>
  </w:p>
  <w:p w14:paraId="7D56DA8E" w14:textId="77777777" w:rsidR="00A86AA7" w:rsidRPr="008F3500" w:rsidRDefault="00A86AA7"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90C11"/>
    <w:multiLevelType w:val="hybridMultilevel"/>
    <w:tmpl w:val="8CB4575A"/>
    <w:lvl w:ilvl="0" w:tplc="B9C421B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1CF87E04"/>
    <w:multiLevelType w:val="hybridMultilevel"/>
    <w:tmpl w:val="4E26571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21D3567E"/>
    <w:multiLevelType w:val="hybridMultilevel"/>
    <w:tmpl w:val="F0B4C4B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452278D"/>
    <w:multiLevelType w:val="hybridMultilevel"/>
    <w:tmpl w:val="AB6CFEE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54168A7"/>
    <w:multiLevelType w:val="hybridMultilevel"/>
    <w:tmpl w:val="DADA57B4"/>
    <w:lvl w:ilvl="0" w:tplc="D0B8CDF6">
      <w:start w:val="1"/>
      <w:numFmt w:val="bullet"/>
      <w:lvlText w:val="-"/>
      <w:lvlJc w:val="left"/>
      <w:pPr>
        <w:ind w:left="1800" w:hanging="360"/>
      </w:pPr>
      <w:rPr>
        <w:rFonts w:ascii="Arial" w:eastAsia="Times New Roman" w:hAnsi="Arial" w:cs="Arial"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7" w15:restartNumberingAfterBreak="0">
    <w:nsid w:val="28D4751C"/>
    <w:multiLevelType w:val="hybridMultilevel"/>
    <w:tmpl w:val="F4F62C52"/>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15:restartNumberingAfterBreak="0">
    <w:nsid w:val="32511508"/>
    <w:multiLevelType w:val="hybridMultilevel"/>
    <w:tmpl w:val="618CB95E"/>
    <w:lvl w:ilvl="0" w:tplc="4D368B8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33EE6279"/>
    <w:multiLevelType w:val="multilevel"/>
    <w:tmpl w:val="07D4B010"/>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6C72A3B"/>
    <w:multiLevelType w:val="hybridMultilevel"/>
    <w:tmpl w:val="B56C657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382C3F7B"/>
    <w:multiLevelType w:val="hybridMultilevel"/>
    <w:tmpl w:val="568C9B2C"/>
    <w:lvl w:ilvl="0" w:tplc="5848224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CF423CF"/>
    <w:multiLevelType w:val="hybridMultilevel"/>
    <w:tmpl w:val="980C7FC4"/>
    <w:lvl w:ilvl="0" w:tplc="EA427A8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E5B5BD4"/>
    <w:multiLevelType w:val="hybridMultilevel"/>
    <w:tmpl w:val="2A508A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419667DD"/>
    <w:multiLevelType w:val="hybridMultilevel"/>
    <w:tmpl w:val="86FACE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449674BB"/>
    <w:multiLevelType w:val="hybridMultilevel"/>
    <w:tmpl w:val="082CEB4C"/>
    <w:lvl w:ilvl="0" w:tplc="D3169E94">
      <w:start w:val="1"/>
      <w:numFmt w:val="lowerLetter"/>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8" w15:restartNumberingAfterBreak="0">
    <w:nsid w:val="46AE50E0"/>
    <w:multiLevelType w:val="hybridMultilevel"/>
    <w:tmpl w:val="E59C567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4A0D1830"/>
    <w:multiLevelType w:val="hybridMultilevel"/>
    <w:tmpl w:val="30EEA26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4FDD23BD"/>
    <w:multiLevelType w:val="hybridMultilevel"/>
    <w:tmpl w:val="AAE6BCA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301015D"/>
    <w:multiLevelType w:val="hybridMultilevel"/>
    <w:tmpl w:val="8DA8F566"/>
    <w:lvl w:ilvl="0" w:tplc="338E3214">
      <w:start w:val="1"/>
      <w:numFmt w:val="decimal"/>
      <w:lvlText w:val="%1."/>
      <w:lvlJc w:val="left"/>
      <w:pPr>
        <w:ind w:left="720" w:hanging="360"/>
      </w:pPr>
      <w:rPr>
        <w:rFonts w:cs="Arial" w:hint="default"/>
        <w:sz w:val="28"/>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539F4FF9"/>
    <w:multiLevelType w:val="hybridMultilevel"/>
    <w:tmpl w:val="A4469CF0"/>
    <w:lvl w:ilvl="0" w:tplc="B9CC4B9A">
      <w:start w:val="1"/>
      <w:numFmt w:val="lowerLetter"/>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3" w15:restartNumberingAfterBreak="0">
    <w:nsid w:val="57A92A70"/>
    <w:multiLevelType w:val="hybridMultilevel"/>
    <w:tmpl w:val="FE280BC4"/>
    <w:lvl w:ilvl="0" w:tplc="343AE648">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F836C5D"/>
    <w:multiLevelType w:val="hybridMultilevel"/>
    <w:tmpl w:val="D2E8884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60B37F3D"/>
    <w:multiLevelType w:val="hybridMultilevel"/>
    <w:tmpl w:val="1CAEA37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6310386A"/>
    <w:multiLevelType w:val="hybridMultilevel"/>
    <w:tmpl w:val="B2AAB9AE"/>
    <w:lvl w:ilvl="0" w:tplc="6FC8B254">
      <w:start w:val="1"/>
      <w:numFmt w:val="decimal"/>
      <w:lvlText w:val="%1"/>
      <w:lvlJc w:val="left"/>
      <w:pPr>
        <w:ind w:left="720" w:hanging="360"/>
      </w:pPr>
      <w:rPr>
        <w:rFonts w:cs="Arial" w:hint="default"/>
        <w:sz w:val="28"/>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16cid:durableId="958146220">
    <w:abstractNumId w:val="27"/>
  </w:num>
  <w:num w:numId="2" w16cid:durableId="2080714703">
    <w:abstractNumId w:val="8"/>
  </w:num>
  <w:num w:numId="3" w16cid:durableId="545869178">
    <w:abstractNumId w:val="16"/>
  </w:num>
  <w:num w:numId="4" w16cid:durableId="635450483">
    <w:abstractNumId w:val="1"/>
  </w:num>
  <w:num w:numId="5" w16cid:durableId="1676417054">
    <w:abstractNumId w:val="2"/>
  </w:num>
  <w:num w:numId="6" w16cid:durableId="361170033">
    <w:abstractNumId w:val="10"/>
  </w:num>
  <w:num w:numId="7" w16cid:durableId="194004935">
    <w:abstractNumId w:val="5"/>
  </w:num>
  <w:num w:numId="8" w16cid:durableId="610472967">
    <w:abstractNumId w:val="6"/>
  </w:num>
  <w:num w:numId="9" w16cid:durableId="872308010">
    <w:abstractNumId w:val="18"/>
  </w:num>
  <w:num w:numId="10" w16cid:durableId="453409934">
    <w:abstractNumId w:val="11"/>
  </w:num>
  <w:num w:numId="11" w16cid:durableId="982349370">
    <w:abstractNumId w:val="7"/>
  </w:num>
  <w:num w:numId="12" w16cid:durableId="2016303790">
    <w:abstractNumId w:val="0"/>
  </w:num>
  <w:num w:numId="13" w16cid:durableId="1585845420">
    <w:abstractNumId w:val="3"/>
  </w:num>
  <w:num w:numId="14" w16cid:durableId="427123083">
    <w:abstractNumId w:val="4"/>
  </w:num>
  <w:num w:numId="15" w16cid:durableId="1150901956">
    <w:abstractNumId w:val="20"/>
  </w:num>
  <w:num w:numId="16" w16cid:durableId="974258306">
    <w:abstractNumId w:val="23"/>
  </w:num>
  <w:num w:numId="17" w16cid:durableId="1150711866">
    <w:abstractNumId w:val="25"/>
  </w:num>
  <w:num w:numId="18" w16cid:durableId="1718355122">
    <w:abstractNumId w:val="15"/>
  </w:num>
  <w:num w:numId="19" w16cid:durableId="1020473810">
    <w:abstractNumId w:val="19"/>
  </w:num>
  <w:num w:numId="20" w16cid:durableId="17850985">
    <w:abstractNumId w:val="17"/>
  </w:num>
  <w:num w:numId="21" w16cid:durableId="2116896669">
    <w:abstractNumId w:val="22"/>
  </w:num>
  <w:num w:numId="22" w16cid:durableId="353848977">
    <w:abstractNumId w:val="24"/>
  </w:num>
  <w:num w:numId="23" w16cid:durableId="2094356565">
    <w:abstractNumId w:val="14"/>
  </w:num>
  <w:num w:numId="24" w16cid:durableId="404377265">
    <w:abstractNumId w:val="9"/>
  </w:num>
  <w:num w:numId="25" w16cid:durableId="1964845708">
    <w:abstractNumId w:val="12"/>
  </w:num>
  <w:num w:numId="26" w16cid:durableId="135726237">
    <w:abstractNumId w:val="13"/>
  </w:num>
  <w:num w:numId="27" w16cid:durableId="2116945338">
    <w:abstractNumId w:val="21"/>
  </w:num>
  <w:num w:numId="28" w16cid:durableId="85677169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readOnly" w:enforcement="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50">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5FF"/>
    <w:rsid w:val="000039E8"/>
    <w:rsid w:val="000063FF"/>
    <w:rsid w:val="00023A88"/>
    <w:rsid w:val="00030608"/>
    <w:rsid w:val="00036F14"/>
    <w:rsid w:val="000517B6"/>
    <w:rsid w:val="0005760F"/>
    <w:rsid w:val="000605DC"/>
    <w:rsid w:val="0006227F"/>
    <w:rsid w:val="00075B01"/>
    <w:rsid w:val="000805EA"/>
    <w:rsid w:val="000812E8"/>
    <w:rsid w:val="0008352D"/>
    <w:rsid w:val="00095013"/>
    <w:rsid w:val="000A488B"/>
    <w:rsid w:val="000A7238"/>
    <w:rsid w:val="000B0B21"/>
    <w:rsid w:val="000C09E5"/>
    <w:rsid w:val="000C203D"/>
    <w:rsid w:val="000C2273"/>
    <w:rsid w:val="000C7716"/>
    <w:rsid w:val="000E37B6"/>
    <w:rsid w:val="000E6B8C"/>
    <w:rsid w:val="00111CC0"/>
    <w:rsid w:val="00123BB1"/>
    <w:rsid w:val="001357B2"/>
    <w:rsid w:val="001609CE"/>
    <w:rsid w:val="0017132A"/>
    <w:rsid w:val="00173CA1"/>
    <w:rsid w:val="00191D89"/>
    <w:rsid w:val="001A3BA5"/>
    <w:rsid w:val="001A61A9"/>
    <w:rsid w:val="001C109A"/>
    <w:rsid w:val="001C1852"/>
    <w:rsid w:val="001C2D67"/>
    <w:rsid w:val="001D056A"/>
    <w:rsid w:val="001F3B22"/>
    <w:rsid w:val="001F4287"/>
    <w:rsid w:val="001F7BC0"/>
    <w:rsid w:val="002016DB"/>
    <w:rsid w:val="00202A77"/>
    <w:rsid w:val="002302D9"/>
    <w:rsid w:val="002452A8"/>
    <w:rsid w:val="00250E5F"/>
    <w:rsid w:val="002526CC"/>
    <w:rsid w:val="00271CE5"/>
    <w:rsid w:val="00274050"/>
    <w:rsid w:val="00276637"/>
    <w:rsid w:val="00282020"/>
    <w:rsid w:val="00284671"/>
    <w:rsid w:val="00291D93"/>
    <w:rsid w:val="002A5510"/>
    <w:rsid w:val="002F46C5"/>
    <w:rsid w:val="002F4E59"/>
    <w:rsid w:val="002F662E"/>
    <w:rsid w:val="002F6D3E"/>
    <w:rsid w:val="00301B00"/>
    <w:rsid w:val="003036F7"/>
    <w:rsid w:val="003379F3"/>
    <w:rsid w:val="00341270"/>
    <w:rsid w:val="00342BA0"/>
    <w:rsid w:val="00361A37"/>
    <w:rsid w:val="003636BF"/>
    <w:rsid w:val="00370AA7"/>
    <w:rsid w:val="00370FCA"/>
    <w:rsid w:val="0037479F"/>
    <w:rsid w:val="003845B4"/>
    <w:rsid w:val="00385FDD"/>
    <w:rsid w:val="00387B1A"/>
    <w:rsid w:val="003B74CE"/>
    <w:rsid w:val="003E1C74"/>
    <w:rsid w:val="003E5F66"/>
    <w:rsid w:val="003E7E64"/>
    <w:rsid w:val="00416EE2"/>
    <w:rsid w:val="004275E6"/>
    <w:rsid w:val="00434091"/>
    <w:rsid w:val="00446530"/>
    <w:rsid w:val="00446B8E"/>
    <w:rsid w:val="0046678F"/>
    <w:rsid w:val="00466EC6"/>
    <w:rsid w:val="0048655F"/>
    <w:rsid w:val="004B112D"/>
    <w:rsid w:val="004C71EB"/>
    <w:rsid w:val="004E08ED"/>
    <w:rsid w:val="004E1615"/>
    <w:rsid w:val="004E5E8E"/>
    <w:rsid w:val="004F1DDD"/>
    <w:rsid w:val="005021CC"/>
    <w:rsid w:val="00517EBA"/>
    <w:rsid w:val="005216BA"/>
    <w:rsid w:val="00525667"/>
    <w:rsid w:val="00526246"/>
    <w:rsid w:val="00542900"/>
    <w:rsid w:val="005432DA"/>
    <w:rsid w:val="00567106"/>
    <w:rsid w:val="005723DA"/>
    <w:rsid w:val="00576D3F"/>
    <w:rsid w:val="00591A40"/>
    <w:rsid w:val="00591C3E"/>
    <w:rsid w:val="00596DC2"/>
    <w:rsid w:val="005D4DF6"/>
    <w:rsid w:val="005E1D3C"/>
    <w:rsid w:val="005F3EC4"/>
    <w:rsid w:val="00614928"/>
    <w:rsid w:val="00625246"/>
    <w:rsid w:val="00625C42"/>
    <w:rsid w:val="00632253"/>
    <w:rsid w:val="00642120"/>
    <w:rsid w:val="00642714"/>
    <w:rsid w:val="00643C4E"/>
    <w:rsid w:val="00644338"/>
    <w:rsid w:val="006455CE"/>
    <w:rsid w:val="00666FE7"/>
    <w:rsid w:val="00667BB9"/>
    <w:rsid w:val="00667FAE"/>
    <w:rsid w:val="00682D5E"/>
    <w:rsid w:val="00690689"/>
    <w:rsid w:val="006B64DC"/>
    <w:rsid w:val="006C11AD"/>
    <w:rsid w:val="006D0AA5"/>
    <w:rsid w:val="006D2FCD"/>
    <w:rsid w:val="006D42D9"/>
    <w:rsid w:val="006E770C"/>
    <w:rsid w:val="00717755"/>
    <w:rsid w:val="00726463"/>
    <w:rsid w:val="00730B54"/>
    <w:rsid w:val="00733017"/>
    <w:rsid w:val="00745509"/>
    <w:rsid w:val="0074765E"/>
    <w:rsid w:val="00751D38"/>
    <w:rsid w:val="00752683"/>
    <w:rsid w:val="00754954"/>
    <w:rsid w:val="007630D9"/>
    <w:rsid w:val="00781C07"/>
    <w:rsid w:val="007820FD"/>
    <w:rsid w:val="00783310"/>
    <w:rsid w:val="007A4A6D"/>
    <w:rsid w:val="007B00A9"/>
    <w:rsid w:val="007B7DE1"/>
    <w:rsid w:val="007D1BCF"/>
    <w:rsid w:val="007D75CF"/>
    <w:rsid w:val="007E6DC5"/>
    <w:rsid w:val="00802FDA"/>
    <w:rsid w:val="00803D35"/>
    <w:rsid w:val="00806844"/>
    <w:rsid w:val="00843E28"/>
    <w:rsid w:val="00861F39"/>
    <w:rsid w:val="0088043C"/>
    <w:rsid w:val="00881071"/>
    <w:rsid w:val="00881AA2"/>
    <w:rsid w:val="00882DDA"/>
    <w:rsid w:val="00887E1E"/>
    <w:rsid w:val="008902EE"/>
    <w:rsid w:val="00890488"/>
    <w:rsid w:val="008906C9"/>
    <w:rsid w:val="0089486A"/>
    <w:rsid w:val="008B024D"/>
    <w:rsid w:val="008B3AD3"/>
    <w:rsid w:val="008B5717"/>
    <w:rsid w:val="008C0D96"/>
    <w:rsid w:val="008C5738"/>
    <w:rsid w:val="008C685B"/>
    <w:rsid w:val="008D04F0"/>
    <w:rsid w:val="008D5F52"/>
    <w:rsid w:val="008E0ECC"/>
    <w:rsid w:val="008F026E"/>
    <w:rsid w:val="008F3500"/>
    <w:rsid w:val="00924E3C"/>
    <w:rsid w:val="009339DA"/>
    <w:rsid w:val="00936871"/>
    <w:rsid w:val="009477EF"/>
    <w:rsid w:val="009477FA"/>
    <w:rsid w:val="009541F3"/>
    <w:rsid w:val="00954FEE"/>
    <w:rsid w:val="009612BB"/>
    <w:rsid w:val="00965516"/>
    <w:rsid w:val="00980640"/>
    <w:rsid w:val="00981C18"/>
    <w:rsid w:val="00982D91"/>
    <w:rsid w:val="00990E30"/>
    <w:rsid w:val="0099521E"/>
    <w:rsid w:val="009A52AE"/>
    <w:rsid w:val="009A5B06"/>
    <w:rsid w:val="009D02D4"/>
    <w:rsid w:val="009D09C8"/>
    <w:rsid w:val="009E6AC6"/>
    <w:rsid w:val="009F30FB"/>
    <w:rsid w:val="009F385C"/>
    <w:rsid w:val="00A000F2"/>
    <w:rsid w:val="00A0136D"/>
    <w:rsid w:val="00A053D4"/>
    <w:rsid w:val="00A07C83"/>
    <w:rsid w:val="00A125C5"/>
    <w:rsid w:val="00A12D5C"/>
    <w:rsid w:val="00A141AF"/>
    <w:rsid w:val="00A32B40"/>
    <w:rsid w:val="00A34EBE"/>
    <w:rsid w:val="00A36177"/>
    <w:rsid w:val="00A5039D"/>
    <w:rsid w:val="00A61123"/>
    <w:rsid w:val="00A64495"/>
    <w:rsid w:val="00A64F7C"/>
    <w:rsid w:val="00A65EE7"/>
    <w:rsid w:val="00A70133"/>
    <w:rsid w:val="00A715AC"/>
    <w:rsid w:val="00A810AF"/>
    <w:rsid w:val="00A81959"/>
    <w:rsid w:val="00A85F25"/>
    <w:rsid w:val="00A86AA7"/>
    <w:rsid w:val="00A87793"/>
    <w:rsid w:val="00AA02BB"/>
    <w:rsid w:val="00AA5104"/>
    <w:rsid w:val="00AB566E"/>
    <w:rsid w:val="00AC5C16"/>
    <w:rsid w:val="00AD3B1D"/>
    <w:rsid w:val="00AF4C68"/>
    <w:rsid w:val="00B1337D"/>
    <w:rsid w:val="00B17141"/>
    <w:rsid w:val="00B21804"/>
    <w:rsid w:val="00B24A8C"/>
    <w:rsid w:val="00B27607"/>
    <w:rsid w:val="00B31575"/>
    <w:rsid w:val="00B47AF6"/>
    <w:rsid w:val="00B53904"/>
    <w:rsid w:val="00B60E37"/>
    <w:rsid w:val="00B7405B"/>
    <w:rsid w:val="00B8416B"/>
    <w:rsid w:val="00B8547D"/>
    <w:rsid w:val="00B875F8"/>
    <w:rsid w:val="00BA4D7D"/>
    <w:rsid w:val="00BB5D4F"/>
    <w:rsid w:val="00BC2E4F"/>
    <w:rsid w:val="00BE094A"/>
    <w:rsid w:val="00C07CDE"/>
    <w:rsid w:val="00C250D5"/>
    <w:rsid w:val="00C47F8D"/>
    <w:rsid w:val="00C64874"/>
    <w:rsid w:val="00C81391"/>
    <w:rsid w:val="00C861D4"/>
    <w:rsid w:val="00C90D8A"/>
    <w:rsid w:val="00C92898"/>
    <w:rsid w:val="00C93ECE"/>
    <w:rsid w:val="00C9445A"/>
    <w:rsid w:val="00C95CF7"/>
    <w:rsid w:val="00CA0922"/>
    <w:rsid w:val="00CA699D"/>
    <w:rsid w:val="00CA6A57"/>
    <w:rsid w:val="00CB003B"/>
    <w:rsid w:val="00CB6358"/>
    <w:rsid w:val="00CC179C"/>
    <w:rsid w:val="00CD5BC1"/>
    <w:rsid w:val="00CE72B1"/>
    <w:rsid w:val="00CE7514"/>
    <w:rsid w:val="00CF1B35"/>
    <w:rsid w:val="00CF5BC0"/>
    <w:rsid w:val="00D07A1B"/>
    <w:rsid w:val="00D1195A"/>
    <w:rsid w:val="00D14745"/>
    <w:rsid w:val="00D248DE"/>
    <w:rsid w:val="00D35E84"/>
    <w:rsid w:val="00D363B3"/>
    <w:rsid w:val="00D36AAE"/>
    <w:rsid w:val="00D516AC"/>
    <w:rsid w:val="00D531C4"/>
    <w:rsid w:val="00D6261C"/>
    <w:rsid w:val="00D668B5"/>
    <w:rsid w:val="00D71DB3"/>
    <w:rsid w:val="00D72C86"/>
    <w:rsid w:val="00D8542D"/>
    <w:rsid w:val="00D9396A"/>
    <w:rsid w:val="00D95B30"/>
    <w:rsid w:val="00D964B6"/>
    <w:rsid w:val="00DA2C9A"/>
    <w:rsid w:val="00DA3A29"/>
    <w:rsid w:val="00DA54BF"/>
    <w:rsid w:val="00DA73BA"/>
    <w:rsid w:val="00DB321D"/>
    <w:rsid w:val="00DC6A71"/>
    <w:rsid w:val="00DE3642"/>
    <w:rsid w:val="00DE5B46"/>
    <w:rsid w:val="00DF4B51"/>
    <w:rsid w:val="00DF7BB5"/>
    <w:rsid w:val="00E0357D"/>
    <w:rsid w:val="00E2083E"/>
    <w:rsid w:val="00E24EC2"/>
    <w:rsid w:val="00E26013"/>
    <w:rsid w:val="00E46B11"/>
    <w:rsid w:val="00E57198"/>
    <w:rsid w:val="00E572FE"/>
    <w:rsid w:val="00E57A3D"/>
    <w:rsid w:val="00E77903"/>
    <w:rsid w:val="00E853E8"/>
    <w:rsid w:val="00E91444"/>
    <w:rsid w:val="00EA2E5D"/>
    <w:rsid w:val="00EA3960"/>
    <w:rsid w:val="00EA4C70"/>
    <w:rsid w:val="00EA7F14"/>
    <w:rsid w:val="00EB2B77"/>
    <w:rsid w:val="00ED19EC"/>
    <w:rsid w:val="00ED7E82"/>
    <w:rsid w:val="00EE3790"/>
    <w:rsid w:val="00EE6836"/>
    <w:rsid w:val="00F076DC"/>
    <w:rsid w:val="00F079C5"/>
    <w:rsid w:val="00F11C41"/>
    <w:rsid w:val="00F240BB"/>
    <w:rsid w:val="00F256D1"/>
    <w:rsid w:val="00F41B9C"/>
    <w:rsid w:val="00F46724"/>
    <w:rsid w:val="00F511DE"/>
    <w:rsid w:val="00F57FED"/>
    <w:rsid w:val="00F65661"/>
    <w:rsid w:val="00F75F95"/>
    <w:rsid w:val="00F825FF"/>
    <w:rsid w:val="00F86825"/>
    <w:rsid w:val="00F907E8"/>
    <w:rsid w:val="00FC26D3"/>
    <w:rsid w:val="00FD2BEC"/>
    <w:rsid w:val="00FF430F"/>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
    </o:shapedefaults>
    <o:shapelayout v:ext="edit">
      <o:idmap v:ext="edit" data="2"/>
    </o:shapelayout>
  </w:shapeDefaults>
  <w:doNotEmbedSmartTags/>
  <w:decimalSymbol w:val=","/>
  <w:listSeparator w:val=";"/>
  <w14:docId w14:val="2752612E"/>
  <w15:chartTrackingRefBased/>
  <w15:docId w15:val="{A2FEDC32-BA8E-4EAE-A7D8-881621B1E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GB"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2">
    <w:name w:val="heading 2"/>
    <w:basedOn w:val="Navaden"/>
    <w:next w:val="Navaden"/>
    <w:link w:val="Naslov2Znak"/>
    <w:semiHidden/>
    <w:unhideWhenUsed/>
    <w:qFormat/>
    <w:rsid w:val="009541F3"/>
    <w:pPr>
      <w:keepNext/>
      <w:spacing w:before="240" w:after="60"/>
      <w:outlineLvl w:val="1"/>
    </w:pPr>
    <w:rPr>
      <w:rFonts w:ascii="Cambria" w:hAnsi="Cambria"/>
      <w:b/>
      <w:bCs/>
      <w:i/>
      <w:iCs/>
      <w:sz w:val="28"/>
      <w:szCs w:val="28"/>
    </w:rPr>
  </w:style>
  <w:style w:type="paragraph" w:styleId="Naslov3">
    <w:name w:val="heading 3"/>
    <w:basedOn w:val="Navaden"/>
    <w:next w:val="Navaden"/>
    <w:link w:val="Naslov3Znak"/>
    <w:semiHidden/>
    <w:unhideWhenUsed/>
    <w:qFormat/>
    <w:rsid w:val="009541F3"/>
    <w:pPr>
      <w:keepNext/>
      <w:spacing w:before="240" w:after="60"/>
      <w:outlineLvl w:val="2"/>
    </w:pPr>
    <w:rPr>
      <w:rFonts w:ascii="Cambria" w:hAnsi="Cambria"/>
      <w:b/>
      <w:b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link w:val="podpisiZnak"/>
    <w:qFormat/>
    <w:rsid w:val="003E1C74"/>
    <w:pPr>
      <w:tabs>
        <w:tab w:val="left" w:pos="3402"/>
      </w:tabs>
    </w:pPr>
    <w:rPr>
      <w:lang w:val="it-IT"/>
    </w:rPr>
  </w:style>
  <w:style w:type="paragraph" w:customStyle="1" w:styleId="FURSnaslov1">
    <w:name w:val="FURS_naslov_1"/>
    <w:basedOn w:val="podpisi"/>
    <w:link w:val="FURSnaslov1Znak"/>
    <w:qFormat/>
    <w:rsid w:val="00CA699D"/>
    <w:rPr>
      <w:b/>
      <w:sz w:val="24"/>
      <w:lang w:val="sl-SI"/>
    </w:rPr>
  </w:style>
  <w:style w:type="paragraph" w:styleId="NaslovTOC">
    <w:name w:val="TOC Heading"/>
    <w:basedOn w:val="Naslov1"/>
    <w:next w:val="Navaden"/>
    <w:uiPriority w:val="39"/>
    <w:semiHidden/>
    <w:unhideWhenUsed/>
    <w:qFormat/>
    <w:rsid w:val="00DA2C9A"/>
    <w:pPr>
      <w:keepLines/>
      <w:spacing w:before="480" w:after="0" w:line="276" w:lineRule="auto"/>
      <w:outlineLvl w:val="9"/>
    </w:pPr>
    <w:rPr>
      <w:rFonts w:ascii="Cambria" w:hAnsi="Cambria"/>
      <w:bCs/>
      <w:color w:val="365F91"/>
      <w:kern w:val="0"/>
      <w:szCs w:val="28"/>
    </w:rPr>
  </w:style>
  <w:style w:type="character" w:customStyle="1" w:styleId="podpisiZnak">
    <w:name w:val="podpisi Znak"/>
    <w:link w:val="podpisi"/>
    <w:rsid w:val="00CA699D"/>
    <w:rPr>
      <w:rFonts w:ascii="Arial" w:hAnsi="Arial"/>
      <w:szCs w:val="24"/>
      <w:lang w:val="it-IT" w:eastAsia="en-US"/>
    </w:rPr>
  </w:style>
  <w:style w:type="character" w:customStyle="1" w:styleId="FURSnaslov1Znak">
    <w:name w:val="FURS_naslov_1 Znak"/>
    <w:link w:val="FURSnaslov1"/>
    <w:rsid w:val="00CA699D"/>
    <w:rPr>
      <w:rFonts w:ascii="Arial" w:hAnsi="Arial"/>
      <w:b/>
      <w:sz w:val="24"/>
      <w:szCs w:val="24"/>
      <w:lang w:val="it-IT" w:eastAsia="en-US"/>
    </w:rPr>
  </w:style>
  <w:style w:type="paragraph" w:styleId="Kazalovsebine1">
    <w:name w:val="toc 1"/>
    <w:basedOn w:val="Navaden"/>
    <w:next w:val="Navaden"/>
    <w:autoRedefine/>
    <w:uiPriority w:val="39"/>
    <w:qFormat/>
    <w:rsid w:val="009541F3"/>
    <w:pPr>
      <w:tabs>
        <w:tab w:val="right" w:leader="dot" w:pos="8488"/>
      </w:tabs>
      <w:ind w:left="284"/>
    </w:pPr>
  </w:style>
  <w:style w:type="paragraph" w:styleId="Kazalovsebine2">
    <w:name w:val="toc 2"/>
    <w:basedOn w:val="Navaden"/>
    <w:next w:val="Navaden"/>
    <w:autoRedefine/>
    <w:uiPriority w:val="39"/>
    <w:unhideWhenUsed/>
    <w:qFormat/>
    <w:rsid w:val="00F079C5"/>
    <w:pPr>
      <w:tabs>
        <w:tab w:val="right" w:leader="dot" w:pos="8488"/>
      </w:tabs>
      <w:spacing w:line="276" w:lineRule="auto"/>
      <w:ind w:left="567"/>
    </w:pPr>
    <w:rPr>
      <w:rFonts w:ascii="Calibri" w:hAnsi="Calibri"/>
      <w:sz w:val="22"/>
      <w:szCs w:val="22"/>
      <w:lang w:val="sl-SI" w:eastAsia="sl-SI"/>
    </w:rPr>
  </w:style>
  <w:style w:type="paragraph" w:styleId="Kazalovsebine3">
    <w:name w:val="toc 3"/>
    <w:basedOn w:val="Navaden"/>
    <w:next w:val="Navaden"/>
    <w:autoRedefine/>
    <w:uiPriority w:val="39"/>
    <w:unhideWhenUsed/>
    <w:qFormat/>
    <w:rsid w:val="00DA2C9A"/>
    <w:pPr>
      <w:spacing w:after="100" w:line="276" w:lineRule="auto"/>
      <w:ind w:left="440"/>
    </w:pPr>
    <w:rPr>
      <w:rFonts w:ascii="Calibri" w:hAnsi="Calibri"/>
      <w:sz w:val="22"/>
      <w:szCs w:val="22"/>
      <w:lang w:val="sl-SI" w:eastAsia="sl-SI"/>
    </w:rPr>
  </w:style>
  <w:style w:type="paragraph" w:styleId="Besedilooblaka">
    <w:name w:val="Balloon Text"/>
    <w:basedOn w:val="Navaden"/>
    <w:link w:val="BesedilooblakaZnak"/>
    <w:rsid w:val="00DA2C9A"/>
    <w:pPr>
      <w:spacing w:line="240" w:lineRule="auto"/>
    </w:pPr>
    <w:rPr>
      <w:rFonts w:ascii="Tahoma" w:hAnsi="Tahoma" w:cs="Tahoma"/>
      <w:sz w:val="16"/>
      <w:szCs w:val="16"/>
    </w:rPr>
  </w:style>
  <w:style w:type="character" w:customStyle="1" w:styleId="BesedilooblakaZnak">
    <w:name w:val="Besedilo oblačka Znak"/>
    <w:link w:val="Besedilooblaka"/>
    <w:rsid w:val="00DA2C9A"/>
    <w:rPr>
      <w:rFonts w:ascii="Tahoma" w:hAnsi="Tahoma" w:cs="Tahoma"/>
      <w:sz w:val="16"/>
      <w:szCs w:val="16"/>
      <w:lang w:val="en-US" w:eastAsia="en-US"/>
    </w:rPr>
  </w:style>
  <w:style w:type="character" w:customStyle="1" w:styleId="Naslov2Znak">
    <w:name w:val="Naslov 2 Znak"/>
    <w:link w:val="Naslov2"/>
    <w:semiHidden/>
    <w:rsid w:val="009541F3"/>
    <w:rPr>
      <w:rFonts w:ascii="Cambria" w:eastAsia="Times New Roman" w:hAnsi="Cambria" w:cs="Times New Roman"/>
      <w:b/>
      <w:bCs/>
      <w:i/>
      <w:iCs/>
      <w:sz w:val="28"/>
      <w:szCs w:val="28"/>
      <w:lang w:val="en-US" w:eastAsia="en-US"/>
    </w:rPr>
  </w:style>
  <w:style w:type="character" w:customStyle="1" w:styleId="Naslov3Znak">
    <w:name w:val="Naslov 3 Znak"/>
    <w:link w:val="Naslov3"/>
    <w:semiHidden/>
    <w:rsid w:val="009541F3"/>
    <w:rPr>
      <w:rFonts w:ascii="Cambria" w:eastAsia="Times New Roman" w:hAnsi="Cambria" w:cs="Times New Roman"/>
      <w:b/>
      <w:bCs/>
      <w:sz w:val="26"/>
      <w:szCs w:val="26"/>
      <w:lang w:val="en-US" w:eastAsia="en-US"/>
    </w:rPr>
  </w:style>
  <w:style w:type="character" w:customStyle="1" w:styleId="NogaZnak">
    <w:name w:val="Noga Znak"/>
    <w:link w:val="Noga"/>
    <w:uiPriority w:val="99"/>
    <w:rsid w:val="009F30FB"/>
    <w:rPr>
      <w:rFonts w:ascii="Arial" w:hAnsi="Arial"/>
      <w:szCs w:val="24"/>
      <w:lang w:val="en-US" w:eastAsia="en-US"/>
    </w:rPr>
  </w:style>
  <w:style w:type="paragraph" w:customStyle="1" w:styleId="FURSnaslov2">
    <w:name w:val="FURS_naslov_2"/>
    <w:basedOn w:val="podpisi"/>
    <w:link w:val="FURSnaslov2Znak"/>
    <w:qFormat/>
    <w:rsid w:val="00F079C5"/>
    <w:rPr>
      <w:b/>
      <w:sz w:val="24"/>
      <w:lang w:val="sl-SI"/>
    </w:rPr>
  </w:style>
  <w:style w:type="paragraph" w:styleId="Odstavekseznama">
    <w:name w:val="List Paragraph"/>
    <w:basedOn w:val="Navaden"/>
    <w:uiPriority w:val="34"/>
    <w:qFormat/>
    <w:rsid w:val="00D72C86"/>
    <w:pPr>
      <w:ind w:left="708"/>
    </w:pPr>
  </w:style>
  <w:style w:type="character" w:customStyle="1" w:styleId="FURSnaslov2Znak">
    <w:name w:val="FURS_naslov_2 Znak"/>
    <w:link w:val="FURSnaslov2"/>
    <w:rsid w:val="00F079C5"/>
    <w:rPr>
      <w:rFonts w:ascii="Arial" w:hAnsi="Arial"/>
      <w:b/>
      <w:sz w:val="24"/>
      <w:szCs w:val="24"/>
      <w:lang w:val="it-IT" w:eastAsia="en-US"/>
    </w:rPr>
  </w:style>
  <w:style w:type="character" w:styleId="SledenaHiperpovezava">
    <w:name w:val="FollowedHyperlink"/>
    <w:rsid w:val="000812E8"/>
    <w:rPr>
      <w:color w:val="800080"/>
      <w:u w:val="single"/>
    </w:rPr>
  </w:style>
  <w:style w:type="paragraph" w:customStyle="1" w:styleId="Default">
    <w:name w:val="Default"/>
    <w:rsid w:val="00370FCA"/>
    <w:pPr>
      <w:autoSpaceDE w:val="0"/>
      <w:autoSpaceDN w:val="0"/>
      <w:adjustRightInd w:val="0"/>
    </w:pPr>
    <w:rPr>
      <w:rFonts w:ascii="Arial" w:hAnsi="Arial" w:cs="Arial"/>
      <w:color w:val="000000"/>
      <w:sz w:val="24"/>
      <w:szCs w:val="24"/>
    </w:rPr>
  </w:style>
  <w:style w:type="character" w:styleId="Nerazreenaomemba">
    <w:name w:val="Unresolved Mention"/>
    <w:uiPriority w:val="99"/>
    <w:semiHidden/>
    <w:unhideWhenUsed/>
    <w:rsid w:val="00730B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5396366">
      <w:bodyDiv w:val="1"/>
      <w:marLeft w:val="0"/>
      <w:marRight w:val="0"/>
      <w:marTop w:val="0"/>
      <w:marBottom w:val="0"/>
      <w:divBdr>
        <w:top w:val="none" w:sz="0" w:space="0" w:color="auto"/>
        <w:left w:val="none" w:sz="0" w:space="0" w:color="auto"/>
        <w:bottom w:val="none" w:sz="0" w:space="0" w:color="auto"/>
        <w:right w:val="none" w:sz="0" w:space="0" w:color="auto"/>
      </w:divBdr>
    </w:div>
    <w:div w:id="1381897772">
      <w:bodyDiv w:val="1"/>
      <w:marLeft w:val="0"/>
      <w:marRight w:val="0"/>
      <w:marTop w:val="0"/>
      <w:marBottom w:val="0"/>
      <w:divBdr>
        <w:top w:val="none" w:sz="0" w:space="0" w:color="auto"/>
        <w:left w:val="none" w:sz="0" w:space="0" w:color="auto"/>
        <w:bottom w:val="none" w:sz="0" w:space="0" w:color="auto"/>
        <w:right w:val="none" w:sz="0" w:space="0" w:color="auto"/>
      </w:divBdr>
      <w:divsChild>
        <w:div w:id="1765766675">
          <w:marLeft w:val="0"/>
          <w:marRight w:val="0"/>
          <w:marTop w:val="0"/>
          <w:marBottom w:val="0"/>
          <w:divBdr>
            <w:top w:val="none" w:sz="0" w:space="0" w:color="auto"/>
            <w:left w:val="none" w:sz="0" w:space="0" w:color="auto"/>
            <w:bottom w:val="none" w:sz="0" w:space="0" w:color="auto"/>
            <w:right w:val="none" w:sz="0" w:space="0" w:color="auto"/>
          </w:divBdr>
          <w:divsChild>
            <w:div w:id="1245846783">
              <w:marLeft w:val="0"/>
              <w:marRight w:val="0"/>
              <w:marTop w:val="0"/>
              <w:marBottom w:val="0"/>
              <w:divBdr>
                <w:top w:val="none" w:sz="0" w:space="0" w:color="auto"/>
                <w:left w:val="none" w:sz="0" w:space="0" w:color="auto"/>
                <w:bottom w:val="none" w:sz="0" w:space="0" w:color="auto"/>
                <w:right w:val="none" w:sz="0" w:space="0" w:color="auto"/>
              </w:divBdr>
              <w:divsChild>
                <w:div w:id="1015232291">
                  <w:marLeft w:val="0"/>
                  <w:marRight w:val="0"/>
                  <w:marTop w:val="0"/>
                  <w:marBottom w:val="0"/>
                  <w:divBdr>
                    <w:top w:val="none" w:sz="0" w:space="0" w:color="auto"/>
                    <w:left w:val="none" w:sz="0" w:space="0" w:color="auto"/>
                    <w:bottom w:val="none" w:sz="0" w:space="0" w:color="auto"/>
                    <w:right w:val="none" w:sz="0" w:space="0" w:color="auto"/>
                  </w:divBdr>
                  <w:divsChild>
                    <w:div w:id="1205173168">
                      <w:marLeft w:val="0"/>
                      <w:marRight w:val="0"/>
                      <w:marTop w:val="0"/>
                      <w:marBottom w:val="0"/>
                      <w:divBdr>
                        <w:top w:val="none" w:sz="0" w:space="0" w:color="auto"/>
                        <w:left w:val="none" w:sz="0" w:space="0" w:color="auto"/>
                        <w:bottom w:val="none" w:sz="0" w:space="0" w:color="auto"/>
                        <w:right w:val="none" w:sz="0" w:space="0" w:color="auto"/>
                      </w:divBdr>
                      <w:divsChild>
                        <w:div w:id="30974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3384211">
      <w:bodyDiv w:val="1"/>
      <w:marLeft w:val="0"/>
      <w:marRight w:val="0"/>
      <w:marTop w:val="0"/>
      <w:marBottom w:val="0"/>
      <w:divBdr>
        <w:top w:val="none" w:sz="0" w:space="0" w:color="auto"/>
        <w:left w:val="none" w:sz="0" w:space="0" w:color="auto"/>
        <w:bottom w:val="none" w:sz="0" w:space="0" w:color="auto"/>
        <w:right w:val="none" w:sz="0" w:space="0" w:color="auto"/>
      </w:divBdr>
      <w:divsChild>
        <w:div w:id="1174414318">
          <w:marLeft w:val="0"/>
          <w:marRight w:val="0"/>
          <w:marTop w:val="0"/>
          <w:marBottom w:val="0"/>
          <w:divBdr>
            <w:top w:val="none" w:sz="0" w:space="0" w:color="auto"/>
            <w:left w:val="none" w:sz="0" w:space="0" w:color="auto"/>
            <w:bottom w:val="none" w:sz="0" w:space="0" w:color="auto"/>
            <w:right w:val="none" w:sz="0" w:space="0" w:color="auto"/>
          </w:divBdr>
          <w:divsChild>
            <w:div w:id="741568051">
              <w:marLeft w:val="0"/>
              <w:marRight w:val="0"/>
              <w:marTop w:val="0"/>
              <w:marBottom w:val="0"/>
              <w:divBdr>
                <w:top w:val="none" w:sz="0" w:space="0" w:color="auto"/>
                <w:left w:val="none" w:sz="0" w:space="0" w:color="auto"/>
                <w:bottom w:val="none" w:sz="0" w:space="0" w:color="auto"/>
                <w:right w:val="none" w:sz="0" w:space="0" w:color="auto"/>
              </w:divBdr>
              <w:divsChild>
                <w:div w:id="1486051472">
                  <w:marLeft w:val="0"/>
                  <w:marRight w:val="0"/>
                  <w:marTop w:val="0"/>
                  <w:marBottom w:val="0"/>
                  <w:divBdr>
                    <w:top w:val="none" w:sz="0" w:space="0" w:color="auto"/>
                    <w:left w:val="none" w:sz="0" w:space="0" w:color="auto"/>
                    <w:bottom w:val="none" w:sz="0" w:space="0" w:color="auto"/>
                    <w:right w:val="none" w:sz="0" w:space="0" w:color="auto"/>
                  </w:divBdr>
                  <w:divsChild>
                    <w:div w:id="368073660">
                      <w:marLeft w:val="0"/>
                      <w:marRight w:val="0"/>
                      <w:marTop w:val="0"/>
                      <w:marBottom w:val="0"/>
                      <w:divBdr>
                        <w:top w:val="none" w:sz="0" w:space="0" w:color="auto"/>
                        <w:left w:val="none" w:sz="0" w:space="0" w:color="auto"/>
                        <w:bottom w:val="none" w:sz="0" w:space="0" w:color="auto"/>
                        <w:right w:val="none" w:sz="0" w:space="0" w:color="auto"/>
                      </w:divBdr>
                      <w:divsChild>
                        <w:div w:id="129193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ur-lex.europa.eu/legal-content/EN/TXT/PDF/?uri=OJ:L:2022:282:FULL&amp;from=SL"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wcoomd.org/en/topics/nomenclature/instrument-and-tools/hs-nomenclature-2017-edition/hs-nomenclature-2017-edition.asp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ur-lex.europa.eu/legal-content/SL/TXT/PDF/?uri=CELEX:31987R2658&amp;from=SL" TargetMode="External"/><Relationship Id="rId5" Type="http://schemas.openxmlformats.org/officeDocument/2006/relationships/numbering" Target="numbering.xml"/><Relationship Id="rId15" Type="http://schemas.openxmlformats.org/officeDocument/2006/relationships/hyperlink" Target="https://www.fu.gov.si/en/customs/areas_of_work/nomenclature_classification_of_goods_and_taric/"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ur-lex.europa.eu/legal-content/SL/TXT/?uri=OJ:C:2019:119:TOC"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54B973E05FF924392C75F7125FABE1C" ma:contentTypeVersion="" ma:contentTypeDescription="Ustvari nov dokument." ma:contentTypeScope="" ma:versionID="92b7d763a64e8ac426439fe6226ccffa">
  <xsd:schema xmlns:xsd="http://www.w3.org/2001/XMLSchema" xmlns:xs="http://www.w3.org/2001/XMLSchema" xmlns:p="http://schemas.microsoft.com/office/2006/metadata/properties" targetNamespace="http://schemas.microsoft.com/office/2006/metadata/properties" ma:root="true" ma:fieldsID="ffab43e4b4d4522ee103401782b6fa8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F26A49-903F-4280-8B1E-F2C960C41C46}">
  <ds:schemaRefs>
    <ds:schemaRef ds:uri="http://schemas.openxmlformats.org/officeDocument/2006/bibliography"/>
  </ds:schemaRefs>
</ds:datastoreItem>
</file>

<file path=customXml/itemProps2.xml><?xml version="1.0" encoding="utf-8"?>
<ds:datastoreItem xmlns:ds="http://schemas.openxmlformats.org/officeDocument/2006/customXml" ds:itemID="{5B33610A-A95D-4F76-84DF-AF6F3C625B88}">
  <ds:schemaRefs>
    <ds:schemaRef ds:uri="http://schemas.microsoft.com/sharepoint/v3/contenttype/forms"/>
  </ds:schemaRefs>
</ds:datastoreItem>
</file>

<file path=customXml/itemProps3.xml><?xml version="1.0" encoding="utf-8"?>
<ds:datastoreItem xmlns:ds="http://schemas.openxmlformats.org/officeDocument/2006/customXml" ds:itemID="{C03C9131-2E68-4BDC-8BD3-6253BF91FCE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88A3AEE-85A3-4936-8E9D-653CDEADEF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792</Words>
  <Characters>4521</Characters>
  <Application>Microsoft Office Word</Application>
  <DocSecurity>0</DocSecurity>
  <Lines>37</Lines>
  <Paragraphs>10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Finančna Uprava RS</Company>
  <LinksUpToDate>false</LinksUpToDate>
  <CharactersWithSpaces>5303</CharactersWithSpaces>
  <SharedDoc>false</SharedDoc>
  <HLinks>
    <vt:vector size="36" baseType="variant">
      <vt:variant>
        <vt:i4>196655</vt:i4>
      </vt:variant>
      <vt:variant>
        <vt:i4>15</vt:i4>
      </vt:variant>
      <vt:variant>
        <vt:i4>0</vt:i4>
      </vt:variant>
      <vt:variant>
        <vt:i4>5</vt:i4>
      </vt:variant>
      <vt:variant>
        <vt:lpwstr>https://www.fu.gov.si/en/customs/areas_of_work/nomenclature_classification_of_goods_and_taric/</vt:lpwstr>
      </vt:variant>
      <vt:variant>
        <vt:lpwstr>c1009</vt:lpwstr>
      </vt:variant>
      <vt:variant>
        <vt:i4>524297</vt:i4>
      </vt:variant>
      <vt:variant>
        <vt:i4>12</vt:i4>
      </vt:variant>
      <vt:variant>
        <vt:i4>0</vt:i4>
      </vt:variant>
      <vt:variant>
        <vt:i4>5</vt:i4>
      </vt:variant>
      <vt:variant>
        <vt:lpwstr>https://eur-lex.europa.eu/legal-content/SL/TXT/?uri=OJ:C:2019:119:TOC</vt:lpwstr>
      </vt:variant>
      <vt:variant>
        <vt:lpwstr/>
      </vt:variant>
      <vt:variant>
        <vt:i4>3604579</vt:i4>
      </vt:variant>
      <vt:variant>
        <vt:i4>9</vt:i4>
      </vt:variant>
      <vt:variant>
        <vt:i4>0</vt:i4>
      </vt:variant>
      <vt:variant>
        <vt:i4>5</vt:i4>
      </vt:variant>
      <vt:variant>
        <vt:lpwstr>https://eur-lex.europa.eu/legal-content/EN/TXT/PDF/?uri=OJ:L:2022:282:FULL&amp;from=SL</vt:lpwstr>
      </vt:variant>
      <vt:variant>
        <vt:lpwstr/>
      </vt:variant>
      <vt:variant>
        <vt:i4>4587603</vt:i4>
      </vt:variant>
      <vt:variant>
        <vt:i4>6</vt:i4>
      </vt:variant>
      <vt:variant>
        <vt:i4>0</vt:i4>
      </vt:variant>
      <vt:variant>
        <vt:i4>5</vt:i4>
      </vt:variant>
      <vt:variant>
        <vt:lpwstr>http://www.wcoomd.org/en/topics/nomenclature/instrument-and-tools/hs-nomenclature-2017-edition/hs-nomenclature-2017-edition.aspx</vt:lpwstr>
      </vt:variant>
      <vt:variant>
        <vt:lpwstr/>
      </vt:variant>
      <vt:variant>
        <vt:i4>3604579</vt:i4>
      </vt:variant>
      <vt:variant>
        <vt:i4>3</vt:i4>
      </vt:variant>
      <vt:variant>
        <vt:i4>0</vt:i4>
      </vt:variant>
      <vt:variant>
        <vt:i4>5</vt:i4>
      </vt:variant>
      <vt:variant>
        <vt:lpwstr>https://eur-lex.europa.eu/legal-content/EN/TXT/PDF/?uri=OJ:L:2022:282:FULL&amp;from=SL</vt:lpwstr>
      </vt:variant>
      <vt:variant>
        <vt:lpwstr/>
      </vt:variant>
      <vt:variant>
        <vt:i4>6094943</vt:i4>
      </vt:variant>
      <vt:variant>
        <vt:i4>0</vt:i4>
      </vt:variant>
      <vt:variant>
        <vt:i4>0</vt:i4>
      </vt:variant>
      <vt:variant>
        <vt:i4>5</vt:i4>
      </vt:variant>
      <vt:variant>
        <vt:lpwstr>https://eur-lex.europa.eu/legal-content/SL/TXT/PDF/?uri=CELEX:31987R2658&amp;from=SL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DURS</dc:creator>
  <cp:keywords/>
  <cp:lastModifiedBy>Štefka Božiček</cp:lastModifiedBy>
  <cp:revision>4</cp:revision>
  <cp:lastPrinted>2015-05-18T12:48:00Z</cp:lastPrinted>
  <dcterms:created xsi:type="dcterms:W3CDTF">2025-02-21T08:59:00Z</dcterms:created>
  <dcterms:modified xsi:type="dcterms:W3CDTF">2025-02-21T09:00:00Z</dcterms:modified>
</cp:coreProperties>
</file>