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CA62" w14:textId="77777777" w:rsidR="00887E1E" w:rsidRPr="00242632" w:rsidRDefault="00887E1E" w:rsidP="00CA699D">
      <w:pPr>
        <w:pStyle w:val="datumtevilka"/>
        <w:jc w:val="center"/>
        <w:rPr>
          <w:lang w:val="en-GB"/>
        </w:rPr>
      </w:pPr>
    </w:p>
    <w:p w14:paraId="1B490585" w14:textId="77777777" w:rsidR="00887E1E" w:rsidRPr="00242632" w:rsidRDefault="00887E1E" w:rsidP="00CA699D">
      <w:pPr>
        <w:pStyle w:val="datumtevilka"/>
        <w:jc w:val="center"/>
        <w:rPr>
          <w:lang w:val="en-GB"/>
        </w:rPr>
      </w:pPr>
    </w:p>
    <w:p w14:paraId="5B6572CA" w14:textId="77777777" w:rsidR="00F825FF" w:rsidRPr="00242632" w:rsidRDefault="00F825FF" w:rsidP="00CA699D">
      <w:pPr>
        <w:pStyle w:val="datumtevilka"/>
        <w:jc w:val="center"/>
        <w:rPr>
          <w:lang w:val="en-GB"/>
        </w:rPr>
      </w:pPr>
    </w:p>
    <w:p w14:paraId="5DF1A76B" w14:textId="77777777" w:rsidR="00F825FF" w:rsidRPr="00242632" w:rsidRDefault="00F825FF" w:rsidP="00CA699D">
      <w:pPr>
        <w:pStyle w:val="datumtevilka"/>
        <w:jc w:val="center"/>
        <w:rPr>
          <w:lang w:val="en-GB"/>
        </w:rPr>
      </w:pPr>
    </w:p>
    <w:p w14:paraId="1AB08D43" w14:textId="77777777" w:rsidR="00F825FF" w:rsidRPr="00242632" w:rsidRDefault="00F825FF" w:rsidP="00CA699D">
      <w:pPr>
        <w:pStyle w:val="datumtevilka"/>
        <w:jc w:val="center"/>
        <w:rPr>
          <w:lang w:val="en-GB"/>
        </w:rPr>
      </w:pPr>
    </w:p>
    <w:p w14:paraId="02281192" w14:textId="77777777" w:rsidR="00F825FF" w:rsidRPr="00242632" w:rsidRDefault="00F825FF" w:rsidP="00CA699D">
      <w:pPr>
        <w:pStyle w:val="datumtevilka"/>
        <w:jc w:val="center"/>
        <w:rPr>
          <w:lang w:val="en-GB"/>
        </w:rPr>
      </w:pPr>
    </w:p>
    <w:p w14:paraId="5636B36D" w14:textId="77777777" w:rsidR="00887E1E" w:rsidRPr="00242632" w:rsidRDefault="00887E1E" w:rsidP="00CA699D">
      <w:pPr>
        <w:pStyle w:val="datumtevilka"/>
        <w:jc w:val="center"/>
        <w:rPr>
          <w:lang w:val="en-GB"/>
        </w:rPr>
      </w:pPr>
    </w:p>
    <w:p w14:paraId="0B8E4EF2" w14:textId="77777777" w:rsidR="00887E1E" w:rsidRPr="00242632" w:rsidRDefault="00887E1E" w:rsidP="00CA699D">
      <w:pPr>
        <w:pStyle w:val="datumtevilka"/>
        <w:jc w:val="center"/>
        <w:rPr>
          <w:lang w:val="en-GB"/>
        </w:rPr>
      </w:pPr>
    </w:p>
    <w:p w14:paraId="6D774512" w14:textId="77777777" w:rsidR="006A3AA5" w:rsidRPr="00242632" w:rsidRDefault="006A3AA5" w:rsidP="00E853E8">
      <w:pPr>
        <w:pStyle w:val="datumtevilka"/>
        <w:jc w:val="center"/>
        <w:rPr>
          <w:b/>
          <w:sz w:val="32"/>
          <w:szCs w:val="32"/>
          <w:lang w:val="en-GB"/>
        </w:rPr>
      </w:pPr>
    </w:p>
    <w:p w14:paraId="13A1B55C" w14:textId="77777777" w:rsidR="00887E1E" w:rsidRDefault="00242632" w:rsidP="00E853E8">
      <w:pPr>
        <w:pStyle w:val="datumtevilka"/>
        <w:jc w:val="center"/>
        <w:rPr>
          <w:b/>
          <w:sz w:val="32"/>
          <w:szCs w:val="32"/>
          <w:lang w:val="en-GB"/>
        </w:rPr>
      </w:pPr>
      <w:r w:rsidRPr="00242632">
        <w:rPr>
          <w:b/>
          <w:sz w:val="32"/>
          <w:szCs w:val="32"/>
          <w:lang w:val="en-GB"/>
        </w:rPr>
        <w:t xml:space="preserve">THE </w:t>
      </w:r>
      <w:r w:rsidR="009F385C" w:rsidRPr="00242632">
        <w:rPr>
          <w:b/>
          <w:sz w:val="32"/>
          <w:szCs w:val="32"/>
          <w:lang w:val="en-GB"/>
        </w:rPr>
        <w:t>HARMONIZ</w:t>
      </w:r>
      <w:r w:rsidRPr="00242632">
        <w:rPr>
          <w:b/>
          <w:sz w:val="32"/>
          <w:szCs w:val="32"/>
          <w:lang w:val="en-GB"/>
        </w:rPr>
        <w:t>ED SY</w:t>
      </w:r>
      <w:r w:rsidR="009F385C" w:rsidRPr="00242632">
        <w:rPr>
          <w:b/>
          <w:sz w:val="32"/>
          <w:szCs w:val="32"/>
          <w:lang w:val="en-GB"/>
        </w:rPr>
        <w:t>STEM</w:t>
      </w:r>
    </w:p>
    <w:p w14:paraId="3DB73A9A" w14:textId="77777777" w:rsidR="00F01C96" w:rsidRDefault="00F01C96" w:rsidP="00E853E8">
      <w:pPr>
        <w:pStyle w:val="datumtevilka"/>
        <w:jc w:val="center"/>
        <w:rPr>
          <w:b/>
          <w:sz w:val="32"/>
          <w:szCs w:val="32"/>
          <w:lang w:val="en-GB"/>
        </w:rPr>
      </w:pPr>
    </w:p>
    <w:p w14:paraId="394FF7EB" w14:textId="77777777" w:rsidR="00F01C96" w:rsidRPr="00242632" w:rsidRDefault="00F01C96" w:rsidP="00E853E8">
      <w:pPr>
        <w:pStyle w:val="datumtevilka"/>
        <w:jc w:val="center"/>
        <w:rPr>
          <w:lang w:val="en-GB"/>
        </w:rPr>
      </w:pPr>
      <w:r>
        <w:rPr>
          <w:b/>
          <w:sz w:val="32"/>
          <w:szCs w:val="32"/>
          <w:lang w:val="en-GB"/>
        </w:rPr>
        <w:t>OF THE WORLD CUSTOMS ORGANIZATION</w:t>
      </w:r>
    </w:p>
    <w:p w14:paraId="4BE6C145" w14:textId="77777777" w:rsidR="00E853E8" w:rsidRPr="00242632" w:rsidRDefault="00E853E8" w:rsidP="00E853E8">
      <w:pPr>
        <w:pStyle w:val="datumtevilka"/>
        <w:jc w:val="center"/>
        <w:rPr>
          <w:lang w:val="en-GB"/>
        </w:rPr>
      </w:pPr>
    </w:p>
    <w:p w14:paraId="6E91582B" w14:textId="77777777" w:rsidR="00E853E8" w:rsidRPr="00242632" w:rsidRDefault="00E853E8" w:rsidP="00E853E8">
      <w:pPr>
        <w:pStyle w:val="datumtevilka"/>
        <w:jc w:val="center"/>
        <w:rPr>
          <w:lang w:val="en-GB"/>
        </w:rPr>
      </w:pPr>
    </w:p>
    <w:p w14:paraId="58F05D3C" w14:textId="77777777" w:rsidR="00E853E8" w:rsidRPr="00242632" w:rsidRDefault="00E853E8" w:rsidP="00E853E8">
      <w:pPr>
        <w:pStyle w:val="datumtevilka"/>
        <w:jc w:val="center"/>
        <w:rPr>
          <w:lang w:val="en-GB"/>
        </w:rPr>
      </w:pPr>
    </w:p>
    <w:p w14:paraId="1835AB21" w14:textId="77777777" w:rsidR="00E853E8" w:rsidRPr="00242632" w:rsidRDefault="00E853E8" w:rsidP="00E853E8">
      <w:pPr>
        <w:pStyle w:val="datumtevilka"/>
        <w:jc w:val="center"/>
        <w:rPr>
          <w:lang w:val="en-GB"/>
        </w:rPr>
      </w:pPr>
    </w:p>
    <w:p w14:paraId="5DF2CCC8" w14:textId="77777777" w:rsidR="00E853E8" w:rsidRPr="00242632" w:rsidRDefault="00E853E8" w:rsidP="00E853E8">
      <w:pPr>
        <w:pStyle w:val="datumtevilka"/>
        <w:jc w:val="center"/>
        <w:rPr>
          <w:lang w:val="en-GB"/>
        </w:rPr>
      </w:pPr>
    </w:p>
    <w:p w14:paraId="46A6EC8C" w14:textId="77777777" w:rsidR="00887E1E" w:rsidRPr="00242632" w:rsidRDefault="00887E1E" w:rsidP="00E853E8">
      <w:pPr>
        <w:pStyle w:val="datumtevilka"/>
        <w:jc w:val="center"/>
        <w:rPr>
          <w:lang w:val="en-GB"/>
        </w:rPr>
      </w:pPr>
    </w:p>
    <w:p w14:paraId="0CCD932D" w14:textId="77777777" w:rsidR="00F825FF" w:rsidRPr="00242632" w:rsidRDefault="00F825FF" w:rsidP="00E853E8">
      <w:pPr>
        <w:pStyle w:val="datumtevilka"/>
        <w:jc w:val="center"/>
        <w:rPr>
          <w:highlight w:val="yellow"/>
          <w:lang w:val="en-GB"/>
        </w:rPr>
      </w:pPr>
    </w:p>
    <w:p w14:paraId="4593D06E" w14:textId="77777777" w:rsidR="00F825FF" w:rsidRPr="00242632" w:rsidRDefault="00F825FF" w:rsidP="00CA699D">
      <w:pPr>
        <w:pStyle w:val="datumtevilka"/>
        <w:jc w:val="center"/>
        <w:rPr>
          <w:highlight w:val="yellow"/>
          <w:lang w:val="en-GB"/>
        </w:rPr>
      </w:pPr>
    </w:p>
    <w:p w14:paraId="52AFF6CF" w14:textId="77777777" w:rsidR="00F825FF" w:rsidRPr="00242632" w:rsidRDefault="00F825FF" w:rsidP="00CA699D">
      <w:pPr>
        <w:pStyle w:val="datumtevilka"/>
        <w:jc w:val="center"/>
        <w:rPr>
          <w:highlight w:val="yellow"/>
          <w:lang w:val="en-GB"/>
        </w:rPr>
      </w:pPr>
    </w:p>
    <w:p w14:paraId="439C3DCA" w14:textId="77777777" w:rsidR="00F825FF" w:rsidRPr="00242632" w:rsidRDefault="00F825FF" w:rsidP="00CA699D">
      <w:pPr>
        <w:pStyle w:val="datumtevilka"/>
        <w:jc w:val="center"/>
        <w:rPr>
          <w:highlight w:val="yellow"/>
          <w:lang w:val="en-GB"/>
        </w:rPr>
      </w:pPr>
    </w:p>
    <w:p w14:paraId="5BFB3903" w14:textId="77777777" w:rsidR="00F825FF" w:rsidRPr="00242632" w:rsidRDefault="00F825FF" w:rsidP="00CA699D">
      <w:pPr>
        <w:pStyle w:val="datumtevilka"/>
        <w:jc w:val="center"/>
        <w:rPr>
          <w:highlight w:val="yellow"/>
          <w:lang w:val="en-GB"/>
        </w:rPr>
      </w:pPr>
    </w:p>
    <w:p w14:paraId="4FC6FEA2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20235ED3" w14:textId="77777777" w:rsidR="00F825FF" w:rsidRPr="00242632" w:rsidRDefault="00F825FF" w:rsidP="00CA699D">
      <w:pPr>
        <w:pStyle w:val="podpisi"/>
        <w:jc w:val="center"/>
        <w:rPr>
          <w:highlight w:val="yellow"/>
          <w:lang w:val="en-GB"/>
        </w:rPr>
      </w:pPr>
    </w:p>
    <w:p w14:paraId="07F9938E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0C9E6C55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34AE9FC5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2A340675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28E891B2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7D2A0F4F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519A4C00" w14:textId="77777777" w:rsidR="00E853E8" w:rsidRPr="00242632" w:rsidRDefault="00E853E8" w:rsidP="00CA699D">
      <w:pPr>
        <w:pStyle w:val="podpisi"/>
        <w:jc w:val="center"/>
        <w:rPr>
          <w:highlight w:val="yellow"/>
          <w:lang w:val="en-GB"/>
        </w:rPr>
      </w:pPr>
    </w:p>
    <w:p w14:paraId="2762710C" w14:textId="77777777" w:rsidR="00E853E8" w:rsidRPr="00242632" w:rsidRDefault="00E853E8" w:rsidP="00CA699D">
      <w:pPr>
        <w:pStyle w:val="podpisi"/>
        <w:jc w:val="center"/>
        <w:rPr>
          <w:highlight w:val="yellow"/>
          <w:lang w:val="en-GB"/>
        </w:rPr>
      </w:pPr>
    </w:p>
    <w:p w14:paraId="0697930F" w14:textId="77777777" w:rsidR="00E853E8" w:rsidRPr="00242632" w:rsidRDefault="00E853E8" w:rsidP="00CA699D">
      <w:pPr>
        <w:pStyle w:val="podpisi"/>
        <w:jc w:val="center"/>
        <w:rPr>
          <w:highlight w:val="yellow"/>
          <w:lang w:val="en-GB"/>
        </w:rPr>
      </w:pPr>
    </w:p>
    <w:p w14:paraId="7FF154AD" w14:textId="77777777" w:rsidR="00E853E8" w:rsidRPr="00242632" w:rsidRDefault="00E853E8" w:rsidP="00CA699D">
      <w:pPr>
        <w:pStyle w:val="podpisi"/>
        <w:jc w:val="center"/>
        <w:rPr>
          <w:highlight w:val="yellow"/>
          <w:lang w:val="en-GB"/>
        </w:rPr>
      </w:pPr>
    </w:p>
    <w:p w14:paraId="684A73D2" w14:textId="77777777" w:rsidR="00E853E8" w:rsidRPr="00242632" w:rsidRDefault="00E853E8" w:rsidP="00CA699D">
      <w:pPr>
        <w:pStyle w:val="podpisi"/>
        <w:jc w:val="center"/>
        <w:rPr>
          <w:highlight w:val="yellow"/>
          <w:lang w:val="en-GB"/>
        </w:rPr>
      </w:pPr>
    </w:p>
    <w:p w14:paraId="0B4A2C9D" w14:textId="77777777" w:rsidR="00E853E8" w:rsidRPr="00242632" w:rsidRDefault="00E853E8" w:rsidP="00CA699D">
      <w:pPr>
        <w:pStyle w:val="podpisi"/>
        <w:jc w:val="center"/>
        <w:rPr>
          <w:highlight w:val="yellow"/>
          <w:lang w:val="en-GB"/>
        </w:rPr>
      </w:pPr>
    </w:p>
    <w:p w14:paraId="379E3709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4BB2305B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0DF5F5F8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2FE9D594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38B3683B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55B274A0" w14:textId="77777777" w:rsidR="00887E1E" w:rsidRPr="00242632" w:rsidRDefault="00887E1E" w:rsidP="00CA699D">
      <w:pPr>
        <w:pStyle w:val="podpisi"/>
        <w:jc w:val="center"/>
        <w:rPr>
          <w:highlight w:val="yellow"/>
          <w:lang w:val="en-GB"/>
        </w:rPr>
      </w:pPr>
    </w:p>
    <w:p w14:paraId="3A310C1F" w14:textId="77777777" w:rsidR="00DA2C9A" w:rsidRPr="00242632" w:rsidRDefault="00CA699D" w:rsidP="009541F3">
      <w:pPr>
        <w:rPr>
          <w:b/>
          <w:sz w:val="24"/>
        </w:rPr>
      </w:pPr>
      <w:r w:rsidRPr="00242632">
        <w:rPr>
          <w:sz w:val="28"/>
          <w:highlight w:val="yellow"/>
        </w:rPr>
        <w:br w:type="page"/>
      </w:r>
      <w:r w:rsidR="00242632" w:rsidRPr="00242632">
        <w:rPr>
          <w:b/>
          <w:sz w:val="24"/>
        </w:rPr>
        <w:lastRenderedPageBreak/>
        <w:t>CONTENTS</w:t>
      </w:r>
    </w:p>
    <w:p w14:paraId="06AACD9E" w14:textId="77777777" w:rsidR="00DA2C9A" w:rsidRPr="00242632" w:rsidRDefault="00DA2C9A" w:rsidP="009541F3">
      <w:pPr>
        <w:rPr>
          <w:b/>
          <w:sz w:val="24"/>
          <w:highlight w:val="yellow"/>
        </w:rPr>
      </w:pPr>
    </w:p>
    <w:p w14:paraId="619EDD65" w14:textId="77777777" w:rsidR="00A3317C" w:rsidRPr="001B1694" w:rsidRDefault="00F079C5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r w:rsidRPr="00242632">
        <w:rPr>
          <w:b/>
          <w:sz w:val="28"/>
          <w:highlight w:val="yellow"/>
        </w:rPr>
        <w:fldChar w:fldCharType="begin"/>
      </w:r>
      <w:r w:rsidRPr="00242632">
        <w:rPr>
          <w:b/>
          <w:sz w:val="28"/>
          <w:highlight w:val="yellow"/>
        </w:rPr>
        <w:instrText xml:space="preserve"> TOC \h \z \t "FURS_naslov_1;1;FURS_naslov_2;2" </w:instrText>
      </w:r>
      <w:r w:rsidRPr="00242632">
        <w:rPr>
          <w:b/>
          <w:sz w:val="28"/>
          <w:highlight w:val="yellow"/>
        </w:rPr>
        <w:fldChar w:fldCharType="separate"/>
      </w:r>
      <w:hyperlink w:anchor="_Toc473096087" w:history="1">
        <w:r w:rsidR="00A3317C" w:rsidRPr="00B42E3F">
          <w:rPr>
            <w:rStyle w:val="Hiperpovezava"/>
            <w:noProof/>
          </w:rPr>
          <w:t>1.0 THE HARMONIZED SYSTEM</w:t>
        </w:r>
        <w:r w:rsidR="00A3317C">
          <w:rPr>
            <w:noProof/>
            <w:webHidden/>
          </w:rPr>
          <w:tab/>
        </w:r>
        <w:r w:rsidR="00A3317C">
          <w:rPr>
            <w:noProof/>
            <w:webHidden/>
          </w:rPr>
          <w:fldChar w:fldCharType="begin"/>
        </w:r>
        <w:r w:rsidR="00A3317C">
          <w:rPr>
            <w:noProof/>
            <w:webHidden/>
          </w:rPr>
          <w:instrText xml:space="preserve"> PAGEREF _Toc473096087 \h </w:instrText>
        </w:r>
        <w:r w:rsidR="00A3317C">
          <w:rPr>
            <w:noProof/>
            <w:webHidden/>
          </w:rPr>
        </w:r>
        <w:r w:rsidR="00A3317C">
          <w:rPr>
            <w:noProof/>
            <w:webHidden/>
          </w:rPr>
          <w:fldChar w:fldCharType="separate"/>
        </w:r>
        <w:r w:rsidR="00A3317C">
          <w:rPr>
            <w:noProof/>
            <w:webHidden/>
          </w:rPr>
          <w:t>3</w:t>
        </w:r>
        <w:r w:rsidR="00A3317C">
          <w:rPr>
            <w:noProof/>
            <w:webHidden/>
          </w:rPr>
          <w:fldChar w:fldCharType="end"/>
        </w:r>
      </w:hyperlink>
    </w:p>
    <w:p w14:paraId="26A051F8" w14:textId="77777777" w:rsidR="00A3317C" w:rsidRPr="001B1694" w:rsidRDefault="00A3317C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hyperlink w:anchor="_Toc473096088" w:history="1">
        <w:r w:rsidRPr="00B42E3F">
          <w:rPr>
            <w:rStyle w:val="Hiperpovezava"/>
            <w:noProof/>
          </w:rPr>
          <w:t>2.0 CONTENTS OF THE NOMENCLATURE OF THE HARMONIZED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_Toc473096088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756E9C" w14:textId="77777777" w:rsidR="00A3317C" w:rsidRPr="001B1694" w:rsidRDefault="00A3317C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hyperlink w:anchor="_Toc473096089" w:history="1">
        <w:r w:rsidRPr="00B42E3F">
          <w:rPr>
            <w:rStyle w:val="Hiperpovezava"/>
            <w:noProof/>
          </w:rPr>
          <w:t>3.0 EXPLANATORY NOTES TO THE HARMONIZED SYSTEM</w:t>
        </w:r>
        <w:r>
          <w:rPr>
            <w:noProof/>
            <w:webHidden/>
          </w:rPr>
          <w:tab/>
        </w:r>
        <w:r w:rsidR="00EF3C82">
          <w:rPr>
            <w:noProof/>
            <w:webHidden/>
          </w:rPr>
          <w:t>6</w:t>
        </w:r>
      </w:hyperlink>
    </w:p>
    <w:p w14:paraId="07213682" w14:textId="77777777" w:rsidR="00A3317C" w:rsidRPr="001B1694" w:rsidRDefault="00A3317C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hyperlink w:anchor="_Toc473096090" w:history="1">
        <w:r w:rsidRPr="00B42E3F">
          <w:rPr>
            <w:rStyle w:val="Hiperpovezava"/>
            <w:noProof/>
          </w:rPr>
          <w:t>4.0 THE ROLE OF THE WORLD CUSTOMS ORGANISATION</w:t>
        </w:r>
        <w:r>
          <w:rPr>
            <w:noProof/>
            <w:webHidden/>
          </w:rPr>
          <w:tab/>
        </w:r>
        <w:r w:rsidR="00EF3C82">
          <w:rPr>
            <w:noProof/>
            <w:webHidden/>
          </w:rPr>
          <w:t>6</w:t>
        </w:r>
      </w:hyperlink>
    </w:p>
    <w:p w14:paraId="2034D8FE" w14:textId="77777777" w:rsidR="00887E1E" w:rsidRPr="00153D6B" w:rsidRDefault="00F079C5" w:rsidP="00E57198">
      <w:pPr>
        <w:pStyle w:val="FURSnaslov1"/>
        <w:rPr>
          <w:lang w:val="en-GB"/>
        </w:rPr>
      </w:pPr>
      <w:r w:rsidRPr="00242632">
        <w:rPr>
          <w:b w:val="0"/>
          <w:sz w:val="28"/>
          <w:highlight w:val="yellow"/>
          <w:lang w:val="en-GB"/>
        </w:rPr>
        <w:fldChar w:fldCharType="end"/>
      </w:r>
      <w:r w:rsidR="00DA2C9A" w:rsidRPr="00242632">
        <w:rPr>
          <w:sz w:val="28"/>
          <w:highlight w:val="yellow"/>
          <w:lang w:val="en-GB"/>
        </w:rPr>
        <w:br w:type="page"/>
      </w:r>
      <w:bookmarkStart w:id="0" w:name="_Toc473096087"/>
      <w:r w:rsidR="000A488B" w:rsidRPr="00153D6B">
        <w:rPr>
          <w:lang w:val="en-GB"/>
        </w:rPr>
        <w:lastRenderedPageBreak/>
        <w:t xml:space="preserve">1.0 </w:t>
      </w:r>
      <w:r w:rsidR="00153D6B" w:rsidRPr="00153D6B">
        <w:rPr>
          <w:lang w:val="en-GB"/>
        </w:rPr>
        <w:t xml:space="preserve">THE </w:t>
      </w:r>
      <w:r w:rsidR="009F385C" w:rsidRPr="00153D6B">
        <w:rPr>
          <w:lang w:val="en-GB"/>
        </w:rPr>
        <w:t>HARMONIZ</w:t>
      </w:r>
      <w:r w:rsidR="00153D6B" w:rsidRPr="00153D6B">
        <w:rPr>
          <w:lang w:val="en-GB"/>
        </w:rPr>
        <w:t>ED</w:t>
      </w:r>
      <w:r w:rsidR="009F385C" w:rsidRPr="00153D6B">
        <w:rPr>
          <w:lang w:val="en-GB"/>
        </w:rPr>
        <w:t xml:space="preserve"> S</w:t>
      </w:r>
      <w:r w:rsidR="00153D6B" w:rsidRPr="00153D6B">
        <w:rPr>
          <w:lang w:val="en-GB"/>
        </w:rPr>
        <w:t>Y</w:t>
      </w:r>
      <w:r w:rsidR="009F385C" w:rsidRPr="00153D6B">
        <w:rPr>
          <w:lang w:val="en-GB"/>
        </w:rPr>
        <w:t>STEM</w:t>
      </w:r>
      <w:bookmarkEnd w:id="0"/>
    </w:p>
    <w:p w14:paraId="267551DB" w14:textId="77777777" w:rsidR="009F385C" w:rsidRPr="00242632" w:rsidRDefault="009F385C" w:rsidP="009F385C">
      <w:pPr>
        <w:jc w:val="both"/>
        <w:rPr>
          <w:highlight w:val="yellow"/>
        </w:rPr>
      </w:pPr>
    </w:p>
    <w:p w14:paraId="7DD20044" w14:textId="77777777" w:rsidR="00747EEE" w:rsidRPr="00153D6B" w:rsidRDefault="00153D6B" w:rsidP="009F385C">
      <w:pPr>
        <w:jc w:val="both"/>
      </w:pPr>
      <w:r>
        <w:t>The H</w:t>
      </w:r>
      <w:r w:rsidR="001D3891">
        <w:t>armonized System</w:t>
      </w:r>
      <w:r w:rsidR="00554EBB">
        <w:t xml:space="preserve"> Nomenclature shorter known as </w:t>
      </w:r>
      <w:r>
        <w:t xml:space="preserve">HS </w:t>
      </w:r>
      <w:r w:rsidR="00FA3C52">
        <w:t>that</w:t>
      </w:r>
      <w:r>
        <w:t xml:space="preserve"> is</w:t>
      </w:r>
      <w:r w:rsidRPr="00153D6B">
        <w:t xml:space="preserve"> governed by </w:t>
      </w:r>
      <w:hyperlink r:id="rId11" w:history="1">
        <w:r w:rsidRPr="00153D6B">
          <w:rPr>
            <w:rStyle w:val="Hiperpovezava"/>
          </w:rPr>
          <w:t>the International Convention on the Harmonized Commodity Description and Coding System</w:t>
        </w:r>
      </w:hyperlink>
      <w:r w:rsidRPr="00153D6B">
        <w:t xml:space="preserve"> </w:t>
      </w:r>
      <w:r>
        <w:t>is an international multi-purpose nomenclature elaborated under the auspi</w:t>
      </w:r>
      <w:r w:rsidRPr="00153D6B">
        <w:t xml:space="preserve">ces of </w:t>
      </w:r>
      <w:hyperlink r:id="rId12" w:history="1">
        <w:r w:rsidRPr="00153D6B">
          <w:rPr>
            <w:rStyle w:val="Hiperpovezava"/>
          </w:rPr>
          <w:t>the World Customs Organisation (WCO)</w:t>
        </w:r>
      </w:hyperlink>
      <w:r>
        <w:t>.</w:t>
      </w:r>
    </w:p>
    <w:p w14:paraId="7C613C5E" w14:textId="77777777" w:rsidR="00747EEE" w:rsidRPr="00242632" w:rsidRDefault="00747EEE" w:rsidP="009F385C">
      <w:pPr>
        <w:jc w:val="both"/>
        <w:rPr>
          <w:highlight w:val="yellow"/>
        </w:rPr>
      </w:pPr>
    </w:p>
    <w:p w14:paraId="3955D22B" w14:textId="77777777" w:rsidR="009F385C" w:rsidRPr="00242632" w:rsidRDefault="00153D6B" w:rsidP="009F385C">
      <w:pPr>
        <w:jc w:val="both"/>
        <w:rPr>
          <w:highlight w:val="yellow"/>
        </w:rPr>
      </w:pPr>
      <w:r w:rsidRPr="00153D6B">
        <w:t xml:space="preserve">The </w:t>
      </w:r>
      <w:r w:rsidRPr="003744CF">
        <w:rPr>
          <w:i/>
        </w:rPr>
        <w:t>HS Convention</w:t>
      </w:r>
      <w:r w:rsidRPr="00153D6B">
        <w:t xml:space="preserve"> was </w:t>
      </w:r>
      <w:r>
        <w:t xml:space="preserve">adopted in Brussels and entered into force on 1 January 1988. The HS is contained in the </w:t>
      </w:r>
      <w:r w:rsidR="00FA3C52">
        <w:t>A</w:t>
      </w:r>
      <w:r>
        <w:t>nnex to the Convention and forms part thereof.</w:t>
      </w:r>
    </w:p>
    <w:p w14:paraId="2C6C8461" w14:textId="77777777" w:rsidR="009F385C" w:rsidRPr="00242632" w:rsidRDefault="009F385C" w:rsidP="009F385C">
      <w:pPr>
        <w:jc w:val="both"/>
        <w:rPr>
          <w:highlight w:val="yellow"/>
        </w:rPr>
      </w:pPr>
    </w:p>
    <w:p w14:paraId="5A1F3F06" w14:textId="77777777" w:rsidR="007B2C09" w:rsidRPr="00A22360" w:rsidRDefault="00A22360" w:rsidP="009F385C">
      <w:pPr>
        <w:jc w:val="both"/>
      </w:pPr>
      <w:r w:rsidRPr="00A22360">
        <w:t xml:space="preserve">The HS Nomenclature </w:t>
      </w:r>
      <w:r>
        <w:t xml:space="preserve">with </w:t>
      </w:r>
      <w:r w:rsidRPr="00A22360">
        <w:t>six-digit code</w:t>
      </w:r>
      <w:r>
        <w:t>s</w:t>
      </w:r>
      <w:r w:rsidRPr="00A22360">
        <w:t xml:space="preserve"> is used</w:t>
      </w:r>
      <w:r w:rsidR="000D447B">
        <w:t xml:space="preserve"> </w:t>
      </w:r>
      <w:r w:rsidR="000D447B" w:rsidRPr="00A21121">
        <w:t>as a basis</w:t>
      </w:r>
      <w:r>
        <w:t>:</w:t>
      </w:r>
    </w:p>
    <w:p w14:paraId="7BC1B573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F</w:t>
      </w:r>
      <w:r w:rsidR="00A22360" w:rsidRPr="00A21121">
        <w:t>or national customs tariffs</w:t>
      </w:r>
    </w:p>
    <w:p w14:paraId="515AE8AC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Fo</w:t>
      </w:r>
      <w:r w:rsidR="00A22360" w:rsidRPr="00A21121">
        <w:t xml:space="preserve">r collecting </w:t>
      </w:r>
      <w:r w:rsidR="007C333F" w:rsidRPr="00A21121">
        <w:t xml:space="preserve">international trade </w:t>
      </w:r>
      <w:r w:rsidR="00A22360" w:rsidRPr="00A21121">
        <w:t xml:space="preserve">statistics </w:t>
      </w:r>
    </w:p>
    <w:p w14:paraId="279CFDE8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F</w:t>
      </w:r>
      <w:r w:rsidR="00A22360" w:rsidRPr="00A21121">
        <w:t xml:space="preserve">or defining origin rules </w:t>
      </w:r>
    </w:p>
    <w:p w14:paraId="4CC56494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F</w:t>
      </w:r>
      <w:r w:rsidR="00A22360" w:rsidRPr="00A21121">
        <w:t xml:space="preserve">or trade negotiations </w:t>
      </w:r>
    </w:p>
    <w:p w14:paraId="4BB05D8D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F</w:t>
      </w:r>
      <w:r w:rsidR="00A22360" w:rsidRPr="00A21121">
        <w:t xml:space="preserve">or collecting national taxes </w:t>
      </w:r>
    </w:p>
    <w:p w14:paraId="4801D79E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F</w:t>
      </w:r>
      <w:r w:rsidR="00A22360" w:rsidRPr="00A21121">
        <w:t xml:space="preserve">or </w:t>
      </w:r>
      <w:r w:rsidR="002A0F5C" w:rsidRPr="00A21121">
        <w:t xml:space="preserve">freight </w:t>
      </w:r>
      <w:r w:rsidR="00A22360" w:rsidRPr="00A21121">
        <w:t xml:space="preserve">tariffs and </w:t>
      </w:r>
      <w:r w:rsidR="002A0F5C" w:rsidRPr="00A21121">
        <w:t xml:space="preserve">transport </w:t>
      </w:r>
      <w:r w:rsidR="00A22360" w:rsidRPr="00A21121">
        <w:t>statistics</w:t>
      </w:r>
    </w:p>
    <w:p w14:paraId="09B9A9BC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F</w:t>
      </w:r>
      <w:r w:rsidR="00A22360" w:rsidRPr="00A21121">
        <w:t xml:space="preserve">or monitoring </w:t>
      </w:r>
      <w:r w:rsidR="002A0F5C" w:rsidRPr="00A21121">
        <w:t>controlled goods</w:t>
      </w:r>
      <w:r w:rsidR="00A22360" w:rsidRPr="00A21121">
        <w:t xml:space="preserve"> (e.g.</w:t>
      </w:r>
      <w:r w:rsidR="0044104D">
        <w:t>,</w:t>
      </w:r>
      <w:r w:rsidR="00A22360" w:rsidRPr="00A21121">
        <w:t xml:space="preserve"> waste, drugs, chemical weapon, ozone depleting substances, protected species etc.)</w:t>
      </w:r>
      <w:r>
        <w:t>,</w:t>
      </w:r>
      <w:r w:rsidR="000D447B">
        <w:t xml:space="preserve"> and</w:t>
      </w:r>
      <w:r w:rsidR="00A22360" w:rsidRPr="00A21121">
        <w:t xml:space="preserve"> </w:t>
      </w:r>
    </w:p>
    <w:p w14:paraId="32B142E7" w14:textId="77777777" w:rsidR="007B2C09" w:rsidRPr="00A21121" w:rsidRDefault="00FA3C52" w:rsidP="008C3E70">
      <w:pPr>
        <w:numPr>
          <w:ilvl w:val="0"/>
          <w:numId w:val="10"/>
        </w:numPr>
        <w:jc w:val="both"/>
      </w:pPr>
      <w:r>
        <w:t>As</w:t>
      </w:r>
      <w:r w:rsidR="00007045" w:rsidRPr="00A21121">
        <w:t xml:space="preserve"> an </w:t>
      </w:r>
      <w:r w:rsidR="002A0F5C" w:rsidRPr="00A21121">
        <w:t>indispensable</w:t>
      </w:r>
      <w:r w:rsidR="00007045" w:rsidRPr="00A21121">
        <w:t xml:space="preserve"> tool in the performance of customs controls and customs procedures</w:t>
      </w:r>
      <w:r w:rsidR="002A0F5C" w:rsidRPr="00A21121">
        <w:t xml:space="preserve">, </w:t>
      </w:r>
      <w:r w:rsidR="00007045" w:rsidRPr="00A21121">
        <w:t xml:space="preserve">risk </w:t>
      </w:r>
      <w:r w:rsidR="002A0F5C" w:rsidRPr="00A21121">
        <w:t>analysis</w:t>
      </w:r>
      <w:r w:rsidR="00007045" w:rsidRPr="00A21121">
        <w:t xml:space="preserve"> and </w:t>
      </w:r>
      <w:r w:rsidR="000D447B">
        <w:t xml:space="preserve">in </w:t>
      </w:r>
      <w:r w:rsidR="00007045" w:rsidRPr="00A21121">
        <w:t xml:space="preserve">information technology. </w:t>
      </w:r>
    </w:p>
    <w:p w14:paraId="556054D5" w14:textId="77777777" w:rsidR="00F16C7C" w:rsidRPr="00242632" w:rsidRDefault="00F16C7C" w:rsidP="00F16C7C">
      <w:pPr>
        <w:ind w:left="360"/>
        <w:jc w:val="both"/>
        <w:rPr>
          <w:highlight w:val="yellow"/>
        </w:rPr>
      </w:pPr>
    </w:p>
    <w:p w14:paraId="6BA36311" w14:textId="77777777" w:rsidR="007B2C09" w:rsidRPr="00F71685" w:rsidRDefault="00F71685" w:rsidP="009F385C">
      <w:pPr>
        <w:jc w:val="both"/>
      </w:pPr>
      <w:r>
        <w:t xml:space="preserve">The HS is used for </w:t>
      </w:r>
      <w:r w:rsidR="007C333F">
        <w:t>various</w:t>
      </w:r>
      <w:r>
        <w:t xml:space="preserve"> purp</w:t>
      </w:r>
      <w:r w:rsidR="007C333F">
        <w:t>o</w:t>
      </w:r>
      <w:r>
        <w:t>ses</w:t>
      </w:r>
      <w:r w:rsidR="00553C8A">
        <w:t>;</w:t>
      </w:r>
      <w:r>
        <w:t xml:space="preserve"> however, it is primarily used for the classification of goods in terms of the customs tariff and collection of customs duties</w:t>
      </w:r>
      <w:r w:rsidR="001D3891">
        <w:t>,</w:t>
      </w:r>
      <w:r>
        <w:t xml:space="preserve"> taxes</w:t>
      </w:r>
      <w:r w:rsidR="001D3891">
        <w:t xml:space="preserve"> and </w:t>
      </w:r>
      <w:r w:rsidR="00554EBB">
        <w:t xml:space="preserve">trade </w:t>
      </w:r>
      <w:r w:rsidR="001D3891">
        <w:t>statistics</w:t>
      </w:r>
      <w:r>
        <w:t xml:space="preserve">. </w:t>
      </w:r>
    </w:p>
    <w:p w14:paraId="761C6E65" w14:textId="77777777" w:rsidR="00F16C7C" w:rsidRPr="00242632" w:rsidRDefault="00F16C7C" w:rsidP="009F385C">
      <w:pPr>
        <w:jc w:val="both"/>
        <w:rPr>
          <w:highlight w:val="yellow"/>
        </w:rPr>
      </w:pPr>
    </w:p>
    <w:p w14:paraId="3BC41632" w14:textId="77777777" w:rsidR="009F385C" w:rsidRPr="00F71685" w:rsidRDefault="005E252E" w:rsidP="009F385C">
      <w:pPr>
        <w:jc w:val="both"/>
      </w:pPr>
      <w:r w:rsidRPr="00F71685">
        <w:t>Over 200 countries, unions</w:t>
      </w:r>
      <w:r w:rsidR="00553C8A">
        <w:t>,</w:t>
      </w:r>
      <w:r w:rsidRPr="00F71685">
        <w:t xml:space="preserve"> or international organisations (e.g.</w:t>
      </w:r>
      <w:r w:rsidR="0044104D">
        <w:t>,</w:t>
      </w:r>
      <w:r w:rsidRPr="00F71685">
        <w:t xml:space="preserve"> WTO, UNO) use the HS Nomenclature</w:t>
      </w:r>
      <w:r w:rsidR="00F71685">
        <w:t xml:space="preserve">. The Combined Nomenclature </w:t>
      </w:r>
      <w:r w:rsidR="00E40FBB">
        <w:t>used</w:t>
      </w:r>
      <w:r w:rsidR="00F71685">
        <w:t xml:space="preserve"> in the European Union is based on the HS Nomenclature. Over 98 % of goods in the international trade </w:t>
      </w:r>
      <w:r w:rsidR="00E40FBB">
        <w:t>are</w:t>
      </w:r>
      <w:r w:rsidR="00F71685">
        <w:t xml:space="preserve"> classified according to the HS Nomenclature. </w:t>
      </w:r>
    </w:p>
    <w:p w14:paraId="6C945F97" w14:textId="77777777" w:rsidR="007928FD" w:rsidRDefault="007928FD" w:rsidP="007928FD">
      <w:pPr>
        <w:jc w:val="both"/>
        <w:rPr>
          <w:highlight w:val="yellow"/>
        </w:rPr>
      </w:pPr>
    </w:p>
    <w:p w14:paraId="1324257C" w14:textId="77777777" w:rsidR="009B788A" w:rsidRPr="00242632" w:rsidRDefault="009B788A" w:rsidP="007928FD">
      <w:pPr>
        <w:jc w:val="both"/>
        <w:rPr>
          <w:highlight w:val="yellow"/>
        </w:rPr>
      </w:pPr>
    </w:p>
    <w:p w14:paraId="6CBEC2D0" w14:textId="77777777" w:rsidR="0011536A" w:rsidRPr="00F71685" w:rsidRDefault="0011536A" w:rsidP="0011536A">
      <w:pPr>
        <w:pStyle w:val="FURSnaslov1"/>
        <w:rPr>
          <w:lang w:val="en-GB"/>
        </w:rPr>
      </w:pPr>
      <w:bookmarkStart w:id="1" w:name="_Toc473096088"/>
      <w:r w:rsidRPr="00F71685">
        <w:rPr>
          <w:lang w:val="en-GB"/>
        </w:rPr>
        <w:t xml:space="preserve">2.0 </w:t>
      </w:r>
      <w:r w:rsidR="00424873">
        <w:rPr>
          <w:lang w:val="en-GB"/>
        </w:rPr>
        <w:t>CONTENT</w:t>
      </w:r>
      <w:r w:rsidR="00F71685" w:rsidRPr="00F71685">
        <w:rPr>
          <w:lang w:val="en-GB"/>
        </w:rPr>
        <w:t xml:space="preserve"> OF THE NOMENCLATURE OF THE HARMONIZED SYSTEM</w:t>
      </w:r>
      <w:bookmarkEnd w:id="1"/>
      <w:r w:rsidRPr="00F71685">
        <w:rPr>
          <w:lang w:val="en-GB"/>
        </w:rPr>
        <w:t xml:space="preserve"> </w:t>
      </w:r>
    </w:p>
    <w:p w14:paraId="6D448B50" w14:textId="77777777" w:rsidR="0011536A" w:rsidRPr="00242632" w:rsidRDefault="0011536A" w:rsidP="007928FD">
      <w:pPr>
        <w:jc w:val="both"/>
        <w:rPr>
          <w:b/>
          <w:sz w:val="24"/>
          <w:highlight w:val="yellow"/>
        </w:rPr>
      </w:pPr>
    </w:p>
    <w:p w14:paraId="79A16FAC" w14:textId="77777777" w:rsidR="004E1615" w:rsidRPr="00F322F4" w:rsidRDefault="00F71685" w:rsidP="009F385C">
      <w:pPr>
        <w:jc w:val="both"/>
      </w:pPr>
      <w:hyperlink r:id="rId13" w:history="1">
        <w:r w:rsidRPr="00F71685">
          <w:rPr>
            <w:rStyle w:val="Hiperpovezava"/>
          </w:rPr>
          <w:t>The HS Nom</w:t>
        </w:r>
        <w:r w:rsidRPr="00F71685">
          <w:rPr>
            <w:rStyle w:val="Hiperpovezava"/>
          </w:rPr>
          <w:t>e</w:t>
        </w:r>
        <w:r w:rsidRPr="00F71685">
          <w:rPr>
            <w:rStyle w:val="Hiperpovezava"/>
          </w:rPr>
          <w:t>nc</w:t>
        </w:r>
        <w:r w:rsidRPr="00F71685">
          <w:rPr>
            <w:rStyle w:val="Hiperpovezava"/>
          </w:rPr>
          <w:t>l</w:t>
        </w:r>
        <w:r w:rsidRPr="00F71685">
          <w:rPr>
            <w:rStyle w:val="Hiperpovezava"/>
          </w:rPr>
          <w:t>ature</w:t>
        </w:r>
      </w:hyperlink>
      <w:r>
        <w:t xml:space="preserve"> comprises more than 5,000 groups of goods </w:t>
      </w:r>
      <w:r w:rsidR="00F322F4">
        <w:t xml:space="preserve">each </w:t>
      </w:r>
      <w:r>
        <w:t xml:space="preserve">identified by a six-digit code </w:t>
      </w:r>
      <w:r w:rsidR="00F322F4">
        <w:t xml:space="preserve">arranged in </w:t>
      </w:r>
      <w:r w:rsidR="00F322F4" w:rsidRPr="00F322F4">
        <w:t>a</w:t>
      </w:r>
      <w:r w:rsidRPr="00F322F4">
        <w:t xml:space="preserve"> legal and logical structure: </w:t>
      </w:r>
    </w:p>
    <w:p w14:paraId="4146242D" w14:textId="77777777" w:rsidR="004E1615" w:rsidRPr="00F71685" w:rsidRDefault="005E252E" w:rsidP="004E1615">
      <w:pPr>
        <w:numPr>
          <w:ilvl w:val="0"/>
          <w:numId w:val="9"/>
        </w:numPr>
        <w:jc w:val="both"/>
      </w:pPr>
      <w:r>
        <w:t>T</w:t>
      </w:r>
      <w:r w:rsidR="00F71685" w:rsidRPr="00F71685">
        <w:t xml:space="preserve">he first four digits of the code </w:t>
      </w:r>
      <w:r w:rsidR="00343B1C">
        <w:t xml:space="preserve">correspond </w:t>
      </w:r>
      <w:r w:rsidR="00F71685" w:rsidRPr="00F71685">
        <w:t xml:space="preserve">to the </w:t>
      </w:r>
      <w:r w:rsidR="00343B1C">
        <w:t xml:space="preserve">relevant HS </w:t>
      </w:r>
      <w:r>
        <w:t>H</w:t>
      </w:r>
      <w:r w:rsidR="00343B1C">
        <w:t>eading number,</w:t>
      </w:r>
    </w:p>
    <w:p w14:paraId="3AE6B494" w14:textId="77777777" w:rsidR="004E1615" w:rsidRPr="00343B1C" w:rsidRDefault="005E252E" w:rsidP="004E1615">
      <w:pPr>
        <w:numPr>
          <w:ilvl w:val="0"/>
          <w:numId w:val="9"/>
        </w:numPr>
        <w:jc w:val="both"/>
      </w:pPr>
      <w:r>
        <w:t>T</w:t>
      </w:r>
      <w:r w:rsidR="00343B1C" w:rsidRPr="00343B1C">
        <w:t xml:space="preserve">he fifth and the sixth digits identify the HS </w:t>
      </w:r>
      <w:r>
        <w:t>S</w:t>
      </w:r>
      <w:r w:rsidR="00343B1C" w:rsidRPr="00343B1C">
        <w:t>ubheadings.</w:t>
      </w:r>
    </w:p>
    <w:p w14:paraId="3FAA70A0" w14:textId="77777777" w:rsidR="007928FD" w:rsidRPr="00242632" w:rsidRDefault="007928FD" w:rsidP="004E1615">
      <w:pPr>
        <w:jc w:val="both"/>
        <w:rPr>
          <w:highlight w:val="yellow"/>
        </w:rPr>
      </w:pPr>
    </w:p>
    <w:p w14:paraId="08AF8252" w14:textId="77777777" w:rsidR="006B26E9" w:rsidRPr="00343B1C" w:rsidRDefault="00343B1C" w:rsidP="006B26E9">
      <w:pPr>
        <w:jc w:val="both"/>
      </w:pPr>
      <w:r w:rsidRPr="00343B1C">
        <w:t xml:space="preserve">The HS </w:t>
      </w:r>
      <w:r w:rsidR="006B26E9" w:rsidRPr="00343B1C">
        <w:t>Nomen</w:t>
      </w:r>
      <w:r w:rsidRPr="00343B1C">
        <w:t xml:space="preserve">clature </w:t>
      </w:r>
      <w:r w:rsidR="006D3164">
        <w:t>include</w:t>
      </w:r>
      <w:r w:rsidRPr="00343B1C">
        <w:t>s</w:t>
      </w:r>
      <w:r w:rsidR="006B26E9" w:rsidRPr="00343B1C">
        <w:t>:</w:t>
      </w:r>
    </w:p>
    <w:p w14:paraId="50272F3F" w14:textId="77777777" w:rsidR="00315399" w:rsidRPr="0093784C" w:rsidRDefault="005E252E" w:rsidP="008C3E70">
      <w:pPr>
        <w:numPr>
          <w:ilvl w:val="0"/>
          <w:numId w:val="11"/>
        </w:numPr>
        <w:jc w:val="both"/>
      </w:pPr>
      <w:r>
        <w:t>T</w:t>
      </w:r>
      <w:r w:rsidR="006D3164" w:rsidRPr="0093784C">
        <w:t>he General Ru</w:t>
      </w:r>
      <w:r w:rsidR="00C55459" w:rsidRPr="0093784C">
        <w:t>l</w:t>
      </w:r>
      <w:r w:rsidR="006D3164" w:rsidRPr="0093784C">
        <w:t xml:space="preserve">es for the Interpretation of the HS; </w:t>
      </w:r>
    </w:p>
    <w:p w14:paraId="0A4C6B37" w14:textId="77777777" w:rsidR="00315399" w:rsidRPr="0093784C" w:rsidRDefault="008C3E70" w:rsidP="008C3E70">
      <w:pPr>
        <w:ind w:left="360"/>
        <w:jc w:val="both"/>
      </w:pPr>
      <w:r w:rsidRPr="0093784C">
        <w:t>(</w:t>
      </w:r>
      <w:r w:rsidR="006D3164" w:rsidRPr="0093784C">
        <w:t xml:space="preserve">Goods must be classified in the HS Nomenclature clearly and unambiguously according to the General Rules for the </w:t>
      </w:r>
      <w:r w:rsidR="005E252E">
        <w:t>i</w:t>
      </w:r>
      <w:r w:rsidR="006D3164" w:rsidRPr="0093784C">
        <w:t>nterpretation of the HS</w:t>
      </w:r>
      <w:r w:rsidR="003F216D">
        <w:t>. T</w:t>
      </w:r>
      <w:r w:rsidR="0093784C">
        <w:t xml:space="preserve">hese rules </w:t>
      </w:r>
      <w:r w:rsidR="00B44D7D">
        <w:t>ensure</w:t>
      </w:r>
      <w:r w:rsidR="0093784C" w:rsidRPr="0093784C">
        <w:t xml:space="preserve"> that a certain product is always classified under the same tariff </w:t>
      </w:r>
      <w:r w:rsidR="005E252E">
        <w:t>h</w:t>
      </w:r>
      <w:r w:rsidR="0093784C" w:rsidRPr="0093784C">
        <w:t>eading</w:t>
      </w:r>
      <w:r w:rsidR="00315399" w:rsidRPr="0093784C">
        <w:t>.</w:t>
      </w:r>
      <w:r w:rsidRPr="0093784C">
        <w:t>)</w:t>
      </w:r>
    </w:p>
    <w:p w14:paraId="30B9E2F7" w14:textId="77777777" w:rsidR="00315399" w:rsidRPr="0093784C" w:rsidRDefault="005E252E" w:rsidP="008C3E70">
      <w:pPr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T</w:t>
      </w:r>
      <w:r w:rsidR="006D3164" w:rsidRPr="0093784C">
        <w:rPr>
          <w:lang w:val="en-US"/>
        </w:rPr>
        <w:t>he Section, Chapter and Subheading Notes;</w:t>
      </w:r>
      <w:r w:rsidR="00315399" w:rsidRPr="0093784C">
        <w:rPr>
          <w:lang w:val="en-US"/>
        </w:rPr>
        <w:t xml:space="preserve"> </w:t>
      </w:r>
    </w:p>
    <w:p w14:paraId="6644EA3B" w14:textId="77777777" w:rsidR="00315399" w:rsidRPr="006D3164" w:rsidRDefault="008C3E70" w:rsidP="008C3E70">
      <w:pPr>
        <w:ind w:left="360"/>
        <w:jc w:val="both"/>
      </w:pPr>
      <w:r w:rsidRPr="00B44D7D">
        <w:t>(</w:t>
      </w:r>
      <w:r w:rsidR="007C333F">
        <w:t>T</w:t>
      </w:r>
      <w:r w:rsidR="006D3164" w:rsidRPr="00B44D7D">
        <w:t>he above</w:t>
      </w:r>
      <w:r w:rsidR="005E252E">
        <w:t>-</w:t>
      </w:r>
      <w:r w:rsidR="006D3164" w:rsidRPr="00B44D7D">
        <w:t xml:space="preserve">mentioned Notes are intended to define the scope of each tariff </w:t>
      </w:r>
      <w:r w:rsidR="005E252E">
        <w:t>H</w:t>
      </w:r>
      <w:r w:rsidR="0029152A" w:rsidRPr="00B44D7D">
        <w:t>eading/</w:t>
      </w:r>
      <w:r w:rsidR="005E252E">
        <w:t>S</w:t>
      </w:r>
      <w:r w:rsidR="0029152A">
        <w:t xml:space="preserve">ubheading, </w:t>
      </w:r>
      <w:r w:rsidR="005E252E">
        <w:t>C</w:t>
      </w:r>
      <w:r w:rsidR="0029152A">
        <w:t xml:space="preserve">hapter or </w:t>
      </w:r>
      <w:r w:rsidR="005E252E">
        <w:t>S</w:t>
      </w:r>
      <w:r w:rsidR="0029152A">
        <w:t>ection</w:t>
      </w:r>
      <w:r w:rsidR="0044104D">
        <w:t>,</w:t>
      </w:r>
      <w:r w:rsidR="0029152A">
        <w:t xml:space="preserve"> in order to avoid </w:t>
      </w:r>
      <w:r w:rsidR="001D3891">
        <w:t xml:space="preserve">divergent </w:t>
      </w:r>
      <w:r w:rsidR="0029152A">
        <w:t>classification</w:t>
      </w:r>
      <w:r w:rsidR="002E35CB">
        <w:t>.)</w:t>
      </w:r>
    </w:p>
    <w:p w14:paraId="7CDAC4BA" w14:textId="77777777" w:rsidR="006B26E9" w:rsidRPr="0029152A" w:rsidRDefault="005E252E" w:rsidP="008C3E70">
      <w:pPr>
        <w:numPr>
          <w:ilvl w:val="0"/>
          <w:numId w:val="11"/>
        </w:numPr>
        <w:jc w:val="both"/>
      </w:pPr>
      <w:r>
        <w:t>A</w:t>
      </w:r>
      <w:r w:rsidR="00B44D7D">
        <w:t xml:space="preserve"> s</w:t>
      </w:r>
      <w:r w:rsidR="0029152A" w:rsidRPr="0029152A">
        <w:t>ystematic</w:t>
      </w:r>
      <w:r w:rsidR="00B44D7D">
        <w:t>ally arranged</w:t>
      </w:r>
      <w:r w:rsidR="0029152A" w:rsidRPr="0029152A">
        <w:t xml:space="preserve"> list of tariff </w:t>
      </w:r>
      <w:r>
        <w:t>h</w:t>
      </w:r>
      <w:r w:rsidR="0029152A" w:rsidRPr="0029152A">
        <w:t xml:space="preserve">eadings divided into tariff subheadings where </w:t>
      </w:r>
      <w:r w:rsidR="00B44D7D">
        <w:t xml:space="preserve">necessary. </w:t>
      </w:r>
    </w:p>
    <w:p w14:paraId="6FBA17F7" w14:textId="77777777" w:rsidR="008C3E70" w:rsidRPr="00242632" w:rsidRDefault="008C3E70" w:rsidP="008210F7">
      <w:pPr>
        <w:jc w:val="both"/>
        <w:rPr>
          <w:highlight w:val="yellow"/>
        </w:rPr>
      </w:pPr>
    </w:p>
    <w:p w14:paraId="51365D6F" w14:textId="77777777" w:rsidR="00BA7152" w:rsidRPr="0029152A" w:rsidRDefault="0029152A" w:rsidP="008210F7">
      <w:pPr>
        <w:jc w:val="both"/>
      </w:pPr>
      <w:r w:rsidRPr="0029152A">
        <w:t xml:space="preserve">The tariff headings in the HS are grouped in 96 </w:t>
      </w:r>
      <w:r>
        <w:t>C</w:t>
      </w:r>
      <w:r w:rsidRPr="0029152A">
        <w:t xml:space="preserve">hapters, which themselves are arranged in 21 </w:t>
      </w:r>
      <w:r>
        <w:t>S</w:t>
      </w:r>
      <w:r w:rsidRPr="0029152A">
        <w:t>ections (</w:t>
      </w:r>
      <w:r w:rsidR="00331C9E">
        <w:t>numbered</w:t>
      </w:r>
      <w:r w:rsidRPr="0029152A">
        <w:t xml:space="preserve"> with </w:t>
      </w:r>
      <w:r>
        <w:t>Roman numeral</w:t>
      </w:r>
      <w:r w:rsidR="00331C9E">
        <w:t>s</w:t>
      </w:r>
      <w:r>
        <w:t>):</w:t>
      </w:r>
    </w:p>
    <w:p w14:paraId="2DAB4B29" w14:textId="77777777" w:rsidR="00BA7152" w:rsidRPr="00242632" w:rsidRDefault="00BA7152" w:rsidP="00315399">
      <w:pPr>
        <w:ind w:firstLine="360"/>
        <w:jc w:val="both"/>
        <w:rPr>
          <w:highlight w:val="yellow"/>
        </w:rPr>
      </w:pPr>
    </w:p>
    <w:p w14:paraId="1F6F2396" w14:textId="77777777" w:rsidR="00581B62" w:rsidRPr="00B0440D" w:rsidRDefault="00B0440D" w:rsidP="008C3E70">
      <w:pPr>
        <w:pageBreakBefore/>
        <w:jc w:val="both"/>
        <w:rPr>
          <w:sz w:val="18"/>
          <w:szCs w:val="18"/>
        </w:rPr>
      </w:pPr>
      <w:r w:rsidRPr="00B0440D">
        <w:rPr>
          <w:sz w:val="18"/>
          <w:szCs w:val="18"/>
        </w:rPr>
        <w:lastRenderedPageBreak/>
        <w:t>Section</w:t>
      </w:r>
      <w:r w:rsidR="00581B62" w:rsidRPr="00B0440D">
        <w:rPr>
          <w:sz w:val="18"/>
          <w:szCs w:val="18"/>
        </w:rPr>
        <w:t xml:space="preserve"> I:  </w:t>
      </w:r>
      <w:r w:rsidRPr="00B0440D">
        <w:rPr>
          <w:sz w:val="18"/>
          <w:szCs w:val="18"/>
        </w:rPr>
        <w:t>Live animals</w:t>
      </w:r>
      <w:r w:rsidR="00581B62" w:rsidRPr="00B0440D">
        <w:rPr>
          <w:sz w:val="18"/>
          <w:szCs w:val="18"/>
        </w:rPr>
        <w:t xml:space="preserve">; </w:t>
      </w:r>
      <w:r w:rsidRPr="00B0440D">
        <w:rPr>
          <w:sz w:val="18"/>
          <w:szCs w:val="18"/>
        </w:rPr>
        <w:t>animal products</w:t>
      </w:r>
      <w:r w:rsidR="00581B62" w:rsidRPr="00B0440D">
        <w:rPr>
          <w:sz w:val="18"/>
          <w:szCs w:val="18"/>
        </w:rPr>
        <w:t xml:space="preserve"> </w:t>
      </w:r>
    </w:p>
    <w:p w14:paraId="05B4F41B" w14:textId="77777777" w:rsidR="00581B62" w:rsidRPr="00B0440D" w:rsidRDefault="00B0440D" w:rsidP="00581B62">
      <w:pPr>
        <w:jc w:val="both"/>
        <w:rPr>
          <w:sz w:val="18"/>
          <w:szCs w:val="18"/>
        </w:rPr>
      </w:pPr>
      <w:r w:rsidRPr="00B0440D">
        <w:rPr>
          <w:sz w:val="18"/>
          <w:szCs w:val="18"/>
        </w:rPr>
        <w:t>Section</w:t>
      </w:r>
      <w:r w:rsidR="00581B62" w:rsidRPr="00B0440D">
        <w:rPr>
          <w:sz w:val="18"/>
          <w:szCs w:val="18"/>
        </w:rPr>
        <w:t xml:space="preserve"> II: </w:t>
      </w:r>
      <w:r w:rsidRPr="00B0440D">
        <w:rPr>
          <w:sz w:val="18"/>
          <w:szCs w:val="18"/>
        </w:rPr>
        <w:t>Vegetable products</w:t>
      </w:r>
      <w:r w:rsidR="00581B62" w:rsidRPr="00B0440D">
        <w:rPr>
          <w:sz w:val="18"/>
          <w:szCs w:val="18"/>
        </w:rPr>
        <w:t xml:space="preserve"> </w:t>
      </w:r>
    </w:p>
    <w:p w14:paraId="0A0575A5" w14:textId="77777777" w:rsidR="00581B62" w:rsidRPr="00B90F0B" w:rsidRDefault="00B0440D" w:rsidP="00581B62">
      <w:pPr>
        <w:jc w:val="both"/>
        <w:rPr>
          <w:sz w:val="18"/>
          <w:szCs w:val="18"/>
        </w:rPr>
      </w:pPr>
      <w:r w:rsidRPr="00B90F0B">
        <w:rPr>
          <w:sz w:val="18"/>
          <w:szCs w:val="18"/>
        </w:rPr>
        <w:t>Section</w:t>
      </w:r>
      <w:r w:rsidR="00581B62" w:rsidRPr="00B90F0B">
        <w:rPr>
          <w:sz w:val="18"/>
          <w:szCs w:val="18"/>
        </w:rPr>
        <w:t xml:space="preserve"> III: </w:t>
      </w:r>
      <w:r w:rsidR="00B90F0B" w:rsidRPr="00B90F0B">
        <w:rPr>
          <w:sz w:val="18"/>
          <w:szCs w:val="18"/>
        </w:rPr>
        <w:t>Animal or vegetable fats and oils and their cleavage products; prepared edible fats; animal and vegetable waxes;</w:t>
      </w:r>
    </w:p>
    <w:p w14:paraId="0E7EF983" w14:textId="77777777" w:rsidR="00581B62" w:rsidRPr="00B90F0B" w:rsidRDefault="00B0440D" w:rsidP="00581B62">
      <w:pPr>
        <w:jc w:val="both"/>
        <w:rPr>
          <w:sz w:val="18"/>
          <w:szCs w:val="18"/>
        </w:rPr>
      </w:pPr>
      <w:r w:rsidRPr="00B90F0B">
        <w:rPr>
          <w:sz w:val="18"/>
          <w:szCs w:val="18"/>
        </w:rPr>
        <w:t>Section</w:t>
      </w:r>
      <w:r w:rsidR="00581B62" w:rsidRPr="00B90F0B">
        <w:rPr>
          <w:sz w:val="18"/>
          <w:szCs w:val="18"/>
        </w:rPr>
        <w:t xml:space="preserve"> IV: </w:t>
      </w:r>
      <w:r w:rsidR="00B90F0B" w:rsidRPr="00B90F0B">
        <w:rPr>
          <w:sz w:val="18"/>
          <w:szCs w:val="18"/>
        </w:rPr>
        <w:t>Prepared foodstuffs; beverages, spirits and vinegar; tobacco and manufactured tobacco substitutes</w:t>
      </w:r>
    </w:p>
    <w:p w14:paraId="3836BD67" w14:textId="77777777" w:rsidR="00581B62" w:rsidRPr="00B90F0B" w:rsidRDefault="00B0440D" w:rsidP="00581B62">
      <w:pPr>
        <w:jc w:val="both"/>
        <w:rPr>
          <w:sz w:val="18"/>
          <w:szCs w:val="18"/>
        </w:rPr>
      </w:pPr>
      <w:r w:rsidRPr="00B90F0B">
        <w:rPr>
          <w:sz w:val="18"/>
          <w:szCs w:val="18"/>
        </w:rPr>
        <w:t>Section</w:t>
      </w:r>
      <w:r w:rsidR="00581B62" w:rsidRPr="00B90F0B">
        <w:rPr>
          <w:sz w:val="18"/>
          <w:szCs w:val="18"/>
        </w:rPr>
        <w:t xml:space="preserve"> V: Mineral</w:t>
      </w:r>
      <w:r w:rsidR="00B90F0B" w:rsidRPr="00B90F0B">
        <w:rPr>
          <w:sz w:val="18"/>
          <w:szCs w:val="18"/>
        </w:rPr>
        <w:t xml:space="preserve"> products</w:t>
      </w:r>
      <w:r w:rsidR="00581B62" w:rsidRPr="00B90F0B">
        <w:rPr>
          <w:sz w:val="18"/>
          <w:szCs w:val="18"/>
        </w:rPr>
        <w:t xml:space="preserve"> </w:t>
      </w:r>
    </w:p>
    <w:p w14:paraId="270CF5B5" w14:textId="77777777" w:rsidR="00581B62" w:rsidRPr="00B90F0B" w:rsidRDefault="00B0440D" w:rsidP="00581B62">
      <w:pPr>
        <w:jc w:val="both"/>
        <w:rPr>
          <w:sz w:val="18"/>
          <w:szCs w:val="18"/>
        </w:rPr>
      </w:pPr>
      <w:r w:rsidRPr="00B90F0B">
        <w:rPr>
          <w:sz w:val="18"/>
          <w:szCs w:val="18"/>
        </w:rPr>
        <w:t>Section</w:t>
      </w:r>
      <w:r w:rsidR="00581B62" w:rsidRPr="00B90F0B">
        <w:rPr>
          <w:sz w:val="18"/>
          <w:szCs w:val="18"/>
        </w:rPr>
        <w:t xml:space="preserve"> VI: </w:t>
      </w:r>
      <w:r w:rsidR="00B90F0B" w:rsidRPr="00B90F0B">
        <w:rPr>
          <w:sz w:val="18"/>
          <w:szCs w:val="18"/>
        </w:rPr>
        <w:t>Products of the chemical or allied industries</w:t>
      </w:r>
    </w:p>
    <w:p w14:paraId="373AD9B3" w14:textId="77777777" w:rsidR="00581B62" w:rsidRPr="00B90F0B" w:rsidRDefault="00B0440D" w:rsidP="00581B62">
      <w:pPr>
        <w:jc w:val="both"/>
        <w:rPr>
          <w:sz w:val="18"/>
          <w:szCs w:val="18"/>
        </w:rPr>
      </w:pPr>
      <w:r w:rsidRPr="00B90F0B">
        <w:rPr>
          <w:sz w:val="18"/>
          <w:szCs w:val="18"/>
        </w:rPr>
        <w:t>Section</w:t>
      </w:r>
      <w:r w:rsidR="00581B62" w:rsidRPr="00B90F0B">
        <w:rPr>
          <w:sz w:val="18"/>
          <w:szCs w:val="18"/>
        </w:rPr>
        <w:t xml:space="preserve"> VII: </w:t>
      </w:r>
      <w:r w:rsidR="00B90F0B" w:rsidRPr="00B90F0B">
        <w:rPr>
          <w:sz w:val="18"/>
          <w:szCs w:val="18"/>
        </w:rPr>
        <w:t>Plastics and articles thereof; rubber and articles thereof</w:t>
      </w:r>
    </w:p>
    <w:p w14:paraId="67BE83AA" w14:textId="77777777" w:rsidR="00581B62" w:rsidRPr="00B90F0B" w:rsidRDefault="00B0440D" w:rsidP="00581B62">
      <w:pPr>
        <w:jc w:val="both"/>
        <w:rPr>
          <w:sz w:val="18"/>
          <w:szCs w:val="18"/>
        </w:rPr>
      </w:pPr>
      <w:r w:rsidRPr="00B90F0B">
        <w:rPr>
          <w:sz w:val="18"/>
          <w:szCs w:val="18"/>
        </w:rPr>
        <w:t>Section</w:t>
      </w:r>
      <w:r w:rsidR="00581B62" w:rsidRPr="00B90F0B">
        <w:rPr>
          <w:sz w:val="18"/>
          <w:szCs w:val="18"/>
        </w:rPr>
        <w:t xml:space="preserve"> VIII: </w:t>
      </w:r>
      <w:r w:rsidR="00B90F0B" w:rsidRPr="00B90F0B">
        <w:rPr>
          <w:sz w:val="18"/>
          <w:szCs w:val="18"/>
        </w:rPr>
        <w:t>Raw hides and skins, leather, furskins and articles thereof; saddlery and harness; travel goods, handbags and similar containers, articles of animal gut</w:t>
      </w:r>
    </w:p>
    <w:p w14:paraId="12CDF038" w14:textId="77777777" w:rsidR="00581B62" w:rsidRPr="00B90F0B" w:rsidRDefault="00B0440D" w:rsidP="00581B62">
      <w:pPr>
        <w:jc w:val="both"/>
        <w:rPr>
          <w:sz w:val="18"/>
          <w:szCs w:val="18"/>
        </w:rPr>
      </w:pPr>
      <w:r w:rsidRPr="009005E1">
        <w:rPr>
          <w:sz w:val="18"/>
          <w:szCs w:val="18"/>
        </w:rPr>
        <w:t>Section</w:t>
      </w:r>
      <w:r w:rsidR="00581B62" w:rsidRPr="009005E1">
        <w:rPr>
          <w:sz w:val="18"/>
          <w:szCs w:val="18"/>
        </w:rPr>
        <w:t xml:space="preserve"> IX: </w:t>
      </w:r>
      <w:r w:rsidR="00B90F0B" w:rsidRPr="009005E1">
        <w:rPr>
          <w:sz w:val="18"/>
          <w:szCs w:val="18"/>
        </w:rPr>
        <w:t>Wood and articles of wood; wood charcoal; cork and articles of cork; manufactures of straw, of</w:t>
      </w:r>
      <w:r w:rsidR="00B90F0B">
        <w:rPr>
          <w:sz w:val="18"/>
          <w:szCs w:val="18"/>
        </w:rPr>
        <w:t xml:space="preserve"> esparto or of other plaiting materials; basketware and wickerwork </w:t>
      </w:r>
    </w:p>
    <w:p w14:paraId="0185578F" w14:textId="77777777" w:rsidR="00581B62" w:rsidRPr="00242632" w:rsidRDefault="00B0440D" w:rsidP="00581B62">
      <w:pPr>
        <w:jc w:val="both"/>
        <w:rPr>
          <w:sz w:val="18"/>
          <w:szCs w:val="18"/>
          <w:highlight w:val="yellow"/>
        </w:rPr>
      </w:pPr>
      <w:r w:rsidRPr="00B33C60">
        <w:rPr>
          <w:sz w:val="18"/>
          <w:szCs w:val="18"/>
        </w:rPr>
        <w:t>Section</w:t>
      </w:r>
      <w:r w:rsidR="00581B62" w:rsidRPr="00B33C60">
        <w:rPr>
          <w:sz w:val="18"/>
          <w:szCs w:val="18"/>
        </w:rPr>
        <w:t xml:space="preserve"> X: </w:t>
      </w:r>
      <w:r w:rsidR="00416D8C" w:rsidRPr="00B33C60">
        <w:rPr>
          <w:sz w:val="18"/>
          <w:szCs w:val="18"/>
        </w:rPr>
        <w:t>Pulp of wood or of other fibrous cellulosic material; recovered (waste and scrap) paper or</w:t>
      </w:r>
      <w:r w:rsidR="00416D8C" w:rsidRPr="00416D8C">
        <w:rPr>
          <w:sz w:val="18"/>
          <w:szCs w:val="18"/>
        </w:rPr>
        <w:t xml:space="preserve"> paperboard; paper and paperboard and articles thereof</w:t>
      </w:r>
    </w:p>
    <w:p w14:paraId="737CB9CD" w14:textId="77777777" w:rsidR="00581B62" w:rsidRPr="00B33C60" w:rsidRDefault="00B0440D" w:rsidP="00581B62">
      <w:pPr>
        <w:jc w:val="both"/>
        <w:rPr>
          <w:sz w:val="18"/>
          <w:szCs w:val="18"/>
        </w:rPr>
      </w:pPr>
      <w:r w:rsidRPr="00B33C60">
        <w:rPr>
          <w:sz w:val="18"/>
          <w:szCs w:val="18"/>
        </w:rPr>
        <w:t>Section</w:t>
      </w:r>
      <w:r w:rsidR="00581B62" w:rsidRPr="00B33C60">
        <w:rPr>
          <w:sz w:val="18"/>
          <w:szCs w:val="18"/>
        </w:rPr>
        <w:t xml:space="preserve"> XI: Te</w:t>
      </w:r>
      <w:r w:rsidR="00B33C60" w:rsidRPr="00B33C60">
        <w:rPr>
          <w:sz w:val="18"/>
          <w:szCs w:val="18"/>
        </w:rPr>
        <w:t>x</w:t>
      </w:r>
      <w:r w:rsidR="00581B62" w:rsidRPr="00B33C60">
        <w:rPr>
          <w:sz w:val="18"/>
          <w:szCs w:val="18"/>
        </w:rPr>
        <w:t>til</w:t>
      </w:r>
      <w:r w:rsidR="00B33C60" w:rsidRPr="00B33C60">
        <w:rPr>
          <w:sz w:val="18"/>
          <w:szCs w:val="18"/>
        </w:rPr>
        <w:t>es</w:t>
      </w:r>
      <w:r w:rsidR="00581B62" w:rsidRPr="00B33C60">
        <w:rPr>
          <w:sz w:val="18"/>
          <w:szCs w:val="18"/>
        </w:rPr>
        <w:t xml:space="preserve"> </w:t>
      </w:r>
      <w:r w:rsidR="00B33C60" w:rsidRPr="00B33C60">
        <w:rPr>
          <w:sz w:val="18"/>
          <w:szCs w:val="18"/>
        </w:rPr>
        <w:t>a</w:t>
      </w:r>
      <w:r w:rsidR="00581B62" w:rsidRPr="00B33C60">
        <w:rPr>
          <w:sz w:val="18"/>
          <w:szCs w:val="18"/>
        </w:rPr>
        <w:t>n</w:t>
      </w:r>
      <w:r w:rsidR="00B33C60" w:rsidRPr="00B33C60">
        <w:rPr>
          <w:sz w:val="18"/>
          <w:szCs w:val="18"/>
        </w:rPr>
        <w:t>d</w:t>
      </w:r>
      <w:r w:rsidR="00581B62" w:rsidRPr="00B33C60">
        <w:rPr>
          <w:sz w:val="18"/>
          <w:szCs w:val="18"/>
        </w:rPr>
        <w:t xml:space="preserve"> te</w:t>
      </w:r>
      <w:r w:rsidR="00B33C60" w:rsidRPr="00B33C60">
        <w:rPr>
          <w:sz w:val="18"/>
          <w:szCs w:val="18"/>
        </w:rPr>
        <w:t>x</w:t>
      </w:r>
      <w:r w:rsidR="00581B62" w:rsidRPr="00B33C60">
        <w:rPr>
          <w:sz w:val="18"/>
          <w:szCs w:val="18"/>
        </w:rPr>
        <w:t>til</w:t>
      </w:r>
      <w:r w:rsidR="00B33C60" w:rsidRPr="00B33C60">
        <w:rPr>
          <w:sz w:val="18"/>
          <w:szCs w:val="18"/>
        </w:rPr>
        <w:t>e articles</w:t>
      </w:r>
      <w:r w:rsidR="00581B62" w:rsidRPr="00B33C60">
        <w:rPr>
          <w:sz w:val="18"/>
          <w:szCs w:val="18"/>
        </w:rPr>
        <w:t xml:space="preserve"> </w:t>
      </w:r>
    </w:p>
    <w:p w14:paraId="12F0D7CD" w14:textId="77777777" w:rsidR="00581B62" w:rsidRPr="000E130D" w:rsidRDefault="00B0440D" w:rsidP="00581B62">
      <w:pPr>
        <w:jc w:val="both"/>
        <w:rPr>
          <w:sz w:val="18"/>
          <w:szCs w:val="18"/>
        </w:rPr>
      </w:pPr>
      <w:r w:rsidRPr="00DD35E0">
        <w:rPr>
          <w:sz w:val="18"/>
          <w:szCs w:val="18"/>
        </w:rPr>
        <w:t>Section</w:t>
      </w:r>
      <w:r w:rsidR="00581B62" w:rsidRPr="00DD35E0">
        <w:rPr>
          <w:sz w:val="18"/>
          <w:szCs w:val="18"/>
        </w:rPr>
        <w:t xml:space="preserve"> XII: </w:t>
      </w:r>
      <w:r w:rsidR="000E130D" w:rsidRPr="00DD35E0">
        <w:rPr>
          <w:sz w:val="18"/>
          <w:szCs w:val="18"/>
        </w:rPr>
        <w:t>Footwear, head</w:t>
      </w:r>
      <w:r w:rsidR="00DD35E0">
        <w:rPr>
          <w:sz w:val="18"/>
          <w:szCs w:val="18"/>
        </w:rPr>
        <w:t>ge</w:t>
      </w:r>
      <w:r w:rsidR="000E130D" w:rsidRPr="00DD35E0">
        <w:rPr>
          <w:sz w:val="18"/>
          <w:szCs w:val="18"/>
        </w:rPr>
        <w:t>ar, umbrellas, sun umbrellas, walking-sticks, seat-sticks, whips, riding-crops</w:t>
      </w:r>
      <w:r w:rsidR="000E130D">
        <w:rPr>
          <w:sz w:val="18"/>
          <w:szCs w:val="18"/>
        </w:rPr>
        <w:t xml:space="preserve"> and parts thereof; prepared feathers and articles made therewith; artificial flowers; articles of human hair</w:t>
      </w:r>
    </w:p>
    <w:p w14:paraId="3C9388E6" w14:textId="77777777" w:rsidR="00581B62" w:rsidRPr="00242632" w:rsidRDefault="00B0440D" w:rsidP="00581B62">
      <w:pPr>
        <w:jc w:val="both"/>
        <w:rPr>
          <w:sz w:val="18"/>
          <w:szCs w:val="18"/>
          <w:highlight w:val="yellow"/>
        </w:rPr>
      </w:pPr>
      <w:r w:rsidRPr="0064372F">
        <w:rPr>
          <w:sz w:val="18"/>
          <w:szCs w:val="18"/>
        </w:rPr>
        <w:t>Section</w:t>
      </w:r>
      <w:r w:rsidR="00581B62" w:rsidRPr="0064372F">
        <w:rPr>
          <w:sz w:val="18"/>
          <w:szCs w:val="18"/>
        </w:rPr>
        <w:t xml:space="preserve"> XIII: </w:t>
      </w:r>
      <w:r w:rsidR="00DD35E0" w:rsidRPr="0064372F">
        <w:rPr>
          <w:sz w:val="18"/>
          <w:szCs w:val="18"/>
        </w:rPr>
        <w:t>Articles of stone, plaster, cement, asbestos, mica</w:t>
      </w:r>
      <w:r w:rsidR="0044104D">
        <w:rPr>
          <w:sz w:val="18"/>
          <w:szCs w:val="18"/>
        </w:rPr>
        <w:t>,</w:t>
      </w:r>
      <w:r w:rsidR="00DD35E0" w:rsidRPr="0064372F">
        <w:rPr>
          <w:sz w:val="18"/>
          <w:szCs w:val="18"/>
        </w:rPr>
        <w:t xml:space="preserve"> or similar materials; ceramic products; glass</w:t>
      </w:r>
      <w:r w:rsidR="00DD35E0">
        <w:rPr>
          <w:sz w:val="18"/>
          <w:szCs w:val="18"/>
        </w:rPr>
        <w:t xml:space="preserve"> and glassware</w:t>
      </w:r>
    </w:p>
    <w:p w14:paraId="02F7A697" w14:textId="77777777" w:rsidR="00581B62" w:rsidRPr="0064372F" w:rsidRDefault="00B0440D" w:rsidP="00581B62">
      <w:pPr>
        <w:jc w:val="both"/>
        <w:rPr>
          <w:sz w:val="18"/>
          <w:szCs w:val="18"/>
        </w:rPr>
      </w:pPr>
      <w:r w:rsidRPr="00846E08">
        <w:rPr>
          <w:sz w:val="18"/>
          <w:szCs w:val="18"/>
        </w:rPr>
        <w:t>Section</w:t>
      </w:r>
      <w:r w:rsidR="00581B62" w:rsidRPr="00846E08">
        <w:rPr>
          <w:sz w:val="18"/>
          <w:szCs w:val="18"/>
        </w:rPr>
        <w:t xml:space="preserve"> XIV: </w:t>
      </w:r>
      <w:r w:rsidR="0064372F" w:rsidRPr="00846E08">
        <w:rPr>
          <w:sz w:val="18"/>
          <w:szCs w:val="18"/>
        </w:rPr>
        <w:t>Natural or cultured pearls, precious or semi-precious stones, precious metals, metals clad with precious metal and articles thereof, imitation jewellery; coin</w:t>
      </w:r>
    </w:p>
    <w:p w14:paraId="71BEA9D2" w14:textId="77777777" w:rsidR="00581B62" w:rsidRPr="00846E08" w:rsidRDefault="00B0440D" w:rsidP="00581B62">
      <w:pPr>
        <w:jc w:val="both"/>
        <w:rPr>
          <w:sz w:val="18"/>
          <w:szCs w:val="18"/>
        </w:rPr>
      </w:pPr>
      <w:r w:rsidRPr="00846E08">
        <w:rPr>
          <w:sz w:val="18"/>
          <w:szCs w:val="18"/>
        </w:rPr>
        <w:t>Section</w:t>
      </w:r>
      <w:r w:rsidR="00581B62" w:rsidRPr="00846E08">
        <w:rPr>
          <w:sz w:val="18"/>
          <w:szCs w:val="18"/>
        </w:rPr>
        <w:t xml:space="preserve"> XV: </w:t>
      </w:r>
      <w:r w:rsidR="00846E08" w:rsidRPr="00846E08">
        <w:rPr>
          <w:sz w:val="18"/>
          <w:szCs w:val="18"/>
        </w:rPr>
        <w:t>Base metals and articles of base metal</w:t>
      </w:r>
    </w:p>
    <w:p w14:paraId="3A85DB9F" w14:textId="77777777" w:rsidR="00E11AD1" w:rsidRDefault="00B0440D" w:rsidP="00581B62">
      <w:pPr>
        <w:jc w:val="both"/>
        <w:rPr>
          <w:sz w:val="18"/>
          <w:szCs w:val="18"/>
        </w:rPr>
      </w:pPr>
      <w:r w:rsidRPr="00E11AD1">
        <w:rPr>
          <w:sz w:val="18"/>
          <w:szCs w:val="18"/>
        </w:rPr>
        <w:t>Section</w:t>
      </w:r>
      <w:r w:rsidR="00581B62" w:rsidRPr="00E11AD1">
        <w:rPr>
          <w:sz w:val="18"/>
          <w:szCs w:val="18"/>
        </w:rPr>
        <w:t xml:space="preserve"> XVI: </w:t>
      </w:r>
      <w:r w:rsidR="00846E08" w:rsidRPr="00E11AD1">
        <w:rPr>
          <w:sz w:val="18"/>
          <w:szCs w:val="18"/>
        </w:rPr>
        <w:t>Machinery and mechanical appliances; electrical equipment; parts thereof; sound recorders</w:t>
      </w:r>
      <w:r w:rsidR="00846E08">
        <w:rPr>
          <w:sz w:val="18"/>
          <w:szCs w:val="18"/>
        </w:rPr>
        <w:t xml:space="preserve"> and reproducers; television image and sound recorders and reproducers, and parts and accessories of such articles.</w:t>
      </w:r>
    </w:p>
    <w:p w14:paraId="3C4736C2" w14:textId="77777777" w:rsidR="00581B62" w:rsidRPr="00E11AD1" w:rsidRDefault="00B0440D" w:rsidP="00581B62">
      <w:pPr>
        <w:jc w:val="both"/>
        <w:rPr>
          <w:sz w:val="18"/>
          <w:szCs w:val="18"/>
        </w:rPr>
      </w:pPr>
      <w:r w:rsidRPr="00E11AD1">
        <w:rPr>
          <w:sz w:val="18"/>
          <w:szCs w:val="18"/>
        </w:rPr>
        <w:t>Section</w:t>
      </w:r>
      <w:r w:rsidR="00581B62" w:rsidRPr="00E11AD1">
        <w:rPr>
          <w:sz w:val="18"/>
          <w:szCs w:val="18"/>
        </w:rPr>
        <w:t xml:space="preserve"> XVII: </w:t>
      </w:r>
      <w:r w:rsidR="00E11AD1" w:rsidRPr="00E11AD1">
        <w:rPr>
          <w:sz w:val="18"/>
          <w:szCs w:val="18"/>
        </w:rPr>
        <w:t>Vehicles, aircraft, vessels</w:t>
      </w:r>
      <w:r w:rsidR="0044104D">
        <w:rPr>
          <w:sz w:val="18"/>
          <w:szCs w:val="18"/>
        </w:rPr>
        <w:t>,</w:t>
      </w:r>
      <w:r w:rsidR="00E11AD1" w:rsidRPr="00E11AD1">
        <w:rPr>
          <w:sz w:val="18"/>
          <w:szCs w:val="18"/>
        </w:rPr>
        <w:t xml:space="preserve"> and associated transport equipment</w:t>
      </w:r>
    </w:p>
    <w:p w14:paraId="130C7BB5" w14:textId="77777777" w:rsidR="00581B62" w:rsidRPr="00D61532" w:rsidRDefault="00B0440D" w:rsidP="00581B62">
      <w:pPr>
        <w:jc w:val="both"/>
        <w:rPr>
          <w:sz w:val="18"/>
          <w:szCs w:val="18"/>
        </w:rPr>
      </w:pPr>
      <w:r w:rsidRPr="00D61532">
        <w:rPr>
          <w:sz w:val="18"/>
          <w:szCs w:val="18"/>
        </w:rPr>
        <w:t>Section</w:t>
      </w:r>
      <w:r w:rsidR="00581B62" w:rsidRPr="00D61532">
        <w:rPr>
          <w:sz w:val="18"/>
          <w:szCs w:val="18"/>
        </w:rPr>
        <w:t xml:space="preserve"> XVIII: </w:t>
      </w:r>
      <w:r w:rsidR="00E11AD1" w:rsidRPr="00D61532">
        <w:rPr>
          <w:sz w:val="18"/>
          <w:szCs w:val="18"/>
        </w:rPr>
        <w:t>Optical, photographic, cinematographic, measuring, checking, precision, medical or surgical instruments and apparatus; clocks and watches</w:t>
      </w:r>
      <w:r w:rsidR="00D61532" w:rsidRPr="00D61532">
        <w:rPr>
          <w:sz w:val="18"/>
          <w:szCs w:val="18"/>
        </w:rPr>
        <w:t>; musical instruments; parts and accessories thereof</w:t>
      </w:r>
    </w:p>
    <w:p w14:paraId="60F29051" w14:textId="77777777" w:rsidR="00581B62" w:rsidRPr="00D61532" w:rsidRDefault="00B0440D" w:rsidP="00581B62">
      <w:pPr>
        <w:jc w:val="both"/>
        <w:rPr>
          <w:sz w:val="18"/>
          <w:szCs w:val="18"/>
        </w:rPr>
      </w:pPr>
      <w:r w:rsidRPr="00D61532">
        <w:rPr>
          <w:sz w:val="18"/>
          <w:szCs w:val="18"/>
        </w:rPr>
        <w:t>Section</w:t>
      </w:r>
      <w:r w:rsidR="00581B62" w:rsidRPr="00D61532">
        <w:rPr>
          <w:sz w:val="18"/>
          <w:szCs w:val="18"/>
        </w:rPr>
        <w:t xml:space="preserve"> XIX: </w:t>
      </w:r>
      <w:r w:rsidR="00D61532" w:rsidRPr="00D61532">
        <w:rPr>
          <w:sz w:val="18"/>
          <w:szCs w:val="18"/>
        </w:rPr>
        <w:t>Arms and ammunition; parts and accessories thereof</w:t>
      </w:r>
    </w:p>
    <w:p w14:paraId="54974ACB" w14:textId="77777777" w:rsidR="00581B62" w:rsidRPr="00D61532" w:rsidRDefault="00B0440D" w:rsidP="00581B62">
      <w:pPr>
        <w:jc w:val="both"/>
        <w:rPr>
          <w:sz w:val="18"/>
          <w:szCs w:val="18"/>
        </w:rPr>
      </w:pPr>
      <w:r w:rsidRPr="00D61532">
        <w:rPr>
          <w:sz w:val="18"/>
          <w:szCs w:val="18"/>
        </w:rPr>
        <w:t>Section</w:t>
      </w:r>
      <w:r w:rsidR="00581B62" w:rsidRPr="00D61532">
        <w:rPr>
          <w:sz w:val="18"/>
          <w:szCs w:val="18"/>
        </w:rPr>
        <w:t xml:space="preserve"> XX: </w:t>
      </w:r>
      <w:r w:rsidR="00D61532" w:rsidRPr="00D61532">
        <w:rPr>
          <w:sz w:val="18"/>
          <w:szCs w:val="18"/>
        </w:rPr>
        <w:t>Miscellaneous manufactured articles</w:t>
      </w:r>
    </w:p>
    <w:p w14:paraId="4B1D1FA4" w14:textId="77777777" w:rsidR="00581B62" w:rsidRPr="00D61532" w:rsidRDefault="00B0440D" w:rsidP="00581B62">
      <w:pPr>
        <w:jc w:val="both"/>
        <w:rPr>
          <w:sz w:val="18"/>
          <w:szCs w:val="18"/>
        </w:rPr>
      </w:pPr>
      <w:r w:rsidRPr="00D61532">
        <w:rPr>
          <w:sz w:val="18"/>
          <w:szCs w:val="18"/>
        </w:rPr>
        <w:t>Section</w:t>
      </w:r>
      <w:r w:rsidR="00581B62" w:rsidRPr="00D61532">
        <w:rPr>
          <w:sz w:val="18"/>
          <w:szCs w:val="18"/>
        </w:rPr>
        <w:t xml:space="preserve"> XXI: </w:t>
      </w:r>
      <w:r w:rsidR="00D61532" w:rsidRPr="00D61532">
        <w:rPr>
          <w:sz w:val="18"/>
          <w:szCs w:val="18"/>
        </w:rPr>
        <w:t>Works of art, collectors’ pieces</w:t>
      </w:r>
      <w:r w:rsidR="0044104D">
        <w:rPr>
          <w:sz w:val="18"/>
          <w:szCs w:val="18"/>
        </w:rPr>
        <w:t>,</w:t>
      </w:r>
      <w:r w:rsidR="00D61532" w:rsidRPr="00D61532">
        <w:rPr>
          <w:sz w:val="18"/>
          <w:szCs w:val="18"/>
        </w:rPr>
        <w:t xml:space="preserve"> and antiques</w:t>
      </w:r>
    </w:p>
    <w:p w14:paraId="3753C4E0" w14:textId="77777777" w:rsidR="00581B62" w:rsidRPr="00242632" w:rsidRDefault="00581B62" w:rsidP="00BA4F8E">
      <w:pPr>
        <w:jc w:val="both"/>
        <w:rPr>
          <w:highlight w:val="yellow"/>
        </w:rPr>
      </w:pPr>
    </w:p>
    <w:p w14:paraId="23B4873D" w14:textId="77777777" w:rsidR="00E35A53" w:rsidRPr="00A210AE" w:rsidRDefault="005E252E" w:rsidP="00E35A53">
      <w:pPr>
        <w:jc w:val="both"/>
      </w:pPr>
      <w:r w:rsidRPr="00A210AE">
        <w:t>As a rule</w:t>
      </w:r>
      <w:r w:rsidR="00A210AE" w:rsidRPr="00A210AE">
        <w:t>, goods are arranged in the HS in order of their degree of manufacture:</w:t>
      </w:r>
      <w:r w:rsidR="00A210AE">
        <w:t xml:space="preserve"> raw materials, unworked products, semi-finished products</w:t>
      </w:r>
      <w:r w:rsidR="0044104D">
        <w:t>,</w:t>
      </w:r>
      <w:r w:rsidR="00A210AE">
        <w:t xml:space="preserve"> and finished products. The same order exists also within </w:t>
      </w:r>
      <w:r>
        <w:t>C</w:t>
      </w:r>
      <w:r w:rsidR="00A210AE">
        <w:t>hapter</w:t>
      </w:r>
      <w:r w:rsidR="007C333F">
        <w:t>s</w:t>
      </w:r>
      <w:r w:rsidR="00A210AE">
        <w:t xml:space="preserve"> and </w:t>
      </w:r>
      <w:r>
        <w:t>H</w:t>
      </w:r>
      <w:r w:rsidR="00A210AE">
        <w:t xml:space="preserve">eadings. </w:t>
      </w:r>
    </w:p>
    <w:p w14:paraId="5FB4FC09" w14:textId="77777777" w:rsidR="00E35A53" w:rsidRPr="00242632" w:rsidRDefault="00E35A53" w:rsidP="00BA4F8E">
      <w:pPr>
        <w:jc w:val="both"/>
        <w:rPr>
          <w:highlight w:val="yellow"/>
        </w:rPr>
      </w:pPr>
    </w:p>
    <w:p w14:paraId="3D35CD0C" w14:textId="77777777" w:rsidR="00F01C96" w:rsidRDefault="00F01C96" w:rsidP="001D3891">
      <w:pPr>
        <w:jc w:val="both"/>
      </w:pPr>
      <w:r>
        <w:t>On 1 January 2022, the seventh edition of the HS Nomenclature 2022 entered into force and will be valid for the period up to 2027. It</w:t>
      </w:r>
      <w:r w:rsidRPr="001D3891">
        <w:t xml:space="preserve"> brings more than 350 amendments</w:t>
      </w:r>
      <w:r>
        <w:t xml:space="preserve">. </w:t>
      </w:r>
      <w:r w:rsidR="00F979DE" w:rsidRPr="00F979DE">
        <w:t>The HS Nomenclature</w:t>
      </w:r>
      <w:r w:rsidR="00F979DE">
        <w:t xml:space="preserve"> </w:t>
      </w:r>
      <w:r w:rsidR="00C857ED">
        <w:t>is</w:t>
      </w:r>
      <w:r w:rsidR="00F979DE">
        <w:t xml:space="preserve"> amend</w:t>
      </w:r>
      <w:r w:rsidR="00C857ED">
        <w:t>ed</w:t>
      </w:r>
      <w:r w:rsidR="00F979DE">
        <w:t xml:space="preserve"> every five years. </w:t>
      </w:r>
    </w:p>
    <w:p w14:paraId="54080ECA" w14:textId="77777777" w:rsidR="00F01C96" w:rsidRDefault="00F01C96" w:rsidP="001D3891">
      <w:pPr>
        <w:jc w:val="both"/>
      </w:pPr>
    </w:p>
    <w:p w14:paraId="542C3585" w14:textId="77777777" w:rsidR="001D3891" w:rsidRDefault="001D3891" w:rsidP="001D3891">
      <w:pPr>
        <w:jc w:val="both"/>
      </w:pPr>
      <w:r>
        <w:t xml:space="preserve">The </w:t>
      </w:r>
      <w:r w:rsidRPr="003744CF">
        <w:rPr>
          <w:i/>
        </w:rPr>
        <w:t>web version</w:t>
      </w:r>
      <w:r>
        <w:t xml:space="preserve"> of the HS 20</w:t>
      </w:r>
      <w:r w:rsidR="00F01C96">
        <w:t>22-2027</w:t>
      </w:r>
      <w:r>
        <w:t xml:space="preserve"> nomenclature is accessible on the World Customs Organisation website: </w:t>
      </w:r>
      <w:hyperlink r:id="rId14" w:history="1">
        <w:r w:rsidRPr="001D3891">
          <w:rPr>
            <w:rStyle w:val="Hiperpovezava"/>
          </w:rPr>
          <w:t>W</w:t>
        </w:r>
        <w:r w:rsidRPr="001D3891">
          <w:rPr>
            <w:rStyle w:val="Hiperpovezava"/>
          </w:rPr>
          <w:t>C</w:t>
        </w:r>
        <w:r w:rsidRPr="001D3891">
          <w:rPr>
            <w:rStyle w:val="Hiperpovezava"/>
          </w:rPr>
          <w:t>O Trade Tools</w:t>
        </w:r>
      </w:hyperlink>
      <w:r>
        <w:t>.</w:t>
      </w:r>
    </w:p>
    <w:p w14:paraId="3F0E1CDD" w14:textId="77777777" w:rsidR="001D3891" w:rsidRDefault="001D3891" w:rsidP="001D3891">
      <w:pPr>
        <w:jc w:val="both"/>
      </w:pPr>
    </w:p>
    <w:p w14:paraId="1B761331" w14:textId="77777777" w:rsidR="0044104D" w:rsidRDefault="001D3891" w:rsidP="001D3891">
      <w:pPr>
        <w:jc w:val="both"/>
      </w:pPr>
      <w:r>
        <w:t xml:space="preserve">You can purchase the HS nomenclature </w:t>
      </w:r>
      <w:r w:rsidR="0044104D">
        <w:t xml:space="preserve">2022-2027 </w:t>
      </w:r>
      <w:r>
        <w:t xml:space="preserve">in </w:t>
      </w:r>
      <w:r w:rsidRPr="003744CF">
        <w:rPr>
          <w:i/>
        </w:rPr>
        <w:t>paper version</w:t>
      </w:r>
      <w:r>
        <w:t xml:space="preserve"> on the following website of the World Customs Organisation: </w:t>
      </w:r>
    </w:p>
    <w:p w14:paraId="1BCB0E87" w14:textId="77777777" w:rsidR="001D3891" w:rsidRDefault="001D3891" w:rsidP="001D3891">
      <w:pPr>
        <w:jc w:val="both"/>
      </w:pPr>
      <w:hyperlink r:id="rId15" w:history="1">
        <w:r w:rsidRPr="001D3891">
          <w:rPr>
            <w:rStyle w:val="Hiperpovezava"/>
          </w:rPr>
          <w:t>Harmonized Sy</w:t>
        </w:r>
        <w:r w:rsidRPr="001D3891">
          <w:rPr>
            <w:rStyle w:val="Hiperpovezava"/>
          </w:rPr>
          <w:t>s</w:t>
        </w:r>
        <w:r w:rsidRPr="001D3891">
          <w:rPr>
            <w:rStyle w:val="Hiperpovezava"/>
          </w:rPr>
          <w:t>tem Nomenclature 2022 | WCO Bookshop (wcoomdpublications.org)</w:t>
        </w:r>
      </w:hyperlink>
    </w:p>
    <w:p w14:paraId="57F90EB5" w14:textId="77777777" w:rsidR="001D3891" w:rsidRDefault="001D3891" w:rsidP="001D3891">
      <w:pPr>
        <w:jc w:val="both"/>
      </w:pPr>
    </w:p>
    <w:p w14:paraId="08B62267" w14:textId="77777777" w:rsidR="001D3891" w:rsidRDefault="001D3891" w:rsidP="001D3891">
      <w:pPr>
        <w:jc w:val="both"/>
      </w:pPr>
      <w:r>
        <w:t xml:space="preserve">The main features of the </w:t>
      </w:r>
      <w:r w:rsidR="00C857ED">
        <w:t>amendments</w:t>
      </w:r>
      <w:r>
        <w:t xml:space="preserve"> to the HS 2022</w:t>
      </w:r>
      <w:r w:rsidR="00F01C96">
        <w:t>-2027</w:t>
      </w:r>
      <w:r>
        <w:t xml:space="preserve"> are adaptation to trade and product technological developments, addressing environmental and social issues of global concern, health</w:t>
      </w:r>
      <w:r w:rsidR="00591AEA">
        <w:t>,</w:t>
      </w:r>
      <w:r>
        <w:t xml:space="preserve"> safety </w:t>
      </w:r>
      <w:r w:rsidR="00591AEA">
        <w:t>and social security and counterterrorism</w:t>
      </w:r>
      <w:r>
        <w:t xml:space="preserve"> which are </w:t>
      </w:r>
      <w:r w:rsidR="00591AEA">
        <w:t xml:space="preserve">of </w:t>
      </w:r>
      <w:r>
        <w:t>increasing importan</w:t>
      </w:r>
      <w:r w:rsidR="00591AEA">
        <w:t>ce</w:t>
      </w:r>
      <w:r>
        <w:t xml:space="preserve"> </w:t>
      </w:r>
      <w:r w:rsidR="00591AEA">
        <w:t>to</w:t>
      </w:r>
      <w:r>
        <w:t xml:space="preserve"> customs. </w:t>
      </w:r>
    </w:p>
    <w:p w14:paraId="4E528B6E" w14:textId="77777777" w:rsidR="001D3891" w:rsidRDefault="0044104D" w:rsidP="001D3891">
      <w:pPr>
        <w:jc w:val="both"/>
      </w:pPr>
      <w:r>
        <w:t xml:space="preserve"> </w:t>
      </w:r>
    </w:p>
    <w:p w14:paraId="4FBBD5C6" w14:textId="77777777" w:rsidR="001D3891" w:rsidRDefault="001D3891" w:rsidP="001D3891">
      <w:pPr>
        <w:jc w:val="both"/>
      </w:pPr>
      <w:r>
        <w:lastRenderedPageBreak/>
        <w:t>The HS 2022</w:t>
      </w:r>
      <w:r w:rsidR="00F01C96">
        <w:t>-2027</w:t>
      </w:r>
      <w:r>
        <w:t xml:space="preserve"> modernises subheadings for goods specifically controlled under different conventions. The amendments </w:t>
      </w:r>
      <w:r w:rsidR="00837DC7">
        <w:t>of</w:t>
      </w:r>
      <w:r>
        <w:t xml:space="preserve"> the HS 2022 are not only limited to the creation of new provisions and headings/subheadings for different goods, but also include updates and alignments of texts between language versions to ensure uniform application of the nomenclature. </w:t>
      </w:r>
    </w:p>
    <w:p w14:paraId="7404EC76" w14:textId="77777777" w:rsidR="001D3891" w:rsidRDefault="001D3891" w:rsidP="001D3891">
      <w:pPr>
        <w:jc w:val="both"/>
      </w:pPr>
    </w:p>
    <w:p w14:paraId="7BF05B68" w14:textId="77777777" w:rsidR="001D3891" w:rsidRDefault="001D3891" w:rsidP="001D3891">
      <w:pPr>
        <w:jc w:val="both"/>
      </w:pPr>
      <w:r>
        <w:t xml:space="preserve">The </w:t>
      </w:r>
      <w:r w:rsidR="003744CF">
        <w:t>amendments</w:t>
      </w:r>
      <w:r>
        <w:t xml:space="preserve"> of HS 2022</w:t>
      </w:r>
      <w:r w:rsidR="00F01C96">
        <w:t>-2027</w:t>
      </w:r>
      <w:r>
        <w:t xml:space="preserve"> include, inter alia: </w:t>
      </w:r>
    </w:p>
    <w:p w14:paraId="4EEF9E64" w14:textId="77777777" w:rsidR="001D3891" w:rsidRDefault="001D3891" w:rsidP="001D3891">
      <w:pPr>
        <w:jc w:val="both"/>
      </w:pPr>
      <w:r>
        <w:t xml:space="preserve">— </w:t>
      </w:r>
      <w:r w:rsidR="007D32C0">
        <w:t>S</w:t>
      </w:r>
      <w:r>
        <w:t>pecific provisions for the classification of electrical and electronic waste and scrap (e-waste) under the Basel Convention due to the large volume of trade and environmental problems</w:t>
      </w:r>
    </w:p>
    <w:p w14:paraId="599C34AC" w14:textId="77777777" w:rsidR="001D3891" w:rsidRDefault="001D3891" w:rsidP="001D3891">
      <w:pPr>
        <w:jc w:val="both"/>
      </w:pPr>
      <w:r>
        <w:t xml:space="preserve">— </w:t>
      </w:r>
      <w:r w:rsidR="007D32C0">
        <w:t>P</w:t>
      </w:r>
      <w:r>
        <w:t xml:space="preserve">rovisions for new tobacco and nicotine-containing products </w:t>
      </w:r>
      <w:r w:rsidR="00DF670F">
        <w:t>because of</w:t>
      </w:r>
      <w:r>
        <w:t xml:space="preserve"> the difficulties in classifying these products, the lack of trade statistics and the high monetary value of trade in these products</w:t>
      </w:r>
    </w:p>
    <w:p w14:paraId="589D9C39" w14:textId="77777777" w:rsidR="001D3891" w:rsidRDefault="001D3891" w:rsidP="001D3891">
      <w:pPr>
        <w:jc w:val="both"/>
      </w:pPr>
      <w:r>
        <w:t xml:space="preserve">— </w:t>
      </w:r>
      <w:r w:rsidR="007D32C0">
        <w:t>S</w:t>
      </w:r>
      <w:r>
        <w:t>pecific provisions for the classification of drones (unmanned aircraft) to simplify classification</w:t>
      </w:r>
    </w:p>
    <w:p w14:paraId="317F2C92" w14:textId="77777777" w:rsidR="001D3891" w:rsidRDefault="001D3891" w:rsidP="001D3891">
      <w:pPr>
        <w:jc w:val="both"/>
      </w:pPr>
      <w:r>
        <w:t xml:space="preserve">— </w:t>
      </w:r>
      <w:r w:rsidR="007D32C0">
        <w:t>I</w:t>
      </w:r>
      <w:r>
        <w:t>ntroduction of a new note and subheading for smartphones to facilitate the classification of multifunctional devices</w:t>
      </w:r>
    </w:p>
    <w:p w14:paraId="76DDAC29" w14:textId="77777777" w:rsidR="001D3891" w:rsidRDefault="001D3891" w:rsidP="001D3891">
      <w:pPr>
        <w:jc w:val="both"/>
      </w:pPr>
      <w:r>
        <w:t xml:space="preserve">— </w:t>
      </w:r>
      <w:r w:rsidR="007D32C0">
        <w:t>R</w:t>
      </w:r>
      <w:r>
        <w:t>e</w:t>
      </w:r>
      <w:r w:rsidR="00C857ED">
        <w:t>vision</w:t>
      </w:r>
      <w:r>
        <w:t xml:space="preserve"> of subheadings for glass fibres and their articles</w:t>
      </w:r>
      <w:r w:rsidR="00C857ED">
        <w:t>,</w:t>
      </w:r>
      <w:r>
        <w:t xml:space="preserve"> and the transformation of subheadings for metal forming machines, reflecting technological progress in these sectors, the lack of trade statistics and classification problems</w:t>
      </w:r>
    </w:p>
    <w:p w14:paraId="312299E8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 xml:space="preserve">ew subheadings for flat panel displays to eliminate the need for end-use definition and </w:t>
      </w:r>
      <w:r w:rsidR="00C857ED">
        <w:t xml:space="preserve">to </w:t>
      </w:r>
      <w:r>
        <w:t>simplify classification</w:t>
      </w:r>
    </w:p>
    <w:p w14:paraId="17771A3F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>ew provisions for diagnostic reagents to accelerate the diagnosis of communicable diseases and pandemic outbreaks and to reduce delivery delays</w:t>
      </w:r>
    </w:p>
    <w:p w14:paraId="4F36A8DF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>ew provisions for placebos and blind clinical test kits will help facilitate cross-border medical research</w:t>
      </w:r>
    </w:p>
    <w:p w14:paraId="7EF93F83" w14:textId="77777777" w:rsidR="001D3891" w:rsidRDefault="001D3891" w:rsidP="001D3891">
      <w:pPr>
        <w:jc w:val="both"/>
      </w:pPr>
      <w:r>
        <w:t xml:space="preserve">— </w:t>
      </w:r>
      <w:r w:rsidR="007D32C0">
        <w:t>S</w:t>
      </w:r>
      <w:r>
        <w:t xml:space="preserve">pecific provisions for cell cultures and cell therapies </w:t>
      </w:r>
    </w:p>
    <w:p w14:paraId="3B066FE3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>ew provisions for various dual-use items (from toxic substances to laboratory equipment)</w:t>
      </w:r>
    </w:p>
    <w:p w14:paraId="00FF3581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>ew subheadings for dual-use items (radioactive elements, biological security boxes) which can be diverted to unauthorised use, and for products used for the manufacture of improvised explosive devices, such as detonators</w:t>
      </w:r>
    </w:p>
    <w:p w14:paraId="59B447C4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>ew subheadings for specific chemicals controlled by the Chemical Weapons Convention, for hazardous chemicals subject to the Rotterdam Convention and for certain polluting chemicals under the auspices of the Stockholm Convention</w:t>
      </w:r>
    </w:p>
    <w:p w14:paraId="743202FE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>ew subheadings for the monitoring and control of fentanyl and its derivatives and the two precursors of fentanyl at the request of the International Committee on Narcotic Drugs</w:t>
      </w:r>
    </w:p>
    <w:p w14:paraId="3DA9B8F1" w14:textId="77777777" w:rsidR="001D3891" w:rsidRDefault="001D3891" w:rsidP="001D3891">
      <w:pPr>
        <w:jc w:val="both"/>
      </w:pPr>
      <w:r>
        <w:t xml:space="preserve">— </w:t>
      </w:r>
      <w:r w:rsidR="007D32C0">
        <w:t>N</w:t>
      </w:r>
      <w:r>
        <w:t xml:space="preserve">ew provisions and </w:t>
      </w:r>
      <w:r w:rsidR="002255F7">
        <w:t xml:space="preserve">a </w:t>
      </w:r>
      <w:r>
        <w:t xml:space="preserve">new tariff </w:t>
      </w:r>
      <w:r w:rsidR="002255F7">
        <w:t>heading</w:t>
      </w:r>
      <w:r>
        <w:t xml:space="preserve"> for gases controlled under the Kigali Amendment to the Montreal Protocol </w:t>
      </w:r>
    </w:p>
    <w:p w14:paraId="3328DA55" w14:textId="77777777" w:rsidR="008210F7" w:rsidRPr="00242632" w:rsidRDefault="001D3891" w:rsidP="001D3891">
      <w:pPr>
        <w:jc w:val="both"/>
        <w:rPr>
          <w:highlight w:val="yellow"/>
        </w:rPr>
      </w:pPr>
      <w:r>
        <w:t xml:space="preserve">— </w:t>
      </w:r>
      <w:r w:rsidR="007D32C0">
        <w:t>A</w:t>
      </w:r>
      <w:r>
        <w:t xml:space="preserve">lignment of texts between French and English as regards the appropriate measurement of </w:t>
      </w:r>
      <w:r w:rsidR="003F216D">
        <w:t xml:space="preserve">unworked </w:t>
      </w:r>
      <w:r>
        <w:t>wood</w:t>
      </w:r>
    </w:p>
    <w:p w14:paraId="414CAE1E" w14:textId="77777777" w:rsidR="00CB52DE" w:rsidRPr="00480C0E" w:rsidRDefault="00CB52DE" w:rsidP="008C3E70">
      <w:pPr>
        <w:pStyle w:val="FURSnaslov1"/>
        <w:pageBreakBefore/>
        <w:rPr>
          <w:lang w:val="en-GB"/>
        </w:rPr>
      </w:pPr>
      <w:bookmarkStart w:id="2" w:name="_Toc473096089"/>
      <w:r w:rsidRPr="00480C0E">
        <w:rPr>
          <w:lang w:val="en-GB"/>
        </w:rPr>
        <w:lastRenderedPageBreak/>
        <w:t xml:space="preserve">3.0 </w:t>
      </w:r>
      <w:r w:rsidR="00480C0E" w:rsidRPr="00480C0E">
        <w:rPr>
          <w:lang w:val="en-GB"/>
        </w:rPr>
        <w:t xml:space="preserve">EXPLANATORY NOTES TO THE </w:t>
      </w:r>
      <w:r w:rsidRPr="00480C0E">
        <w:rPr>
          <w:lang w:val="en-GB"/>
        </w:rPr>
        <w:t>HARMONIZ</w:t>
      </w:r>
      <w:r w:rsidR="00480C0E" w:rsidRPr="00480C0E">
        <w:rPr>
          <w:lang w:val="en-GB"/>
        </w:rPr>
        <w:t xml:space="preserve">ED </w:t>
      </w:r>
      <w:r w:rsidRPr="00480C0E">
        <w:rPr>
          <w:lang w:val="en-GB"/>
        </w:rPr>
        <w:t>S</w:t>
      </w:r>
      <w:r w:rsidR="00480C0E" w:rsidRPr="00480C0E">
        <w:rPr>
          <w:lang w:val="en-GB"/>
        </w:rPr>
        <w:t>Y</w:t>
      </w:r>
      <w:r w:rsidRPr="00480C0E">
        <w:rPr>
          <w:lang w:val="en-GB"/>
        </w:rPr>
        <w:t>STEM</w:t>
      </w:r>
      <w:bookmarkEnd w:id="2"/>
    </w:p>
    <w:p w14:paraId="35C09A6D" w14:textId="77777777" w:rsidR="00F53E02" w:rsidRPr="00242632" w:rsidRDefault="00F53E02" w:rsidP="00F53E02">
      <w:pPr>
        <w:jc w:val="both"/>
        <w:rPr>
          <w:b/>
          <w:sz w:val="24"/>
          <w:highlight w:val="yellow"/>
        </w:rPr>
      </w:pPr>
    </w:p>
    <w:p w14:paraId="38F12628" w14:textId="77777777" w:rsidR="008210F7" w:rsidRPr="00876B99" w:rsidRDefault="00876B99" w:rsidP="008210F7">
      <w:pPr>
        <w:jc w:val="both"/>
      </w:pPr>
      <w:r>
        <w:t>The o</w:t>
      </w:r>
      <w:r w:rsidRPr="00876B99">
        <w:t xml:space="preserve">fficial </w:t>
      </w:r>
      <w:r>
        <w:t xml:space="preserve">interpretation </w:t>
      </w:r>
      <w:r w:rsidRPr="00876B99">
        <w:t xml:space="preserve">of the Harmonized System (HS) is </w:t>
      </w:r>
      <w:r w:rsidR="0071459E">
        <w:t>given</w:t>
      </w:r>
      <w:r>
        <w:t xml:space="preserve"> in</w:t>
      </w:r>
      <w:r w:rsidRPr="00876B99">
        <w:t xml:space="preserve"> the </w:t>
      </w:r>
      <w:r>
        <w:t xml:space="preserve">Explanatory Notes to the Harmonized System </w:t>
      </w:r>
      <w:r w:rsidR="00FF2CF1">
        <w:t>(</w:t>
      </w:r>
      <w:r w:rsidRPr="000E2EC1">
        <w:rPr>
          <w:i/>
        </w:rPr>
        <w:t>HS Explanatory Notes</w:t>
      </w:r>
      <w:r w:rsidR="00FF2CF1">
        <w:t>)</w:t>
      </w:r>
      <w:r>
        <w:t xml:space="preserve"> </w:t>
      </w:r>
      <w:r w:rsidR="0071459E">
        <w:t>published</w:t>
      </w:r>
      <w:r>
        <w:t xml:space="preserve"> by the WCO, </w:t>
      </w:r>
      <w:r w:rsidR="000E2EC1">
        <w:t>which</w:t>
      </w:r>
      <w:r>
        <w:t xml:space="preserve"> </w:t>
      </w:r>
      <w:r w:rsidR="0071459E">
        <w:t>represent</w:t>
      </w:r>
      <w:r>
        <w:t xml:space="preserve"> an important mean</w:t>
      </w:r>
      <w:r w:rsidR="000E2EC1">
        <w:t>s</w:t>
      </w:r>
      <w:r>
        <w:t xml:space="preserve"> for uniform </w:t>
      </w:r>
      <w:r w:rsidR="000E2EC1">
        <w:t xml:space="preserve">classification of goods and </w:t>
      </w:r>
      <w:r>
        <w:t xml:space="preserve">application of the Common Customs Tariff. </w:t>
      </w:r>
    </w:p>
    <w:p w14:paraId="1651AF37" w14:textId="77777777" w:rsidR="00C80900" w:rsidRPr="00242632" w:rsidRDefault="00C80900" w:rsidP="00C80900">
      <w:pPr>
        <w:jc w:val="both"/>
        <w:rPr>
          <w:highlight w:val="yellow"/>
        </w:rPr>
      </w:pPr>
      <w:r w:rsidRPr="00242632">
        <w:rPr>
          <w:highlight w:val="yellow"/>
        </w:rPr>
        <w:t xml:space="preserve"> </w:t>
      </w:r>
    </w:p>
    <w:p w14:paraId="56BB8CEC" w14:textId="77777777" w:rsidR="008210F7" w:rsidRPr="00242632" w:rsidRDefault="00C47514" w:rsidP="008210F7">
      <w:pPr>
        <w:jc w:val="both"/>
        <w:rPr>
          <w:highlight w:val="yellow"/>
        </w:rPr>
      </w:pPr>
      <w:r w:rsidRPr="00C47514">
        <w:t xml:space="preserve">The </w:t>
      </w:r>
      <w:r>
        <w:t xml:space="preserve">HS Explanatory Notes and </w:t>
      </w:r>
      <w:r w:rsidRPr="000E2EC1">
        <w:rPr>
          <w:i/>
        </w:rPr>
        <w:t>Classification Opinions</w:t>
      </w:r>
      <w:r>
        <w:t xml:space="preserve"> are </w:t>
      </w:r>
      <w:r w:rsidR="0071459E">
        <w:t>published</w:t>
      </w:r>
      <w:r>
        <w:t xml:space="preserve"> by the WCO </w:t>
      </w:r>
      <w:r w:rsidR="00014711">
        <w:t xml:space="preserve">as tools for </w:t>
      </w:r>
      <w:r w:rsidR="0071459E">
        <w:t xml:space="preserve">correct classification of goods </w:t>
      </w:r>
      <w:r w:rsidR="00264E95">
        <w:t>according to</w:t>
      </w:r>
      <w:r w:rsidR="0071459E">
        <w:t xml:space="preserve"> the H</w:t>
      </w:r>
      <w:r w:rsidR="00FF2CF1">
        <w:t>S nomenclature</w:t>
      </w:r>
      <w:r w:rsidR="0071459E">
        <w:t xml:space="preserve"> and uniform interpretation of the system at </w:t>
      </w:r>
      <w:r w:rsidR="00030A2C">
        <w:t xml:space="preserve">an </w:t>
      </w:r>
      <w:r w:rsidR="0071459E">
        <w:t xml:space="preserve">international level. They </w:t>
      </w:r>
      <w:r w:rsidR="00030A2C">
        <w:t>do</w:t>
      </w:r>
      <w:r w:rsidR="0071459E">
        <w:t xml:space="preserve"> not </w:t>
      </w:r>
      <w:r w:rsidR="00030A2C">
        <w:t xml:space="preserve">form </w:t>
      </w:r>
      <w:r w:rsidR="0071459E">
        <w:t xml:space="preserve">part of the Convention on the Harmonised Commodity Description and Coding System and are therefore not legally binding. </w:t>
      </w:r>
      <w:r w:rsidR="00264E95">
        <w:t>However, they are indispensable</w:t>
      </w:r>
      <w:r w:rsidR="00030A2C">
        <w:t xml:space="preserve"> </w:t>
      </w:r>
      <w:r w:rsidR="00264E95">
        <w:t>in the daily use of the Community Common Customs Tariff and in the interpretation of tariff headings and subheadings, which has also been confirmed by the case law.</w:t>
      </w:r>
      <w:r w:rsidR="002A7C28">
        <w:t xml:space="preserve"> </w:t>
      </w:r>
      <w:r w:rsidR="006B04C3">
        <w:t xml:space="preserve">The </w:t>
      </w:r>
      <w:r w:rsidR="00014711">
        <w:t xml:space="preserve">European </w:t>
      </w:r>
      <w:r w:rsidR="002A7C28">
        <w:t xml:space="preserve">Court of </w:t>
      </w:r>
      <w:r w:rsidR="00014711">
        <w:t>Justice</w:t>
      </w:r>
      <w:r w:rsidR="002A7C28">
        <w:t xml:space="preserve"> agrees that the HS Explanatory Notes and Classification Opinions are not legally binding but contribute greatly to the interpretation of individual HS codes.</w:t>
      </w:r>
      <w:r w:rsidR="000E2EC1">
        <w:t xml:space="preserve"> </w:t>
      </w:r>
      <w:r w:rsidR="006D147B">
        <w:t xml:space="preserve">The HS Explanatory Notes are published by the WCO in English and French </w:t>
      </w:r>
      <w:r w:rsidR="00175086">
        <w:t xml:space="preserve">and </w:t>
      </w:r>
      <w:r w:rsidR="006D147B">
        <w:t xml:space="preserve">are amended by the </w:t>
      </w:r>
      <w:r w:rsidR="006D147B" w:rsidRPr="00C0579B">
        <w:rPr>
          <w:i/>
        </w:rPr>
        <w:t>Harmonized System Committee</w:t>
      </w:r>
      <w:r w:rsidR="006D147B">
        <w:t xml:space="preserve">. </w:t>
      </w:r>
    </w:p>
    <w:p w14:paraId="741A1F8F" w14:textId="77777777" w:rsidR="00175086" w:rsidRDefault="00175086" w:rsidP="008210F7">
      <w:pPr>
        <w:jc w:val="both"/>
      </w:pPr>
    </w:p>
    <w:p w14:paraId="2939AB62" w14:textId="77777777" w:rsidR="00175086" w:rsidRDefault="00175086" w:rsidP="00175086">
      <w:pPr>
        <w:jc w:val="both"/>
      </w:pPr>
      <w:r w:rsidRPr="00175086">
        <w:t xml:space="preserve">The </w:t>
      </w:r>
      <w:r w:rsidRPr="00A4490C">
        <w:rPr>
          <w:i/>
        </w:rPr>
        <w:t>web version</w:t>
      </w:r>
      <w:r w:rsidRPr="00175086">
        <w:t xml:space="preserve"> of the</w:t>
      </w:r>
      <w:r>
        <w:t xml:space="preserve"> HS </w:t>
      </w:r>
      <w:r w:rsidRPr="00175086">
        <w:t>20</w:t>
      </w:r>
      <w:r w:rsidR="00F01C96">
        <w:t>22</w:t>
      </w:r>
      <w:r>
        <w:t xml:space="preserve"> Explanatory Notes and Compendium of classification opinions</w:t>
      </w:r>
      <w:r w:rsidRPr="00175086">
        <w:t xml:space="preserve"> nomenclature is accessible on the </w:t>
      </w:r>
      <w:r w:rsidR="001F518C" w:rsidRPr="001F518C">
        <w:t xml:space="preserve">World Customs Organisation </w:t>
      </w:r>
      <w:r>
        <w:t>website</w:t>
      </w:r>
      <w:r w:rsidR="0044104D">
        <w:t>,</w:t>
      </w:r>
      <w:r>
        <w:t xml:space="preserve"> </w:t>
      </w:r>
      <w:r w:rsidR="002E4E0F">
        <w:t>based on</w:t>
      </w:r>
      <w:r>
        <w:t xml:space="preserve"> a subscription: </w:t>
      </w:r>
      <w:hyperlink r:id="rId16" w:history="1">
        <w:r w:rsidR="00F01C96" w:rsidRPr="001D3891">
          <w:rPr>
            <w:rStyle w:val="Hiperpovezava"/>
          </w:rPr>
          <w:t>WCO Trade Tools</w:t>
        </w:r>
      </w:hyperlink>
      <w:r w:rsidR="00F01C96">
        <w:t>.</w:t>
      </w:r>
    </w:p>
    <w:p w14:paraId="2470A0F3" w14:textId="77777777" w:rsidR="00F01C96" w:rsidRDefault="00F01C96" w:rsidP="00175086">
      <w:pPr>
        <w:jc w:val="both"/>
      </w:pPr>
    </w:p>
    <w:p w14:paraId="0FDB55A9" w14:textId="77777777" w:rsidR="001F518C" w:rsidRDefault="00175086" w:rsidP="00175086">
      <w:pPr>
        <w:jc w:val="both"/>
      </w:pPr>
      <w:r w:rsidRPr="00175086">
        <w:t xml:space="preserve">You can purchase the HS 2022 </w:t>
      </w:r>
      <w:r w:rsidR="005525B4">
        <w:t xml:space="preserve">Explanatory Notes in </w:t>
      </w:r>
      <w:r w:rsidR="005525B4" w:rsidRPr="005525B4">
        <w:rPr>
          <w:i/>
          <w:iCs/>
        </w:rPr>
        <w:t>pa</w:t>
      </w:r>
      <w:r w:rsidRPr="005525B4">
        <w:rPr>
          <w:i/>
          <w:iCs/>
        </w:rPr>
        <w:t>per</w:t>
      </w:r>
      <w:r w:rsidRPr="00A4490C">
        <w:rPr>
          <w:i/>
        </w:rPr>
        <w:t xml:space="preserve"> version</w:t>
      </w:r>
      <w:r w:rsidRPr="00175086">
        <w:t xml:space="preserve"> on the website of the World Customs Organisation:</w:t>
      </w:r>
      <w:r w:rsidR="001F518C" w:rsidRPr="001F518C">
        <w:t xml:space="preserve"> </w:t>
      </w:r>
    </w:p>
    <w:p w14:paraId="6C71DD87" w14:textId="77777777" w:rsidR="00175086" w:rsidRDefault="005525B4" w:rsidP="00175086">
      <w:pPr>
        <w:jc w:val="both"/>
      </w:pPr>
      <w:hyperlink r:id="rId17" w:history="1">
        <w:r w:rsidRPr="005525B4">
          <w:rPr>
            <w:color w:val="0000FF"/>
            <w:u w:val="single"/>
          </w:rPr>
          <w:t>Explanatory Notes 2022 | WCO Bookshop (wcoomdpublications.org)</w:t>
        </w:r>
      </w:hyperlink>
    </w:p>
    <w:p w14:paraId="674C7987" w14:textId="77777777" w:rsidR="005525B4" w:rsidRDefault="005525B4" w:rsidP="00175086">
      <w:pPr>
        <w:jc w:val="both"/>
      </w:pPr>
    </w:p>
    <w:p w14:paraId="7BDF290D" w14:textId="77777777" w:rsidR="008210F7" w:rsidRDefault="00175086" w:rsidP="00175086">
      <w:pPr>
        <w:jc w:val="both"/>
      </w:pPr>
      <w:r>
        <w:t>You can purchase a collection of opinions on the classification of certain goods 20</w:t>
      </w:r>
      <w:r w:rsidR="00F01C96">
        <w:t>22</w:t>
      </w:r>
      <w:r w:rsidR="005525B4">
        <w:t xml:space="preserve"> in </w:t>
      </w:r>
      <w:r w:rsidR="005525B4" w:rsidRPr="005525B4">
        <w:rPr>
          <w:i/>
          <w:iCs/>
        </w:rPr>
        <w:t>paper version</w:t>
      </w:r>
      <w:r>
        <w:t xml:space="preserve"> on the website of the World Customs Organisation:</w:t>
      </w:r>
    </w:p>
    <w:p w14:paraId="3B36BEF9" w14:textId="77777777" w:rsidR="00F01C96" w:rsidRDefault="00F01C96" w:rsidP="008210F7">
      <w:pPr>
        <w:jc w:val="both"/>
      </w:pPr>
      <w:hyperlink r:id="rId18" w:history="1">
        <w:r w:rsidRPr="00F01C96">
          <w:rPr>
            <w:color w:val="0000FF"/>
            <w:u w:val="single"/>
          </w:rPr>
          <w:t>Compendium of Classification Opinions HS 2022 | WCO Bookshop (wcoomdpublications.org)</w:t>
        </w:r>
      </w:hyperlink>
    </w:p>
    <w:p w14:paraId="3E493BFC" w14:textId="77777777" w:rsidR="00F01C96" w:rsidRDefault="00F01C96" w:rsidP="008210F7">
      <w:pPr>
        <w:jc w:val="both"/>
      </w:pPr>
    </w:p>
    <w:p w14:paraId="1A8F111C" w14:textId="77777777" w:rsidR="008210F7" w:rsidRDefault="001705E2" w:rsidP="008210F7">
      <w:pPr>
        <w:jc w:val="both"/>
      </w:pPr>
      <w:r w:rsidRPr="001705E2">
        <w:t>Due to an unresolved dispute linked to the W</w:t>
      </w:r>
      <w:r>
        <w:t>CO</w:t>
      </w:r>
      <w:r w:rsidRPr="001705E2">
        <w:t xml:space="preserve">’s copyrights the HS Explanatory Notes should not be officially translated and distributed. </w:t>
      </w:r>
    </w:p>
    <w:p w14:paraId="7D901B7C" w14:textId="77777777" w:rsidR="001F518C" w:rsidRPr="006B04C3" w:rsidRDefault="00F01C96" w:rsidP="008210F7">
      <w:pPr>
        <w:jc w:val="both"/>
      </w:pPr>
      <w:r>
        <w:t xml:space="preserve"> </w:t>
      </w:r>
    </w:p>
    <w:p w14:paraId="1C7B6CB8" w14:textId="77777777" w:rsidR="00492862" w:rsidRPr="00242632" w:rsidRDefault="00492862" w:rsidP="009F385C">
      <w:pPr>
        <w:jc w:val="both"/>
        <w:rPr>
          <w:highlight w:val="yellow"/>
        </w:rPr>
      </w:pPr>
    </w:p>
    <w:p w14:paraId="46068E4F" w14:textId="77777777" w:rsidR="007928FD" w:rsidRPr="00947E63" w:rsidRDefault="00C80900" w:rsidP="007928FD">
      <w:pPr>
        <w:pStyle w:val="FURSnaslov1"/>
        <w:rPr>
          <w:lang w:val="en-GB"/>
        </w:rPr>
      </w:pPr>
      <w:bookmarkStart w:id="3" w:name="_Toc400009062"/>
      <w:bookmarkStart w:id="4" w:name="_Toc473096090"/>
      <w:r w:rsidRPr="00947E63">
        <w:rPr>
          <w:lang w:val="en-GB"/>
        </w:rPr>
        <w:t>4</w:t>
      </w:r>
      <w:r w:rsidR="007928FD" w:rsidRPr="00947E63">
        <w:rPr>
          <w:lang w:val="en-GB"/>
        </w:rPr>
        <w:t xml:space="preserve">.0 </w:t>
      </w:r>
      <w:bookmarkEnd w:id="3"/>
      <w:r w:rsidR="00947E63" w:rsidRPr="00947E63">
        <w:rPr>
          <w:lang w:val="en-GB"/>
        </w:rPr>
        <w:t>THE ROLE OF THE WORLD CUSTOMS ORGANISATION</w:t>
      </w:r>
      <w:bookmarkEnd w:id="4"/>
    </w:p>
    <w:p w14:paraId="048E40C6" w14:textId="77777777" w:rsidR="007928FD" w:rsidRPr="00242632" w:rsidRDefault="007928FD" w:rsidP="009F385C">
      <w:pPr>
        <w:jc w:val="both"/>
        <w:rPr>
          <w:highlight w:val="yellow"/>
        </w:rPr>
      </w:pPr>
    </w:p>
    <w:p w14:paraId="605797C3" w14:textId="77777777" w:rsidR="00D95732" w:rsidRPr="00947E63" w:rsidRDefault="00947E63" w:rsidP="009F385C">
      <w:pPr>
        <w:jc w:val="both"/>
      </w:pPr>
      <w:r w:rsidRPr="00947E63">
        <w:t>The primary role of the WCO is</w:t>
      </w:r>
      <w:r>
        <w:t xml:space="preserve"> the maintenance of the HS ensuring its uniform interpretation and </w:t>
      </w:r>
      <w:r w:rsidR="00AC1E33">
        <w:t xml:space="preserve">periodic updating </w:t>
      </w:r>
      <w:r w:rsidR="00DF670F">
        <w:t>considering</w:t>
      </w:r>
      <w:r>
        <w:t xml:space="preserve"> </w:t>
      </w:r>
      <w:r w:rsidR="00AC1E33">
        <w:t xml:space="preserve">developments in </w:t>
      </w:r>
      <w:r>
        <w:t>technolog</w:t>
      </w:r>
      <w:r w:rsidR="00AC1E33">
        <w:t>y and changes in the structure of the international</w:t>
      </w:r>
      <w:r>
        <w:t xml:space="preserve"> trade. </w:t>
      </w:r>
      <w:r w:rsidR="00AC1E33">
        <w:t xml:space="preserve">The WCO manages this process through the Harmonized System Committee which is composed of the representatives of the </w:t>
      </w:r>
      <w:r w:rsidR="00FA1E4D">
        <w:t>C</w:t>
      </w:r>
      <w:r w:rsidR="00AC1E33">
        <w:t xml:space="preserve">ontracting </w:t>
      </w:r>
      <w:r w:rsidR="00FA1E4D">
        <w:t>P</w:t>
      </w:r>
      <w:r w:rsidR="00AC1E33">
        <w:t xml:space="preserve">arties to the Convention. </w:t>
      </w:r>
    </w:p>
    <w:p w14:paraId="1B65F7A6" w14:textId="77777777" w:rsidR="00D95732" w:rsidRPr="00242632" w:rsidRDefault="00D95732" w:rsidP="009F385C">
      <w:pPr>
        <w:jc w:val="both"/>
        <w:rPr>
          <w:highlight w:val="yellow"/>
        </w:rPr>
      </w:pPr>
    </w:p>
    <w:p w14:paraId="31DA4CAF" w14:textId="77777777" w:rsidR="009F385C" w:rsidRPr="003A24D3" w:rsidRDefault="003A24D3" w:rsidP="009F385C">
      <w:pPr>
        <w:jc w:val="both"/>
      </w:pPr>
      <w:r w:rsidRPr="003A24D3">
        <w:t>The Committee</w:t>
      </w:r>
      <w:r>
        <w:t xml:space="preserve"> meets twice a year, and each contracting party represented in the Committee has the right to one vote. The European Union has </w:t>
      </w:r>
      <w:r w:rsidRPr="00BF6980">
        <w:t xml:space="preserve">thus one vote. The Committee suggests decisions amending the Convention including the nomenclature. </w:t>
      </w:r>
      <w:r w:rsidR="003F4C63" w:rsidRPr="00BF6980">
        <w:t>Furthermore, it prepares</w:t>
      </w:r>
      <w:r w:rsidR="0044104D">
        <w:t xml:space="preserve"> Classification decisions, Explanatory Notes, Classification opinions or Recommendations</w:t>
      </w:r>
      <w:r w:rsidR="003F4C63" w:rsidRPr="00BF6980">
        <w:t xml:space="preserve"> </w:t>
      </w:r>
      <w:r w:rsidR="00BF6980" w:rsidRPr="00BF6980">
        <w:t>for the interpretation of the Convention.</w:t>
      </w:r>
      <w:r w:rsidR="00BF6980">
        <w:t xml:space="preserve"> </w:t>
      </w:r>
      <w:r w:rsidR="003F4C63">
        <w:t xml:space="preserve"> </w:t>
      </w:r>
    </w:p>
    <w:p w14:paraId="1EBCA3F4" w14:textId="77777777" w:rsidR="009F385C" w:rsidRPr="00242632" w:rsidRDefault="009F385C" w:rsidP="009F385C">
      <w:pPr>
        <w:jc w:val="both"/>
        <w:rPr>
          <w:highlight w:val="yellow"/>
        </w:rPr>
      </w:pPr>
    </w:p>
    <w:sectPr w:rsidR="009F385C" w:rsidRPr="00242632" w:rsidSect="00783310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140C" w14:textId="77777777" w:rsidR="00A079A0" w:rsidRDefault="00A079A0">
      <w:r>
        <w:separator/>
      </w:r>
    </w:p>
  </w:endnote>
  <w:endnote w:type="continuationSeparator" w:id="0">
    <w:p w14:paraId="348B648B" w14:textId="77777777" w:rsidR="00A079A0" w:rsidRDefault="00A0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1270" w14:textId="77777777" w:rsidR="009F30FB" w:rsidRDefault="009F30F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9B788A" w:rsidRPr="009B788A">
      <w:rPr>
        <w:noProof/>
        <w:lang w:val="sl-SI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EC4B" w14:textId="77777777" w:rsidR="00CA699D" w:rsidRDefault="00CA699D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9DFA" w14:textId="77777777" w:rsidR="00A079A0" w:rsidRDefault="00A079A0">
      <w:r>
        <w:separator/>
      </w:r>
    </w:p>
  </w:footnote>
  <w:footnote w:type="continuationSeparator" w:id="0">
    <w:p w14:paraId="0F821897" w14:textId="77777777" w:rsidR="00A079A0" w:rsidRDefault="00A0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6570" w14:textId="77777777" w:rsidR="00CA699D" w:rsidRPr="00110CBD" w:rsidRDefault="00CA699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A699D" w:rsidRPr="008F3500" w14:paraId="79170781" w14:textId="77777777">
      <w:trPr>
        <w:cantSplit/>
        <w:trHeight w:hRule="exact" w:val="847"/>
      </w:trPr>
      <w:tc>
        <w:tcPr>
          <w:tcW w:w="567" w:type="dxa"/>
        </w:tcPr>
        <w:p w14:paraId="190A62E6" w14:textId="77777777" w:rsidR="00CA699D" w:rsidRDefault="00CA699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E80CAF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F6AB5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18D585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C414C6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5DD861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42E32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F11D1F9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B0FFC6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50F8E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6911E1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8DFB06B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7FBDE1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A445BE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145E2B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6D70CA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CAEB4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387D115" w14:textId="0024E33E" w:rsidR="00CA699D" w:rsidRPr="008F3500" w:rsidRDefault="00BC34DF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638504E" wp14:editId="04AD1C5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F3ADE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A699D" w:rsidRPr="008F3500">
      <w:rPr>
        <w:rFonts w:ascii="Republika" w:hAnsi="Republika"/>
        <w:lang w:val="sl-SI"/>
      </w:rPr>
      <w:t>REPUBLIKA SLOVENIJA</w:t>
    </w:r>
  </w:p>
  <w:p w14:paraId="0C6CD7CB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469F2CF6" w14:textId="77777777" w:rsidR="00CA699D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638CA545" w14:textId="77777777" w:rsidR="00CA699D" w:rsidRPr="008F3500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</w:t>
    </w:r>
    <w:r w:rsidR="008C3E7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25AD21FB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7DFD72D2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7F2ADDEB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2278D"/>
    <w:multiLevelType w:val="hybridMultilevel"/>
    <w:tmpl w:val="AB6CFE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8A7"/>
    <w:multiLevelType w:val="hybridMultilevel"/>
    <w:tmpl w:val="DADA57B4"/>
    <w:lvl w:ilvl="0" w:tplc="D0B8CDF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8172A"/>
    <w:multiLevelType w:val="hybridMultilevel"/>
    <w:tmpl w:val="9F703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E50E0"/>
    <w:multiLevelType w:val="hybridMultilevel"/>
    <w:tmpl w:val="580070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60D54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2A65CC"/>
    <w:multiLevelType w:val="hybridMultilevel"/>
    <w:tmpl w:val="9DE8411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229DB"/>
    <w:multiLevelType w:val="hybridMultilevel"/>
    <w:tmpl w:val="BF9C47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391BD9"/>
    <w:multiLevelType w:val="hybridMultilevel"/>
    <w:tmpl w:val="472CE15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F"/>
    <w:rsid w:val="000063FF"/>
    <w:rsid w:val="00007045"/>
    <w:rsid w:val="00014711"/>
    <w:rsid w:val="00020E43"/>
    <w:rsid w:val="00023A88"/>
    <w:rsid w:val="00030608"/>
    <w:rsid w:val="00030A2C"/>
    <w:rsid w:val="00032BA0"/>
    <w:rsid w:val="000334C7"/>
    <w:rsid w:val="00041CA4"/>
    <w:rsid w:val="000517B6"/>
    <w:rsid w:val="00071340"/>
    <w:rsid w:val="000805EA"/>
    <w:rsid w:val="0008352D"/>
    <w:rsid w:val="000A488B"/>
    <w:rsid w:val="000A7238"/>
    <w:rsid w:val="000B0B21"/>
    <w:rsid w:val="000C203D"/>
    <w:rsid w:val="000C2273"/>
    <w:rsid w:val="000C7716"/>
    <w:rsid w:val="000D447B"/>
    <w:rsid w:val="000E130D"/>
    <w:rsid w:val="000E2EC1"/>
    <w:rsid w:val="0011536A"/>
    <w:rsid w:val="00116D98"/>
    <w:rsid w:val="001258F0"/>
    <w:rsid w:val="001357B2"/>
    <w:rsid w:val="00137D1F"/>
    <w:rsid w:val="001408A7"/>
    <w:rsid w:val="00153D6B"/>
    <w:rsid w:val="001705E2"/>
    <w:rsid w:val="00175086"/>
    <w:rsid w:val="00190AFA"/>
    <w:rsid w:val="001A0026"/>
    <w:rsid w:val="001A3BA5"/>
    <w:rsid w:val="001B1694"/>
    <w:rsid w:val="001C2D67"/>
    <w:rsid w:val="001C2DA8"/>
    <w:rsid w:val="001D3891"/>
    <w:rsid w:val="001F3B22"/>
    <w:rsid w:val="001F4287"/>
    <w:rsid w:val="001F518C"/>
    <w:rsid w:val="001F7BC0"/>
    <w:rsid w:val="00202A77"/>
    <w:rsid w:val="00210CC1"/>
    <w:rsid w:val="002255F7"/>
    <w:rsid w:val="0022619C"/>
    <w:rsid w:val="002302D9"/>
    <w:rsid w:val="00235610"/>
    <w:rsid w:val="00242632"/>
    <w:rsid w:val="002452A8"/>
    <w:rsid w:val="00252F5D"/>
    <w:rsid w:val="00253574"/>
    <w:rsid w:val="0025492E"/>
    <w:rsid w:val="00264E95"/>
    <w:rsid w:val="00271CE5"/>
    <w:rsid w:val="00276637"/>
    <w:rsid w:val="00282020"/>
    <w:rsid w:val="00284671"/>
    <w:rsid w:val="0029152A"/>
    <w:rsid w:val="00295CB3"/>
    <w:rsid w:val="002A0F5C"/>
    <w:rsid w:val="002A5510"/>
    <w:rsid w:val="002A7C28"/>
    <w:rsid w:val="002E35CB"/>
    <w:rsid w:val="002E4E0F"/>
    <w:rsid w:val="00315399"/>
    <w:rsid w:val="00331C9E"/>
    <w:rsid w:val="00336661"/>
    <w:rsid w:val="00342BA0"/>
    <w:rsid w:val="00343B1C"/>
    <w:rsid w:val="00363298"/>
    <w:rsid w:val="003636BF"/>
    <w:rsid w:val="00370AA7"/>
    <w:rsid w:val="003744CF"/>
    <w:rsid w:val="0037479F"/>
    <w:rsid w:val="00377BCE"/>
    <w:rsid w:val="003845B4"/>
    <w:rsid w:val="00387B1A"/>
    <w:rsid w:val="00397391"/>
    <w:rsid w:val="003A24D3"/>
    <w:rsid w:val="003E1C74"/>
    <w:rsid w:val="003F216D"/>
    <w:rsid w:val="003F4C63"/>
    <w:rsid w:val="00416D8C"/>
    <w:rsid w:val="00424873"/>
    <w:rsid w:val="00434ECC"/>
    <w:rsid w:val="0044104D"/>
    <w:rsid w:val="00446B8E"/>
    <w:rsid w:val="00452198"/>
    <w:rsid w:val="00480C0E"/>
    <w:rsid w:val="00492862"/>
    <w:rsid w:val="004B112D"/>
    <w:rsid w:val="004D6DD0"/>
    <w:rsid w:val="004E1615"/>
    <w:rsid w:val="004E25FB"/>
    <w:rsid w:val="004E307A"/>
    <w:rsid w:val="0051447D"/>
    <w:rsid w:val="00526246"/>
    <w:rsid w:val="005525B4"/>
    <w:rsid w:val="00553C8A"/>
    <w:rsid w:val="00554EBB"/>
    <w:rsid w:val="00567106"/>
    <w:rsid w:val="00581B62"/>
    <w:rsid w:val="00591AEA"/>
    <w:rsid w:val="0059371B"/>
    <w:rsid w:val="00595CE0"/>
    <w:rsid w:val="005D4DF6"/>
    <w:rsid w:val="005E1D3C"/>
    <w:rsid w:val="005E252E"/>
    <w:rsid w:val="005F1270"/>
    <w:rsid w:val="006121F1"/>
    <w:rsid w:val="006263E3"/>
    <w:rsid w:val="00632253"/>
    <w:rsid w:val="00642714"/>
    <w:rsid w:val="0064372F"/>
    <w:rsid w:val="00643C4E"/>
    <w:rsid w:val="00643EEF"/>
    <w:rsid w:val="006455CE"/>
    <w:rsid w:val="00651975"/>
    <w:rsid w:val="00663D75"/>
    <w:rsid w:val="00665773"/>
    <w:rsid w:val="00666FE7"/>
    <w:rsid w:val="00667BB9"/>
    <w:rsid w:val="00690689"/>
    <w:rsid w:val="006A3AA5"/>
    <w:rsid w:val="006B04C3"/>
    <w:rsid w:val="006B26E9"/>
    <w:rsid w:val="006D147B"/>
    <w:rsid w:val="006D2147"/>
    <w:rsid w:val="006D2FCD"/>
    <w:rsid w:val="006D3164"/>
    <w:rsid w:val="006D42D9"/>
    <w:rsid w:val="006F3D42"/>
    <w:rsid w:val="0071459E"/>
    <w:rsid w:val="00726463"/>
    <w:rsid w:val="00733017"/>
    <w:rsid w:val="007350D9"/>
    <w:rsid w:val="007352AE"/>
    <w:rsid w:val="00744A21"/>
    <w:rsid w:val="00747EEE"/>
    <w:rsid w:val="00751D38"/>
    <w:rsid w:val="00783310"/>
    <w:rsid w:val="00787CE6"/>
    <w:rsid w:val="007928FD"/>
    <w:rsid w:val="007A4A6D"/>
    <w:rsid w:val="007B2C09"/>
    <w:rsid w:val="007C333F"/>
    <w:rsid w:val="007C47C1"/>
    <w:rsid w:val="007D1BCF"/>
    <w:rsid w:val="007D32C0"/>
    <w:rsid w:val="007D75CF"/>
    <w:rsid w:val="007E6DC5"/>
    <w:rsid w:val="008018EB"/>
    <w:rsid w:val="008210F7"/>
    <w:rsid w:val="0083727A"/>
    <w:rsid w:val="00837DC7"/>
    <w:rsid w:val="00846E08"/>
    <w:rsid w:val="0085530A"/>
    <w:rsid w:val="00876B99"/>
    <w:rsid w:val="0088043C"/>
    <w:rsid w:val="00887E1E"/>
    <w:rsid w:val="008906C9"/>
    <w:rsid w:val="008946F3"/>
    <w:rsid w:val="008A704F"/>
    <w:rsid w:val="008C3E70"/>
    <w:rsid w:val="008C5738"/>
    <w:rsid w:val="008D04F0"/>
    <w:rsid w:val="008D5F52"/>
    <w:rsid w:val="008E0ECC"/>
    <w:rsid w:val="008F026E"/>
    <w:rsid w:val="008F3500"/>
    <w:rsid w:val="009005E1"/>
    <w:rsid w:val="00924E3C"/>
    <w:rsid w:val="0093784C"/>
    <w:rsid w:val="009417D6"/>
    <w:rsid w:val="00945840"/>
    <w:rsid w:val="009477FA"/>
    <w:rsid w:val="00947E63"/>
    <w:rsid w:val="009541F3"/>
    <w:rsid w:val="009612BB"/>
    <w:rsid w:val="009763D9"/>
    <w:rsid w:val="009A0E83"/>
    <w:rsid w:val="009A2207"/>
    <w:rsid w:val="009B788A"/>
    <w:rsid w:val="009C4625"/>
    <w:rsid w:val="009E6AC6"/>
    <w:rsid w:val="009F30FB"/>
    <w:rsid w:val="009F32AF"/>
    <w:rsid w:val="009F385C"/>
    <w:rsid w:val="009F4D37"/>
    <w:rsid w:val="009F5B33"/>
    <w:rsid w:val="00A000F2"/>
    <w:rsid w:val="00A079A0"/>
    <w:rsid w:val="00A07C83"/>
    <w:rsid w:val="00A125C5"/>
    <w:rsid w:val="00A12D5C"/>
    <w:rsid w:val="00A210AE"/>
    <w:rsid w:val="00A21121"/>
    <w:rsid w:val="00A22360"/>
    <w:rsid w:val="00A3317C"/>
    <w:rsid w:val="00A4479D"/>
    <w:rsid w:val="00A4490C"/>
    <w:rsid w:val="00A5039D"/>
    <w:rsid w:val="00A61123"/>
    <w:rsid w:val="00A65EE7"/>
    <w:rsid w:val="00A70133"/>
    <w:rsid w:val="00AA02BB"/>
    <w:rsid w:val="00AC1E33"/>
    <w:rsid w:val="00AC5C16"/>
    <w:rsid w:val="00B0440D"/>
    <w:rsid w:val="00B1337D"/>
    <w:rsid w:val="00B17141"/>
    <w:rsid w:val="00B210CF"/>
    <w:rsid w:val="00B21804"/>
    <w:rsid w:val="00B27607"/>
    <w:rsid w:val="00B31575"/>
    <w:rsid w:val="00B33C60"/>
    <w:rsid w:val="00B3512E"/>
    <w:rsid w:val="00B36985"/>
    <w:rsid w:val="00B44D7D"/>
    <w:rsid w:val="00B47AF6"/>
    <w:rsid w:val="00B53904"/>
    <w:rsid w:val="00B70046"/>
    <w:rsid w:val="00B7796A"/>
    <w:rsid w:val="00B77D8C"/>
    <w:rsid w:val="00B8547D"/>
    <w:rsid w:val="00B90F0B"/>
    <w:rsid w:val="00BA4F8E"/>
    <w:rsid w:val="00BA7152"/>
    <w:rsid w:val="00BC34DF"/>
    <w:rsid w:val="00BE094A"/>
    <w:rsid w:val="00BF5216"/>
    <w:rsid w:val="00BF6980"/>
    <w:rsid w:val="00C055B7"/>
    <w:rsid w:val="00C0579B"/>
    <w:rsid w:val="00C250D5"/>
    <w:rsid w:val="00C403F2"/>
    <w:rsid w:val="00C41AB2"/>
    <w:rsid w:val="00C47514"/>
    <w:rsid w:val="00C47F8D"/>
    <w:rsid w:val="00C55459"/>
    <w:rsid w:val="00C643ED"/>
    <w:rsid w:val="00C64874"/>
    <w:rsid w:val="00C77394"/>
    <w:rsid w:val="00C80900"/>
    <w:rsid w:val="00C81391"/>
    <w:rsid w:val="00C857ED"/>
    <w:rsid w:val="00C9221D"/>
    <w:rsid w:val="00C92898"/>
    <w:rsid w:val="00C93EDB"/>
    <w:rsid w:val="00CA699D"/>
    <w:rsid w:val="00CB52DE"/>
    <w:rsid w:val="00CC179C"/>
    <w:rsid w:val="00CE72B1"/>
    <w:rsid w:val="00CE7514"/>
    <w:rsid w:val="00D23496"/>
    <w:rsid w:val="00D24693"/>
    <w:rsid w:val="00D248DE"/>
    <w:rsid w:val="00D3077B"/>
    <w:rsid w:val="00D603BA"/>
    <w:rsid w:val="00D61532"/>
    <w:rsid w:val="00D624B8"/>
    <w:rsid w:val="00D668B5"/>
    <w:rsid w:val="00D75126"/>
    <w:rsid w:val="00D8542D"/>
    <w:rsid w:val="00D95732"/>
    <w:rsid w:val="00DA2C9A"/>
    <w:rsid w:val="00DC6A71"/>
    <w:rsid w:val="00DD35E0"/>
    <w:rsid w:val="00DE5B46"/>
    <w:rsid w:val="00DF1413"/>
    <w:rsid w:val="00DF3376"/>
    <w:rsid w:val="00DF670F"/>
    <w:rsid w:val="00E0357D"/>
    <w:rsid w:val="00E04CFD"/>
    <w:rsid w:val="00E11AD1"/>
    <w:rsid w:val="00E24EC2"/>
    <w:rsid w:val="00E260B9"/>
    <w:rsid w:val="00E27518"/>
    <w:rsid w:val="00E35A53"/>
    <w:rsid w:val="00E40FBB"/>
    <w:rsid w:val="00E50020"/>
    <w:rsid w:val="00E57198"/>
    <w:rsid w:val="00E572FE"/>
    <w:rsid w:val="00E73EFD"/>
    <w:rsid w:val="00E853E8"/>
    <w:rsid w:val="00EA3960"/>
    <w:rsid w:val="00ED7E82"/>
    <w:rsid w:val="00EE00B8"/>
    <w:rsid w:val="00EE2C6E"/>
    <w:rsid w:val="00EE6836"/>
    <w:rsid w:val="00EF3C82"/>
    <w:rsid w:val="00EF639E"/>
    <w:rsid w:val="00F01C96"/>
    <w:rsid w:val="00F079C5"/>
    <w:rsid w:val="00F11C41"/>
    <w:rsid w:val="00F16C7C"/>
    <w:rsid w:val="00F240BB"/>
    <w:rsid w:val="00F26E2D"/>
    <w:rsid w:val="00F322F4"/>
    <w:rsid w:val="00F46724"/>
    <w:rsid w:val="00F53E02"/>
    <w:rsid w:val="00F57FED"/>
    <w:rsid w:val="00F63B36"/>
    <w:rsid w:val="00F67842"/>
    <w:rsid w:val="00F71685"/>
    <w:rsid w:val="00F75F95"/>
    <w:rsid w:val="00F762C1"/>
    <w:rsid w:val="00F825FF"/>
    <w:rsid w:val="00F907E8"/>
    <w:rsid w:val="00F96CE1"/>
    <w:rsid w:val="00F97136"/>
    <w:rsid w:val="00F979DE"/>
    <w:rsid w:val="00FA0597"/>
    <w:rsid w:val="00FA1E4D"/>
    <w:rsid w:val="00FA3C52"/>
    <w:rsid w:val="00FD2BEC"/>
    <w:rsid w:val="00FF2CF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BA10EF5"/>
  <w15:chartTrackingRefBased/>
  <w15:docId w15:val="{ECE32F85-AD8D-49B5-807C-AE3FB88D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character" w:styleId="SledenaHiperpovezava">
    <w:name w:val="FollowedHyperlink"/>
    <w:rsid w:val="00B7796A"/>
    <w:rPr>
      <w:color w:val="800080"/>
      <w:u w:val="single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coomd.org/en/topics/nomenclature/instrument-and-tools/hs-nomenclature-2017-edition/hs-nomenclature-2017-edition.aspx" TargetMode="External"/><Relationship Id="rId18" Type="http://schemas.openxmlformats.org/officeDocument/2006/relationships/hyperlink" Target="https://www.wcoomdpublications.org/en/products/harmonized-system/compendium-classification-opinions-hs-202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wcoomd.org/" TargetMode="External"/><Relationship Id="rId17" Type="http://schemas.openxmlformats.org/officeDocument/2006/relationships/hyperlink" Target="https://www.wcoomdpublications.org/en/products/harmonized-system/explanatory-notes-2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cotradetools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coomd.org/en/topics/nomenclature/instrument-and-tools/hs_convention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wcoomdpublications.org/en/products/harmonized-system/harmonized-system-nomenclature-202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cotradetools.org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FURS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" ma:contentTypeDescription="Ustvari nov dokument." ma:contentTypeScope="" ma:versionID="92b7d763a64e8ac426439fe6226cc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b43e4b4d4522ee103401782b6f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CFB7E-A951-4804-BFD0-BD52115D8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A3AEE-85A3-4936-8E9D-653CDEAD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6DD01-EDAC-45A7-8939-8AE8805DF0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RS.dot</Template>
  <TotalTime>0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12551</CharactersWithSpaces>
  <SharedDoc>false</SharedDoc>
  <HLinks>
    <vt:vector size="72" baseType="variant">
      <vt:variant>
        <vt:i4>3342450</vt:i4>
      </vt:variant>
      <vt:variant>
        <vt:i4>42</vt:i4>
      </vt:variant>
      <vt:variant>
        <vt:i4>0</vt:i4>
      </vt:variant>
      <vt:variant>
        <vt:i4>5</vt:i4>
      </vt:variant>
      <vt:variant>
        <vt:lpwstr>https://www.wcoomdpublications.org/en/products/harmonized-system/compendium-classification-opinions-hs-2022</vt:lpwstr>
      </vt:variant>
      <vt:variant>
        <vt:lpwstr/>
      </vt:variant>
      <vt:variant>
        <vt:i4>2621556</vt:i4>
      </vt:variant>
      <vt:variant>
        <vt:i4>39</vt:i4>
      </vt:variant>
      <vt:variant>
        <vt:i4>0</vt:i4>
      </vt:variant>
      <vt:variant>
        <vt:i4>5</vt:i4>
      </vt:variant>
      <vt:variant>
        <vt:lpwstr>https://www.wcoomdpublications.org/en/products/harmonized-system/explanatory-notes-2022</vt:lpwstr>
      </vt:variant>
      <vt:variant>
        <vt:lpwstr/>
      </vt:variant>
      <vt:variant>
        <vt:i4>2818094</vt:i4>
      </vt:variant>
      <vt:variant>
        <vt:i4>36</vt:i4>
      </vt:variant>
      <vt:variant>
        <vt:i4>0</vt:i4>
      </vt:variant>
      <vt:variant>
        <vt:i4>5</vt:i4>
      </vt:variant>
      <vt:variant>
        <vt:lpwstr>https://www.wcotradetools.org/</vt:lpwstr>
      </vt:variant>
      <vt:variant>
        <vt:lpwstr/>
      </vt:variant>
      <vt:variant>
        <vt:i4>6160414</vt:i4>
      </vt:variant>
      <vt:variant>
        <vt:i4>33</vt:i4>
      </vt:variant>
      <vt:variant>
        <vt:i4>0</vt:i4>
      </vt:variant>
      <vt:variant>
        <vt:i4>5</vt:i4>
      </vt:variant>
      <vt:variant>
        <vt:lpwstr>https://www.wcoomdpublications.org/en/products/harmonized-system/harmonized-system-nomenclature-2022</vt:lpwstr>
      </vt:variant>
      <vt:variant>
        <vt:lpwstr/>
      </vt:variant>
      <vt:variant>
        <vt:i4>2818094</vt:i4>
      </vt:variant>
      <vt:variant>
        <vt:i4>30</vt:i4>
      </vt:variant>
      <vt:variant>
        <vt:i4>0</vt:i4>
      </vt:variant>
      <vt:variant>
        <vt:i4>5</vt:i4>
      </vt:variant>
      <vt:variant>
        <vt:lpwstr>https://www.wcotradetools.org/</vt:lpwstr>
      </vt:variant>
      <vt:variant>
        <vt:lpwstr/>
      </vt:variant>
      <vt:variant>
        <vt:i4>4587603</vt:i4>
      </vt:variant>
      <vt:variant>
        <vt:i4>27</vt:i4>
      </vt:variant>
      <vt:variant>
        <vt:i4>0</vt:i4>
      </vt:variant>
      <vt:variant>
        <vt:i4>5</vt:i4>
      </vt:variant>
      <vt:variant>
        <vt:lpwstr>http://www.wcoomd.org/en/topics/nomenclature/instrument-and-tools/hs-nomenclature-2017-edition/hs-nomenclature-2017-edition.aspx</vt:lpwstr>
      </vt:variant>
      <vt:variant>
        <vt:lpwstr/>
      </vt:variant>
      <vt:variant>
        <vt:i4>2949168</vt:i4>
      </vt:variant>
      <vt:variant>
        <vt:i4>24</vt:i4>
      </vt:variant>
      <vt:variant>
        <vt:i4>0</vt:i4>
      </vt:variant>
      <vt:variant>
        <vt:i4>5</vt:i4>
      </vt:variant>
      <vt:variant>
        <vt:lpwstr>http://www.wcoomd.org/</vt:lpwstr>
      </vt:variant>
      <vt:variant>
        <vt:lpwstr/>
      </vt:variant>
      <vt:variant>
        <vt:i4>2031714</vt:i4>
      </vt:variant>
      <vt:variant>
        <vt:i4>21</vt:i4>
      </vt:variant>
      <vt:variant>
        <vt:i4>0</vt:i4>
      </vt:variant>
      <vt:variant>
        <vt:i4>5</vt:i4>
      </vt:variant>
      <vt:variant>
        <vt:lpwstr>http://www.wcoomd.org/en/topics/nomenclature/instrument-and-tools/hs_convention.aspx</vt:lpwstr>
      </vt:variant>
      <vt:variant>
        <vt:lpwstr/>
      </vt:variant>
      <vt:variant>
        <vt:i4>2031678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_Toc473096090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_Toc473096089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_Toc473096088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_Toc473096087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Štefka Božiček</cp:lastModifiedBy>
  <cp:revision>2</cp:revision>
  <cp:lastPrinted>2015-03-11T12:04:00Z</cp:lastPrinted>
  <dcterms:created xsi:type="dcterms:W3CDTF">2023-01-27T10:08:00Z</dcterms:created>
  <dcterms:modified xsi:type="dcterms:W3CDTF">2023-01-27T10:08:00Z</dcterms:modified>
</cp:coreProperties>
</file>