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174D" w14:textId="77777777" w:rsidR="00887E1E" w:rsidRPr="009550D4" w:rsidRDefault="00887E1E" w:rsidP="00CA699D">
      <w:pPr>
        <w:pStyle w:val="datumtevilka"/>
        <w:jc w:val="center"/>
      </w:pPr>
    </w:p>
    <w:p w14:paraId="58FCC9C0" w14:textId="77777777" w:rsidR="00887E1E" w:rsidRPr="009550D4" w:rsidRDefault="00887E1E" w:rsidP="00CA699D">
      <w:pPr>
        <w:pStyle w:val="datumtevilka"/>
        <w:jc w:val="center"/>
      </w:pPr>
    </w:p>
    <w:p w14:paraId="74D4B05A" w14:textId="77777777" w:rsidR="00F825FF" w:rsidRPr="009550D4" w:rsidRDefault="00F825FF" w:rsidP="00CA699D">
      <w:pPr>
        <w:pStyle w:val="datumtevilka"/>
        <w:jc w:val="center"/>
      </w:pPr>
    </w:p>
    <w:p w14:paraId="1E7E523A" w14:textId="77777777" w:rsidR="00F825FF" w:rsidRPr="009550D4" w:rsidRDefault="00F825FF" w:rsidP="00CA699D">
      <w:pPr>
        <w:pStyle w:val="datumtevilka"/>
        <w:jc w:val="center"/>
      </w:pPr>
    </w:p>
    <w:p w14:paraId="6F253357" w14:textId="77777777" w:rsidR="00F825FF" w:rsidRPr="009550D4" w:rsidRDefault="00F825FF" w:rsidP="00CA699D">
      <w:pPr>
        <w:pStyle w:val="datumtevilka"/>
        <w:jc w:val="center"/>
      </w:pPr>
    </w:p>
    <w:p w14:paraId="012F7A42" w14:textId="77777777" w:rsidR="00F825FF" w:rsidRPr="009550D4" w:rsidRDefault="00F825FF" w:rsidP="00CA699D">
      <w:pPr>
        <w:pStyle w:val="datumtevilka"/>
        <w:jc w:val="center"/>
      </w:pPr>
    </w:p>
    <w:p w14:paraId="1571EDF3" w14:textId="77777777" w:rsidR="00887E1E" w:rsidRPr="009550D4" w:rsidRDefault="00887E1E" w:rsidP="00CA699D">
      <w:pPr>
        <w:pStyle w:val="datumtevilka"/>
        <w:jc w:val="center"/>
      </w:pPr>
    </w:p>
    <w:p w14:paraId="4EC2510E" w14:textId="77777777" w:rsidR="00887E1E" w:rsidRPr="009550D4" w:rsidRDefault="00887E1E" w:rsidP="00CA699D">
      <w:pPr>
        <w:pStyle w:val="datumtevilka"/>
        <w:jc w:val="center"/>
      </w:pPr>
    </w:p>
    <w:p w14:paraId="0FAC59E6" w14:textId="77777777" w:rsidR="00E853E8" w:rsidRPr="009550D4" w:rsidRDefault="009550D4" w:rsidP="00E853E8">
      <w:pPr>
        <w:pStyle w:val="datumtevilka"/>
        <w:jc w:val="center"/>
        <w:rPr>
          <w:b/>
          <w:sz w:val="32"/>
          <w:szCs w:val="32"/>
        </w:rPr>
      </w:pPr>
      <w:r w:rsidRPr="009550D4">
        <w:rPr>
          <w:b/>
          <w:sz w:val="32"/>
          <w:szCs w:val="32"/>
        </w:rPr>
        <w:t>KRITERIJI ZA DOLOČANJE PRIORITETNIH INŠPEKCIJSKIH NADZOROV FINANČNE UPRAVE R</w:t>
      </w:r>
      <w:r w:rsidR="00B2081C">
        <w:rPr>
          <w:b/>
          <w:sz w:val="32"/>
          <w:szCs w:val="32"/>
        </w:rPr>
        <w:t>EPUBLIKE SLOVENIJE  ZA LETO 202</w:t>
      </w:r>
      <w:r w:rsidR="00404780">
        <w:rPr>
          <w:b/>
          <w:sz w:val="32"/>
          <w:szCs w:val="32"/>
        </w:rPr>
        <w:t>2</w:t>
      </w:r>
    </w:p>
    <w:p w14:paraId="62017337" w14:textId="77777777" w:rsidR="00E853E8" w:rsidRPr="009550D4" w:rsidRDefault="00E853E8" w:rsidP="00E853E8">
      <w:pPr>
        <w:pStyle w:val="datumtevilka"/>
        <w:jc w:val="center"/>
        <w:rPr>
          <w:b/>
          <w:sz w:val="32"/>
          <w:szCs w:val="32"/>
        </w:rPr>
      </w:pPr>
    </w:p>
    <w:p w14:paraId="6CADFAB1" w14:textId="77777777" w:rsidR="00887E1E" w:rsidRPr="009550D4" w:rsidRDefault="00887E1E" w:rsidP="00E853E8">
      <w:pPr>
        <w:pStyle w:val="datumtevilka"/>
        <w:jc w:val="center"/>
      </w:pPr>
    </w:p>
    <w:p w14:paraId="69773FD9" w14:textId="77777777" w:rsidR="00E853E8" w:rsidRPr="009550D4" w:rsidRDefault="00E853E8" w:rsidP="00E853E8">
      <w:pPr>
        <w:pStyle w:val="datumtevilka"/>
        <w:jc w:val="center"/>
      </w:pPr>
    </w:p>
    <w:p w14:paraId="1ED9693C" w14:textId="77777777" w:rsidR="00E853E8" w:rsidRPr="009550D4" w:rsidRDefault="00E853E8" w:rsidP="00E853E8">
      <w:pPr>
        <w:pStyle w:val="datumtevilka"/>
        <w:jc w:val="center"/>
      </w:pPr>
    </w:p>
    <w:p w14:paraId="15A6F0E0" w14:textId="77777777" w:rsidR="00E853E8" w:rsidRPr="009550D4" w:rsidRDefault="00E853E8" w:rsidP="00E853E8">
      <w:pPr>
        <w:pStyle w:val="datumtevilka"/>
        <w:jc w:val="center"/>
      </w:pPr>
    </w:p>
    <w:p w14:paraId="40737F31" w14:textId="77777777" w:rsidR="00887E1E" w:rsidRPr="009550D4" w:rsidRDefault="00887E1E" w:rsidP="00E853E8">
      <w:pPr>
        <w:pStyle w:val="datumtevilka"/>
        <w:jc w:val="center"/>
      </w:pPr>
    </w:p>
    <w:p w14:paraId="29E34F06" w14:textId="77777777" w:rsidR="00F825FF" w:rsidRPr="009550D4" w:rsidRDefault="00E853E8" w:rsidP="00E853E8">
      <w:pPr>
        <w:pStyle w:val="datumtevilka"/>
        <w:jc w:val="center"/>
        <w:rPr>
          <w:b/>
          <w:sz w:val="28"/>
          <w:szCs w:val="28"/>
        </w:rPr>
      </w:pPr>
      <w:r w:rsidRPr="009550D4">
        <w:rPr>
          <w:b/>
          <w:sz w:val="28"/>
          <w:szCs w:val="28"/>
        </w:rPr>
        <w:t>Po</w:t>
      </w:r>
      <w:r w:rsidR="001C2D67" w:rsidRPr="009550D4">
        <w:rPr>
          <w:b/>
          <w:sz w:val="28"/>
          <w:szCs w:val="28"/>
        </w:rPr>
        <w:t>drobnejši opis</w:t>
      </w:r>
    </w:p>
    <w:p w14:paraId="105B52F4" w14:textId="77777777" w:rsidR="00F825FF" w:rsidRPr="009550D4" w:rsidRDefault="00F825FF" w:rsidP="00E853E8">
      <w:pPr>
        <w:pStyle w:val="datumtevilka"/>
        <w:jc w:val="center"/>
      </w:pPr>
    </w:p>
    <w:p w14:paraId="1A8A0FD8" w14:textId="77777777" w:rsidR="00F825FF" w:rsidRPr="009550D4" w:rsidRDefault="00F825FF" w:rsidP="00CA699D">
      <w:pPr>
        <w:pStyle w:val="datumtevilka"/>
        <w:jc w:val="center"/>
      </w:pPr>
    </w:p>
    <w:p w14:paraId="3D8E8399" w14:textId="77777777" w:rsidR="00F825FF" w:rsidRPr="009550D4" w:rsidRDefault="00F825FF" w:rsidP="00CA699D">
      <w:pPr>
        <w:pStyle w:val="datumtevilka"/>
        <w:jc w:val="center"/>
      </w:pPr>
    </w:p>
    <w:p w14:paraId="1F5B4BEB" w14:textId="77777777" w:rsidR="00F825FF" w:rsidRPr="009550D4" w:rsidRDefault="00F825FF" w:rsidP="00CA699D">
      <w:pPr>
        <w:pStyle w:val="datumtevilka"/>
        <w:jc w:val="center"/>
      </w:pPr>
    </w:p>
    <w:p w14:paraId="0C7C26DA" w14:textId="77777777" w:rsidR="00887E1E" w:rsidRPr="009550D4" w:rsidRDefault="00887E1E" w:rsidP="00CA699D">
      <w:pPr>
        <w:pStyle w:val="podpisi"/>
        <w:jc w:val="center"/>
        <w:rPr>
          <w:lang w:val="sl-SI"/>
        </w:rPr>
      </w:pPr>
    </w:p>
    <w:p w14:paraId="11EB40AE" w14:textId="77777777" w:rsidR="00F825FF" w:rsidRPr="009550D4" w:rsidRDefault="00F825FF" w:rsidP="00CA699D">
      <w:pPr>
        <w:pStyle w:val="podpisi"/>
        <w:jc w:val="center"/>
        <w:rPr>
          <w:lang w:val="sl-SI"/>
        </w:rPr>
      </w:pPr>
    </w:p>
    <w:p w14:paraId="091D11A1" w14:textId="77777777" w:rsidR="00887E1E" w:rsidRPr="009550D4" w:rsidRDefault="00887E1E" w:rsidP="00CA699D">
      <w:pPr>
        <w:pStyle w:val="podpisi"/>
        <w:jc w:val="center"/>
        <w:rPr>
          <w:lang w:val="sl-SI"/>
        </w:rPr>
      </w:pPr>
    </w:p>
    <w:p w14:paraId="3B3A0CBA" w14:textId="77777777" w:rsidR="00887E1E" w:rsidRPr="009550D4" w:rsidRDefault="00887E1E" w:rsidP="00CA699D">
      <w:pPr>
        <w:pStyle w:val="podpisi"/>
        <w:jc w:val="center"/>
        <w:rPr>
          <w:lang w:val="sl-SI"/>
        </w:rPr>
      </w:pPr>
    </w:p>
    <w:p w14:paraId="3D072119" w14:textId="77777777" w:rsidR="00887E1E" w:rsidRPr="009550D4" w:rsidRDefault="00887E1E" w:rsidP="00CA699D">
      <w:pPr>
        <w:pStyle w:val="podpisi"/>
        <w:jc w:val="center"/>
        <w:rPr>
          <w:lang w:val="sl-SI"/>
        </w:rPr>
      </w:pPr>
    </w:p>
    <w:p w14:paraId="558D9AA4" w14:textId="77777777" w:rsidR="00887E1E" w:rsidRPr="009550D4" w:rsidRDefault="00887E1E" w:rsidP="00CA699D">
      <w:pPr>
        <w:pStyle w:val="podpisi"/>
        <w:jc w:val="center"/>
        <w:rPr>
          <w:lang w:val="sl-SI"/>
        </w:rPr>
      </w:pPr>
    </w:p>
    <w:p w14:paraId="34726842" w14:textId="77777777" w:rsidR="00887E1E" w:rsidRPr="009550D4" w:rsidRDefault="00887E1E" w:rsidP="00CA699D">
      <w:pPr>
        <w:pStyle w:val="podpisi"/>
        <w:jc w:val="center"/>
        <w:rPr>
          <w:lang w:val="sl-SI"/>
        </w:rPr>
      </w:pPr>
    </w:p>
    <w:p w14:paraId="24168E49" w14:textId="77777777" w:rsidR="00887E1E" w:rsidRPr="009550D4" w:rsidRDefault="00887E1E" w:rsidP="00CA699D">
      <w:pPr>
        <w:pStyle w:val="podpisi"/>
        <w:jc w:val="center"/>
        <w:rPr>
          <w:lang w:val="sl-SI"/>
        </w:rPr>
      </w:pPr>
    </w:p>
    <w:p w14:paraId="105D45FD" w14:textId="77777777" w:rsidR="00887E1E" w:rsidRPr="009550D4" w:rsidRDefault="00887E1E" w:rsidP="00CA699D">
      <w:pPr>
        <w:pStyle w:val="podpisi"/>
        <w:jc w:val="center"/>
        <w:rPr>
          <w:lang w:val="sl-SI"/>
        </w:rPr>
      </w:pPr>
    </w:p>
    <w:p w14:paraId="6552A89D" w14:textId="77777777" w:rsidR="00E853E8" w:rsidRPr="009550D4" w:rsidRDefault="00E853E8" w:rsidP="00CA699D">
      <w:pPr>
        <w:pStyle w:val="podpisi"/>
        <w:jc w:val="center"/>
        <w:rPr>
          <w:lang w:val="sl-SI"/>
        </w:rPr>
      </w:pPr>
    </w:p>
    <w:p w14:paraId="2F1B8799" w14:textId="77777777" w:rsidR="00E853E8" w:rsidRPr="009550D4" w:rsidRDefault="00E853E8" w:rsidP="00CA699D">
      <w:pPr>
        <w:pStyle w:val="podpisi"/>
        <w:jc w:val="center"/>
        <w:rPr>
          <w:lang w:val="sl-SI"/>
        </w:rPr>
      </w:pPr>
    </w:p>
    <w:p w14:paraId="4E2DB606" w14:textId="77777777" w:rsidR="00E853E8" w:rsidRPr="009550D4" w:rsidRDefault="00E853E8" w:rsidP="00CA699D">
      <w:pPr>
        <w:pStyle w:val="podpisi"/>
        <w:jc w:val="center"/>
        <w:rPr>
          <w:lang w:val="sl-SI"/>
        </w:rPr>
      </w:pPr>
    </w:p>
    <w:p w14:paraId="4AACDBEC" w14:textId="77777777" w:rsidR="00E853E8" w:rsidRPr="009550D4" w:rsidRDefault="00E853E8" w:rsidP="00CA699D">
      <w:pPr>
        <w:pStyle w:val="podpisi"/>
        <w:jc w:val="center"/>
        <w:rPr>
          <w:lang w:val="sl-SI"/>
        </w:rPr>
      </w:pPr>
    </w:p>
    <w:p w14:paraId="647DBB1C" w14:textId="77777777" w:rsidR="00E853E8" w:rsidRPr="009550D4" w:rsidRDefault="00E853E8" w:rsidP="00CA699D">
      <w:pPr>
        <w:pStyle w:val="podpisi"/>
        <w:jc w:val="center"/>
        <w:rPr>
          <w:lang w:val="sl-SI"/>
        </w:rPr>
      </w:pPr>
    </w:p>
    <w:p w14:paraId="467FFADC" w14:textId="77777777" w:rsidR="00E853E8" w:rsidRPr="009550D4" w:rsidRDefault="00E853E8" w:rsidP="00CA699D">
      <w:pPr>
        <w:pStyle w:val="podpisi"/>
        <w:jc w:val="center"/>
        <w:rPr>
          <w:lang w:val="sl-SI"/>
        </w:rPr>
      </w:pPr>
    </w:p>
    <w:p w14:paraId="36C7B405" w14:textId="77777777" w:rsidR="00887E1E" w:rsidRPr="009550D4" w:rsidRDefault="00887E1E" w:rsidP="00CA699D">
      <w:pPr>
        <w:pStyle w:val="podpisi"/>
        <w:jc w:val="center"/>
        <w:rPr>
          <w:lang w:val="sl-SI"/>
        </w:rPr>
      </w:pPr>
    </w:p>
    <w:p w14:paraId="26520573" w14:textId="77777777" w:rsidR="00887E1E" w:rsidRPr="009550D4" w:rsidRDefault="00887E1E" w:rsidP="00CA699D">
      <w:pPr>
        <w:pStyle w:val="podpisi"/>
        <w:jc w:val="center"/>
        <w:rPr>
          <w:lang w:val="sl-SI"/>
        </w:rPr>
      </w:pPr>
    </w:p>
    <w:p w14:paraId="33A7DA41" w14:textId="77777777" w:rsidR="009550D4" w:rsidRDefault="009550D4" w:rsidP="00CA699D">
      <w:pPr>
        <w:pStyle w:val="podpisi"/>
        <w:jc w:val="center"/>
        <w:rPr>
          <w:lang w:val="sl-SI"/>
        </w:rPr>
      </w:pPr>
    </w:p>
    <w:p w14:paraId="496CC269" w14:textId="77777777" w:rsidR="009550D4" w:rsidRPr="009550D4" w:rsidRDefault="009550D4" w:rsidP="00CA699D">
      <w:pPr>
        <w:pStyle w:val="podpisi"/>
        <w:jc w:val="center"/>
        <w:rPr>
          <w:lang w:val="sl-SI"/>
        </w:rPr>
      </w:pPr>
    </w:p>
    <w:p w14:paraId="6C6B04F7" w14:textId="77777777" w:rsidR="009550D4" w:rsidRPr="009550D4" w:rsidRDefault="009550D4" w:rsidP="009550D4">
      <w:pPr>
        <w:rPr>
          <w:lang w:val="sl-SI"/>
        </w:rPr>
      </w:pPr>
    </w:p>
    <w:p w14:paraId="60AA7B3A" w14:textId="77777777" w:rsidR="009550D4" w:rsidRDefault="009550D4" w:rsidP="009550D4">
      <w:pPr>
        <w:rPr>
          <w:lang w:val="sl-SI"/>
        </w:rPr>
      </w:pPr>
    </w:p>
    <w:p w14:paraId="074657E2" w14:textId="77777777" w:rsidR="009A1FAC" w:rsidRDefault="009A1FAC" w:rsidP="009550D4">
      <w:pPr>
        <w:rPr>
          <w:lang w:val="sl-SI"/>
        </w:rPr>
      </w:pPr>
    </w:p>
    <w:p w14:paraId="30A63D96" w14:textId="77777777" w:rsidR="009A1FAC" w:rsidRDefault="009A1FAC" w:rsidP="009550D4">
      <w:pPr>
        <w:rPr>
          <w:lang w:val="sl-SI"/>
        </w:rPr>
      </w:pPr>
    </w:p>
    <w:p w14:paraId="74957E14" w14:textId="77777777" w:rsidR="009A1FAC" w:rsidRDefault="009A1FAC" w:rsidP="009A1FAC">
      <w:pPr>
        <w:spacing w:line="240" w:lineRule="atLeast"/>
        <w:jc w:val="both"/>
        <w:rPr>
          <w:lang w:val="sl-SI"/>
        </w:rPr>
      </w:pPr>
    </w:p>
    <w:p w14:paraId="2612B642" w14:textId="77777777" w:rsidR="0016722F" w:rsidRPr="00546B19" w:rsidRDefault="0016722F" w:rsidP="00356BDE">
      <w:pPr>
        <w:spacing w:line="240" w:lineRule="atLeast"/>
        <w:jc w:val="both"/>
        <w:rPr>
          <w:rFonts w:cs="Arial"/>
          <w:szCs w:val="20"/>
          <w:lang w:val="sl-SI"/>
        </w:rPr>
      </w:pPr>
    </w:p>
    <w:p w14:paraId="36E6D885" w14:textId="77777777" w:rsidR="0016722F" w:rsidRPr="00546B19" w:rsidRDefault="0016722F" w:rsidP="0016722F">
      <w:pPr>
        <w:spacing w:line="240" w:lineRule="atLeast"/>
        <w:jc w:val="both"/>
        <w:rPr>
          <w:rFonts w:cs="Arial"/>
          <w:szCs w:val="20"/>
          <w:lang w:val="sl-SI"/>
        </w:rPr>
      </w:pPr>
      <w:r w:rsidRPr="00546B19">
        <w:rPr>
          <w:rFonts w:cs="Arial"/>
          <w:szCs w:val="20"/>
          <w:lang w:val="sl-SI"/>
        </w:rPr>
        <w:t xml:space="preserve">V skladu s sklepom Vlade RS št. 06100-4/2015/15 z dne 2. 4. 2015, ministrstva, inšpektorati v njihovi sestavi in inšpekcije, ki delujejo v ministrstvih, na svojih spletnih straneh objavijo kriterije za določanje prioritetnih  inšpekcijskih nadzorov, upoštevaje oceno tveganja na posameznem področju. </w:t>
      </w:r>
    </w:p>
    <w:p w14:paraId="510D384A" w14:textId="77777777" w:rsidR="00546B19" w:rsidRPr="00546B19" w:rsidRDefault="00546B19" w:rsidP="00546B19">
      <w:pPr>
        <w:spacing w:line="240" w:lineRule="atLeast"/>
        <w:jc w:val="both"/>
        <w:rPr>
          <w:rFonts w:cs="Arial"/>
          <w:szCs w:val="20"/>
          <w:lang w:val="sl-SI"/>
        </w:rPr>
      </w:pPr>
    </w:p>
    <w:p w14:paraId="03353DC9" w14:textId="77777777" w:rsidR="00546B19" w:rsidRPr="00546B19" w:rsidRDefault="00546B19" w:rsidP="00546B19">
      <w:pPr>
        <w:spacing w:line="240" w:lineRule="atLeast"/>
        <w:jc w:val="both"/>
        <w:rPr>
          <w:rFonts w:cs="Arial"/>
          <w:szCs w:val="20"/>
          <w:lang w:val="sl-SI"/>
        </w:rPr>
      </w:pPr>
      <w:r w:rsidRPr="00546B19">
        <w:rPr>
          <w:rFonts w:cs="Arial"/>
          <w:szCs w:val="20"/>
          <w:lang w:val="sl-SI"/>
        </w:rPr>
        <w:t>Finančna uprava Republike Slovenije (v nadaljevanju: FURS) izvaja inšpekcijski nadzor na podlagi Zakona o finančni upravi in skladno s pravili Zakona o davčnem postopku in Zakona o inšpekcijskem nadzoru.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2C9005C3" w14:textId="77777777" w:rsidR="00546B19" w:rsidRPr="00546B19" w:rsidRDefault="00546B19" w:rsidP="00546B19">
      <w:pPr>
        <w:spacing w:line="240" w:lineRule="atLeast"/>
        <w:jc w:val="both"/>
        <w:rPr>
          <w:rFonts w:cs="Arial"/>
          <w:szCs w:val="20"/>
          <w:lang w:val="sl-SI"/>
        </w:rPr>
      </w:pPr>
    </w:p>
    <w:p w14:paraId="2C39D718"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Skladno z novo Strategijo Finančne uprave RS 2021 – 2025 bo FURS z namenom zagotavljanja višje ravni davčne skladnosti prednostno obravnaval ključna tveganja in spodbujal zavezance k prostovoljnemu plačevanju njihovih obveznosti.  Strateški cilji, ki podpirajo to zavezo, kot dejstvo, da so predvidene spremembe zakonodaje s področja vodenja inšpekcijskih nadzorov (spremembe Zakona o davčnem postopku, Zakona o finančni upravi),  vplivajo na načrte inšpekcijskega nadzora za leto 2022. </w:t>
      </w:r>
    </w:p>
    <w:p w14:paraId="41FD889D" w14:textId="77777777" w:rsidR="00546B19" w:rsidRPr="00546B19" w:rsidRDefault="00546B19" w:rsidP="00546B19">
      <w:pPr>
        <w:spacing w:line="240" w:lineRule="atLeast"/>
        <w:jc w:val="both"/>
        <w:rPr>
          <w:rFonts w:cs="Arial"/>
          <w:szCs w:val="20"/>
          <w:lang w:val="sl-SI"/>
        </w:rPr>
      </w:pPr>
    </w:p>
    <w:p w14:paraId="366EC128" w14:textId="77777777" w:rsidR="00546B19" w:rsidRPr="00546B19" w:rsidRDefault="00546B19" w:rsidP="00546B19">
      <w:pPr>
        <w:spacing w:line="240" w:lineRule="atLeast"/>
        <w:jc w:val="both"/>
        <w:rPr>
          <w:rFonts w:cs="Arial"/>
          <w:szCs w:val="20"/>
          <w:lang w:val="sl-SI"/>
        </w:rPr>
      </w:pPr>
      <w:r w:rsidRPr="00546B19">
        <w:rPr>
          <w:rFonts w:cs="Arial"/>
          <w:szCs w:val="20"/>
          <w:lang w:val="sl-SI"/>
        </w:rPr>
        <w:t>Pri strateških usmeritev in prioritet inšpekcije je pomembno upoštevati tudi še vedno trajajočo epidemijo  ter prioritetne nadzore nad spoštovanjem vladnih odlokov sprejetih za zajezitev širjenja okužbe z virusom SARS-CoV-2 (COVID 19), v katere je FURS, kot eden izmed nadzornih organov, aktivno vključen.</w:t>
      </w:r>
    </w:p>
    <w:p w14:paraId="51F4F85E" w14:textId="77777777" w:rsidR="00546B19" w:rsidRPr="00546B19" w:rsidRDefault="00546B19" w:rsidP="00546B19">
      <w:pPr>
        <w:spacing w:line="240" w:lineRule="atLeast"/>
        <w:jc w:val="both"/>
        <w:rPr>
          <w:rFonts w:cs="Arial"/>
          <w:color w:val="FF0000"/>
          <w:szCs w:val="20"/>
          <w:lang w:val="sl-SI"/>
        </w:rPr>
      </w:pPr>
    </w:p>
    <w:p w14:paraId="3DE90A03" w14:textId="77777777" w:rsidR="00546B19" w:rsidRPr="00546B19" w:rsidRDefault="00546B19" w:rsidP="00546B19">
      <w:pPr>
        <w:spacing w:line="240" w:lineRule="atLeast"/>
        <w:jc w:val="both"/>
        <w:rPr>
          <w:rFonts w:cs="Arial"/>
          <w:szCs w:val="20"/>
          <w:lang w:val="sl-SI"/>
        </w:rPr>
      </w:pPr>
      <w:r w:rsidRPr="00546B19">
        <w:rPr>
          <w:rFonts w:cs="Arial"/>
          <w:bCs/>
          <w:szCs w:val="20"/>
          <w:lang w:val="sl-SI"/>
        </w:rPr>
        <w:t xml:space="preserve">FURS tovrstne inšpekcijske nadzore </w:t>
      </w:r>
      <w:r w:rsidRPr="00546B19">
        <w:rPr>
          <w:rFonts w:cs="Arial"/>
          <w:szCs w:val="20"/>
          <w:lang w:val="sl-SI"/>
        </w:rPr>
        <w:t xml:space="preserve"> lahko izvaja le hkrati z  opravljanjem nalog inšpekcijskega nadzora iz svoje pristojnosti, in sicer predvsem v okviru nadzorov na področju gotovinskega poslovanja oz. davčnih blagajn, dela ter zaposlovanja na črno in nadzora iger na srečo. Ti nadzori se bodo tekom leta prilagajali epidemiološki sliki in zato lahko, v primeru dolgotrajnejšega širjenja okužbe v letu 2022, pomembneje vplivajo na samo strukturo in število izvedenih nadzorov ter na izpolnitev zastavljenih strateških ciljev iz </w:t>
      </w:r>
      <w:proofErr w:type="spellStart"/>
      <w:r w:rsidRPr="00546B19">
        <w:rPr>
          <w:rFonts w:cs="Arial"/>
          <w:szCs w:val="20"/>
          <w:lang w:val="sl-SI"/>
        </w:rPr>
        <w:t>t.i</w:t>
      </w:r>
      <w:proofErr w:type="spellEnd"/>
      <w:r w:rsidRPr="00546B19">
        <w:rPr>
          <w:rFonts w:cs="Arial"/>
          <w:szCs w:val="20"/>
          <w:lang w:val="sl-SI"/>
        </w:rPr>
        <w:t xml:space="preserve">. primarne pristojnosti FURS. Skladno s strategijo delovanja inšpekcijskih služb bo v tem delu potekalo intenzivno sodelovanje  z drugimi inšpekcijskimi organi. </w:t>
      </w:r>
    </w:p>
    <w:p w14:paraId="3031E317" w14:textId="77777777" w:rsidR="00546B19" w:rsidRPr="00546B19" w:rsidRDefault="00546B19" w:rsidP="00546B19">
      <w:pPr>
        <w:spacing w:line="240" w:lineRule="atLeast"/>
        <w:jc w:val="both"/>
        <w:rPr>
          <w:rFonts w:cs="Arial"/>
          <w:szCs w:val="20"/>
          <w:lang w:val="sl-SI"/>
        </w:rPr>
      </w:pPr>
    </w:p>
    <w:p w14:paraId="04E1C692"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Finančna uprava RS bo v letu 2022 največji delež inšpekcijskih nadzorov </w:t>
      </w:r>
      <w:r w:rsidRPr="00546B19">
        <w:rPr>
          <w:rFonts w:cs="Arial"/>
          <w:b/>
          <w:szCs w:val="20"/>
          <w:lang w:val="sl-SI"/>
        </w:rPr>
        <w:t>na davkih</w:t>
      </w:r>
      <w:r w:rsidRPr="00546B19">
        <w:rPr>
          <w:rFonts w:cs="Arial"/>
          <w:szCs w:val="20"/>
          <w:lang w:val="sl-SI"/>
        </w:rPr>
        <w:t xml:space="preserve"> izvedla na področju davka na dodano vrednost (DDV), sledi nadzor davka od dohodkov pravnih oseb, davkov in prispevkov od dohodkov fizičnih oseb, dohodnine in drugih dajatev. Kompleksnejše in večje utaje davkov bodo obravnavane v okviru finančnih preiskav. </w:t>
      </w:r>
    </w:p>
    <w:p w14:paraId="648B8104" w14:textId="77777777" w:rsidR="00546B19" w:rsidRPr="00546B19" w:rsidRDefault="00546B19" w:rsidP="00546B19">
      <w:pPr>
        <w:spacing w:line="240" w:lineRule="atLeast"/>
        <w:jc w:val="both"/>
        <w:rPr>
          <w:rFonts w:cs="Arial"/>
          <w:color w:val="FF0000"/>
          <w:szCs w:val="20"/>
          <w:lang w:val="sl-SI"/>
        </w:rPr>
      </w:pPr>
    </w:p>
    <w:p w14:paraId="56E15636" w14:textId="77777777" w:rsidR="00546B19" w:rsidRPr="00546B19" w:rsidRDefault="00546B19" w:rsidP="00546B19">
      <w:pPr>
        <w:autoSpaceDE w:val="0"/>
        <w:autoSpaceDN w:val="0"/>
        <w:spacing w:line="240" w:lineRule="atLeast"/>
        <w:jc w:val="both"/>
        <w:rPr>
          <w:rFonts w:cs="Arial"/>
          <w:szCs w:val="20"/>
          <w:lang w:val="sl-SI"/>
        </w:rPr>
      </w:pPr>
      <w:bookmarkStart w:id="0" w:name="_Hlk92895356"/>
      <w:r w:rsidRPr="00546B19">
        <w:rPr>
          <w:rFonts w:cs="Arial"/>
          <w:szCs w:val="20"/>
          <w:lang w:val="sl-SI"/>
        </w:rPr>
        <w:t xml:space="preserve">Nadzor na področju </w:t>
      </w:r>
      <w:r w:rsidRPr="00546B19">
        <w:rPr>
          <w:rFonts w:cs="Arial"/>
          <w:b/>
          <w:szCs w:val="20"/>
          <w:lang w:val="sl-SI"/>
        </w:rPr>
        <w:t>DDV</w:t>
      </w:r>
      <w:r w:rsidRPr="00546B19">
        <w:rPr>
          <w:rFonts w:cs="Arial"/>
          <w:szCs w:val="20"/>
          <w:lang w:val="sl-SI"/>
        </w:rPr>
        <w:t xml:space="preserve"> bo usmerjen predvsem v odkrivanje sistemskih utaj DDV (</w:t>
      </w:r>
      <w:proofErr w:type="spellStart"/>
      <w:r w:rsidRPr="00546B19">
        <w:rPr>
          <w:rFonts w:cs="Arial"/>
          <w:szCs w:val="20"/>
          <w:lang w:val="sl-SI"/>
        </w:rPr>
        <w:t>t.i</w:t>
      </w:r>
      <w:proofErr w:type="spellEnd"/>
      <w:r w:rsidRPr="00546B19">
        <w:rPr>
          <w:rFonts w:cs="Arial"/>
          <w:szCs w:val="20"/>
          <w:lang w:val="sl-SI"/>
        </w:rPr>
        <w:t xml:space="preserve">. MTIC utaj DDV oz. davčnih vrtiljakov), pri čemer bo pomemben vidik mednarodna izmenjava podatkov. Zaradi preprečevanja tovrstnih utaj bo nadzor usmerjen tudi na </w:t>
      </w:r>
      <w:proofErr w:type="spellStart"/>
      <w:r w:rsidRPr="00546B19">
        <w:rPr>
          <w:rFonts w:cs="Arial"/>
          <w:szCs w:val="20"/>
          <w:lang w:val="sl-SI"/>
        </w:rPr>
        <w:t>t.i</w:t>
      </w:r>
      <w:proofErr w:type="spellEnd"/>
      <w:r w:rsidRPr="00546B19">
        <w:rPr>
          <w:rFonts w:cs="Arial"/>
          <w:szCs w:val="20"/>
          <w:lang w:val="sl-SI"/>
        </w:rPr>
        <w:t>. speče družbe (neaktivne družbe z veljavno ID št. za DDV), ki jih goljufi uporabljajo z namenom, da v dobavni verigi nastopajo v vlogi »</w:t>
      </w:r>
      <w:proofErr w:type="spellStart"/>
      <w:r w:rsidRPr="00546B19">
        <w:rPr>
          <w:rFonts w:cs="Arial"/>
          <w:szCs w:val="20"/>
          <w:lang w:val="sl-SI"/>
        </w:rPr>
        <w:t>neplačujočih</w:t>
      </w:r>
      <w:proofErr w:type="spellEnd"/>
      <w:r w:rsidRPr="00546B19">
        <w:rPr>
          <w:rFonts w:cs="Arial"/>
          <w:szCs w:val="20"/>
          <w:lang w:val="sl-SI"/>
        </w:rPr>
        <w:t xml:space="preserve"> gospodarskih subjektov«. </w:t>
      </w:r>
    </w:p>
    <w:p w14:paraId="1DB534B4" w14:textId="77777777" w:rsidR="00546B19" w:rsidRPr="00546B19" w:rsidRDefault="00546B19" w:rsidP="00546B19">
      <w:pPr>
        <w:autoSpaceDE w:val="0"/>
        <w:autoSpaceDN w:val="0"/>
        <w:spacing w:line="240" w:lineRule="atLeast"/>
        <w:jc w:val="both"/>
        <w:rPr>
          <w:rFonts w:cs="Arial"/>
          <w:szCs w:val="20"/>
          <w:lang w:val="sl-SI" w:eastAsia="sl-SI"/>
        </w:rPr>
      </w:pPr>
    </w:p>
    <w:p w14:paraId="4BB3A41F" w14:textId="77777777" w:rsidR="00546B19" w:rsidRPr="00546B19" w:rsidRDefault="00546B19" w:rsidP="00546B19">
      <w:pPr>
        <w:pStyle w:val="Default"/>
        <w:spacing w:line="240" w:lineRule="atLeast"/>
        <w:jc w:val="both"/>
        <w:rPr>
          <w:color w:val="auto"/>
          <w:sz w:val="20"/>
          <w:szCs w:val="20"/>
        </w:rPr>
      </w:pPr>
      <w:r w:rsidRPr="00546B19">
        <w:rPr>
          <w:color w:val="auto"/>
          <w:sz w:val="20"/>
          <w:szCs w:val="20"/>
        </w:rPr>
        <w:t>Pomemben del nadzora bo usmerjen na zavezance, ki na podlagi fiktivnih računov neupravičeno uveljavljajo odbitek DDV in na identifikacijo zavezancev, ki se niso identificirani za DDV, pa bi se glede na obseg in vrsto dejavnosti morali. Zaradi spremenjenih nakupnih navad potrošnikov bo nadzor DDV usmerjen tudi na področje spletne prodaje blaga in storitev. Poostren nadzor bo tudi v dejavnosti trgovine s prevoznimi sredstvi in cestnega prevoza blaga.</w:t>
      </w:r>
    </w:p>
    <w:p w14:paraId="45AC2515" w14:textId="77777777" w:rsidR="00546B19" w:rsidRPr="00546B19" w:rsidRDefault="00546B19" w:rsidP="00546B19">
      <w:pPr>
        <w:pStyle w:val="Default"/>
        <w:spacing w:line="240" w:lineRule="atLeast"/>
        <w:jc w:val="both"/>
        <w:rPr>
          <w:color w:val="auto"/>
          <w:sz w:val="20"/>
          <w:szCs w:val="20"/>
        </w:rPr>
      </w:pPr>
    </w:p>
    <w:p w14:paraId="78177F13" w14:textId="77777777" w:rsidR="00546B19" w:rsidRPr="00546B19" w:rsidRDefault="00546B19" w:rsidP="00546B19">
      <w:pPr>
        <w:spacing w:line="240" w:lineRule="atLeast"/>
        <w:jc w:val="both"/>
        <w:rPr>
          <w:rFonts w:cs="Arial"/>
          <w:color w:val="FF0000"/>
          <w:szCs w:val="20"/>
          <w:lang w:val="sl-SI"/>
        </w:rPr>
      </w:pPr>
      <w:r w:rsidRPr="00546B19">
        <w:rPr>
          <w:rFonts w:cs="Arial"/>
          <w:szCs w:val="20"/>
          <w:lang w:val="sl-SI"/>
        </w:rPr>
        <w:lastRenderedPageBreak/>
        <w:t xml:space="preserve">Nadzor </w:t>
      </w:r>
      <w:r w:rsidRPr="00546B19">
        <w:rPr>
          <w:rFonts w:cs="Arial"/>
          <w:b/>
          <w:szCs w:val="20"/>
          <w:lang w:val="sl-SI"/>
        </w:rPr>
        <w:t>davčnega potrjevanja računov</w:t>
      </w:r>
      <w:r w:rsidRPr="00546B19">
        <w:rPr>
          <w:rFonts w:cs="Arial"/>
          <w:szCs w:val="20"/>
          <w:lang w:val="sl-SI"/>
        </w:rPr>
        <w:t xml:space="preserve"> bo usmerjen v neskladja med vrednostjo davčno potrjenih računov in davčnimi obračuni, pravočasnost identifikacije za namene DDV, odkrivanje zavezancev, ki se z »veriženjem« podjetij oziroma istočasnim opravljanjem dejavnosti preko dveh ali več podjetij izogibajo identifikaciji za namene DDV. </w:t>
      </w:r>
    </w:p>
    <w:p w14:paraId="3873040C" w14:textId="77777777" w:rsidR="00546B19" w:rsidRPr="00546B19" w:rsidRDefault="00546B19" w:rsidP="00546B19">
      <w:pPr>
        <w:pStyle w:val="Default"/>
        <w:spacing w:line="240" w:lineRule="atLeast"/>
        <w:jc w:val="both"/>
        <w:rPr>
          <w:color w:val="auto"/>
          <w:sz w:val="20"/>
          <w:szCs w:val="20"/>
        </w:rPr>
      </w:pPr>
    </w:p>
    <w:p w14:paraId="2F6F1BD9"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Na področju </w:t>
      </w:r>
      <w:r w:rsidRPr="00546B19">
        <w:rPr>
          <w:rFonts w:cs="Arial"/>
          <w:b/>
          <w:szCs w:val="20"/>
          <w:lang w:val="sl-SI"/>
        </w:rPr>
        <w:t>davkov in prispevkov od dohodkov fizičnih oseb iz zaposlitve</w:t>
      </w:r>
      <w:r w:rsidRPr="00546B19">
        <w:rPr>
          <w:rFonts w:cs="Arial"/>
          <w:szCs w:val="20"/>
          <w:lang w:val="sl-SI"/>
        </w:rPr>
        <w:t xml:space="preserve"> bo nadzor usmerjen na pravilnost obračunov davčnih odtegljajev in obračune prispevkov za socialno varnost za dohodke iz delovnega razmerja (REK obrazci) za zaposlene delavce, izplačevanje povračil stroškov dela zaposlencem, pri čemer bo posebni poudarek na dejavnosti cestnega tovornega prometa, pravilnost davčne obravnave izvzetih stroškov za zasebno rabo. </w:t>
      </w:r>
    </w:p>
    <w:p w14:paraId="548C255A" w14:textId="77777777" w:rsidR="00546B19" w:rsidRPr="00546B19" w:rsidRDefault="00546B19" w:rsidP="00546B19">
      <w:pPr>
        <w:spacing w:line="240" w:lineRule="atLeast"/>
        <w:jc w:val="both"/>
        <w:rPr>
          <w:rFonts w:cs="Arial"/>
          <w:color w:val="FF0000"/>
          <w:szCs w:val="20"/>
          <w:lang w:val="sl-SI"/>
        </w:rPr>
      </w:pPr>
    </w:p>
    <w:p w14:paraId="1F81DF84" w14:textId="77777777" w:rsidR="00546B19" w:rsidRPr="00546B19" w:rsidRDefault="00546B19" w:rsidP="00546B19">
      <w:pPr>
        <w:spacing w:line="240" w:lineRule="atLeast"/>
        <w:jc w:val="both"/>
        <w:rPr>
          <w:rFonts w:cs="Arial"/>
          <w:szCs w:val="20"/>
          <w:lang w:val="sl-SI"/>
        </w:rPr>
      </w:pPr>
      <w:r w:rsidRPr="00546B19">
        <w:rPr>
          <w:rFonts w:cs="Arial"/>
          <w:szCs w:val="20"/>
          <w:lang w:val="sl-SI"/>
        </w:rPr>
        <w:t>Pri nadzoru zaposlovanja na črno izpostavljamo nadzor nad izdajatelji gotovinskih računov, ki davčno potrjujejo račune in nimajo ustrezne zavarovalne podlage za delo in nadzor na podlagi prejetih prijav. Pri nadzoru dela na črno bo poudarek na nadzoru prodaje preko spleta oz. družbenih omrežij z namenom prepoznave dela na črno posameznikov. Nadzori bodo usmerjeni na področja in dejavnosti, ki so na podlagi informacij iz okolja in izkušenj nadzorov iz preteklosti, opredeljene kot tvegane, in sicer</w:t>
      </w:r>
      <w:r w:rsidRPr="00546B19">
        <w:rPr>
          <w:rFonts w:cs="Arial"/>
          <w:color w:val="FF0000"/>
          <w:szCs w:val="20"/>
          <w:lang w:val="sl-SI"/>
        </w:rPr>
        <w:t xml:space="preserve"> </w:t>
      </w:r>
      <w:r w:rsidRPr="00546B19">
        <w:rPr>
          <w:rFonts w:cs="Arial"/>
          <w:szCs w:val="20"/>
          <w:lang w:val="sl-SI"/>
        </w:rPr>
        <w:t>v dejavnostih: gradbeništva,  gostinstva, pekarne, trgovska dejavnost, s poudarkom prodaje preko spleta oz. družbenih omrežij ter prodaji umetniških del. Nadzorovane bodo tudi druge dejavnosti, v katerih se posluje zlasti gotovinsko in kjer je na podlagi izkušenj iz preteklih let zaznano večje tveganje. Pomemben vir za prepoznavo dela in zaposlovanja na črno bodo tudi v letošnjem letu prejete prijave, saj jih iz naslova dela in zaposlovanja na črno prejmemo največ.</w:t>
      </w:r>
    </w:p>
    <w:p w14:paraId="54687B0E" w14:textId="77777777" w:rsidR="00546B19" w:rsidRPr="00546B19" w:rsidRDefault="00546B19" w:rsidP="00546B19">
      <w:pPr>
        <w:spacing w:line="240" w:lineRule="atLeast"/>
        <w:jc w:val="both"/>
        <w:rPr>
          <w:rFonts w:cs="Arial"/>
          <w:color w:val="FF0000"/>
          <w:szCs w:val="20"/>
          <w:lang w:val="sl-SI"/>
        </w:rPr>
      </w:pPr>
    </w:p>
    <w:p w14:paraId="4745B974"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Posebni del inšpekcijskega nadzora predstavlja področje nadzora </w:t>
      </w:r>
      <w:r w:rsidRPr="00546B19">
        <w:rPr>
          <w:rFonts w:cs="Arial"/>
          <w:b/>
          <w:szCs w:val="20"/>
          <w:lang w:val="sl-SI"/>
        </w:rPr>
        <w:t>elektronskega poslovanja</w:t>
      </w:r>
      <w:r w:rsidRPr="00546B19">
        <w:rPr>
          <w:rFonts w:cs="Arial"/>
          <w:szCs w:val="20"/>
          <w:lang w:val="sl-SI"/>
        </w:rPr>
        <w:t xml:space="preserve"> in dejavnosti </w:t>
      </w:r>
      <w:proofErr w:type="spellStart"/>
      <w:r w:rsidRPr="00546B19">
        <w:rPr>
          <w:rFonts w:cs="Arial"/>
          <w:szCs w:val="20"/>
          <w:lang w:val="sl-SI"/>
        </w:rPr>
        <w:t>t.i</w:t>
      </w:r>
      <w:proofErr w:type="spellEnd"/>
      <w:r w:rsidRPr="00546B19">
        <w:rPr>
          <w:rFonts w:cs="Arial"/>
          <w:szCs w:val="20"/>
          <w:lang w:val="sl-SI"/>
        </w:rPr>
        <w:t xml:space="preserve"> finančno-tehnoloških podjetij ter njihovih inovativnih spletnih storitev. Nadzor bo usmerjen v preverjanje ustrezne registracije tujih subjektov, ki poslujejo preko spleta v Sloveniji in nadzor evidentiranja prihodkov iz naslova spletne prodaje blaga in storitev ter plačilo ustreznih dajatev. Določen del nadzora elektronskega poslovanja bo usmerjen tudi na nadzor dejavnosti povezani z digitalnimi sredstvi (</w:t>
      </w:r>
      <w:proofErr w:type="spellStart"/>
      <w:r w:rsidRPr="00546B19">
        <w:rPr>
          <w:rFonts w:cs="Arial"/>
          <w:szCs w:val="20"/>
          <w:lang w:val="sl-SI"/>
        </w:rPr>
        <w:t>kriptovalute</w:t>
      </w:r>
      <w:proofErr w:type="spellEnd"/>
      <w:r w:rsidRPr="00546B19">
        <w:rPr>
          <w:rFonts w:cs="Arial"/>
          <w:szCs w:val="20"/>
          <w:lang w:val="sl-SI"/>
        </w:rPr>
        <w:t>).</w:t>
      </w:r>
    </w:p>
    <w:bookmarkEnd w:id="0"/>
    <w:p w14:paraId="58E86A29" w14:textId="77777777" w:rsidR="00546B19" w:rsidRPr="00546B19" w:rsidRDefault="00546B19" w:rsidP="00546B19">
      <w:pPr>
        <w:pStyle w:val="Default"/>
        <w:spacing w:line="240" w:lineRule="atLeast"/>
        <w:jc w:val="both"/>
        <w:rPr>
          <w:color w:val="FF0000"/>
          <w:sz w:val="20"/>
          <w:szCs w:val="20"/>
        </w:rPr>
      </w:pPr>
    </w:p>
    <w:p w14:paraId="673D8A9F" w14:textId="77777777" w:rsidR="00546B19" w:rsidRPr="00546B19" w:rsidRDefault="00546B19" w:rsidP="00546B19">
      <w:pPr>
        <w:autoSpaceDE w:val="0"/>
        <w:autoSpaceDN w:val="0"/>
        <w:spacing w:line="240" w:lineRule="atLeast"/>
        <w:jc w:val="both"/>
        <w:rPr>
          <w:rFonts w:cs="Arial"/>
          <w:szCs w:val="20"/>
          <w:lang w:val="sl-SI"/>
        </w:rPr>
      </w:pPr>
      <w:r w:rsidRPr="00546B19">
        <w:rPr>
          <w:rFonts w:cs="Arial"/>
          <w:szCs w:val="20"/>
          <w:lang w:val="sl-SI"/>
        </w:rPr>
        <w:t xml:space="preserve">Na področju </w:t>
      </w:r>
      <w:r w:rsidRPr="00546B19">
        <w:rPr>
          <w:rFonts w:cs="Arial"/>
          <w:b/>
          <w:bCs/>
          <w:szCs w:val="20"/>
          <w:lang w:val="sl-SI"/>
        </w:rPr>
        <w:t>davka od dohodkov pravnih oseb in davka od dohodkov iz dejavnosti</w:t>
      </w:r>
      <w:r w:rsidRPr="00546B19">
        <w:rPr>
          <w:rFonts w:cs="Arial"/>
          <w:szCs w:val="20"/>
          <w:lang w:val="sl-SI"/>
        </w:rPr>
        <w:t xml:space="preserve"> bo nadzor usmerjen na preverjanje pravilnega izkazovanja prihodkov, odhodkov in uveljavljanje olajšav, ob hkratnem preverjanju vpisa v register dejanskih lastnikov in kršitev omejitev pri gotovinskem poslovanju.</w:t>
      </w:r>
      <w:r w:rsidRPr="00546B19">
        <w:rPr>
          <w:rFonts w:cs="Arial"/>
          <w:color w:val="FF0000"/>
          <w:szCs w:val="20"/>
          <w:lang w:val="sl-SI"/>
        </w:rPr>
        <w:t xml:space="preserve">  </w:t>
      </w:r>
      <w:r w:rsidRPr="00546B19">
        <w:rPr>
          <w:rFonts w:cs="Arial"/>
          <w:szCs w:val="20"/>
          <w:lang w:val="sl-SI"/>
        </w:rPr>
        <w:t xml:space="preserve">Poseben poudarek bo dan nadzoru družb, ki prenehajo po skrajšanem postopku in nadzoru zavezancev v dejavnosti prodaje medicinske opreme in pripomočkov, dejavnosti gradbeništva in cestnega tovornega prometa s poudarkom na mednarodnih prevozih blaga. Nadzor zavezancev bo usmerjen z vidika različnih tveganj, zaznanih na nacionalnem in mednarodnem področju, tudi v povezavi s specifičnimi tveganji posameznih dejavnosti. Izpostavljamo tudi nadzor zavezancev, ki poslujejo z davčnimi oazami, pri čemer se v okviru nadzora zavezancev, ki  poslujejo z davčnimi oazami načrtuje tudi nadzor izpolnjevanja obveznosti poročanja o čezmejnih aranžmajih (DAC6). </w:t>
      </w:r>
    </w:p>
    <w:p w14:paraId="3EFBECE6" w14:textId="77777777" w:rsidR="00546B19" w:rsidRPr="00546B19" w:rsidRDefault="00546B19" w:rsidP="00546B19">
      <w:pPr>
        <w:autoSpaceDE w:val="0"/>
        <w:autoSpaceDN w:val="0"/>
        <w:spacing w:line="240" w:lineRule="atLeast"/>
        <w:jc w:val="both"/>
        <w:rPr>
          <w:rFonts w:cs="Arial"/>
          <w:szCs w:val="20"/>
          <w:lang w:val="sl-SI"/>
        </w:rPr>
      </w:pPr>
    </w:p>
    <w:p w14:paraId="61BC060D" w14:textId="77777777" w:rsidR="00546B19" w:rsidRPr="00546B19" w:rsidRDefault="00546B19" w:rsidP="00546B19">
      <w:pPr>
        <w:spacing w:line="240" w:lineRule="atLeast"/>
        <w:jc w:val="both"/>
        <w:rPr>
          <w:rFonts w:cs="Arial"/>
          <w:szCs w:val="20"/>
          <w:lang w:val="sl-SI"/>
        </w:rPr>
      </w:pPr>
      <w:r w:rsidRPr="00546B19">
        <w:rPr>
          <w:rFonts w:cs="Arial"/>
          <w:b/>
          <w:szCs w:val="20"/>
          <w:lang w:val="sl-SI"/>
        </w:rPr>
        <w:t>Nadzori nad uveljavljanem prejetih pomoči  in oprostitev prispevkov za socialno varnost (</w:t>
      </w:r>
      <w:proofErr w:type="spellStart"/>
      <w:r w:rsidRPr="00546B19">
        <w:rPr>
          <w:rFonts w:cs="Arial"/>
          <w:b/>
          <w:szCs w:val="20"/>
          <w:lang w:val="sl-SI"/>
        </w:rPr>
        <w:t>t.i</w:t>
      </w:r>
      <w:proofErr w:type="spellEnd"/>
      <w:r w:rsidRPr="00546B19">
        <w:rPr>
          <w:rFonts w:cs="Arial"/>
          <w:b/>
          <w:szCs w:val="20"/>
          <w:lang w:val="sl-SI"/>
        </w:rPr>
        <w:t>. PKP ukrepi)</w:t>
      </w:r>
      <w:r w:rsidRPr="00546B19">
        <w:rPr>
          <w:rFonts w:cs="Arial"/>
          <w:szCs w:val="20"/>
          <w:lang w:val="sl-SI"/>
        </w:rPr>
        <w:t xml:space="preserve"> se bo izvajal v okviru nadzorov davka od dohodkov iz dejavnosti, davka od dohodka pravnih oseb  ter nadzora davkov in prispevkov od dohodkov posameznikov (zaposlenih, samozaposlenih, družbenikov). </w:t>
      </w:r>
    </w:p>
    <w:p w14:paraId="0540FA0B" w14:textId="77777777" w:rsidR="00546B19" w:rsidRPr="00546B19" w:rsidRDefault="00546B19" w:rsidP="00546B19">
      <w:pPr>
        <w:spacing w:line="240" w:lineRule="atLeast"/>
        <w:contextualSpacing/>
        <w:jc w:val="both"/>
        <w:rPr>
          <w:rFonts w:cs="Arial"/>
          <w:color w:val="FF0000"/>
          <w:szCs w:val="20"/>
          <w:lang w:val="sl-SI"/>
        </w:rPr>
      </w:pPr>
    </w:p>
    <w:p w14:paraId="28C518E4" w14:textId="77777777" w:rsidR="00546B19" w:rsidRPr="00546B19" w:rsidRDefault="00546B19" w:rsidP="00546B19">
      <w:pPr>
        <w:spacing w:line="240" w:lineRule="atLeast"/>
        <w:jc w:val="both"/>
        <w:rPr>
          <w:rFonts w:cs="Arial"/>
          <w:iCs/>
          <w:szCs w:val="20"/>
          <w:lang w:val="sl-SI"/>
        </w:rPr>
      </w:pPr>
      <w:r w:rsidRPr="00546B19">
        <w:rPr>
          <w:rFonts w:cs="Arial"/>
          <w:b/>
          <w:iCs/>
          <w:szCs w:val="20"/>
          <w:lang w:val="sl-SI"/>
        </w:rPr>
        <w:t>Nadzor transfernih cen</w:t>
      </w:r>
      <w:r w:rsidRPr="00546B19">
        <w:rPr>
          <w:rFonts w:cs="Arial"/>
          <w:iCs/>
          <w:szCs w:val="20"/>
          <w:lang w:val="sl-SI"/>
        </w:rPr>
        <w:t xml:space="preserve"> predstavlja pomemben del nadzora davka od dohodkov pravnih oseb in se bo izvajal pri zavezancih,  pri katerih je zaznano visoko tveganje nepravilnosti pri določanju transfernih cen. Nadzor se bo prioritetno izvajal pri zavezancih, kjer bo na podlagi analize rizika zaznano večje tveganje nepravilnosti oblikovanja transfernih cen na področju opravljanja storitev s strani povezanih oseb, finančnih transakcij, neopredmetenih sredstev, poslovnih enot, preoblikovanja poslovanja ter prevzemov. Upoštevanje tržnega načela pri določanju transfernih cen in s tem zagotavljanje visoke stopnje prostovoljnega izpolnjevanja davčnih obveznosti zavezancev bomo spodbujali s preventivnimi nadzori v obliki vprašalnikov pri novo registriranih davčnih zavezancih in stalnih poslovnih enotah. Na podlagi analize odgovorov bomo ocenili stopnjo tveganja neizpolnjevanja davčnih obveznosti ter pri najbolj tveganih izvedli davčni inšpekcijski nadzor.</w:t>
      </w:r>
    </w:p>
    <w:p w14:paraId="2C58B2B4" w14:textId="77777777" w:rsidR="00546B19" w:rsidRPr="00546B19" w:rsidRDefault="00546B19" w:rsidP="00546B19">
      <w:pPr>
        <w:spacing w:line="240" w:lineRule="atLeast"/>
        <w:jc w:val="both"/>
        <w:rPr>
          <w:rFonts w:cs="Arial"/>
          <w:color w:val="FF0000"/>
          <w:szCs w:val="20"/>
          <w:lang w:val="sl-SI"/>
        </w:rPr>
      </w:pPr>
    </w:p>
    <w:p w14:paraId="61CC6EFE" w14:textId="77777777" w:rsidR="00546B19" w:rsidRPr="00546B19" w:rsidRDefault="00546B19" w:rsidP="00546B19">
      <w:pPr>
        <w:spacing w:line="240" w:lineRule="atLeast"/>
        <w:jc w:val="both"/>
        <w:rPr>
          <w:rFonts w:cs="Arial"/>
          <w:color w:val="FF0000"/>
          <w:szCs w:val="20"/>
          <w:lang w:val="sl-SI"/>
        </w:rPr>
      </w:pPr>
    </w:p>
    <w:p w14:paraId="7ACAEAAD" w14:textId="77777777" w:rsidR="00546B19" w:rsidRPr="00546B19" w:rsidRDefault="00546B19" w:rsidP="00546B19">
      <w:pPr>
        <w:spacing w:line="240" w:lineRule="atLeast"/>
        <w:jc w:val="both"/>
        <w:rPr>
          <w:rFonts w:cs="Arial"/>
          <w:szCs w:val="20"/>
          <w:highlight w:val="yellow"/>
          <w:lang w:val="sl-SI"/>
        </w:rPr>
      </w:pPr>
    </w:p>
    <w:p w14:paraId="5599D7F9" w14:textId="77777777" w:rsidR="00546B19" w:rsidRPr="00546B19" w:rsidRDefault="00546B19" w:rsidP="00546B19">
      <w:pPr>
        <w:spacing w:line="240" w:lineRule="atLeast"/>
        <w:jc w:val="both"/>
        <w:rPr>
          <w:rFonts w:cs="Arial"/>
          <w:color w:val="FF0000"/>
          <w:szCs w:val="20"/>
          <w:lang w:val="sl-SI"/>
        </w:rPr>
      </w:pPr>
    </w:p>
    <w:p w14:paraId="09FF3F4E"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S področja </w:t>
      </w:r>
      <w:r w:rsidRPr="00546B19">
        <w:rPr>
          <w:rFonts w:cs="Arial"/>
          <w:b/>
          <w:szCs w:val="20"/>
          <w:lang w:val="sl-SI"/>
        </w:rPr>
        <w:t>carin</w:t>
      </w:r>
      <w:r w:rsidRPr="00546B19">
        <w:rPr>
          <w:rFonts w:cs="Arial"/>
          <w:szCs w:val="20"/>
          <w:lang w:val="sl-SI"/>
        </w:rPr>
        <w:t xml:space="preserve"> bo inšpekcijski nadzor v največji meri osredotočen na preverjanje skladnosti uvoznih postopkov z EU zakonodajo, predvsem v zvezi s preverjanjem carinske vrednosti blaga (</w:t>
      </w:r>
      <w:proofErr w:type="spellStart"/>
      <w:r w:rsidRPr="00546B19">
        <w:rPr>
          <w:rFonts w:cs="Arial"/>
          <w:szCs w:val="20"/>
          <w:lang w:val="sl-SI"/>
        </w:rPr>
        <w:t>podvrednotenjem</w:t>
      </w:r>
      <w:proofErr w:type="spellEnd"/>
      <w:r w:rsidRPr="00546B19">
        <w:rPr>
          <w:rFonts w:cs="Arial"/>
          <w:szCs w:val="20"/>
          <w:lang w:val="sl-SI"/>
        </w:rPr>
        <w:t xml:space="preserve">), s pravilnim uvrščanjem blaga v kombinirano nomenklaturo, pravilnostjo izvedbe carinskega postopka 42, ugotavljanjem pravilnosti porekla blaga, ugotavljanjem izogibanja </w:t>
      </w:r>
      <w:proofErr w:type="spellStart"/>
      <w:r w:rsidRPr="00546B19">
        <w:rPr>
          <w:rFonts w:cs="Arial"/>
          <w:szCs w:val="20"/>
          <w:lang w:val="sl-SI"/>
        </w:rPr>
        <w:t>protidampinškim</w:t>
      </w:r>
      <w:proofErr w:type="spellEnd"/>
      <w:r w:rsidRPr="00546B19">
        <w:rPr>
          <w:rFonts w:cs="Arial"/>
          <w:szCs w:val="20"/>
          <w:lang w:val="sl-SI"/>
        </w:rPr>
        <w:t xml:space="preserve"> in izravnalnim dajatvam ter E-trgovanje pri uvozu blaga. </w:t>
      </w:r>
    </w:p>
    <w:p w14:paraId="202C50A1" w14:textId="77777777" w:rsidR="00546B19" w:rsidRPr="00546B19" w:rsidRDefault="00546B19" w:rsidP="00546B19">
      <w:pPr>
        <w:spacing w:line="240" w:lineRule="atLeast"/>
        <w:jc w:val="both"/>
        <w:rPr>
          <w:rFonts w:cs="Arial"/>
          <w:szCs w:val="20"/>
          <w:lang w:val="sl-SI"/>
        </w:rPr>
      </w:pPr>
    </w:p>
    <w:p w14:paraId="5F1DFA4B"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Aktivnosti nadzora s področja </w:t>
      </w:r>
      <w:r w:rsidRPr="00546B19">
        <w:rPr>
          <w:rFonts w:cs="Arial"/>
          <w:b/>
          <w:szCs w:val="20"/>
          <w:lang w:val="sl-SI"/>
        </w:rPr>
        <w:t>trošarin</w:t>
      </w:r>
      <w:r w:rsidRPr="00546B19">
        <w:rPr>
          <w:rFonts w:cs="Arial"/>
          <w:szCs w:val="20"/>
          <w:lang w:val="sl-SI"/>
        </w:rPr>
        <w:t xml:space="preserve"> bodo usmerjene v preverjanje pravilnega obračunavanja trošarin, zlasti za trošarinsko blago: pivo, alkohol, alkoholne pijače in energente. Pri preverjanju pravilnosti upravičenosti do vračila trošarin, pa bo nadzor osredotočen predvsem v preverjanje vračil trošarine za industrijsko-komercialni namen ter za komercialni prevoz. Posebna pozornost bo namenjena odkrivanju  goljufije pri obračunavanju trošarin na področju mazalnih olj, alkohola in tobačnih izdelkov, v sodelovanju z drugimi državami EU (EMPAKT) in državnimi organi znotraj RS. </w:t>
      </w:r>
    </w:p>
    <w:p w14:paraId="1C17E5DE" w14:textId="77777777" w:rsidR="00546B19" w:rsidRPr="00546B19" w:rsidRDefault="00546B19" w:rsidP="00546B19">
      <w:pPr>
        <w:spacing w:line="240" w:lineRule="atLeast"/>
        <w:jc w:val="both"/>
        <w:rPr>
          <w:rFonts w:cs="Arial"/>
          <w:color w:val="FF0000"/>
          <w:szCs w:val="20"/>
          <w:lang w:val="sl-SI"/>
        </w:rPr>
      </w:pPr>
    </w:p>
    <w:p w14:paraId="5BDA2839"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Na področju </w:t>
      </w:r>
      <w:proofErr w:type="spellStart"/>
      <w:r w:rsidRPr="00546B19">
        <w:rPr>
          <w:rFonts w:cs="Arial"/>
          <w:b/>
          <w:szCs w:val="20"/>
          <w:lang w:val="sl-SI"/>
        </w:rPr>
        <w:t>okoljskih</w:t>
      </w:r>
      <w:proofErr w:type="spellEnd"/>
      <w:r w:rsidRPr="00546B19">
        <w:rPr>
          <w:rFonts w:cs="Arial"/>
          <w:b/>
          <w:szCs w:val="20"/>
          <w:lang w:val="sl-SI"/>
        </w:rPr>
        <w:t xml:space="preserve"> dajatev</w:t>
      </w:r>
      <w:r w:rsidRPr="00546B19">
        <w:rPr>
          <w:rFonts w:cs="Arial"/>
          <w:szCs w:val="20"/>
          <w:lang w:val="sl-SI"/>
        </w:rPr>
        <w:t xml:space="preserve"> bodo prioritetni nadzori usmerjeni v preverjanje pravilnosti obračunavanja </w:t>
      </w:r>
      <w:proofErr w:type="spellStart"/>
      <w:r w:rsidRPr="00546B19">
        <w:rPr>
          <w:rFonts w:cs="Arial"/>
          <w:szCs w:val="20"/>
          <w:lang w:val="sl-SI"/>
        </w:rPr>
        <w:t>okoljskih</w:t>
      </w:r>
      <w:proofErr w:type="spellEnd"/>
      <w:r w:rsidRPr="00546B19">
        <w:rPr>
          <w:rFonts w:cs="Arial"/>
          <w:szCs w:val="20"/>
          <w:lang w:val="sl-SI"/>
        </w:rPr>
        <w:t xml:space="preserve"> dajatev za komunalne vode, odpadno embalažo in obremenjevanje zraka z emisijo CO2.</w:t>
      </w:r>
    </w:p>
    <w:p w14:paraId="5B4603D9" w14:textId="77777777" w:rsidR="00546B19" w:rsidRPr="00546B19" w:rsidRDefault="00546B19" w:rsidP="00546B19">
      <w:pPr>
        <w:spacing w:line="240" w:lineRule="atLeast"/>
        <w:jc w:val="both"/>
        <w:rPr>
          <w:rFonts w:cs="Arial"/>
          <w:color w:val="FF0000"/>
          <w:szCs w:val="20"/>
          <w:lang w:val="sl-SI"/>
        </w:rPr>
      </w:pPr>
    </w:p>
    <w:p w14:paraId="280E8050"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V okviru </w:t>
      </w:r>
      <w:r w:rsidRPr="00546B19">
        <w:rPr>
          <w:rFonts w:cs="Arial"/>
          <w:b/>
          <w:szCs w:val="20"/>
          <w:lang w:val="sl-SI"/>
        </w:rPr>
        <w:t>skupne kmetijske politike</w:t>
      </w:r>
      <w:r w:rsidRPr="00546B19">
        <w:rPr>
          <w:rFonts w:cs="Arial"/>
          <w:szCs w:val="20"/>
          <w:lang w:val="sl-SI"/>
        </w:rPr>
        <w:t xml:space="preserve"> se bo preverjala upravičenost izplačanih nadomestil Evropskega kmetijskega jamstvenega sklada. Prav tako se bo preverjala ustreznost sistema potrebne skrbnosti lesa in lesnih proizvodov v okviru Uredbe EU št. 995/2010, ki se izvaja v skladu s pooblastili iz Zakona o gozdovih.</w:t>
      </w:r>
    </w:p>
    <w:p w14:paraId="4F5D46CB" w14:textId="77777777" w:rsidR="00546B19" w:rsidRPr="00546B19" w:rsidRDefault="00546B19" w:rsidP="00546B19">
      <w:pPr>
        <w:spacing w:line="240" w:lineRule="atLeast"/>
        <w:jc w:val="both"/>
        <w:rPr>
          <w:rFonts w:cs="Arial"/>
          <w:color w:val="FF0000"/>
          <w:szCs w:val="20"/>
          <w:lang w:val="sl-SI"/>
        </w:rPr>
      </w:pPr>
    </w:p>
    <w:p w14:paraId="4871A965"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Na področju nazora </w:t>
      </w:r>
      <w:r w:rsidRPr="00546B19">
        <w:rPr>
          <w:rFonts w:cs="Arial"/>
          <w:b/>
          <w:szCs w:val="20"/>
          <w:lang w:val="sl-SI"/>
        </w:rPr>
        <w:t>iger na srečo</w:t>
      </w:r>
      <w:r w:rsidRPr="00546B19">
        <w:rPr>
          <w:rFonts w:cs="Arial"/>
          <w:szCs w:val="20"/>
          <w:lang w:val="sl-SI"/>
        </w:rPr>
        <w:t xml:space="preserve"> se bo z izvajal nadzor nad preglednostjo poslovanja koncesionarjev, odgovornim prirejanjem iger na srečo ter nadzor tveganja s področja pranja denarja, goljufij in drugih kaznivih ravnanj na področju prirejanja iger na srečo. </w:t>
      </w:r>
    </w:p>
    <w:p w14:paraId="4B7C64C1" w14:textId="77777777" w:rsidR="00546B19" w:rsidRPr="00546B19" w:rsidRDefault="00546B19" w:rsidP="00546B19">
      <w:pPr>
        <w:spacing w:line="240" w:lineRule="atLeast"/>
        <w:jc w:val="both"/>
        <w:rPr>
          <w:rFonts w:cs="Arial"/>
          <w:szCs w:val="20"/>
          <w:lang w:val="sl-SI"/>
        </w:rPr>
      </w:pPr>
    </w:p>
    <w:p w14:paraId="7E320A83" w14:textId="77777777" w:rsidR="00546B19" w:rsidRPr="00546B19" w:rsidRDefault="00546B19" w:rsidP="00546B19">
      <w:pPr>
        <w:spacing w:line="240" w:lineRule="atLeast"/>
        <w:jc w:val="both"/>
        <w:rPr>
          <w:rFonts w:cs="Arial"/>
          <w:szCs w:val="20"/>
          <w:lang w:val="sl-SI"/>
        </w:rPr>
      </w:pPr>
      <w:r w:rsidRPr="00546B19">
        <w:rPr>
          <w:rFonts w:cs="Arial"/>
          <w:szCs w:val="20"/>
          <w:lang w:val="sl-SI"/>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14:paraId="60CA51F4" w14:textId="77777777" w:rsidR="00546B19" w:rsidRPr="00546B19" w:rsidRDefault="00546B19" w:rsidP="00546B19">
      <w:pPr>
        <w:autoSpaceDE w:val="0"/>
        <w:autoSpaceDN w:val="0"/>
        <w:adjustRightInd w:val="0"/>
        <w:spacing w:line="240" w:lineRule="atLeast"/>
        <w:jc w:val="both"/>
        <w:rPr>
          <w:rFonts w:cs="Arial"/>
          <w:szCs w:val="20"/>
          <w:lang w:val="sl-SI"/>
        </w:rPr>
      </w:pPr>
    </w:p>
    <w:p w14:paraId="4CB6DBFA" w14:textId="77777777" w:rsidR="00546B19" w:rsidRPr="00546B19" w:rsidRDefault="00546B19" w:rsidP="00546B19">
      <w:pPr>
        <w:autoSpaceDE w:val="0"/>
        <w:autoSpaceDN w:val="0"/>
        <w:adjustRightInd w:val="0"/>
        <w:spacing w:line="240" w:lineRule="atLeast"/>
        <w:jc w:val="both"/>
        <w:rPr>
          <w:rFonts w:cs="Arial"/>
          <w:szCs w:val="20"/>
          <w:lang w:val="sl-SI"/>
        </w:rPr>
      </w:pPr>
      <w:r w:rsidRPr="00546B19">
        <w:rPr>
          <w:rFonts w:cs="Arial"/>
          <w:szCs w:val="20"/>
          <w:lang w:val="sl-SI"/>
        </w:rPr>
        <w:t>V okviru nadzora nad prireditelji iger na srečo se bodo izvajali tudi davčni inšpekcijski nadzori nad pravilnostjo in pravočasnostjo obračunavanja obveznih dajatev (davka na dobitke od iger na srečo, koncesijske dajatve, davka od iger na srečo in davka od srečk) prirediteljev in koncesionarjev na področju iger na srečo.</w:t>
      </w:r>
    </w:p>
    <w:p w14:paraId="1E21D399" w14:textId="77777777" w:rsidR="00546B19" w:rsidRPr="00546B19" w:rsidRDefault="00546B19" w:rsidP="00546B19">
      <w:pPr>
        <w:spacing w:line="240" w:lineRule="atLeast"/>
        <w:jc w:val="both"/>
        <w:rPr>
          <w:rFonts w:cs="Arial"/>
          <w:color w:val="FF0000"/>
          <w:szCs w:val="20"/>
          <w:lang w:val="sl-SI"/>
        </w:rPr>
      </w:pPr>
    </w:p>
    <w:p w14:paraId="475FB08C" w14:textId="77777777" w:rsidR="009E27C9" w:rsidRPr="002D43F3" w:rsidRDefault="009E27C9" w:rsidP="009E27C9">
      <w:pPr>
        <w:spacing w:line="240" w:lineRule="atLeast"/>
        <w:jc w:val="both"/>
        <w:rPr>
          <w:rFonts w:cs="Arial"/>
          <w:szCs w:val="20"/>
          <w:lang w:val="sl-SI"/>
        </w:rPr>
      </w:pPr>
      <w:r w:rsidRPr="00C8344D">
        <w:rPr>
          <w:rFonts w:cs="Arial"/>
          <w:b/>
          <w:bCs/>
          <w:szCs w:val="20"/>
          <w:lang w:val="sl-SI"/>
        </w:rPr>
        <w:t>Prejete pobude in prijave</w:t>
      </w:r>
      <w:r w:rsidRPr="002D43F3">
        <w:rPr>
          <w:rFonts w:cs="Arial"/>
          <w:szCs w:val="20"/>
          <w:lang w:val="sl-SI"/>
        </w:rPr>
        <w:t xml:space="preserve"> se v FURS centralno analizirajo in vrednotijo. Na tej podlagi se bodo prioritetno izvajali nadzori na podlagi utemeljenih pobud in prijav, kjer bo zaznano večje tveganje z vidika javnofinančnih prihodkov, oziroma z vidika varovanja zdravja in življenja ljudi. Posebna pozornost bo namenjena prijavam, ki jih FURS prejema od drugih državnih organov (UPPD, KPK, Policija) ter z mednarodno izmenjavo. </w:t>
      </w:r>
    </w:p>
    <w:p w14:paraId="16EDC051" w14:textId="77777777" w:rsidR="009E27C9" w:rsidRPr="002D43F3" w:rsidRDefault="009E27C9" w:rsidP="009E27C9">
      <w:pPr>
        <w:spacing w:line="240" w:lineRule="atLeast"/>
        <w:jc w:val="both"/>
        <w:rPr>
          <w:rFonts w:cs="Arial"/>
          <w:b/>
          <w:szCs w:val="20"/>
          <w:lang w:val="sl-SI"/>
        </w:rPr>
      </w:pPr>
    </w:p>
    <w:p w14:paraId="39F7B1CD" w14:textId="77777777" w:rsidR="009E27C9" w:rsidRPr="002D43F3" w:rsidRDefault="009E27C9" w:rsidP="009E27C9">
      <w:pPr>
        <w:spacing w:line="240" w:lineRule="atLeast"/>
        <w:jc w:val="both"/>
        <w:rPr>
          <w:rFonts w:cs="Arial"/>
          <w:szCs w:val="20"/>
          <w:lang w:val="sl-SI"/>
        </w:rPr>
      </w:pPr>
      <w:r w:rsidRPr="002D43F3">
        <w:rPr>
          <w:rFonts w:cs="Arial"/>
          <w:szCs w:val="20"/>
          <w:lang w:val="sl-SI"/>
        </w:rPr>
        <w:t xml:space="preserve">Ostale pobude in prijave, ki niso ovrednotene z višjim tveganjem se v inšpekcijskih nadzorih obravnavajo le v primeru, če prejeta pobuda ali prijava sovpada z izborom zavezanca za nadzor na podlagi lastne analize tveganja in se v teh primerih v nadzorih obravnavajo tudi navedbe iz teh prijav. </w:t>
      </w:r>
    </w:p>
    <w:p w14:paraId="6E6CDF29" w14:textId="77777777" w:rsidR="009E27C9" w:rsidRPr="002D43F3" w:rsidRDefault="009E27C9" w:rsidP="009E27C9">
      <w:pPr>
        <w:spacing w:line="240" w:lineRule="atLeast"/>
        <w:jc w:val="both"/>
        <w:rPr>
          <w:rFonts w:cs="Arial"/>
          <w:szCs w:val="20"/>
          <w:lang w:val="sl-SI"/>
        </w:rPr>
      </w:pPr>
    </w:p>
    <w:p w14:paraId="61BA11FE" w14:textId="77777777" w:rsidR="009E27C9" w:rsidRPr="002D43F3" w:rsidRDefault="009E27C9" w:rsidP="009E27C9">
      <w:pPr>
        <w:spacing w:line="240" w:lineRule="atLeast"/>
        <w:jc w:val="both"/>
        <w:rPr>
          <w:rFonts w:cs="Arial"/>
          <w:color w:val="FF0000"/>
          <w:szCs w:val="20"/>
          <w:lang w:val="sl-SI"/>
        </w:rPr>
      </w:pPr>
    </w:p>
    <w:p w14:paraId="3A511EE8" w14:textId="77777777" w:rsidR="009E27C9" w:rsidRPr="002D43F3" w:rsidRDefault="009E27C9" w:rsidP="009E27C9">
      <w:pPr>
        <w:spacing w:line="240" w:lineRule="atLeast"/>
        <w:jc w:val="both"/>
        <w:rPr>
          <w:rFonts w:cs="Arial"/>
          <w:color w:val="FF0000"/>
          <w:szCs w:val="20"/>
          <w:lang w:val="sl-SI"/>
        </w:rPr>
      </w:pPr>
    </w:p>
    <w:p w14:paraId="27B9E748" w14:textId="77777777" w:rsidR="009E27C9" w:rsidRPr="002D43F3" w:rsidRDefault="009E27C9" w:rsidP="009E27C9">
      <w:pPr>
        <w:spacing w:line="240" w:lineRule="atLeast"/>
        <w:jc w:val="both"/>
        <w:rPr>
          <w:rFonts w:cs="Arial"/>
          <w:color w:val="FF0000"/>
          <w:szCs w:val="20"/>
          <w:lang w:val="sl-SI"/>
        </w:rPr>
      </w:pPr>
      <w:bookmarkStart w:id="1" w:name="_GoBack"/>
      <w:bookmarkEnd w:id="1"/>
    </w:p>
    <w:p w14:paraId="21EA7586" w14:textId="754B6E39" w:rsidR="009E27C9" w:rsidRPr="002D43F3" w:rsidRDefault="009E27C9" w:rsidP="009E27C9">
      <w:pPr>
        <w:spacing w:line="240" w:lineRule="atLeast"/>
        <w:jc w:val="both"/>
        <w:rPr>
          <w:rFonts w:cs="Arial"/>
          <w:szCs w:val="20"/>
          <w:lang w:val="sl-SI"/>
        </w:rPr>
      </w:pPr>
      <w:r w:rsidRPr="002D43F3">
        <w:rPr>
          <w:rFonts w:cs="Arial"/>
          <w:szCs w:val="20"/>
          <w:lang w:val="sl-SI"/>
        </w:rPr>
        <w:lastRenderedPageBreak/>
        <w:t xml:space="preserve">Na podlagi ugotovitev v postopkih nadzora iz preteklih let, v letu 2021 </w:t>
      </w:r>
      <w:r w:rsidR="00C8344D">
        <w:rPr>
          <w:rFonts w:cs="Arial"/>
          <w:szCs w:val="20"/>
          <w:lang w:val="sl-SI"/>
        </w:rPr>
        <w:t xml:space="preserve">FURS </w:t>
      </w:r>
      <w:r w:rsidRPr="00C8344D">
        <w:rPr>
          <w:rFonts w:cs="Arial"/>
          <w:b/>
          <w:bCs/>
          <w:szCs w:val="20"/>
          <w:lang w:val="sl-SI"/>
        </w:rPr>
        <w:t>z drugimi inšpektorati</w:t>
      </w:r>
      <w:r w:rsidRPr="002D43F3">
        <w:rPr>
          <w:rFonts w:cs="Arial"/>
          <w:szCs w:val="20"/>
          <w:lang w:val="sl-SI"/>
        </w:rPr>
        <w:t xml:space="preserve"> načrtuje nadzore na naslednjih področjih:</w:t>
      </w:r>
    </w:p>
    <w:p w14:paraId="3AAB4A48" w14:textId="77777777" w:rsidR="009E27C9" w:rsidRPr="002D43F3" w:rsidRDefault="009E27C9" w:rsidP="009E27C9">
      <w:pPr>
        <w:pStyle w:val="Odstavekseznama"/>
        <w:numPr>
          <w:ilvl w:val="0"/>
          <w:numId w:val="9"/>
        </w:numPr>
        <w:spacing w:line="240" w:lineRule="atLeast"/>
        <w:jc w:val="both"/>
        <w:rPr>
          <w:rFonts w:cs="Arial"/>
          <w:szCs w:val="20"/>
        </w:rPr>
      </w:pPr>
      <w:r w:rsidRPr="002D43F3">
        <w:rPr>
          <w:rFonts w:cs="Arial"/>
          <w:szCs w:val="20"/>
        </w:rPr>
        <w:t>nadzori dela in zaposlovanja tujcev (predvsem na področju gradbeništva, pekarstva in drugih rizičnih dejavnostih…),</w:t>
      </w:r>
    </w:p>
    <w:p w14:paraId="584D7343" w14:textId="77777777" w:rsidR="009E27C9" w:rsidRPr="002D43F3" w:rsidRDefault="009E27C9" w:rsidP="009E27C9">
      <w:pPr>
        <w:pStyle w:val="Odstavekseznama"/>
        <w:numPr>
          <w:ilvl w:val="0"/>
          <w:numId w:val="9"/>
        </w:numPr>
        <w:spacing w:line="240" w:lineRule="atLeast"/>
        <w:jc w:val="both"/>
        <w:rPr>
          <w:rFonts w:cs="Arial"/>
          <w:szCs w:val="20"/>
        </w:rPr>
      </w:pPr>
      <w:r w:rsidRPr="002D43F3">
        <w:rPr>
          <w:rFonts w:cs="Arial"/>
          <w:szCs w:val="20"/>
        </w:rPr>
        <w:t>nadzori dela in zaposlovanja na črno ter izdajanja računov v dejavnostih, kjer se opravlja pretežno gotovinsko poslovanje,</w:t>
      </w:r>
    </w:p>
    <w:p w14:paraId="2E4BB9A4" w14:textId="77777777" w:rsidR="009E27C9" w:rsidRPr="002D43F3" w:rsidRDefault="009E27C9" w:rsidP="009E27C9">
      <w:pPr>
        <w:pStyle w:val="Odstavekseznama"/>
        <w:numPr>
          <w:ilvl w:val="0"/>
          <w:numId w:val="9"/>
        </w:numPr>
        <w:spacing w:line="240" w:lineRule="atLeast"/>
        <w:jc w:val="both"/>
        <w:rPr>
          <w:rFonts w:cs="Arial"/>
          <w:szCs w:val="20"/>
        </w:rPr>
      </w:pPr>
      <w:r w:rsidRPr="002D43F3">
        <w:rPr>
          <w:rFonts w:cs="Arial"/>
          <w:szCs w:val="20"/>
        </w:rPr>
        <w:t>nadzori v posameznih izpostavljenih dejavnostih prodaja na stojnicah, taksi dejavnosti in drugih dejavnosti, kjer je za učinkovit nadzor potrebno sodelovanje več inšpekcijskih organov,</w:t>
      </w:r>
    </w:p>
    <w:p w14:paraId="2A1D9C6D" w14:textId="77777777" w:rsidR="009E27C9" w:rsidRPr="002D43F3" w:rsidRDefault="009E27C9" w:rsidP="009E27C9">
      <w:pPr>
        <w:pStyle w:val="Odstavekseznama"/>
        <w:numPr>
          <w:ilvl w:val="0"/>
          <w:numId w:val="9"/>
        </w:numPr>
        <w:spacing w:line="240" w:lineRule="atLeast"/>
        <w:jc w:val="both"/>
        <w:rPr>
          <w:rFonts w:cs="Arial"/>
          <w:szCs w:val="20"/>
        </w:rPr>
      </w:pPr>
      <w:r w:rsidRPr="002D43F3">
        <w:rPr>
          <w:rFonts w:cs="Arial"/>
          <w:szCs w:val="20"/>
        </w:rPr>
        <w:t xml:space="preserve">na področju </w:t>
      </w:r>
      <w:proofErr w:type="spellStart"/>
      <w:r w:rsidRPr="002D43F3">
        <w:rPr>
          <w:rFonts w:cs="Arial"/>
          <w:szCs w:val="20"/>
        </w:rPr>
        <w:t>okoljskih</w:t>
      </w:r>
      <w:proofErr w:type="spellEnd"/>
      <w:r w:rsidRPr="002D43F3">
        <w:rPr>
          <w:rFonts w:cs="Arial"/>
          <w:szCs w:val="20"/>
        </w:rPr>
        <w:t xml:space="preserve"> dajatev za odpadno embalažo se načrtuje izvedba skupnih nadzorov, predvsem pri neregistriranih subjektih, ki bi morali biti v FURS registrirani kot zavezanci za plačilo </w:t>
      </w:r>
      <w:proofErr w:type="spellStart"/>
      <w:r w:rsidRPr="002D43F3">
        <w:rPr>
          <w:rFonts w:cs="Arial"/>
          <w:szCs w:val="20"/>
        </w:rPr>
        <w:t>okoljske</w:t>
      </w:r>
      <w:proofErr w:type="spellEnd"/>
      <w:r w:rsidRPr="002D43F3">
        <w:rPr>
          <w:rFonts w:cs="Arial"/>
          <w:szCs w:val="20"/>
        </w:rPr>
        <w:t xml:space="preserve"> dajatve za odpadno embalažo.</w:t>
      </w:r>
    </w:p>
    <w:p w14:paraId="4D06BEE3" w14:textId="77777777" w:rsidR="009E27C9" w:rsidRPr="007D17A8" w:rsidRDefault="009E27C9" w:rsidP="009E27C9">
      <w:pPr>
        <w:pStyle w:val="Odstavekseznama"/>
        <w:spacing w:line="240" w:lineRule="atLeast"/>
        <w:ind w:left="426"/>
        <w:jc w:val="both"/>
        <w:rPr>
          <w:rFonts w:cs="Arial"/>
          <w:color w:val="FF0000"/>
          <w:szCs w:val="20"/>
        </w:rPr>
      </w:pPr>
    </w:p>
    <w:p w14:paraId="16D5FAA3" w14:textId="77777777" w:rsidR="009E27C9" w:rsidRPr="007D17A8" w:rsidRDefault="009E27C9" w:rsidP="009E27C9">
      <w:pPr>
        <w:pStyle w:val="Odstavekseznama"/>
        <w:spacing w:line="240" w:lineRule="atLeast"/>
        <w:ind w:left="426"/>
        <w:jc w:val="both"/>
        <w:rPr>
          <w:rFonts w:cs="Arial"/>
          <w:color w:val="FF0000"/>
          <w:szCs w:val="20"/>
        </w:rPr>
      </w:pPr>
    </w:p>
    <w:p w14:paraId="29FCEF78" w14:textId="77777777" w:rsidR="009E27C9" w:rsidRPr="009E27C9" w:rsidRDefault="009E27C9" w:rsidP="009E27C9">
      <w:pPr>
        <w:spacing w:line="240" w:lineRule="atLeast"/>
        <w:jc w:val="both"/>
        <w:rPr>
          <w:rFonts w:cs="Arial"/>
          <w:color w:val="FF0000"/>
          <w:szCs w:val="20"/>
          <w:lang w:val="sl-SI"/>
        </w:rPr>
      </w:pPr>
    </w:p>
    <w:p w14:paraId="677BA788" w14:textId="77777777" w:rsidR="009E27C9" w:rsidRPr="009E27C9" w:rsidRDefault="009E27C9" w:rsidP="009E27C9">
      <w:pPr>
        <w:spacing w:line="240" w:lineRule="atLeast"/>
        <w:rPr>
          <w:rFonts w:cs="Arial"/>
          <w:color w:val="FF0000"/>
          <w:szCs w:val="20"/>
          <w:lang w:val="sl-SI"/>
        </w:rPr>
      </w:pPr>
    </w:p>
    <w:p w14:paraId="51717443" w14:textId="77777777" w:rsidR="0016722F" w:rsidRDefault="0016722F" w:rsidP="0016722F">
      <w:pPr>
        <w:spacing w:line="240" w:lineRule="atLeast"/>
        <w:jc w:val="both"/>
        <w:rPr>
          <w:lang w:val="sl-SI"/>
        </w:rPr>
      </w:pPr>
    </w:p>
    <w:sectPr w:rsidR="0016722F"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C46D" w14:textId="77777777" w:rsidR="0049498E" w:rsidRDefault="0049498E">
      <w:r>
        <w:separator/>
      </w:r>
    </w:p>
  </w:endnote>
  <w:endnote w:type="continuationSeparator" w:id="0">
    <w:p w14:paraId="081C7888" w14:textId="77777777" w:rsidR="0049498E" w:rsidRDefault="004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1993" w14:textId="77777777" w:rsidR="009A1FAC" w:rsidRDefault="009A1FAC" w:rsidP="009F30FB">
    <w:pPr>
      <w:pStyle w:val="Noga"/>
      <w:jc w:val="right"/>
    </w:pPr>
    <w:r>
      <w:fldChar w:fldCharType="begin"/>
    </w:r>
    <w:r>
      <w:instrText>PAGE   \* MERGEFORMAT</w:instrText>
    </w:r>
    <w:r>
      <w:fldChar w:fldCharType="separate"/>
    </w:r>
    <w:r w:rsidR="001B3362" w:rsidRPr="001B3362">
      <w:rPr>
        <w:noProof/>
        <w:lang w:val="sl-SI"/>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B1F" w14:textId="77777777" w:rsidR="009A1FAC" w:rsidRDefault="009A1FAC"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53E3" w14:textId="77777777" w:rsidR="0049498E" w:rsidRDefault="0049498E">
      <w:r>
        <w:separator/>
      </w:r>
    </w:p>
  </w:footnote>
  <w:footnote w:type="continuationSeparator" w:id="0">
    <w:p w14:paraId="4243FCE9" w14:textId="77777777" w:rsidR="0049498E" w:rsidRDefault="0049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C1A4" w14:textId="77777777" w:rsidR="009A1FAC" w:rsidRPr="00110CBD" w:rsidRDefault="009A1FA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1FAC" w:rsidRPr="008F3500" w14:paraId="128F84BC" w14:textId="77777777">
      <w:trPr>
        <w:cantSplit/>
        <w:trHeight w:hRule="exact" w:val="847"/>
      </w:trPr>
      <w:tc>
        <w:tcPr>
          <w:tcW w:w="567" w:type="dxa"/>
        </w:tcPr>
        <w:p w14:paraId="400ABC5B" w14:textId="77777777" w:rsidR="009A1FAC" w:rsidRDefault="009A1FA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6E8B68A" w14:textId="77777777" w:rsidR="009A1FAC" w:rsidRPr="006D42D9" w:rsidRDefault="009A1FAC" w:rsidP="006D42D9">
          <w:pPr>
            <w:rPr>
              <w:rFonts w:ascii="Republika" w:hAnsi="Republika"/>
              <w:sz w:val="60"/>
              <w:szCs w:val="60"/>
              <w:lang w:val="sl-SI"/>
            </w:rPr>
          </w:pPr>
        </w:p>
        <w:p w14:paraId="58AFB0E9" w14:textId="77777777" w:rsidR="009A1FAC" w:rsidRPr="006D42D9" w:rsidRDefault="009A1FAC" w:rsidP="006D42D9">
          <w:pPr>
            <w:rPr>
              <w:rFonts w:ascii="Republika" w:hAnsi="Republika"/>
              <w:sz w:val="60"/>
              <w:szCs w:val="60"/>
              <w:lang w:val="sl-SI"/>
            </w:rPr>
          </w:pPr>
        </w:p>
        <w:p w14:paraId="6722C052" w14:textId="77777777" w:rsidR="009A1FAC" w:rsidRPr="006D42D9" w:rsidRDefault="009A1FAC" w:rsidP="006D42D9">
          <w:pPr>
            <w:rPr>
              <w:rFonts w:ascii="Republika" w:hAnsi="Republika"/>
              <w:sz w:val="60"/>
              <w:szCs w:val="60"/>
              <w:lang w:val="sl-SI"/>
            </w:rPr>
          </w:pPr>
        </w:p>
        <w:p w14:paraId="3B38F649" w14:textId="77777777" w:rsidR="009A1FAC" w:rsidRPr="006D42D9" w:rsidRDefault="009A1FAC" w:rsidP="006D42D9">
          <w:pPr>
            <w:rPr>
              <w:rFonts w:ascii="Republika" w:hAnsi="Republika"/>
              <w:sz w:val="60"/>
              <w:szCs w:val="60"/>
              <w:lang w:val="sl-SI"/>
            </w:rPr>
          </w:pPr>
        </w:p>
        <w:p w14:paraId="134D28F6" w14:textId="77777777" w:rsidR="009A1FAC" w:rsidRPr="006D42D9" w:rsidRDefault="009A1FAC" w:rsidP="006D42D9">
          <w:pPr>
            <w:rPr>
              <w:rFonts w:ascii="Republika" w:hAnsi="Republika"/>
              <w:sz w:val="60"/>
              <w:szCs w:val="60"/>
              <w:lang w:val="sl-SI"/>
            </w:rPr>
          </w:pPr>
        </w:p>
        <w:p w14:paraId="12292210" w14:textId="77777777" w:rsidR="009A1FAC" w:rsidRPr="006D42D9" w:rsidRDefault="009A1FAC" w:rsidP="006D42D9">
          <w:pPr>
            <w:rPr>
              <w:rFonts w:ascii="Republika" w:hAnsi="Republika"/>
              <w:sz w:val="60"/>
              <w:szCs w:val="60"/>
              <w:lang w:val="sl-SI"/>
            </w:rPr>
          </w:pPr>
        </w:p>
        <w:p w14:paraId="4F0C783C" w14:textId="77777777" w:rsidR="009A1FAC" w:rsidRPr="006D42D9" w:rsidRDefault="009A1FAC" w:rsidP="006D42D9">
          <w:pPr>
            <w:rPr>
              <w:rFonts w:ascii="Republika" w:hAnsi="Republika"/>
              <w:sz w:val="60"/>
              <w:szCs w:val="60"/>
              <w:lang w:val="sl-SI"/>
            </w:rPr>
          </w:pPr>
        </w:p>
        <w:p w14:paraId="2C6D6705" w14:textId="77777777" w:rsidR="009A1FAC" w:rsidRPr="006D42D9" w:rsidRDefault="009A1FAC" w:rsidP="006D42D9">
          <w:pPr>
            <w:rPr>
              <w:rFonts w:ascii="Republika" w:hAnsi="Republika"/>
              <w:sz w:val="60"/>
              <w:szCs w:val="60"/>
              <w:lang w:val="sl-SI"/>
            </w:rPr>
          </w:pPr>
        </w:p>
        <w:p w14:paraId="7C1600C1" w14:textId="77777777" w:rsidR="009A1FAC" w:rsidRPr="006D42D9" w:rsidRDefault="009A1FAC" w:rsidP="006D42D9">
          <w:pPr>
            <w:rPr>
              <w:rFonts w:ascii="Republika" w:hAnsi="Republika"/>
              <w:sz w:val="60"/>
              <w:szCs w:val="60"/>
              <w:lang w:val="sl-SI"/>
            </w:rPr>
          </w:pPr>
        </w:p>
        <w:p w14:paraId="7327F96D" w14:textId="77777777" w:rsidR="009A1FAC" w:rsidRPr="006D42D9" w:rsidRDefault="009A1FAC" w:rsidP="006D42D9">
          <w:pPr>
            <w:rPr>
              <w:rFonts w:ascii="Republika" w:hAnsi="Republika"/>
              <w:sz w:val="60"/>
              <w:szCs w:val="60"/>
              <w:lang w:val="sl-SI"/>
            </w:rPr>
          </w:pPr>
        </w:p>
        <w:p w14:paraId="5F98BA9D" w14:textId="77777777" w:rsidR="009A1FAC" w:rsidRPr="006D42D9" w:rsidRDefault="009A1FAC" w:rsidP="006D42D9">
          <w:pPr>
            <w:rPr>
              <w:rFonts w:ascii="Republika" w:hAnsi="Republika"/>
              <w:sz w:val="60"/>
              <w:szCs w:val="60"/>
              <w:lang w:val="sl-SI"/>
            </w:rPr>
          </w:pPr>
        </w:p>
        <w:p w14:paraId="013C0828" w14:textId="77777777" w:rsidR="009A1FAC" w:rsidRPr="006D42D9" w:rsidRDefault="009A1FAC" w:rsidP="006D42D9">
          <w:pPr>
            <w:rPr>
              <w:rFonts w:ascii="Republika" w:hAnsi="Republika"/>
              <w:sz w:val="60"/>
              <w:szCs w:val="60"/>
              <w:lang w:val="sl-SI"/>
            </w:rPr>
          </w:pPr>
        </w:p>
        <w:p w14:paraId="7711A851" w14:textId="77777777" w:rsidR="009A1FAC" w:rsidRPr="006D42D9" w:rsidRDefault="009A1FAC" w:rsidP="006D42D9">
          <w:pPr>
            <w:rPr>
              <w:rFonts w:ascii="Republika" w:hAnsi="Republika"/>
              <w:sz w:val="60"/>
              <w:szCs w:val="60"/>
              <w:lang w:val="sl-SI"/>
            </w:rPr>
          </w:pPr>
        </w:p>
        <w:p w14:paraId="7B7317B2" w14:textId="77777777" w:rsidR="009A1FAC" w:rsidRPr="006D42D9" w:rsidRDefault="009A1FAC" w:rsidP="006D42D9">
          <w:pPr>
            <w:rPr>
              <w:rFonts w:ascii="Republika" w:hAnsi="Republika"/>
              <w:sz w:val="60"/>
              <w:szCs w:val="60"/>
              <w:lang w:val="sl-SI"/>
            </w:rPr>
          </w:pPr>
        </w:p>
        <w:p w14:paraId="0960FF2E" w14:textId="77777777" w:rsidR="009A1FAC" w:rsidRPr="006D42D9" w:rsidRDefault="009A1FAC" w:rsidP="006D42D9">
          <w:pPr>
            <w:rPr>
              <w:rFonts w:ascii="Republika" w:hAnsi="Republika"/>
              <w:sz w:val="60"/>
              <w:szCs w:val="60"/>
              <w:lang w:val="sl-SI"/>
            </w:rPr>
          </w:pPr>
        </w:p>
        <w:p w14:paraId="692A3065" w14:textId="77777777" w:rsidR="009A1FAC" w:rsidRPr="006D42D9" w:rsidRDefault="009A1FAC" w:rsidP="006D42D9">
          <w:pPr>
            <w:rPr>
              <w:rFonts w:ascii="Republika" w:hAnsi="Republika"/>
              <w:sz w:val="60"/>
              <w:szCs w:val="60"/>
              <w:lang w:val="sl-SI"/>
            </w:rPr>
          </w:pPr>
        </w:p>
      </w:tc>
    </w:tr>
  </w:tbl>
  <w:p w14:paraId="26E3E54F" w14:textId="77777777" w:rsidR="009A1FAC" w:rsidRPr="008F3500" w:rsidRDefault="009A1FAC"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611A71FE" wp14:editId="4E94073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A91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0FE0C658" w14:textId="77777777" w:rsidR="009A1FAC" w:rsidRPr="008F3500" w:rsidRDefault="009A1FA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D25CBC0" w14:textId="77777777" w:rsidR="009A1FAC" w:rsidRDefault="009A1FA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E065DEA" w14:textId="77777777" w:rsidR="009A1FAC" w:rsidRPr="008F3500" w:rsidRDefault="009A1FA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 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54DB9B2" w14:textId="77777777" w:rsidR="009A1FAC" w:rsidRPr="008F3500" w:rsidRDefault="009A1FAC"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1D9937F" w14:textId="77777777"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FC1A98" w14:textId="77777777"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C95208B" w14:textId="77777777" w:rsidR="009A1FAC" w:rsidRPr="008F3500" w:rsidRDefault="009A1FA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6" w15:restartNumberingAfterBreak="0">
    <w:nsid w:val="382C2A48"/>
    <w:multiLevelType w:val="hybridMultilevel"/>
    <w:tmpl w:val="9BDA6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1372CAF"/>
    <w:multiLevelType w:val="hybridMultilevel"/>
    <w:tmpl w:val="4306CEFC"/>
    <w:lvl w:ilvl="0" w:tplc="633691AA">
      <w:start w:val="2"/>
      <w:numFmt w:val="decimal"/>
      <w:lvlText w:val="%1."/>
      <w:lvlJc w:val="left"/>
      <w:pPr>
        <w:ind w:left="360" w:hanging="360"/>
      </w:pPr>
      <w:rPr>
        <w:rFonts w:cs="Times New Roman"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0"/>
  </w:num>
  <w:num w:numId="5">
    <w:abstractNumId w:val="1"/>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13A7"/>
    <w:rsid w:val="00021AF0"/>
    <w:rsid w:val="00023A88"/>
    <w:rsid w:val="00030595"/>
    <w:rsid w:val="00030608"/>
    <w:rsid w:val="000517B6"/>
    <w:rsid w:val="00062322"/>
    <w:rsid w:val="000805EA"/>
    <w:rsid w:val="0008352D"/>
    <w:rsid w:val="000A488B"/>
    <w:rsid w:val="000A7238"/>
    <w:rsid w:val="000B0B21"/>
    <w:rsid w:val="000C11D4"/>
    <w:rsid w:val="000C203D"/>
    <w:rsid w:val="000C2273"/>
    <w:rsid w:val="000C7716"/>
    <w:rsid w:val="000D088E"/>
    <w:rsid w:val="000F284D"/>
    <w:rsid w:val="00104DB1"/>
    <w:rsid w:val="001055D7"/>
    <w:rsid w:val="00115A8D"/>
    <w:rsid w:val="001257B5"/>
    <w:rsid w:val="001357B2"/>
    <w:rsid w:val="00136FB5"/>
    <w:rsid w:val="00140636"/>
    <w:rsid w:val="0015500B"/>
    <w:rsid w:val="00160A4F"/>
    <w:rsid w:val="0016722F"/>
    <w:rsid w:val="00167FAD"/>
    <w:rsid w:val="001751B9"/>
    <w:rsid w:val="001768D2"/>
    <w:rsid w:val="0018210B"/>
    <w:rsid w:val="001A2647"/>
    <w:rsid w:val="001A3BA5"/>
    <w:rsid w:val="001B3362"/>
    <w:rsid w:val="001B3A32"/>
    <w:rsid w:val="001C2D67"/>
    <w:rsid w:val="001F4287"/>
    <w:rsid w:val="001F7BC0"/>
    <w:rsid w:val="00202A77"/>
    <w:rsid w:val="002225BC"/>
    <w:rsid w:val="002302D9"/>
    <w:rsid w:val="002617CB"/>
    <w:rsid w:val="00271CE5"/>
    <w:rsid w:val="00276637"/>
    <w:rsid w:val="00282020"/>
    <w:rsid w:val="00295077"/>
    <w:rsid w:val="002957F3"/>
    <w:rsid w:val="002A5510"/>
    <w:rsid w:val="002D43F3"/>
    <w:rsid w:val="0032241D"/>
    <w:rsid w:val="00325FB1"/>
    <w:rsid w:val="00342BA0"/>
    <w:rsid w:val="00356BDE"/>
    <w:rsid w:val="003636BF"/>
    <w:rsid w:val="00370AA7"/>
    <w:rsid w:val="0037479F"/>
    <w:rsid w:val="003845B4"/>
    <w:rsid w:val="00387B1A"/>
    <w:rsid w:val="003E1C74"/>
    <w:rsid w:val="003F1764"/>
    <w:rsid w:val="003F741E"/>
    <w:rsid w:val="00404780"/>
    <w:rsid w:val="0041580B"/>
    <w:rsid w:val="0042327D"/>
    <w:rsid w:val="00424765"/>
    <w:rsid w:val="004451AD"/>
    <w:rsid w:val="004674ED"/>
    <w:rsid w:val="0049498E"/>
    <w:rsid w:val="00495D0B"/>
    <w:rsid w:val="004A2CFA"/>
    <w:rsid w:val="004B112D"/>
    <w:rsid w:val="004B5C94"/>
    <w:rsid w:val="004E697C"/>
    <w:rsid w:val="004F160B"/>
    <w:rsid w:val="004F7FD5"/>
    <w:rsid w:val="00521CDE"/>
    <w:rsid w:val="00526246"/>
    <w:rsid w:val="00526385"/>
    <w:rsid w:val="00540EAB"/>
    <w:rsid w:val="00546B19"/>
    <w:rsid w:val="005617DC"/>
    <w:rsid w:val="00567106"/>
    <w:rsid w:val="00567F9B"/>
    <w:rsid w:val="00594406"/>
    <w:rsid w:val="005A2BD7"/>
    <w:rsid w:val="005A7918"/>
    <w:rsid w:val="005B5CC0"/>
    <w:rsid w:val="005B78B5"/>
    <w:rsid w:val="005B7B5D"/>
    <w:rsid w:val="005D4DF6"/>
    <w:rsid w:val="005E1D3C"/>
    <w:rsid w:val="005F1ECA"/>
    <w:rsid w:val="00602C0E"/>
    <w:rsid w:val="006260E7"/>
    <w:rsid w:val="00632253"/>
    <w:rsid w:val="00642714"/>
    <w:rsid w:val="00643C4E"/>
    <w:rsid w:val="006455CE"/>
    <w:rsid w:val="00654B78"/>
    <w:rsid w:val="00666FE7"/>
    <w:rsid w:val="00667BB9"/>
    <w:rsid w:val="00693299"/>
    <w:rsid w:val="006B40C9"/>
    <w:rsid w:val="006D2FCD"/>
    <w:rsid w:val="006D42D9"/>
    <w:rsid w:val="006D5FAE"/>
    <w:rsid w:val="006F6DC4"/>
    <w:rsid w:val="00716CFA"/>
    <w:rsid w:val="00726463"/>
    <w:rsid w:val="00733017"/>
    <w:rsid w:val="00751D38"/>
    <w:rsid w:val="007769F4"/>
    <w:rsid w:val="00783310"/>
    <w:rsid w:val="007959DE"/>
    <w:rsid w:val="007A4A6D"/>
    <w:rsid w:val="007B17E8"/>
    <w:rsid w:val="007B45F7"/>
    <w:rsid w:val="007D1BCF"/>
    <w:rsid w:val="007D61A3"/>
    <w:rsid w:val="007D75CF"/>
    <w:rsid w:val="007E6DC5"/>
    <w:rsid w:val="007F6C0E"/>
    <w:rsid w:val="00806A97"/>
    <w:rsid w:val="008107A3"/>
    <w:rsid w:val="008531C8"/>
    <w:rsid w:val="00873CB3"/>
    <w:rsid w:val="0088043C"/>
    <w:rsid w:val="00886F49"/>
    <w:rsid w:val="00887E1E"/>
    <w:rsid w:val="008906C9"/>
    <w:rsid w:val="008B6D70"/>
    <w:rsid w:val="008C5738"/>
    <w:rsid w:val="008D04F0"/>
    <w:rsid w:val="008D0743"/>
    <w:rsid w:val="008D5F52"/>
    <w:rsid w:val="008E0ECC"/>
    <w:rsid w:val="008E17B5"/>
    <w:rsid w:val="008F026E"/>
    <w:rsid w:val="008F3500"/>
    <w:rsid w:val="009002EB"/>
    <w:rsid w:val="00924E3C"/>
    <w:rsid w:val="0094440D"/>
    <w:rsid w:val="009477FA"/>
    <w:rsid w:val="009541F3"/>
    <w:rsid w:val="009550D4"/>
    <w:rsid w:val="009612BB"/>
    <w:rsid w:val="0096640D"/>
    <w:rsid w:val="00984C17"/>
    <w:rsid w:val="00996F30"/>
    <w:rsid w:val="009A1FAC"/>
    <w:rsid w:val="009E27C9"/>
    <w:rsid w:val="009E6AC6"/>
    <w:rsid w:val="009F02E8"/>
    <w:rsid w:val="009F30FB"/>
    <w:rsid w:val="009F3915"/>
    <w:rsid w:val="00A000F2"/>
    <w:rsid w:val="00A033C2"/>
    <w:rsid w:val="00A07216"/>
    <w:rsid w:val="00A125C5"/>
    <w:rsid w:val="00A12D5C"/>
    <w:rsid w:val="00A5039D"/>
    <w:rsid w:val="00A53213"/>
    <w:rsid w:val="00A61123"/>
    <w:rsid w:val="00A65EE7"/>
    <w:rsid w:val="00A70133"/>
    <w:rsid w:val="00A74D90"/>
    <w:rsid w:val="00A95F40"/>
    <w:rsid w:val="00AC0809"/>
    <w:rsid w:val="00AC5C16"/>
    <w:rsid w:val="00AD2EB5"/>
    <w:rsid w:val="00AE38C4"/>
    <w:rsid w:val="00B0506E"/>
    <w:rsid w:val="00B0530C"/>
    <w:rsid w:val="00B1337D"/>
    <w:rsid w:val="00B17141"/>
    <w:rsid w:val="00B2081C"/>
    <w:rsid w:val="00B27053"/>
    <w:rsid w:val="00B27607"/>
    <w:rsid w:val="00B31575"/>
    <w:rsid w:val="00B47AF6"/>
    <w:rsid w:val="00B53904"/>
    <w:rsid w:val="00B70C82"/>
    <w:rsid w:val="00B8547D"/>
    <w:rsid w:val="00B87E15"/>
    <w:rsid w:val="00BC36CC"/>
    <w:rsid w:val="00BE094A"/>
    <w:rsid w:val="00C17E25"/>
    <w:rsid w:val="00C250D5"/>
    <w:rsid w:val="00C47F8D"/>
    <w:rsid w:val="00C64874"/>
    <w:rsid w:val="00C81391"/>
    <w:rsid w:val="00C8344D"/>
    <w:rsid w:val="00C92898"/>
    <w:rsid w:val="00CA4186"/>
    <w:rsid w:val="00CA699D"/>
    <w:rsid w:val="00CC0357"/>
    <w:rsid w:val="00CC179C"/>
    <w:rsid w:val="00CC3721"/>
    <w:rsid w:val="00CE72B1"/>
    <w:rsid w:val="00CE7514"/>
    <w:rsid w:val="00D01BE6"/>
    <w:rsid w:val="00D0432E"/>
    <w:rsid w:val="00D248DE"/>
    <w:rsid w:val="00D25F05"/>
    <w:rsid w:val="00D3639F"/>
    <w:rsid w:val="00D8542D"/>
    <w:rsid w:val="00DA2C9A"/>
    <w:rsid w:val="00DC43AB"/>
    <w:rsid w:val="00DC6A71"/>
    <w:rsid w:val="00DE5B46"/>
    <w:rsid w:val="00DF2306"/>
    <w:rsid w:val="00DF7E9D"/>
    <w:rsid w:val="00E0357D"/>
    <w:rsid w:val="00E2440F"/>
    <w:rsid w:val="00E24EC2"/>
    <w:rsid w:val="00E57198"/>
    <w:rsid w:val="00E572FE"/>
    <w:rsid w:val="00E853E8"/>
    <w:rsid w:val="00EC18D3"/>
    <w:rsid w:val="00ED7304"/>
    <w:rsid w:val="00ED7E82"/>
    <w:rsid w:val="00EE6836"/>
    <w:rsid w:val="00F079C5"/>
    <w:rsid w:val="00F11C41"/>
    <w:rsid w:val="00F13AE0"/>
    <w:rsid w:val="00F240BB"/>
    <w:rsid w:val="00F2496D"/>
    <w:rsid w:val="00F30955"/>
    <w:rsid w:val="00F4147B"/>
    <w:rsid w:val="00F46724"/>
    <w:rsid w:val="00F5593E"/>
    <w:rsid w:val="00F57FED"/>
    <w:rsid w:val="00F75F95"/>
    <w:rsid w:val="00F825FF"/>
    <w:rsid w:val="00F907E8"/>
    <w:rsid w:val="00F95B75"/>
    <w:rsid w:val="00FB5733"/>
    <w:rsid w:val="00FC3F8C"/>
    <w:rsid w:val="00FC750F"/>
    <w:rsid w:val="00FD2BEC"/>
    <w:rsid w:val="00FF1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237EA23"/>
  <w15:chartTrackingRefBased/>
  <w15:docId w15:val="{DDDB6DD0-75A5-4D7C-A0C9-F7BC9C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customStyle="1" w:styleId="Default">
    <w:name w:val="Default"/>
    <w:basedOn w:val="Navaden"/>
    <w:rsid w:val="009550D4"/>
    <w:pPr>
      <w:autoSpaceDE w:val="0"/>
      <w:autoSpaceDN w:val="0"/>
      <w:spacing w:line="240" w:lineRule="auto"/>
    </w:pPr>
    <w:rPr>
      <w:rFonts w:eastAsia="Calibri" w:cs="Arial"/>
      <w:color w:val="000000"/>
      <w:sz w:val="24"/>
      <w:lang w:val="sl-SI" w:eastAsia="sl-SI"/>
    </w:rPr>
  </w:style>
  <w:style w:type="paragraph" w:styleId="Odstavekseznama">
    <w:name w:val="List Paragraph"/>
    <w:basedOn w:val="Navaden"/>
    <w:link w:val="OdstavekseznamaZnak"/>
    <w:uiPriority w:val="34"/>
    <w:qFormat/>
    <w:rsid w:val="009A1FAC"/>
    <w:pPr>
      <w:spacing w:line="260" w:lineRule="exact"/>
      <w:ind w:left="720"/>
      <w:contextualSpacing/>
    </w:pPr>
    <w:rPr>
      <w:lang w:val="sl-SI"/>
    </w:rPr>
  </w:style>
  <w:style w:type="character" w:customStyle="1" w:styleId="OdstavekseznamaZnak">
    <w:name w:val="Odstavek seznama Znak"/>
    <w:basedOn w:val="Privzetapisavaodstavka"/>
    <w:link w:val="Odstavekseznama"/>
    <w:uiPriority w:val="34"/>
    <w:locked/>
    <w:rsid w:val="009A1FAC"/>
    <w:rPr>
      <w:rFonts w:ascii="Arial" w:hAnsi="Arial"/>
      <w:szCs w:val="24"/>
      <w:lang w:eastAsia="en-US"/>
    </w:rPr>
  </w:style>
  <w:style w:type="character" w:styleId="Pripombasklic">
    <w:name w:val="annotation reference"/>
    <w:basedOn w:val="Privzetapisavaodstavka"/>
    <w:rsid w:val="00140636"/>
    <w:rPr>
      <w:sz w:val="16"/>
      <w:szCs w:val="16"/>
    </w:rPr>
  </w:style>
  <w:style w:type="paragraph" w:styleId="Pripombabesedilo">
    <w:name w:val="annotation text"/>
    <w:basedOn w:val="Navaden"/>
    <w:link w:val="PripombabesediloZnak"/>
    <w:rsid w:val="00140636"/>
    <w:pPr>
      <w:spacing w:line="240" w:lineRule="auto"/>
    </w:pPr>
    <w:rPr>
      <w:szCs w:val="20"/>
    </w:rPr>
  </w:style>
  <w:style w:type="character" w:customStyle="1" w:styleId="PripombabesediloZnak">
    <w:name w:val="Pripomba – besedilo Znak"/>
    <w:basedOn w:val="Privzetapisavaodstavka"/>
    <w:link w:val="Pripombabesedilo"/>
    <w:rsid w:val="0014063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40636"/>
    <w:rPr>
      <w:b/>
      <w:bCs/>
    </w:rPr>
  </w:style>
  <w:style w:type="character" w:customStyle="1" w:styleId="ZadevapripombeZnak">
    <w:name w:val="Zadeva pripombe Znak"/>
    <w:basedOn w:val="PripombabesediloZnak"/>
    <w:link w:val="Zadevapripombe"/>
    <w:semiHidden/>
    <w:rsid w:val="0014063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26B8-E2FA-4827-8C31-10C920FA9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91E0378A-90F3-4E0E-A73E-654E8458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1931</Words>
  <Characters>11009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12915</CharactersWithSpaces>
  <SharedDoc>false</SharedDoc>
  <HLinks>
    <vt:vector size="78" baseType="variant">
      <vt:variant>
        <vt:i4>3407999</vt:i4>
      </vt:variant>
      <vt:variant>
        <vt:i4>60</vt:i4>
      </vt:variant>
      <vt:variant>
        <vt:i4>0</vt:i4>
      </vt:variant>
      <vt:variant>
        <vt:i4>5</vt:i4>
      </vt:variant>
      <vt:variant>
        <vt:lpwstr>https://edavki.durs.si/EdavkiPortal/OpenPortal/CommonPages/Opdynp/PageD.aspx?category=obrazec_tro_p</vt:lpwstr>
      </vt:variant>
      <vt:variant>
        <vt:lpwstr/>
      </vt:variant>
      <vt:variant>
        <vt:i4>2293874</vt:i4>
      </vt:variant>
      <vt:variant>
        <vt:i4>57</vt:i4>
      </vt:variant>
      <vt:variant>
        <vt:i4>0</vt:i4>
      </vt:variant>
      <vt:variant>
        <vt:i4>5</vt:i4>
      </vt:variant>
      <vt:variant>
        <vt:lpwstr>http://www.pisrs.si/Pis.web/pregledPredpisa?id=ZAKO7128</vt:lpwstr>
      </vt:variant>
      <vt:variant>
        <vt:lpwstr/>
      </vt:variant>
      <vt:variant>
        <vt:i4>2293874</vt:i4>
      </vt:variant>
      <vt:variant>
        <vt:i4>54</vt:i4>
      </vt:variant>
      <vt:variant>
        <vt:i4>0</vt:i4>
      </vt:variant>
      <vt:variant>
        <vt:i4>5</vt:i4>
      </vt:variant>
      <vt:variant>
        <vt:lpwstr>http://www.pisrs.si/Pis.web/pregledPredpisa?id=ZAKO7128</vt:lpwstr>
      </vt:variant>
      <vt:variant>
        <vt:lpwstr/>
      </vt:variant>
      <vt:variant>
        <vt:i4>3407999</vt:i4>
      </vt:variant>
      <vt:variant>
        <vt:i4>51</vt:i4>
      </vt:variant>
      <vt:variant>
        <vt:i4>0</vt:i4>
      </vt:variant>
      <vt:variant>
        <vt:i4>5</vt:i4>
      </vt:variant>
      <vt:variant>
        <vt:lpwstr>https://edavki.durs.si/EdavkiPortal/OpenPortal/CommonPages/Opdynp/PageD.aspx?category=obrazec_tro_p</vt:lpwstr>
      </vt:variant>
      <vt:variant>
        <vt:lpwstr/>
      </vt:variant>
      <vt:variant>
        <vt:i4>7602289</vt:i4>
      </vt:variant>
      <vt:variant>
        <vt:i4>48</vt:i4>
      </vt:variant>
      <vt:variant>
        <vt:i4>0</vt:i4>
      </vt:variant>
      <vt:variant>
        <vt:i4>5</vt:i4>
      </vt:variant>
      <vt:variant>
        <vt:lpwstr>http://www.fu.gov.si/kontakti/</vt:lpwstr>
      </vt:variant>
      <vt:variant>
        <vt:lpwstr/>
      </vt:variant>
      <vt:variant>
        <vt:i4>2293874</vt:i4>
      </vt:variant>
      <vt:variant>
        <vt:i4>45</vt:i4>
      </vt:variant>
      <vt:variant>
        <vt:i4>0</vt:i4>
      </vt:variant>
      <vt:variant>
        <vt:i4>5</vt:i4>
      </vt:variant>
      <vt:variant>
        <vt:lpwstr>http://www.pisrs.si/Pis.web/pregledPredpisa?id=ZAKO7128</vt:lpwstr>
      </vt:variant>
      <vt:variant>
        <vt:lpwstr/>
      </vt:variant>
      <vt:variant>
        <vt:i4>1179706</vt:i4>
      </vt:variant>
      <vt:variant>
        <vt:i4>38</vt:i4>
      </vt:variant>
      <vt:variant>
        <vt:i4>0</vt:i4>
      </vt:variant>
      <vt:variant>
        <vt:i4>5</vt:i4>
      </vt:variant>
      <vt:variant>
        <vt:lpwstr/>
      </vt:variant>
      <vt:variant>
        <vt:lpwstr>_Toc520383773</vt:lpwstr>
      </vt:variant>
      <vt:variant>
        <vt:i4>1179706</vt:i4>
      </vt:variant>
      <vt:variant>
        <vt:i4>32</vt:i4>
      </vt:variant>
      <vt:variant>
        <vt:i4>0</vt:i4>
      </vt:variant>
      <vt:variant>
        <vt:i4>5</vt:i4>
      </vt:variant>
      <vt:variant>
        <vt:lpwstr/>
      </vt:variant>
      <vt:variant>
        <vt:lpwstr>_Toc520383772</vt:lpwstr>
      </vt:variant>
      <vt:variant>
        <vt:i4>1179706</vt:i4>
      </vt:variant>
      <vt:variant>
        <vt:i4>26</vt:i4>
      </vt:variant>
      <vt:variant>
        <vt:i4>0</vt:i4>
      </vt:variant>
      <vt:variant>
        <vt:i4>5</vt:i4>
      </vt:variant>
      <vt:variant>
        <vt:lpwstr/>
      </vt:variant>
      <vt:variant>
        <vt:lpwstr>_Toc520383771</vt:lpwstr>
      </vt:variant>
      <vt:variant>
        <vt:i4>1179706</vt:i4>
      </vt:variant>
      <vt:variant>
        <vt:i4>20</vt:i4>
      </vt:variant>
      <vt:variant>
        <vt:i4>0</vt:i4>
      </vt:variant>
      <vt:variant>
        <vt:i4>5</vt:i4>
      </vt:variant>
      <vt:variant>
        <vt:lpwstr/>
      </vt:variant>
      <vt:variant>
        <vt:lpwstr>_Toc520383770</vt:lpwstr>
      </vt:variant>
      <vt:variant>
        <vt:i4>1245242</vt:i4>
      </vt:variant>
      <vt:variant>
        <vt:i4>14</vt:i4>
      </vt:variant>
      <vt:variant>
        <vt:i4>0</vt:i4>
      </vt:variant>
      <vt:variant>
        <vt:i4>5</vt:i4>
      </vt:variant>
      <vt:variant>
        <vt:lpwstr/>
      </vt:variant>
      <vt:variant>
        <vt:lpwstr>_Toc520383769</vt:lpwstr>
      </vt:variant>
      <vt:variant>
        <vt:i4>1245242</vt:i4>
      </vt:variant>
      <vt:variant>
        <vt:i4>8</vt:i4>
      </vt:variant>
      <vt:variant>
        <vt:i4>0</vt:i4>
      </vt:variant>
      <vt:variant>
        <vt:i4>5</vt:i4>
      </vt:variant>
      <vt:variant>
        <vt:lpwstr/>
      </vt:variant>
      <vt:variant>
        <vt:lpwstr>_Toc520383768</vt:lpwstr>
      </vt:variant>
      <vt:variant>
        <vt:i4>1245242</vt:i4>
      </vt:variant>
      <vt:variant>
        <vt:i4>2</vt:i4>
      </vt:variant>
      <vt:variant>
        <vt:i4>0</vt:i4>
      </vt:variant>
      <vt:variant>
        <vt:i4>5</vt:i4>
      </vt:variant>
      <vt:variant>
        <vt:lpwstr/>
      </vt:variant>
      <vt:variant>
        <vt:lpwstr>_Toc520383767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Irena Rehberger Ujčič</cp:lastModifiedBy>
  <cp:revision>7</cp:revision>
  <cp:lastPrinted>2022-02-17T08:13:00Z</cp:lastPrinted>
  <dcterms:created xsi:type="dcterms:W3CDTF">2022-02-17T08:21:00Z</dcterms:created>
  <dcterms:modified xsi:type="dcterms:W3CDTF">2022-02-17T08:28:00Z</dcterms:modified>
</cp:coreProperties>
</file>