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1779" w14:textId="77777777" w:rsidR="00E00789" w:rsidRPr="00BE09BE" w:rsidRDefault="00E00789" w:rsidP="00024207">
      <w:pPr>
        <w:pStyle w:val="Brezrazmikov"/>
        <w:rPr>
          <w:rFonts w:ascii="Arial Narrow" w:hAnsi="Arial Narrow" w:cs="Arial"/>
          <w:color w:val="C00000"/>
          <w:sz w:val="24"/>
          <w:szCs w:val="24"/>
          <w:lang w:val="it-IT"/>
        </w:rPr>
      </w:pPr>
      <w:r w:rsidRPr="00BE09BE"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1C035040" wp14:editId="19B4699A">
            <wp:simplePos x="0" y="0"/>
            <wp:positionH relativeFrom="column">
              <wp:posOffset>422910</wp:posOffset>
            </wp:positionH>
            <wp:positionV relativeFrom="paragraph">
              <wp:posOffset>-385445</wp:posOffset>
            </wp:positionV>
            <wp:extent cx="1800225" cy="818515"/>
            <wp:effectExtent l="0" t="0" r="9525" b="635"/>
            <wp:wrapNone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odeJ\AppData\Local\Microsoft\Windows\INetCache\Content.Outlook\YFKU62WF\FURS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C4A5C" w14:textId="5DBFFFF7" w:rsidR="00E00789" w:rsidRPr="00BE09BE" w:rsidRDefault="00DE0D54" w:rsidP="000E54E9">
      <w:pPr>
        <w:spacing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  <w:lang w:val="it-IT"/>
        </w:rPr>
      </w:pPr>
      <w:r w:rsidRPr="00BE09BE">
        <w:rPr>
          <w:rFonts w:ascii="Arial Narrow" w:hAnsi="Arial Narrow" w:cs="Arial"/>
          <w:b/>
          <w:noProof/>
          <w:color w:val="C00000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EA55" wp14:editId="3943F244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3209925" cy="246380"/>
                <wp:effectExtent l="3810" t="0" r="0" b="0"/>
                <wp:wrapNone/>
                <wp:docPr id="148534513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BCFA8" w14:textId="2BD80E7C" w:rsidR="00CA2DE5" w:rsidRPr="00CA2DE5" w:rsidRDefault="00CA2DE5">
                            <w:pPr>
                              <w:rPr>
                                <w:color w:val="008080"/>
                              </w:rPr>
                            </w:pPr>
                            <w:bookmarkStart w:id="0" w:name="_GoBack"/>
                            <w:r w:rsidRPr="00CA2DE5">
                              <w:rPr>
                                <w:rFonts w:ascii="Arial Narrow" w:hAnsi="Arial Narrow" w:cs="Arial"/>
                                <w:color w:val="008080"/>
                                <w:sz w:val="20"/>
                                <w:szCs w:val="20"/>
                                <w:lang w:val="it-IT"/>
                              </w:rPr>
                              <w:t>Amministrazione finanziaria della Repubblica di Slovenia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0E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8.4pt;width:252.7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" stroked="f">
                <v:textbox>
                  <w:txbxContent>
                    <w:p w14:paraId="476BCFA8" w14:textId="2BD80E7C" w:rsidR="00CA2DE5" w:rsidRPr="00CA2DE5" w:rsidRDefault="00CA2DE5">
                      <w:pPr>
                        <w:rPr>
                          <w:color w:val="008080"/>
                        </w:rPr>
                      </w:pPr>
                      <w:bookmarkStart w:id="1" w:name="_GoBack"/>
                      <w:r w:rsidRPr="00CA2DE5">
                        <w:rPr>
                          <w:rFonts w:ascii="Arial Narrow" w:hAnsi="Arial Narrow" w:cs="Arial"/>
                          <w:color w:val="008080"/>
                          <w:sz w:val="20"/>
                          <w:szCs w:val="20"/>
                          <w:lang w:val="it-IT"/>
                        </w:rPr>
                        <w:t>Amministrazione finanziaria della Repubblica di Slovenia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26D7740" w14:textId="77777777" w:rsidR="00E00789" w:rsidRPr="00BE09BE" w:rsidRDefault="00E00789" w:rsidP="00E00789">
      <w:pPr>
        <w:spacing w:after="0"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  <w:lang w:val="it-IT"/>
        </w:rPr>
      </w:pPr>
    </w:p>
    <w:p w14:paraId="5C84A532" w14:textId="77777777" w:rsidR="00AE219E" w:rsidRPr="00BE09BE" w:rsidRDefault="008A4FE5" w:rsidP="000E54E9">
      <w:pPr>
        <w:spacing w:line="280" w:lineRule="atLeast"/>
        <w:jc w:val="center"/>
        <w:rPr>
          <w:rFonts w:ascii="Arial Narrow" w:hAnsi="Arial Narrow" w:cs="Arial"/>
          <w:b/>
          <w:color w:val="C00000"/>
          <w:lang w:val="it-IT"/>
        </w:rPr>
      </w:pPr>
      <w:r w:rsidRPr="00BE09BE">
        <w:rPr>
          <w:rFonts w:ascii="Arial Narrow" w:hAnsi="Arial Narrow" w:cs="Arial"/>
          <w:b/>
          <w:color w:val="C00000"/>
          <w:lang w:val="it-IT"/>
        </w:rPr>
        <w:t>SCAMBIO AUTOMATICO DI INFORMAZIONI RELATIVE A</w:t>
      </w:r>
      <w:r w:rsidR="00AB18BF" w:rsidRPr="00BE09BE">
        <w:rPr>
          <w:rFonts w:ascii="Arial Narrow" w:hAnsi="Arial Narrow" w:cs="Arial"/>
          <w:b/>
          <w:color w:val="C00000"/>
          <w:lang w:val="it-IT"/>
        </w:rPr>
        <w:t>I</w:t>
      </w:r>
      <w:r w:rsidRPr="00BE09BE">
        <w:rPr>
          <w:rFonts w:ascii="Arial Narrow" w:hAnsi="Arial Narrow" w:cs="Arial"/>
          <w:b/>
          <w:color w:val="C00000"/>
          <w:lang w:val="it-IT"/>
        </w:rPr>
        <w:t xml:space="preserve"> CONTI FINANZIARI A FINI FISCALI</w:t>
      </w:r>
      <w:r w:rsidR="00AE219E" w:rsidRPr="00BE09BE">
        <w:rPr>
          <w:rFonts w:ascii="Arial Narrow" w:hAnsi="Arial Narrow" w:cs="Arial"/>
          <w:b/>
          <w:color w:val="C00000"/>
          <w:lang w:val="it-IT"/>
        </w:rPr>
        <w:t xml:space="preserve"> </w:t>
      </w:r>
    </w:p>
    <w:p w14:paraId="67C24BEC" w14:textId="4B4EEDE4" w:rsidR="0032160F" w:rsidRPr="00BE09BE" w:rsidRDefault="0032160F" w:rsidP="000E5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Arial Narrow" w:hAnsi="Arial Narrow" w:cs="Arial"/>
          <w:b/>
          <w:sz w:val="20"/>
          <w:szCs w:val="20"/>
          <w:lang w:val="it-IT"/>
        </w:rPr>
      </w:pPr>
      <w:r w:rsidRPr="00BE09BE">
        <w:rPr>
          <w:rFonts w:ascii="Arial Narrow" w:hAnsi="Arial Narrow" w:cs="Arial"/>
          <w:b/>
          <w:sz w:val="20"/>
          <w:szCs w:val="20"/>
          <w:lang w:val="it-IT"/>
        </w:rPr>
        <w:t>Inform</w:t>
      </w:r>
      <w:r w:rsidR="00BE09BE" w:rsidRPr="00BE09BE">
        <w:rPr>
          <w:rFonts w:ascii="Arial Narrow" w:hAnsi="Arial Narrow" w:cs="Arial"/>
          <w:b/>
          <w:sz w:val="20"/>
          <w:szCs w:val="20"/>
          <w:lang w:val="it-IT"/>
        </w:rPr>
        <w:t>a</w:t>
      </w:r>
      <w:r w:rsidR="008A4FE5" w:rsidRPr="00BE09BE">
        <w:rPr>
          <w:rFonts w:ascii="Arial Narrow" w:hAnsi="Arial Narrow" w:cs="Arial"/>
          <w:b/>
          <w:sz w:val="20"/>
          <w:szCs w:val="20"/>
          <w:lang w:val="it-IT"/>
        </w:rPr>
        <w:t>zioni e indicazioni per i clienti</w:t>
      </w:r>
    </w:p>
    <w:p w14:paraId="23E797FE" w14:textId="77777777" w:rsidR="00804AA0" w:rsidRPr="00BE09BE" w:rsidRDefault="00804AA0" w:rsidP="00804AA0">
      <w:pPr>
        <w:pStyle w:val="Brezrazmikov"/>
        <w:spacing w:line="260" w:lineRule="atLeast"/>
        <w:jc w:val="center"/>
        <w:rPr>
          <w:rFonts w:ascii="Arial Narrow" w:hAnsi="Arial Narrow" w:cs="Arial"/>
          <w:b/>
          <w:sz w:val="20"/>
          <w:szCs w:val="20"/>
          <w:lang w:val="it-IT"/>
        </w:rPr>
      </w:pPr>
    </w:p>
    <w:p w14:paraId="06BEBD66" w14:textId="0F84F255" w:rsidR="00E6363D" w:rsidRPr="00BE09BE" w:rsidRDefault="008A4FE5" w:rsidP="00C55400">
      <w:pPr>
        <w:pStyle w:val="Brezrazmikov"/>
        <w:spacing w:line="260" w:lineRule="atLeast"/>
        <w:rPr>
          <w:rFonts w:ascii="Arial Narrow" w:hAnsi="Arial Narrow" w:cs="Arial"/>
          <w:b/>
          <w:sz w:val="20"/>
          <w:szCs w:val="20"/>
          <w:lang w:val="it-IT"/>
        </w:rPr>
      </w:pPr>
      <w:r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Finalità dell'adozione di uno standard unico per lo scambio automatico di informazioni </w:t>
      </w:r>
      <w:r w:rsidR="00E12A4D">
        <w:rPr>
          <w:rFonts w:ascii="Arial Narrow" w:hAnsi="Arial Narrow" w:cs="Arial"/>
          <w:b/>
          <w:sz w:val="20"/>
          <w:szCs w:val="20"/>
          <w:lang w:val="it-IT"/>
        </w:rPr>
        <w:t>relative a</w:t>
      </w:r>
      <w:r w:rsidR="00EC2763">
        <w:rPr>
          <w:rFonts w:ascii="Arial Narrow" w:hAnsi="Arial Narrow" w:cs="Arial"/>
          <w:b/>
          <w:sz w:val="20"/>
          <w:szCs w:val="20"/>
          <w:lang w:val="it-IT"/>
        </w:rPr>
        <w:t>i</w:t>
      </w:r>
      <w:r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 conti finanziari e Direttiva 2014/107/UE del Consiglio</w:t>
      </w:r>
      <w:r w:rsidR="008D7026"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 </w:t>
      </w:r>
      <w:r w:rsidR="00E6363D"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 </w:t>
      </w:r>
    </w:p>
    <w:p w14:paraId="5E74A887" w14:textId="77777777" w:rsidR="00E6363D" w:rsidRPr="00BE09BE" w:rsidRDefault="00E6363D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3C721EE8" w14:textId="72354DF0" w:rsidR="007D5E6D" w:rsidRPr="00BE09BE" w:rsidRDefault="003A71B6" w:rsidP="007D5E6D">
      <w:pPr>
        <w:spacing w:after="0"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>I Paesi membri dell’</w:t>
      </w:r>
      <w:r w:rsidR="007D5E6D" w:rsidRPr="00BE09BE">
        <w:rPr>
          <w:rFonts w:ascii="Arial Narrow" w:hAnsi="Arial Narrow" w:cs="Arial"/>
          <w:sz w:val="20"/>
          <w:szCs w:val="20"/>
          <w:lang w:val="it-IT"/>
        </w:rPr>
        <w:t>Organizzazione per la coopera</w:t>
      </w:r>
      <w:r w:rsidRPr="00BE09BE">
        <w:rPr>
          <w:rFonts w:ascii="Arial Narrow" w:hAnsi="Arial Narrow" w:cs="Arial"/>
          <w:sz w:val="20"/>
          <w:szCs w:val="20"/>
          <w:lang w:val="it-IT"/>
        </w:rPr>
        <w:t>zione e lo sviluppo economico (“OCSE”</w:t>
      </w:r>
      <w:r w:rsidR="007D5E6D" w:rsidRPr="00BE09BE">
        <w:rPr>
          <w:rFonts w:ascii="Arial Narrow" w:hAnsi="Arial Narrow" w:cs="Arial"/>
          <w:sz w:val="20"/>
          <w:szCs w:val="20"/>
          <w:lang w:val="it-IT"/>
        </w:rPr>
        <w:t>) si sono impegnati a collaborare per combattere le fr</w:t>
      </w:r>
      <w:r w:rsidRPr="00BE09BE">
        <w:rPr>
          <w:rFonts w:ascii="Arial Narrow" w:hAnsi="Arial Narrow" w:cs="Arial"/>
          <w:sz w:val="20"/>
          <w:szCs w:val="20"/>
          <w:lang w:val="it-IT"/>
        </w:rPr>
        <w:t>odi fiscali transfrontaliere, l’</w:t>
      </w:r>
      <w:r w:rsidR="007D5E6D" w:rsidRPr="00BE09BE">
        <w:rPr>
          <w:rFonts w:ascii="Arial Narrow" w:hAnsi="Arial Narrow" w:cs="Arial"/>
          <w:sz w:val="20"/>
          <w:szCs w:val="20"/>
          <w:lang w:val="it-IT"/>
        </w:rPr>
        <w:t xml:space="preserve">evasione fiscale e la pianificazione fiscale aggressiva. A tal fine, il 29 ottobre 2014, </w:t>
      </w:r>
      <w:r w:rsidRPr="00BE09BE">
        <w:rPr>
          <w:rFonts w:ascii="Arial Narrow" w:hAnsi="Arial Narrow" w:cs="Arial"/>
          <w:sz w:val="20"/>
          <w:szCs w:val="20"/>
          <w:lang w:val="it-IT"/>
        </w:rPr>
        <w:t>anche la Slovenia ha firmato l’</w:t>
      </w:r>
      <w:r w:rsidR="007D5E6D" w:rsidRPr="00BE09BE">
        <w:rPr>
          <w:rFonts w:ascii="Arial Narrow" w:hAnsi="Arial Narrow" w:cs="Arial"/>
          <w:sz w:val="20"/>
          <w:szCs w:val="20"/>
          <w:lang w:val="it-IT"/>
        </w:rPr>
        <w:t xml:space="preserve">Accordo multilaterale tra 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le </w:t>
      </w:r>
      <w:r w:rsidR="007D5E6D" w:rsidRPr="00BE09BE">
        <w:rPr>
          <w:rFonts w:ascii="Arial Narrow" w:hAnsi="Arial Narrow" w:cs="Arial"/>
          <w:sz w:val="20"/>
          <w:szCs w:val="20"/>
          <w:lang w:val="it-IT"/>
        </w:rPr>
        <w:t xml:space="preserve">autorità competenti </w:t>
      </w:r>
      <w:r w:rsidR="004C7658">
        <w:rPr>
          <w:rFonts w:ascii="Arial Narrow" w:hAnsi="Arial Narrow" w:cs="Arial"/>
          <w:sz w:val="20"/>
          <w:szCs w:val="20"/>
          <w:lang w:val="it-IT"/>
        </w:rPr>
        <w:t xml:space="preserve">concernenti </w:t>
      </w:r>
      <w:r w:rsidR="007D5E6D" w:rsidRPr="00BE09BE">
        <w:rPr>
          <w:rFonts w:ascii="Arial Narrow" w:hAnsi="Arial Narrow" w:cs="Arial"/>
          <w:sz w:val="20"/>
          <w:szCs w:val="20"/>
          <w:lang w:val="it-IT"/>
        </w:rPr>
        <w:t xml:space="preserve">lo scambio automatico di informazioni </w:t>
      </w:r>
      <w:r w:rsidR="004C7658">
        <w:rPr>
          <w:rFonts w:ascii="Arial Narrow" w:hAnsi="Arial Narrow" w:cs="Arial"/>
          <w:sz w:val="20"/>
          <w:szCs w:val="20"/>
          <w:lang w:val="it-IT"/>
        </w:rPr>
        <w:t>relative a</w:t>
      </w:r>
      <w:r w:rsidR="00EC2763">
        <w:rPr>
          <w:rFonts w:ascii="Arial Narrow" w:hAnsi="Arial Narrow" w:cs="Arial"/>
          <w:sz w:val="20"/>
          <w:szCs w:val="20"/>
          <w:lang w:val="it-IT"/>
        </w:rPr>
        <w:t>i</w:t>
      </w:r>
      <w:r w:rsidR="007D5E6D" w:rsidRPr="00BE09BE">
        <w:rPr>
          <w:rFonts w:ascii="Arial Narrow" w:hAnsi="Arial Narrow" w:cs="Arial"/>
          <w:sz w:val="20"/>
          <w:szCs w:val="20"/>
          <w:lang w:val="it-IT"/>
        </w:rPr>
        <w:t xml:space="preserve"> conti finanziari, impegnandosi a comunicare 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ad altri Paesi </w:t>
      </w:r>
      <w:r w:rsidR="007D5E6D" w:rsidRPr="00BE09BE">
        <w:rPr>
          <w:rFonts w:ascii="Arial Narrow" w:hAnsi="Arial Narrow" w:cs="Arial"/>
          <w:sz w:val="20"/>
          <w:szCs w:val="20"/>
          <w:lang w:val="it-IT"/>
        </w:rPr>
        <w:t xml:space="preserve">le informazioni </w:t>
      </w:r>
      <w:r w:rsidR="004C7658">
        <w:rPr>
          <w:rFonts w:ascii="Arial Narrow" w:hAnsi="Arial Narrow" w:cs="Arial"/>
          <w:sz w:val="20"/>
          <w:szCs w:val="20"/>
          <w:lang w:val="it-IT"/>
        </w:rPr>
        <w:t>relative a</w:t>
      </w:r>
      <w:r w:rsidR="00EC2763">
        <w:rPr>
          <w:rFonts w:ascii="Arial Narrow" w:hAnsi="Arial Narrow" w:cs="Arial"/>
          <w:sz w:val="20"/>
          <w:szCs w:val="20"/>
          <w:lang w:val="it-IT"/>
        </w:rPr>
        <w:t>i</w:t>
      </w:r>
      <w:r w:rsidR="007D5E6D" w:rsidRPr="00BE09BE">
        <w:rPr>
          <w:rFonts w:ascii="Arial Narrow" w:hAnsi="Arial Narrow" w:cs="Arial"/>
          <w:sz w:val="20"/>
          <w:szCs w:val="20"/>
          <w:lang w:val="it-IT"/>
        </w:rPr>
        <w:t xml:space="preserve"> conti finanziari. </w:t>
      </w:r>
    </w:p>
    <w:p w14:paraId="01187849" w14:textId="77777777" w:rsidR="007D5E6D" w:rsidRPr="00BE09BE" w:rsidRDefault="007D5E6D" w:rsidP="007D5E6D">
      <w:pPr>
        <w:spacing w:after="0"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22CB3F5F" w14:textId="365C5F71" w:rsidR="00024207" w:rsidRPr="00BE09BE" w:rsidRDefault="007D5E6D" w:rsidP="007D5E6D">
      <w:pPr>
        <w:spacing w:after="0"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>Tutta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>via, al fine di garantire che l’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estensione dello scambio automatico di informazioni </w:t>
      </w:r>
      <w:r w:rsidR="004C7658">
        <w:rPr>
          <w:rFonts w:ascii="Arial Narrow" w:hAnsi="Arial Narrow" w:cs="Arial"/>
          <w:sz w:val="20"/>
          <w:szCs w:val="20"/>
          <w:lang w:val="it-IT"/>
        </w:rPr>
        <w:t>relative a</w:t>
      </w:r>
      <w:r w:rsidR="00EC2763">
        <w:rPr>
          <w:rFonts w:ascii="Arial Narrow" w:hAnsi="Arial Narrow" w:cs="Arial"/>
          <w:sz w:val="20"/>
          <w:szCs w:val="20"/>
          <w:lang w:val="it-IT"/>
        </w:rPr>
        <w:t>i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 conti finanziari all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>’interno dell’</w:t>
      </w:r>
      <w:r w:rsidRPr="00BE09BE">
        <w:rPr>
          <w:rFonts w:ascii="Arial Narrow" w:hAnsi="Arial Narrow" w:cs="Arial"/>
          <w:sz w:val="20"/>
          <w:szCs w:val="20"/>
          <w:lang w:val="it-IT"/>
        </w:rPr>
        <w:t>Unione europea sia in linea con gli sviluppi internazionali in questo settore, il 9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 xml:space="preserve"> dicembre 2014 il Consiglio dell’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UE ha adottato la </w:t>
      </w:r>
      <w:r w:rsidR="004C7658">
        <w:rPr>
          <w:rFonts w:ascii="Arial Narrow" w:hAnsi="Arial Narrow" w:cs="Arial"/>
          <w:sz w:val="20"/>
          <w:szCs w:val="20"/>
          <w:lang w:val="it-IT"/>
        </w:rPr>
        <w:t>D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irettiva 2014/107/UE del Consiglio 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>recante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 modifica 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>del</w:t>
      </w:r>
      <w:r w:rsidRPr="00BE09BE">
        <w:rPr>
          <w:rFonts w:ascii="Arial Narrow" w:hAnsi="Arial Narrow" w:cs="Arial"/>
          <w:sz w:val="20"/>
          <w:szCs w:val="20"/>
          <w:lang w:val="it-IT"/>
        </w:rPr>
        <w:t>la direttiva 2011/16/UE del Consiglio per quanto riguarda lo scambio automatico obbligatorio di informazioni nel settore fiscale</w:t>
      </w:r>
      <w:r w:rsidR="00822362" w:rsidRPr="00BE09BE">
        <w:rPr>
          <w:rFonts w:ascii="Arial Narrow" w:hAnsi="Arial Narrow" w:cs="Arial"/>
          <w:sz w:val="20"/>
          <w:szCs w:val="20"/>
          <w:highlight w:val="white"/>
          <w:lang w:val="it-IT"/>
        </w:rPr>
        <w:t>. </w:t>
      </w:r>
      <w:r w:rsidR="00822362" w:rsidRPr="00BE09BE">
        <w:rPr>
          <w:rFonts w:ascii="Arial Narrow" w:hAnsi="Arial Narrow" w:cs="Arial"/>
          <w:sz w:val="20"/>
          <w:szCs w:val="20"/>
          <w:lang w:val="it-IT"/>
        </w:rPr>
        <w:t xml:space="preserve"> </w:t>
      </w:r>
    </w:p>
    <w:p w14:paraId="6A4AD17D" w14:textId="77777777" w:rsidR="00804AA0" w:rsidRPr="00BE09BE" w:rsidRDefault="00804AA0" w:rsidP="003A71B6">
      <w:pPr>
        <w:spacing w:after="0"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535393AB" w14:textId="10C64779" w:rsidR="00AE219E" w:rsidRPr="00BE09BE" w:rsidRDefault="003A71B6" w:rsidP="00C55400">
      <w:pPr>
        <w:spacing w:after="0" w:line="260" w:lineRule="atLeast"/>
        <w:rPr>
          <w:rFonts w:ascii="Arial Narrow" w:hAnsi="Arial Narrow" w:cs="Arial"/>
          <w:b/>
          <w:sz w:val="20"/>
          <w:szCs w:val="20"/>
          <w:lang w:val="it-IT"/>
        </w:rPr>
      </w:pPr>
      <w:r w:rsidRPr="00BE09BE">
        <w:rPr>
          <w:rFonts w:ascii="Arial Narrow" w:hAnsi="Arial Narrow" w:cs="Arial"/>
          <w:b/>
          <w:sz w:val="20"/>
          <w:szCs w:val="20"/>
          <w:lang w:val="it-IT"/>
        </w:rPr>
        <w:t>Recepimento della Direttiva</w:t>
      </w:r>
      <w:r w:rsidR="00C42EF5"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 2014/</w:t>
      </w:r>
      <w:r w:rsidRPr="00BE09BE">
        <w:rPr>
          <w:rFonts w:ascii="Arial Narrow" w:hAnsi="Arial Narrow" w:cs="Arial"/>
          <w:b/>
          <w:sz w:val="20"/>
          <w:szCs w:val="20"/>
          <w:lang w:val="it-IT"/>
        </w:rPr>
        <w:t>107/</w:t>
      </w:r>
      <w:r w:rsidR="00C42EF5" w:rsidRPr="00BE09BE">
        <w:rPr>
          <w:rFonts w:ascii="Arial Narrow" w:hAnsi="Arial Narrow" w:cs="Arial"/>
          <w:b/>
          <w:sz w:val="20"/>
          <w:szCs w:val="20"/>
          <w:lang w:val="it-IT"/>
        </w:rPr>
        <w:t>U</w:t>
      </w:r>
      <w:r w:rsidRPr="00BE09BE">
        <w:rPr>
          <w:rFonts w:ascii="Arial Narrow" w:hAnsi="Arial Narrow" w:cs="Arial"/>
          <w:b/>
          <w:sz w:val="20"/>
          <w:szCs w:val="20"/>
          <w:lang w:val="it-IT"/>
        </w:rPr>
        <w:t>E e dello standard</w:t>
      </w:r>
      <w:r w:rsidR="00C42EF5"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 O</w:t>
      </w:r>
      <w:r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CSE nella Legge </w:t>
      </w:r>
      <w:r w:rsidR="004C7658">
        <w:rPr>
          <w:rFonts w:ascii="Arial Narrow" w:hAnsi="Arial Narrow" w:cs="Arial"/>
          <w:b/>
          <w:sz w:val="20"/>
          <w:szCs w:val="20"/>
          <w:lang w:val="it-IT"/>
        </w:rPr>
        <w:t>relativa al</w:t>
      </w:r>
      <w:r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 procedimento tributario</w:t>
      </w:r>
    </w:p>
    <w:p w14:paraId="4854F4D1" w14:textId="77777777" w:rsidR="00804AA0" w:rsidRPr="00BE09BE" w:rsidRDefault="00804AA0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7E40CCC4" w14:textId="21B0BA23" w:rsidR="00AD2E16" w:rsidRPr="00BE09BE" w:rsidRDefault="003A71B6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 xml:space="preserve">La direttiva e lo standard OCSE sono stati recepiti nell’ordinamento giuridico sloveno con la Legge sulle modifiche e le integrazioni alla Legge </w:t>
      </w:r>
      <w:r w:rsidR="00EC2763">
        <w:rPr>
          <w:rFonts w:ascii="Arial Narrow" w:hAnsi="Arial Narrow" w:cs="Arial"/>
          <w:sz w:val="20"/>
          <w:szCs w:val="20"/>
          <w:lang w:val="it-IT"/>
        </w:rPr>
        <w:t>relativa a</w:t>
      </w:r>
      <w:r w:rsidRPr="00BE09BE">
        <w:rPr>
          <w:rFonts w:ascii="Arial Narrow" w:hAnsi="Arial Narrow" w:cs="Arial"/>
          <w:sz w:val="20"/>
          <w:szCs w:val="20"/>
          <w:lang w:val="it-IT"/>
        </w:rPr>
        <w:t>l procedimento tributario - ZDavP-2I (Gazzetta ufficiale n. 91/2015), entrata in vigore il 1° gennaio 2016</w:t>
      </w:r>
      <w:r w:rsidR="00AD2E16" w:rsidRPr="00BE09BE">
        <w:rPr>
          <w:rFonts w:ascii="Arial Narrow" w:hAnsi="Arial Narrow" w:cs="Arial"/>
          <w:sz w:val="20"/>
          <w:szCs w:val="20"/>
          <w:lang w:val="it-IT"/>
        </w:rPr>
        <w:t>.</w:t>
      </w:r>
    </w:p>
    <w:p w14:paraId="16FC690D" w14:textId="77777777" w:rsidR="00E00789" w:rsidRPr="00BE09BE" w:rsidRDefault="00E00789" w:rsidP="00C55400">
      <w:pPr>
        <w:pStyle w:val="Brezrazmikov"/>
        <w:spacing w:line="260" w:lineRule="atLeast"/>
        <w:jc w:val="center"/>
        <w:rPr>
          <w:rFonts w:ascii="Arial Narrow" w:hAnsi="Arial Narrow" w:cs="Arial"/>
          <w:b/>
          <w:sz w:val="20"/>
          <w:szCs w:val="20"/>
          <w:lang w:val="it-IT"/>
        </w:rPr>
      </w:pPr>
    </w:p>
    <w:p w14:paraId="6C56D649" w14:textId="23D2E9D4" w:rsidR="00AE219E" w:rsidRPr="00BE09BE" w:rsidRDefault="003A71B6" w:rsidP="00C55400">
      <w:pPr>
        <w:pStyle w:val="Brezrazmikov"/>
        <w:spacing w:line="260" w:lineRule="atLeast"/>
        <w:rPr>
          <w:rFonts w:ascii="Arial Narrow" w:hAnsi="Arial Narrow" w:cs="Arial"/>
          <w:b/>
          <w:sz w:val="20"/>
          <w:szCs w:val="20"/>
          <w:lang w:val="it-IT"/>
        </w:rPr>
      </w:pPr>
      <w:r w:rsidRPr="00BE09BE">
        <w:rPr>
          <w:rFonts w:ascii="Arial Narrow" w:hAnsi="Arial Narrow" w:cs="Arial"/>
          <w:b/>
          <w:sz w:val="20"/>
          <w:szCs w:val="20"/>
          <w:lang w:val="it-IT"/>
        </w:rPr>
        <w:t>Impatto della comunicazione</w:t>
      </w:r>
      <w:r w:rsidR="00323474"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 relativa</w:t>
      </w:r>
      <w:r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 a</w:t>
      </w:r>
      <w:r w:rsidR="00EC2763">
        <w:rPr>
          <w:rFonts w:ascii="Arial Narrow" w:hAnsi="Arial Narrow" w:cs="Arial"/>
          <w:b/>
          <w:sz w:val="20"/>
          <w:szCs w:val="20"/>
          <w:lang w:val="it-IT"/>
        </w:rPr>
        <w:t>i</w:t>
      </w:r>
      <w:r w:rsidRPr="00BE09BE">
        <w:rPr>
          <w:rFonts w:ascii="Arial Narrow" w:hAnsi="Arial Narrow" w:cs="Arial"/>
          <w:b/>
          <w:sz w:val="20"/>
          <w:szCs w:val="20"/>
          <w:lang w:val="it-IT"/>
        </w:rPr>
        <w:t xml:space="preserve"> conti finanziari </w:t>
      </w:r>
      <w:r w:rsidR="00056EDA" w:rsidRPr="00BE09BE">
        <w:rPr>
          <w:rFonts w:ascii="Arial Narrow" w:hAnsi="Arial Narrow" w:cs="Arial"/>
          <w:b/>
          <w:sz w:val="20"/>
          <w:szCs w:val="20"/>
          <w:lang w:val="it-IT"/>
        </w:rPr>
        <w:t>sulla condotta dei clienti nelle Istituzioni finanziarie</w:t>
      </w:r>
    </w:p>
    <w:p w14:paraId="5A67A20F" w14:textId="77777777" w:rsidR="00AE219E" w:rsidRPr="00BE09BE" w:rsidRDefault="00AE219E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54C0F6E2" w14:textId="77777777" w:rsidR="00E6363D" w:rsidRPr="00BE09BE" w:rsidRDefault="005D7DB0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>L'Istituzione finanziaria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 xml:space="preserve"> è tenu</w:t>
      </w:r>
      <w:r w:rsidRPr="00BE09BE">
        <w:rPr>
          <w:rFonts w:ascii="Arial Narrow" w:hAnsi="Arial Narrow" w:cs="Arial"/>
          <w:sz w:val="20"/>
          <w:szCs w:val="20"/>
          <w:lang w:val="it-IT"/>
        </w:rPr>
        <w:t>ta a comunicare annualmente all’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 xml:space="preserve">Amministrazione finanziaria della Repubblica di Slovenia le informazioni </w:t>
      </w:r>
      <w:r w:rsidRPr="00BE09BE">
        <w:rPr>
          <w:rFonts w:ascii="Arial Narrow" w:hAnsi="Arial Narrow" w:cs="Arial"/>
          <w:sz w:val="20"/>
          <w:szCs w:val="20"/>
          <w:lang w:val="it-IT"/>
        </w:rPr>
        <w:t>relative a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>i conti finanziari dei non residenti. Pertanto, l</w:t>
      </w:r>
      <w:r w:rsidRPr="00BE09BE">
        <w:rPr>
          <w:rFonts w:ascii="Arial Narrow" w:hAnsi="Arial Narrow" w:cs="Arial"/>
          <w:sz w:val="20"/>
          <w:szCs w:val="20"/>
          <w:lang w:val="it-IT"/>
        </w:rPr>
        <w:t>’Istituzione finanziaria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 xml:space="preserve"> deve ottenere dai propri clienti le informazioni prescritte, comprese quelle relative alla residenza fiscale del cliente. Queste informazioni </w:t>
      </w:r>
      <w:r w:rsidRPr="00BE09BE">
        <w:rPr>
          <w:rFonts w:ascii="Arial Narrow" w:hAnsi="Arial Narrow" w:cs="Arial"/>
          <w:sz w:val="20"/>
          <w:szCs w:val="20"/>
          <w:lang w:val="it-IT"/>
        </w:rPr>
        <w:t>vengono fornite dal cliente all’I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>stitu</w:t>
      </w:r>
      <w:r w:rsidRPr="00BE09BE">
        <w:rPr>
          <w:rFonts w:ascii="Arial Narrow" w:hAnsi="Arial Narrow" w:cs="Arial"/>
          <w:sz w:val="20"/>
          <w:szCs w:val="20"/>
          <w:lang w:val="it-IT"/>
        </w:rPr>
        <w:t>zione finanziaria su un modulo apposito – un’</w:t>
      </w:r>
      <w:r w:rsidR="003A71B6" w:rsidRPr="00BE09BE">
        <w:rPr>
          <w:rFonts w:ascii="Arial Narrow" w:hAnsi="Arial Narrow" w:cs="Arial"/>
          <w:sz w:val="20"/>
          <w:szCs w:val="20"/>
          <w:lang w:val="it-IT"/>
        </w:rPr>
        <w:t>autocertificazione</w:t>
      </w:r>
      <w:r w:rsidR="003C34A7" w:rsidRPr="00BE09BE">
        <w:rPr>
          <w:rFonts w:ascii="Arial Narrow" w:hAnsi="Arial Narrow" w:cs="Arial"/>
          <w:sz w:val="20"/>
          <w:szCs w:val="20"/>
          <w:lang w:val="it-IT"/>
        </w:rPr>
        <w:t>.</w:t>
      </w:r>
      <w:r w:rsidR="00016283" w:rsidRPr="00BE09BE">
        <w:rPr>
          <w:rFonts w:ascii="Arial Narrow" w:hAnsi="Arial Narrow" w:cs="Arial"/>
          <w:sz w:val="20"/>
          <w:szCs w:val="20"/>
          <w:lang w:val="it-IT"/>
        </w:rPr>
        <w:t xml:space="preserve"> </w:t>
      </w:r>
    </w:p>
    <w:p w14:paraId="09CC295A" w14:textId="77777777" w:rsidR="00024207" w:rsidRPr="00BE09BE" w:rsidRDefault="00024207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785B0EB9" w14:textId="40F481E2" w:rsidR="00E7263C" w:rsidRPr="00BE09BE" w:rsidRDefault="005D7DB0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>Una persona fisica è residente ai fini fiscali nel Paese in cui è tenuta a pagare le imposte su tutti i suoi redditi prodotti in qualsiasi parte del mondo a causa del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>la sua residenza permanente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 o di altri criteri simili (residenza, presenza per più di 183 giorni in un anno fiscale o in un 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 xml:space="preserve">qualsiasi altro 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periodo di 12 mesi, centro di interessi personali ed economici). Tuttavia, una persona non è residente ai fini fiscali in un Paese in cui paga le tasse solo sui redditi </w:t>
      </w:r>
      <w:r w:rsidR="00EC2763">
        <w:rPr>
          <w:rFonts w:ascii="Arial Narrow" w:hAnsi="Arial Narrow" w:cs="Arial"/>
          <w:sz w:val="20"/>
          <w:szCs w:val="20"/>
          <w:lang w:val="it-IT"/>
        </w:rPr>
        <w:t xml:space="preserve">generati </w:t>
      </w:r>
      <w:r w:rsidR="00296E83">
        <w:rPr>
          <w:rFonts w:ascii="Arial Narrow" w:hAnsi="Arial Narrow" w:cs="Arial"/>
          <w:sz w:val="20"/>
          <w:szCs w:val="20"/>
          <w:lang w:val="it-IT"/>
        </w:rPr>
        <w:t xml:space="preserve">nello </w:t>
      </w:r>
      <w:r w:rsidR="00EC2763">
        <w:rPr>
          <w:rFonts w:ascii="Arial Narrow" w:hAnsi="Arial Narrow" w:cs="Arial"/>
          <w:sz w:val="20"/>
          <w:szCs w:val="20"/>
          <w:lang w:val="it-IT"/>
        </w:rPr>
        <w:t xml:space="preserve">stesso 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Paese. Le informazioni </w:t>
      </w:r>
      <w:r w:rsidR="00296E83">
        <w:rPr>
          <w:rFonts w:ascii="Arial Narrow" w:hAnsi="Arial Narrow" w:cs="Arial"/>
          <w:sz w:val="20"/>
          <w:szCs w:val="20"/>
          <w:lang w:val="it-IT"/>
        </w:rPr>
        <w:t>relative a</w:t>
      </w:r>
      <w:r w:rsidRPr="00BE09BE">
        <w:rPr>
          <w:rFonts w:ascii="Arial Narrow" w:hAnsi="Arial Narrow" w:cs="Arial"/>
          <w:sz w:val="20"/>
          <w:szCs w:val="20"/>
          <w:lang w:val="it-IT"/>
        </w:rPr>
        <w:t>lla residenza fiscale pos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>sono essere ottenute anche dall’</w:t>
      </w:r>
      <w:r w:rsidRPr="00BE09BE">
        <w:rPr>
          <w:rFonts w:ascii="Arial Narrow" w:hAnsi="Arial Narrow" w:cs="Arial"/>
          <w:sz w:val="20"/>
          <w:szCs w:val="20"/>
          <w:lang w:val="it-IT"/>
        </w:rPr>
        <w:t>autorità fisc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 xml:space="preserve">ale competente. In Slovenia </w:t>
      </w:r>
      <w:r w:rsidR="00296E83">
        <w:rPr>
          <w:rFonts w:ascii="Arial Narrow" w:hAnsi="Arial Narrow" w:cs="Arial"/>
          <w:sz w:val="20"/>
          <w:szCs w:val="20"/>
          <w:lang w:val="it-IT"/>
        </w:rPr>
        <w:t>tale</w:t>
      </w:r>
      <w:r w:rsidR="00296E83" w:rsidRPr="00296E83">
        <w:rPr>
          <w:rFonts w:ascii="Arial Narrow" w:hAnsi="Arial Narrow" w:cs="Arial"/>
          <w:sz w:val="20"/>
          <w:szCs w:val="20"/>
          <w:lang w:val="it-IT"/>
        </w:rPr>
        <w:t xml:space="preserve"> </w:t>
      </w:r>
      <w:r w:rsidR="00296E83" w:rsidRPr="00BE09BE">
        <w:rPr>
          <w:rFonts w:ascii="Arial Narrow" w:hAnsi="Arial Narrow" w:cs="Arial"/>
          <w:sz w:val="20"/>
          <w:szCs w:val="20"/>
          <w:lang w:val="it-IT"/>
        </w:rPr>
        <w:t>autorità</w:t>
      </w:r>
      <w:r w:rsidR="00296E83">
        <w:rPr>
          <w:rFonts w:ascii="Arial Narrow" w:hAnsi="Arial Narrow" w:cs="Arial"/>
          <w:sz w:val="20"/>
          <w:szCs w:val="20"/>
          <w:lang w:val="it-IT"/>
        </w:rPr>
        <w:t xml:space="preserve"> 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>è l’</w:t>
      </w:r>
      <w:r w:rsidRPr="00BE09BE">
        <w:rPr>
          <w:rFonts w:ascii="Arial Narrow" w:hAnsi="Arial Narrow" w:cs="Arial"/>
          <w:sz w:val="20"/>
          <w:szCs w:val="20"/>
          <w:lang w:val="it-IT"/>
        </w:rPr>
        <w:t>Amministrazione finanziar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>ia della Repubblica di Slovenia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 che può rilasciare un certificato su ri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>chiesta del cliente, mentre all’</w:t>
      </w:r>
      <w:r w:rsidRPr="00BE09BE">
        <w:rPr>
          <w:rFonts w:ascii="Arial Narrow" w:hAnsi="Arial Narrow" w:cs="Arial"/>
          <w:sz w:val="20"/>
          <w:szCs w:val="20"/>
          <w:lang w:val="it-IT"/>
        </w:rPr>
        <w:t>est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>ero è l’</w:t>
      </w:r>
      <w:r w:rsidRPr="00BE09BE">
        <w:rPr>
          <w:rFonts w:ascii="Arial Narrow" w:hAnsi="Arial Narrow" w:cs="Arial"/>
          <w:sz w:val="20"/>
          <w:szCs w:val="20"/>
          <w:lang w:val="it-IT"/>
        </w:rPr>
        <w:t>autorità fiscale estera</w:t>
      </w:r>
      <w:r w:rsidR="00F20E55" w:rsidRPr="00BE09BE">
        <w:rPr>
          <w:rFonts w:ascii="Arial Narrow" w:hAnsi="Arial Narrow" w:cs="Arial"/>
          <w:sz w:val="20"/>
          <w:szCs w:val="20"/>
          <w:lang w:val="it-IT"/>
        </w:rPr>
        <w:t>.</w:t>
      </w:r>
    </w:p>
    <w:p w14:paraId="5850D5C7" w14:textId="77777777" w:rsidR="00804AA0" w:rsidRPr="00BE09BE" w:rsidRDefault="00804AA0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302615D3" w14:textId="2EE55811" w:rsidR="00F719AE" w:rsidRPr="00BE09BE" w:rsidRDefault="00296E83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>
        <w:rPr>
          <w:rFonts w:ascii="Arial Narrow" w:hAnsi="Arial Narrow" w:cs="Arial"/>
          <w:sz w:val="20"/>
          <w:szCs w:val="20"/>
          <w:lang w:val="it-IT"/>
        </w:rPr>
        <w:t xml:space="preserve">Qualora 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 xml:space="preserve">una persona fisica sia residente a fini fiscali in due o più Paesi contemporaneamente, bisogna indicare nell’autocertificazione il codice fiscale e il Paese di residenza per tutti </w:t>
      </w:r>
      <w:r w:rsidR="00A34A0F" w:rsidRPr="00BE09BE">
        <w:rPr>
          <w:rFonts w:ascii="Arial Narrow" w:hAnsi="Arial Narrow" w:cs="Arial"/>
          <w:sz w:val="20"/>
          <w:szCs w:val="20"/>
          <w:lang w:val="it-IT"/>
        </w:rPr>
        <w:t>gli Stati in cui è residente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>. In caso di dubbio su quale sia il Paese in cui la persona fisica (o giuridica) è considerata residente, devono essere indicati entrambi</w:t>
      </w:r>
      <w:r>
        <w:rPr>
          <w:rFonts w:ascii="Arial Narrow" w:hAnsi="Arial Narrow" w:cs="Arial"/>
          <w:sz w:val="20"/>
          <w:szCs w:val="20"/>
          <w:lang w:val="it-IT"/>
        </w:rPr>
        <w:t>,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 xml:space="preserve"> o più Paesi</w:t>
      </w:r>
      <w:r>
        <w:rPr>
          <w:rFonts w:ascii="Arial Narrow" w:hAnsi="Arial Narrow" w:cs="Arial"/>
          <w:sz w:val="20"/>
          <w:szCs w:val="20"/>
          <w:lang w:val="it-IT"/>
        </w:rPr>
        <w:t>,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 xml:space="preserve"> di residenza fiscale</w:t>
      </w:r>
      <w:r w:rsidR="00621413" w:rsidRPr="00BE09BE">
        <w:rPr>
          <w:rFonts w:ascii="Arial Narrow" w:hAnsi="Arial Narrow" w:cs="Arial"/>
          <w:sz w:val="20"/>
          <w:szCs w:val="20"/>
          <w:lang w:val="it-IT"/>
        </w:rPr>
        <w:t xml:space="preserve">. </w:t>
      </w:r>
      <w:r w:rsidR="00A70B42" w:rsidRPr="00BE09BE">
        <w:rPr>
          <w:rFonts w:ascii="Arial Narrow" w:hAnsi="Arial Narrow" w:cs="Arial"/>
          <w:sz w:val="20"/>
          <w:szCs w:val="20"/>
          <w:lang w:val="it-IT"/>
        </w:rPr>
        <w:t xml:space="preserve">  </w:t>
      </w:r>
    </w:p>
    <w:p w14:paraId="40201406" w14:textId="77777777" w:rsidR="00A70B42" w:rsidRPr="00BE09BE" w:rsidRDefault="00A70B42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29ACF1E3" w14:textId="77777777" w:rsidR="00E75E55" w:rsidRPr="00BE09BE" w:rsidRDefault="00A34A0F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>Le persone giuridiche sono considerate residenti ai fini fiscali nel Paese in cui, in ragione della loro sede legale, della sede dell’amministrazione effettiva o di altri criteri analoghi, sono tenute a pagare le imposte su tutti i loro redditi mondiali</w:t>
      </w:r>
      <w:r w:rsidR="00A70B42" w:rsidRPr="00BE09BE">
        <w:rPr>
          <w:rFonts w:ascii="Arial Narrow" w:hAnsi="Arial Narrow" w:cs="Arial"/>
          <w:sz w:val="20"/>
          <w:szCs w:val="20"/>
          <w:lang w:val="it-IT"/>
        </w:rPr>
        <w:t xml:space="preserve">. </w:t>
      </w:r>
    </w:p>
    <w:p w14:paraId="6AC864C8" w14:textId="77777777" w:rsidR="00E6363D" w:rsidRPr="00BE09BE" w:rsidRDefault="00E6363D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24CF4C43" w14:textId="2F704823" w:rsidR="003C34A7" w:rsidRPr="00BE09BE" w:rsidRDefault="00A34A0F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 xml:space="preserve">A partire dal 2017, l’Amministrazione finanziaria della Repubblica di Slovenia comunica annualmente le informazioni prescritte </w:t>
      </w:r>
      <w:r w:rsidR="00296E83">
        <w:rPr>
          <w:rFonts w:ascii="Arial Narrow" w:hAnsi="Arial Narrow" w:cs="Arial"/>
          <w:sz w:val="20"/>
          <w:szCs w:val="20"/>
          <w:lang w:val="it-IT"/>
        </w:rPr>
        <w:t>relative a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i conti finanziari all’autorità competente dell’altro Paese in cui il cliente è </w:t>
      </w:r>
      <w:r w:rsidR="00296E83">
        <w:rPr>
          <w:rFonts w:ascii="Arial Narrow" w:hAnsi="Arial Narrow" w:cs="Arial"/>
          <w:sz w:val="20"/>
          <w:szCs w:val="20"/>
          <w:lang w:val="it-IT"/>
        </w:rPr>
        <w:t xml:space="preserve">considerato </w:t>
      </w:r>
      <w:r w:rsidRPr="00BE09BE">
        <w:rPr>
          <w:rFonts w:ascii="Arial Narrow" w:hAnsi="Arial Narrow" w:cs="Arial"/>
          <w:sz w:val="20"/>
          <w:szCs w:val="20"/>
          <w:lang w:val="it-IT"/>
        </w:rPr>
        <w:t>residente ai fini fiscali. Viene comunicato il saldo del conto, gli interessi, i dividendi, i proventi lordi della vendita o del rimborso, nonché altri eventuali redditi accreditati sul conto</w:t>
      </w:r>
      <w:r w:rsidR="008D017C" w:rsidRPr="00BE09BE">
        <w:rPr>
          <w:rFonts w:ascii="Arial Narrow" w:hAnsi="Arial Narrow" w:cs="Arial"/>
          <w:sz w:val="20"/>
          <w:szCs w:val="20"/>
          <w:lang w:val="it-IT"/>
        </w:rPr>
        <w:t>.</w:t>
      </w:r>
    </w:p>
    <w:p w14:paraId="3FAD66B4" w14:textId="77777777" w:rsidR="00944DBA" w:rsidRPr="00BE09BE" w:rsidRDefault="00944DBA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7A49E25A" w14:textId="7712B678" w:rsidR="00AE219E" w:rsidRPr="00BE09BE" w:rsidRDefault="00A34A0F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 xml:space="preserve">Devono essere </w:t>
      </w:r>
      <w:r w:rsidR="00296E83">
        <w:rPr>
          <w:rFonts w:ascii="Arial Narrow" w:hAnsi="Arial Narrow" w:cs="Arial"/>
          <w:sz w:val="20"/>
          <w:szCs w:val="20"/>
          <w:lang w:val="it-IT"/>
        </w:rPr>
        <w:t>comunicate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 le informazioni </w:t>
      </w:r>
      <w:r w:rsidR="00296E83">
        <w:rPr>
          <w:rFonts w:ascii="Arial Narrow" w:hAnsi="Arial Narrow" w:cs="Arial"/>
          <w:sz w:val="20"/>
          <w:szCs w:val="20"/>
          <w:lang w:val="it-IT"/>
        </w:rPr>
        <w:t>relative a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i conti finanziari delle persone fisiche e giuridiche, nonché </w:t>
      </w:r>
      <w:r w:rsidR="00296E83">
        <w:rPr>
          <w:rFonts w:ascii="Arial Narrow" w:hAnsi="Arial Narrow" w:cs="Arial"/>
          <w:sz w:val="20"/>
          <w:szCs w:val="20"/>
          <w:lang w:val="it-IT"/>
        </w:rPr>
        <w:t>a</w:t>
      </w:r>
      <w:r w:rsidRPr="00BE09BE">
        <w:rPr>
          <w:rFonts w:ascii="Arial Narrow" w:hAnsi="Arial Narrow" w:cs="Arial"/>
          <w:sz w:val="20"/>
          <w:szCs w:val="20"/>
          <w:lang w:val="it-IT"/>
        </w:rPr>
        <w:t>i soggetti controllanti delle entità non finanziarie passive</w:t>
      </w:r>
      <w:r w:rsidR="00E75E55" w:rsidRPr="00BE09BE">
        <w:rPr>
          <w:rFonts w:ascii="Arial Narrow" w:hAnsi="Arial Narrow" w:cs="Arial"/>
          <w:sz w:val="20"/>
          <w:szCs w:val="20"/>
          <w:lang w:val="it-IT"/>
        </w:rPr>
        <w:t>.</w:t>
      </w:r>
    </w:p>
    <w:p w14:paraId="7F7D8429" w14:textId="77777777" w:rsidR="00665279" w:rsidRPr="00BE09BE" w:rsidRDefault="00665279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  <w:sz w:val="20"/>
          <w:szCs w:val="20"/>
          <w:lang w:val="it-IT"/>
        </w:rPr>
      </w:pPr>
    </w:p>
    <w:p w14:paraId="0D4427A3" w14:textId="77777777" w:rsidR="00AE219E" w:rsidRPr="00BE09BE" w:rsidRDefault="00A34A0F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  <w:sz w:val="20"/>
          <w:szCs w:val="20"/>
          <w:lang w:val="it-IT"/>
        </w:rPr>
      </w:pPr>
      <w:r w:rsidRPr="00BE09BE">
        <w:rPr>
          <w:rFonts w:ascii="Arial Narrow" w:hAnsi="Arial Narrow" w:cs="Arial"/>
          <w:b/>
          <w:sz w:val="20"/>
          <w:szCs w:val="20"/>
          <w:lang w:val="it-IT"/>
        </w:rPr>
        <w:t>Pubblicazione e utilizzo dei moduli</w:t>
      </w:r>
    </w:p>
    <w:p w14:paraId="0AB14CBE" w14:textId="77777777" w:rsidR="00AE219E" w:rsidRPr="00BE09BE" w:rsidRDefault="00AE219E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4ED9D529" w14:textId="77777777" w:rsidR="00E6363D" w:rsidRPr="00BE09BE" w:rsidRDefault="00A34A0F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>L</w:t>
      </w:r>
      <w:r w:rsidR="00056EDA" w:rsidRPr="00BE09BE">
        <w:rPr>
          <w:rFonts w:ascii="Arial Narrow" w:hAnsi="Arial Narrow" w:cs="Arial"/>
          <w:sz w:val="20"/>
          <w:szCs w:val="20"/>
          <w:lang w:val="it-IT"/>
        </w:rPr>
        <w:t>’Istituzione finanziaria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 può ottenere dal cliente le in</w:t>
      </w:r>
      <w:r w:rsidR="00056EDA" w:rsidRPr="00BE09BE">
        <w:rPr>
          <w:rFonts w:ascii="Arial Narrow" w:hAnsi="Arial Narrow" w:cs="Arial"/>
          <w:sz w:val="20"/>
          <w:szCs w:val="20"/>
          <w:lang w:val="it-IT"/>
        </w:rPr>
        <w:t>formazioni che sono parte integrante dell’</w:t>
      </w:r>
      <w:r w:rsidRPr="00BE09BE">
        <w:rPr>
          <w:rFonts w:ascii="Arial Narrow" w:hAnsi="Arial Narrow" w:cs="Arial"/>
          <w:sz w:val="20"/>
          <w:szCs w:val="20"/>
          <w:lang w:val="it-IT"/>
        </w:rPr>
        <w:t>autocertificazione utilizzando il modu</w:t>
      </w:r>
      <w:r w:rsidR="00056EDA" w:rsidRPr="00BE09BE">
        <w:rPr>
          <w:rFonts w:ascii="Arial Narrow" w:hAnsi="Arial Narrow" w:cs="Arial"/>
          <w:sz w:val="20"/>
          <w:szCs w:val="20"/>
          <w:lang w:val="it-IT"/>
        </w:rPr>
        <w:t>lo pubblicato sul sito web dell’</w:t>
      </w:r>
      <w:r w:rsidRPr="00BE09BE">
        <w:rPr>
          <w:rFonts w:ascii="Arial Narrow" w:hAnsi="Arial Narrow" w:cs="Arial"/>
          <w:sz w:val="20"/>
          <w:szCs w:val="20"/>
          <w:lang w:val="it-IT"/>
        </w:rPr>
        <w:t>Amministrazione finanziaria della Re</w:t>
      </w:r>
      <w:r w:rsidR="00056EDA" w:rsidRPr="00BE09BE">
        <w:rPr>
          <w:rFonts w:ascii="Arial Narrow" w:hAnsi="Arial Narrow" w:cs="Arial"/>
          <w:sz w:val="20"/>
          <w:szCs w:val="20"/>
          <w:lang w:val="it-IT"/>
        </w:rPr>
        <w:t>pubblica di Slovenia alla voce “Descrizioni dettagliate”</w:t>
      </w:r>
      <w:r w:rsidR="0010715F" w:rsidRPr="00BE09BE">
        <w:rPr>
          <w:rFonts w:ascii="Arial Narrow" w:hAnsi="Arial Narrow" w:cs="Arial"/>
          <w:sz w:val="20"/>
          <w:szCs w:val="20"/>
          <w:lang w:val="it-IT"/>
        </w:rPr>
        <w:t>.</w:t>
      </w:r>
      <w:r w:rsidR="00C65A48" w:rsidRPr="00BE09BE">
        <w:rPr>
          <w:rFonts w:ascii="Arial Narrow" w:hAnsi="Arial Narrow" w:cs="Arial"/>
          <w:sz w:val="20"/>
          <w:szCs w:val="20"/>
          <w:lang w:val="it-IT"/>
        </w:rPr>
        <w:t xml:space="preserve"> </w:t>
      </w:r>
    </w:p>
    <w:p w14:paraId="15D37252" w14:textId="77777777" w:rsidR="00165CDA" w:rsidRPr="00BE09BE" w:rsidRDefault="00165CDA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6BD560E5" w14:textId="77777777" w:rsidR="009A5F8B" w:rsidRPr="00BE09BE" w:rsidRDefault="00056EDA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>Il cliente è responsabile dell'esattezza dei dati inseriti nel modulo ed è tenuto a comunicare immediatamente all’Istituzione finanziaria qualsiasi modifica dei propri dati.</w:t>
      </w:r>
      <w:r w:rsidR="009A5F8B" w:rsidRPr="00BE09BE">
        <w:rPr>
          <w:rFonts w:ascii="Arial Narrow" w:hAnsi="Arial Narrow" w:cs="Arial"/>
          <w:sz w:val="20"/>
          <w:szCs w:val="20"/>
          <w:lang w:val="it-IT"/>
        </w:rPr>
        <w:t xml:space="preserve"> </w:t>
      </w:r>
    </w:p>
    <w:p w14:paraId="73F3185D" w14:textId="77777777" w:rsidR="009A5F8B" w:rsidRPr="00BE09BE" w:rsidRDefault="009A5F8B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4FFAACA2" w14:textId="23EF0FC2" w:rsidR="009A5F8B" w:rsidRPr="00BE09BE" w:rsidRDefault="00056EDA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 xml:space="preserve">L’Istituzione finanziaria otterrà e utilizzerà le informazioni ai fini dell’applicazione della Legge </w:t>
      </w:r>
      <w:r w:rsidR="003E4954">
        <w:rPr>
          <w:rFonts w:ascii="Arial Narrow" w:hAnsi="Arial Narrow" w:cs="Arial"/>
          <w:sz w:val="20"/>
          <w:szCs w:val="20"/>
          <w:lang w:val="it-IT"/>
        </w:rPr>
        <w:t>relativa al</w:t>
      </w:r>
      <w:r w:rsidRPr="00BE09BE">
        <w:rPr>
          <w:rFonts w:ascii="Arial Narrow" w:hAnsi="Arial Narrow" w:cs="Arial"/>
          <w:sz w:val="20"/>
          <w:szCs w:val="20"/>
          <w:lang w:val="it-IT"/>
        </w:rPr>
        <w:t xml:space="preserve"> procedimento tributario</w:t>
      </w:r>
      <w:r w:rsidR="0051297E" w:rsidRPr="00BE09BE">
        <w:rPr>
          <w:rFonts w:ascii="Arial Narrow" w:hAnsi="Arial Narrow" w:cs="Arial"/>
          <w:sz w:val="20"/>
          <w:szCs w:val="20"/>
          <w:lang w:val="it-IT"/>
        </w:rPr>
        <w:t xml:space="preserve">. </w:t>
      </w:r>
      <w:r w:rsidR="00904F5D" w:rsidRPr="00BE09BE">
        <w:rPr>
          <w:rFonts w:ascii="Arial Narrow" w:hAnsi="Arial Narrow" w:cs="Arial"/>
          <w:sz w:val="20"/>
          <w:szCs w:val="20"/>
          <w:lang w:val="it-IT"/>
        </w:rPr>
        <w:t xml:space="preserve"> </w:t>
      </w:r>
    </w:p>
    <w:p w14:paraId="5EBD9EA3" w14:textId="77777777" w:rsidR="00904F5D" w:rsidRPr="00BE09BE" w:rsidRDefault="00904F5D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2B7BC09D" w14:textId="77777777" w:rsidR="009A5F8B" w:rsidRPr="00BE09BE" w:rsidRDefault="00056EDA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  <w:sz w:val="20"/>
          <w:szCs w:val="20"/>
          <w:lang w:val="it-IT"/>
        </w:rPr>
      </w:pPr>
      <w:r w:rsidRPr="00BE09BE">
        <w:rPr>
          <w:rFonts w:ascii="Arial Narrow" w:hAnsi="Arial Narrow" w:cs="Arial"/>
          <w:b/>
          <w:sz w:val="20"/>
          <w:szCs w:val="20"/>
          <w:lang w:val="it-IT"/>
        </w:rPr>
        <w:t>Ulteriori informazioni</w:t>
      </w:r>
    </w:p>
    <w:p w14:paraId="45990201" w14:textId="77777777" w:rsidR="009729A9" w:rsidRPr="00BE09BE" w:rsidRDefault="009729A9" w:rsidP="00C55400">
      <w:pPr>
        <w:pStyle w:val="Brezrazmikov"/>
        <w:spacing w:line="260" w:lineRule="atLeast"/>
        <w:ind w:left="360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19EEB855" w14:textId="77777777" w:rsidR="0016174C" w:rsidRPr="00BE09BE" w:rsidRDefault="00056EDA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bookmarkStart w:id="2" w:name="_Hlk141335467"/>
      <w:r w:rsidRPr="00BE09BE">
        <w:rPr>
          <w:rFonts w:ascii="Arial Narrow" w:hAnsi="Arial Narrow" w:cs="Arial"/>
          <w:sz w:val="20"/>
          <w:szCs w:val="20"/>
          <w:lang w:val="it-IT"/>
        </w:rPr>
        <w:t>Ulteriori informazioni sul contenuto della legislazione sono disponibili sul sito web dell’Amministrazione finanziaria della Repubblica di Slovenia, al seguente indirizzo</w:t>
      </w:r>
      <w:r w:rsidR="00A86A3F" w:rsidRPr="00BE09BE">
        <w:rPr>
          <w:rFonts w:ascii="Arial Narrow" w:hAnsi="Arial Narrow" w:cs="Arial"/>
          <w:sz w:val="20"/>
          <w:szCs w:val="20"/>
          <w:lang w:val="it-IT"/>
        </w:rPr>
        <w:t xml:space="preserve">: </w:t>
      </w:r>
      <w:hyperlink r:id="rId12" w:history="1">
        <w:r w:rsidR="0010715F" w:rsidRPr="00BE09BE">
          <w:rPr>
            <w:rStyle w:val="Hiperpovezava"/>
            <w:rFonts w:ascii="Arial Narrow" w:hAnsi="Arial Narrow" w:cs="Arial"/>
            <w:sz w:val="20"/>
            <w:szCs w:val="20"/>
            <w:lang w:val="it-IT"/>
          </w:rPr>
          <w:t>www.fu.gov.si/crs</w:t>
        </w:r>
      </w:hyperlink>
      <w:r w:rsidR="0010715F" w:rsidRPr="00BE09BE">
        <w:rPr>
          <w:rStyle w:val="Hiperpovezava"/>
          <w:rFonts w:ascii="Arial Narrow" w:hAnsi="Arial Narrow" w:cs="Arial"/>
          <w:sz w:val="20"/>
          <w:szCs w:val="20"/>
          <w:lang w:val="it-IT"/>
        </w:rPr>
        <w:t>.</w:t>
      </w:r>
    </w:p>
    <w:bookmarkEnd w:id="2"/>
    <w:p w14:paraId="762251CB" w14:textId="77777777" w:rsidR="00455CB3" w:rsidRPr="00BE09BE" w:rsidRDefault="00455CB3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1DA8CC70" w14:textId="253C4A30" w:rsidR="00455CB3" w:rsidRPr="00BE09BE" w:rsidRDefault="00056EDA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 xml:space="preserve">I clienti possono anche </w:t>
      </w:r>
      <w:r w:rsidR="003E4954">
        <w:rPr>
          <w:rFonts w:ascii="Arial Narrow" w:hAnsi="Arial Narrow" w:cs="Arial"/>
          <w:sz w:val="20"/>
          <w:szCs w:val="20"/>
          <w:lang w:val="it-IT"/>
        </w:rPr>
        <w:t>rivolgersi a</w:t>
      </w:r>
      <w:r w:rsidRPr="00BE09BE">
        <w:rPr>
          <w:rFonts w:ascii="Arial Narrow" w:hAnsi="Arial Narrow" w:cs="Arial"/>
          <w:sz w:val="20"/>
          <w:szCs w:val="20"/>
          <w:lang w:val="it-IT"/>
        </w:rPr>
        <w:t>i loro consulenti fiscali</w:t>
      </w:r>
      <w:r w:rsidR="00304AD9" w:rsidRPr="00BE09BE">
        <w:rPr>
          <w:rFonts w:ascii="Arial Narrow" w:hAnsi="Arial Narrow" w:cs="Arial"/>
          <w:sz w:val="20"/>
          <w:szCs w:val="20"/>
          <w:lang w:val="it-IT"/>
        </w:rPr>
        <w:t xml:space="preserve">. </w:t>
      </w:r>
    </w:p>
    <w:p w14:paraId="6FB7A98B" w14:textId="77777777" w:rsidR="00455CB3" w:rsidRPr="00BE09BE" w:rsidRDefault="00455CB3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73F036EC" w14:textId="77777777" w:rsidR="00C65A48" w:rsidRPr="00BE09BE" w:rsidRDefault="00056EDA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E09BE">
        <w:rPr>
          <w:rFonts w:ascii="Arial Narrow" w:hAnsi="Arial Narrow" w:cs="Arial"/>
          <w:sz w:val="20"/>
          <w:szCs w:val="20"/>
          <w:lang w:val="it-IT"/>
        </w:rPr>
        <w:t>L’Istituzione finanziaria non fornisce consulenza fiscale, né lo fa l’Amministrazione finanziaria della Repubblica di Slovenia</w:t>
      </w:r>
      <w:r w:rsidR="009A5F8B" w:rsidRPr="00BE09BE">
        <w:rPr>
          <w:rFonts w:ascii="Arial Narrow" w:hAnsi="Arial Narrow" w:cs="Arial"/>
          <w:sz w:val="20"/>
          <w:szCs w:val="20"/>
          <w:lang w:val="it-IT"/>
        </w:rPr>
        <w:t>.</w:t>
      </w:r>
    </w:p>
    <w:p w14:paraId="6177FEA2" w14:textId="77777777" w:rsidR="00455CB3" w:rsidRPr="00BE09BE" w:rsidRDefault="00455CB3" w:rsidP="00C55400">
      <w:pPr>
        <w:spacing w:after="0"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</w:p>
    <w:p w14:paraId="53707347" w14:textId="77777777" w:rsidR="0010715F" w:rsidRPr="00BE09BE" w:rsidRDefault="00944DBA" w:rsidP="00C55400">
      <w:pPr>
        <w:spacing w:after="0" w:line="260" w:lineRule="atLeast"/>
        <w:jc w:val="both"/>
        <w:rPr>
          <w:rFonts w:ascii="Arial Narrow" w:hAnsi="Arial Narrow" w:cs="Arial"/>
          <w:sz w:val="20"/>
          <w:szCs w:val="20"/>
          <w:lang w:val="it-IT"/>
        </w:rPr>
      </w:pPr>
      <w:proofErr w:type="spellStart"/>
      <w:r w:rsidRPr="00BE09BE">
        <w:rPr>
          <w:rFonts w:ascii="Arial Narrow" w:hAnsi="Arial Narrow" w:cs="Arial"/>
          <w:sz w:val="20"/>
          <w:szCs w:val="20"/>
          <w:lang w:val="it-IT"/>
        </w:rPr>
        <w:t>Ljubljana</w:t>
      </w:r>
      <w:proofErr w:type="spellEnd"/>
      <w:r w:rsidRPr="00BE09BE">
        <w:rPr>
          <w:rFonts w:ascii="Arial Narrow" w:hAnsi="Arial Narrow" w:cs="Arial"/>
          <w:sz w:val="20"/>
          <w:szCs w:val="20"/>
          <w:lang w:val="it-IT"/>
        </w:rPr>
        <w:t xml:space="preserve">, </w:t>
      </w:r>
      <w:r w:rsidR="00323474" w:rsidRPr="00BE09BE">
        <w:rPr>
          <w:rFonts w:ascii="Arial Narrow" w:hAnsi="Arial Narrow" w:cs="Arial"/>
          <w:sz w:val="20"/>
          <w:szCs w:val="20"/>
          <w:lang w:val="it-IT"/>
        </w:rPr>
        <w:t>gennaio</w:t>
      </w:r>
      <w:r w:rsidR="00804AA0" w:rsidRPr="00BE09BE">
        <w:rPr>
          <w:rFonts w:ascii="Arial Narrow" w:hAnsi="Arial Narrow" w:cs="Arial"/>
          <w:sz w:val="20"/>
          <w:szCs w:val="20"/>
          <w:lang w:val="it-IT"/>
        </w:rPr>
        <w:t xml:space="preserve"> 2024</w:t>
      </w:r>
    </w:p>
    <w:sectPr w:rsidR="0010715F" w:rsidRPr="00BE09BE" w:rsidSect="00ED7D5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EFF6" w14:textId="77777777" w:rsidR="00B35B4C" w:rsidRDefault="00B35B4C" w:rsidP="009729A9">
      <w:pPr>
        <w:spacing w:after="0" w:line="240" w:lineRule="auto"/>
      </w:pPr>
      <w:r>
        <w:separator/>
      </w:r>
    </w:p>
  </w:endnote>
  <w:endnote w:type="continuationSeparator" w:id="0">
    <w:p w14:paraId="05DB580E" w14:textId="77777777" w:rsidR="00B35B4C" w:rsidRDefault="00B35B4C" w:rsidP="0097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416B" w14:textId="77777777" w:rsidR="00B35B4C" w:rsidRDefault="00B35B4C" w:rsidP="009729A9">
      <w:pPr>
        <w:spacing w:after="0" w:line="240" w:lineRule="auto"/>
      </w:pPr>
      <w:r>
        <w:separator/>
      </w:r>
    </w:p>
  </w:footnote>
  <w:footnote w:type="continuationSeparator" w:id="0">
    <w:p w14:paraId="739BA162" w14:textId="77777777" w:rsidR="00B35B4C" w:rsidRDefault="00B35B4C" w:rsidP="0097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FB4"/>
    <w:multiLevelType w:val="hybridMultilevel"/>
    <w:tmpl w:val="ABF67EF2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75AEFB36">
      <w:start w:val="1"/>
      <w:numFmt w:val="lowerLetter"/>
      <w:lvlText w:val="%3)"/>
      <w:lvlJc w:val="left"/>
      <w:pPr>
        <w:ind w:left="50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F8302DD"/>
    <w:multiLevelType w:val="hybridMultilevel"/>
    <w:tmpl w:val="D10EA2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93A4D"/>
    <w:multiLevelType w:val="hybridMultilevel"/>
    <w:tmpl w:val="DBD295FA"/>
    <w:lvl w:ilvl="0" w:tplc="4120BB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1948"/>
    <w:multiLevelType w:val="hybridMultilevel"/>
    <w:tmpl w:val="23A24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830D1"/>
    <w:multiLevelType w:val="hybridMultilevel"/>
    <w:tmpl w:val="06BCD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A9"/>
    <w:rsid w:val="00016283"/>
    <w:rsid w:val="00024207"/>
    <w:rsid w:val="00056EDA"/>
    <w:rsid w:val="00066D58"/>
    <w:rsid w:val="00077500"/>
    <w:rsid w:val="000A03EA"/>
    <w:rsid w:val="000D4F94"/>
    <w:rsid w:val="000E0910"/>
    <w:rsid w:val="000E54E9"/>
    <w:rsid w:val="0010715F"/>
    <w:rsid w:val="00107F61"/>
    <w:rsid w:val="00123BE2"/>
    <w:rsid w:val="00147086"/>
    <w:rsid w:val="0016174C"/>
    <w:rsid w:val="00165CDA"/>
    <w:rsid w:val="001B541D"/>
    <w:rsid w:val="001F0127"/>
    <w:rsid w:val="001F7CC4"/>
    <w:rsid w:val="0025306B"/>
    <w:rsid w:val="00286F6C"/>
    <w:rsid w:val="00296E83"/>
    <w:rsid w:val="002B6C36"/>
    <w:rsid w:val="002D7EF3"/>
    <w:rsid w:val="002E6AB8"/>
    <w:rsid w:val="00304AD9"/>
    <w:rsid w:val="003101B4"/>
    <w:rsid w:val="0032160F"/>
    <w:rsid w:val="00323474"/>
    <w:rsid w:val="003722F3"/>
    <w:rsid w:val="003957D5"/>
    <w:rsid w:val="003A0D6B"/>
    <w:rsid w:val="003A382E"/>
    <w:rsid w:val="003A71B6"/>
    <w:rsid w:val="003C34A7"/>
    <w:rsid w:val="003C3906"/>
    <w:rsid w:val="003E4954"/>
    <w:rsid w:val="004149E1"/>
    <w:rsid w:val="00437EE8"/>
    <w:rsid w:val="00455CB3"/>
    <w:rsid w:val="00457474"/>
    <w:rsid w:val="00465101"/>
    <w:rsid w:val="004712C6"/>
    <w:rsid w:val="0047378E"/>
    <w:rsid w:val="00494F56"/>
    <w:rsid w:val="004A4FF7"/>
    <w:rsid w:val="004B0A34"/>
    <w:rsid w:val="004C7658"/>
    <w:rsid w:val="0051297E"/>
    <w:rsid w:val="005578BF"/>
    <w:rsid w:val="005D7DB0"/>
    <w:rsid w:val="005F79B2"/>
    <w:rsid w:val="00621413"/>
    <w:rsid w:val="0063288A"/>
    <w:rsid w:val="00657320"/>
    <w:rsid w:val="00665279"/>
    <w:rsid w:val="00677A78"/>
    <w:rsid w:val="00680FD8"/>
    <w:rsid w:val="006C62FC"/>
    <w:rsid w:val="00726D2B"/>
    <w:rsid w:val="00774586"/>
    <w:rsid w:val="007824F8"/>
    <w:rsid w:val="007B35CC"/>
    <w:rsid w:val="007D5E6D"/>
    <w:rsid w:val="007E25A9"/>
    <w:rsid w:val="00804AA0"/>
    <w:rsid w:val="00822362"/>
    <w:rsid w:val="008443C2"/>
    <w:rsid w:val="008A4FE5"/>
    <w:rsid w:val="008D017C"/>
    <w:rsid w:val="008D313C"/>
    <w:rsid w:val="008D7026"/>
    <w:rsid w:val="008E2956"/>
    <w:rsid w:val="008F16EA"/>
    <w:rsid w:val="00904F5D"/>
    <w:rsid w:val="0093016A"/>
    <w:rsid w:val="00944DBA"/>
    <w:rsid w:val="009729A9"/>
    <w:rsid w:val="00986309"/>
    <w:rsid w:val="00993D99"/>
    <w:rsid w:val="009A5F8B"/>
    <w:rsid w:val="009C7125"/>
    <w:rsid w:val="009D1B17"/>
    <w:rsid w:val="009F2793"/>
    <w:rsid w:val="009F35AB"/>
    <w:rsid w:val="00A34A0F"/>
    <w:rsid w:val="00A70B42"/>
    <w:rsid w:val="00A86A3F"/>
    <w:rsid w:val="00AB18BF"/>
    <w:rsid w:val="00AD2E16"/>
    <w:rsid w:val="00AE219E"/>
    <w:rsid w:val="00B24B8A"/>
    <w:rsid w:val="00B35B4C"/>
    <w:rsid w:val="00B61035"/>
    <w:rsid w:val="00BC0015"/>
    <w:rsid w:val="00BE09BE"/>
    <w:rsid w:val="00C07D44"/>
    <w:rsid w:val="00C42EF5"/>
    <w:rsid w:val="00C53D7A"/>
    <w:rsid w:val="00C55400"/>
    <w:rsid w:val="00C61EE7"/>
    <w:rsid w:val="00C65A48"/>
    <w:rsid w:val="00C6702A"/>
    <w:rsid w:val="00C83845"/>
    <w:rsid w:val="00CA2DE5"/>
    <w:rsid w:val="00CC15BD"/>
    <w:rsid w:val="00CF5F67"/>
    <w:rsid w:val="00D07204"/>
    <w:rsid w:val="00DB7CB4"/>
    <w:rsid w:val="00DC4AB4"/>
    <w:rsid w:val="00DE0D54"/>
    <w:rsid w:val="00DE713B"/>
    <w:rsid w:val="00E00789"/>
    <w:rsid w:val="00E12A4D"/>
    <w:rsid w:val="00E20B5F"/>
    <w:rsid w:val="00E61C78"/>
    <w:rsid w:val="00E6363D"/>
    <w:rsid w:val="00E7263C"/>
    <w:rsid w:val="00E75E55"/>
    <w:rsid w:val="00EC2763"/>
    <w:rsid w:val="00EC7538"/>
    <w:rsid w:val="00ED7D50"/>
    <w:rsid w:val="00EE4635"/>
    <w:rsid w:val="00EE6F68"/>
    <w:rsid w:val="00F20E55"/>
    <w:rsid w:val="00F65D77"/>
    <w:rsid w:val="00F67B58"/>
    <w:rsid w:val="00F719AE"/>
    <w:rsid w:val="00FA7BE7"/>
    <w:rsid w:val="00FE1D1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1661"/>
  <w15:docId w15:val="{49715487-7271-42A7-835E-BBAC77F9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30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29A9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9729A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729A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29A9"/>
    <w:rPr>
      <w:vertAlign w:val="superscript"/>
    </w:rPr>
  </w:style>
  <w:style w:type="table" w:styleId="Tabelamrea">
    <w:name w:val="Table Grid"/>
    <w:basedOn w:val="Navadnatabela"/>
    <w:rsid w:val="0097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9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17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4AD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B35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B35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C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61035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F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.gov.si/c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253D65D24D64D98DB9E60F5838503" ma:contentTypeVersion="3" ma:contentTypeDescription="Ustvari nov dokument." ma:contentTypeScope="" ma:versionID="83bdcb976231fe0c549d389c3e01d0d9">
  <xsd:schema xmlns:xsd="http://www.w3.org/2001/XMLSchema" xmlns:xs="http://www.w3.org/2001/XMLSchema" xmlns:p="http://schemas.microsoft.com/office/2006/metadata/properties" xmlns:ns2="65b8029b-84c0-4813-9d9e-c13f4d18444f" targetNamespace="http://schemas.microsoft.com/office/2006/metadata/properties" ma:root="true" ma:fieldsID="8d130b89b999921ec7036e08a022170b" ns2:_="">
    <xsd:import namespace="65b8029b-84c0-4813-9d9e-c13f4d1844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029b-84c0-4813-9d9e-c13f4d184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E114-0E1C-4EEA-A00A-F892435B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8029b-84c0-4813-9d9e-c13f4d184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8CAAB-56B5-4064-8507-7448743E5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A98F6-0753-4FA2-A6BF-D0617B872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E076D-EDE7-4CE9-BBF9-4CA331A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NLB d.d.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Damjan Vukmirovič</cp:lastModifiedBy>
  <cp:revision>5</cp:revision>
  <cp:lastPrinted>2015-12-10T07:33:00Z</cp:lastPrinted>
  <dcterms:created xsi:type="dcterms:W3CDTF">2024-03-06T09:47:00Z</dcterms:created>
  <dcterms:modified xsi:type="dcterms:W3CDTF">2024-03-13T09:32:00Z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0x010100F83253D65D24D64D98DB9E60F5838503</vt:lpwstr>
  </property>
  <property fmtid="{D5CDD505-2E9C-101B-9397-08002B2CF9AE}" pid="3" name="_dlc_DocIdItemGuid">
    <vt:lpwstr>de0c7a89-3628-4868-ab84-611f6437fb10</vt:lpwstr>
  </property>
  <property fmtid="{D5CDD505-2E9C-101B-9397-08002B2CF9AE}" pid="4" name="GrammarlyDocumentId">
    <vt:lpwstr>ad761f5aee2e6dde7c9eca60924f5af9cd79dc5855df040b8d3cb9b89395a0e2</vt:lpwstr>
  </property>
</Properties>
</file>