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48" w:rsidRDefault="00FA5648" w:rsidP="00C91FBC">
      <w:pPr>
        <w:pStyle w:val="ZADEVA"/>
        <w:ind w:left="0" w:firstLine="0"/>
        <w:rPr>
          <w:bCs/>
        </w:rPr>
      </w:pPr>
      <w:r>
        <w:rPr>
          <w:lang w:val="sl-SI"/>
        </w:rPr>
        <w:t>Zasebni zahtevki za davčno stališče glede DDV v čezmejnih primerih</w:t>
      </w:r>
      <w:r>
        <w:rPr>
          <w:b w:val="0"/>
          <w:bCs/>
        </w:rPr>
        <w:t xml:space="preserve"> </w:t>
      </w:r>
      <w:r w:rsidR="00C91FBC">
        <w:rPr>
          <w:bCs/>
        </w:rPr>
        <w:t>(Cross-</w:t>
      </w:r>
      <w:proofErr w:type="spellStart"/>
      <w:r w:rsidR="00C91FBC">
        <w:rPr>
          <w:bCs/>
        </w:rPr>
        <w:t>Border</w:t>
      </w:r>
      <w:proofErr w:type="spellEnd"/>
      <w:r w:rsidR="00C91FBC">
        <w:rPr>
          <w:bCs/>
        </w:rPr>
        <w:t xml:space="preserve"> </w:t>
      </w:r>
      <w:proofErr w:type="spellStart"/>
      <w:r w:rsidR="00C91FBC">
        <w:rPr>
          <w:bCs/>
        </w:rPr>
        <w:t>Rulings</w:t>
      </w:r>
      <w:proofErr w:type="spellEnd"/>
      <w:r w:rsidR="00C91FBC">
        <w:rPr>
          <w:bCs/>
        </w:rPr>
        <w:t xml:space="preserve"> </w:t>
      </w:r>
      <w:r w:rsidRPr="00FA5648">
        <w:rPr>
          <w:bCs/>
        </w:rPr>
        <w:t>CBR)</w:t>
      </w:r>
    </w:p>
    <w:p w:rsidR="00C91FBC" w:rsidRPr="00C91FBC" w:rsidRDefault="00C91FBC" w:rsidP="00C91FBC">
      <w:pPr>
        <w:pStyle w:val="ZADEVA"/>
        <w:ind w:left="0" w:firstLine="0"/>
        <w:rPr>
          <w:rFonts w:ascii="Calibri" w:hAnsi="Calibri"/>
          <w:bCs/>
          <w:szCs w:val="22"/>
          <w:lang w:val="sl-SI"/>
        </w:rPr>
      </w:pPr>
      <w:r w:rsidRPr="00C91FBC">
        <w:rPr>
          <w:bCs/>
          <w:lang w:val="sl-SI"/>
        </w:rPr>
        <w:t>Pojasnilo FURS št. 4230-151/2019 z dne 10. 07. 2019</w:t>
      </w:r>
    </w:p>
    <w:p w:rsidR="00FA5648" w:rsidRPr="00C91FBC" w:rsidRDefault="00FA5648" w:rsidP="00FA5648"/>
    <w:p w:rsidR="00FA5648" w:rsidRPr="00C91FBC" w:rsidRDefault="00FA5648" w:rsidP="00FA5648">
      <w:pPr>
        <w:jc w:val="both"/>
      </w:pPr>
      <w:r w:rsidRPr="00C91FBC">
        <w:t>V okviru foruma EU o DDV je 18 držav članic vključenih v testno skupino (na prostovoljni bazi) za izdajo davčnih stališč v čezmejnih primerih. Davčni zavezanci vložijo zahtevek za davčno stališče s čezmejnim učinkom v sodelujoči državi članici, v kateri so identificirani za namene DDV.  </w:t>
      </w:r>
    </w:p>
    <w:p w:rsidR="00FA5648" w:rsidRPr="00C91FBC" w:rsidRDefault="00FA5648" w:rsidP="00FA5648">
      <w:pPr>
        <w:jc w:val="both"/>
      </w:pPr>
    </w:p>
    <w:p w:rsidR="00FA5648" w:rsidRDefault="00FA5648" w:rsidP="00FA5648">
      <w:pPr>
        <w:jc w:val="both"/>
      </w:pPr>
      <w:r w:rsidRPr="00C91FBC">
        <w:t>Vsaka država članica, ki bo prejela zaprosilo za izdajo davčnega stališča</w:t>
      </w:r>
      <w:r>
        <w:t xml:space="preserve">, se je obvezala, da se bo posvetovala z drugo državo članico, ki sodeluje v projektu, v zvezi s tem, ali so izpolnjeni vsi pogoji za izdajo davčnega stališča. V primeru, da vprašanje ne bo zajemalo vseh podatkov oz. relevantnih informacij, ki bi bile nujno potrebne za razjasnitev primera, država članica, v kateri je bilo vprašanje postavljeno, zaprosi za dopolnitev le tega. Države članice bodo v zvezi z izpostavljeno problematiko izmenjale mnenja ter sprejele odločitev kakor hitro bo to mogoče. V procesu izdaje davčnega stališča ni nujno, da države članice dosežejo enotno stališče glede DDV obravnave čezmejne transakcije. V tem primeru bo država članica, ki je vprašanje prejela, podala svoj odgovor ter priložila odgovor drugih držav članic. </w:t>
      </w:r>
    </w:p>
    <w:p w:rsidR="00FA5648" w:rsidRDefault="00FA5648" w:rsidP="00FA5648">
      <w:pPr>
        <w:jc w:val="both"/>
      </w:pPr>
    </w:p>
    <w:p w:rsidR="00FA5648" w:rsidRDefault="00FA5648" w:rsidP="00FA5648">
      <w:pPr>
        <w:jc w:val="both"/>
      </w:pPr>
      <w:r>
        <w:t xml:space="preserve">V Sloveniji izdano stališče nima zavezujočih pravnih posledic, za davčnega zavezanca pa predstavlja določeno predhodno informacijo glede davčne obravnave čezmejne transakcije v državah članicah, na katere se nameravana transakcija nanaša. Gre za izdajo pojasnila na podlagi 13. člena </w:t>
      </w:r>
      <w:hyperlink r:id="rId8" w:history="1">
        <w:r>
          <w:rPr>
            <w:rStyle w:val="Hiperpovezava"/>
          </w:rPr>
          <w:t>Zakona o davčnem postopku – ZDavP-2</w:t>
        </w:r>
      </w:hyperlink>
      <w:r>
        <w:t>.</w:t>
      </w:r>
    </w:p>
    <w:p w:rsidR="00FA5648" w:rsidRDefault="00FA5648" w:rsidP="00FA5648">
      <w:pPr>
        <w:jc w:val="both"/>
      </w:pPr>
    </w:p>
    <w:p w:rsidR="00FA5648" w:rsidRDefault="00FA5648" w:rsidP="00FA5648">
      <w:pPr>
        <w:jc w:val="both"/>
        <w:rPr>
          <w:color w:val="5B9BD5"/>
        </w:rPr>
      </w:pPr>
      <w:r>
        <w:t xml:space="preserve">Več informacij v zvezi s testnim projektom CBR je objavljeno na spletni strani Evropske komisije, na naslednji povezavi: </w:t>
      </w:r>
      <w:hyperlink r:id="rId9" w:history="1">
        <w:r>
          <w:rPr>
            <w:rStyle w:val="Hiperpovezava"/>
            <w:color w:val="5B9BD5"/>
          </w:rPr>
          <w:t>https://ec.europa.eu/taxation_customs/sites/taxation/files/cbr_info-notice-to-the-public_sl.pdf</w:t>
        </w:r>
      </w:hyperlink>
    </w:p>
    <w:p w:rsidR="009D2E2A" w:rsidRPr="004403C6" w:rsidRDefault="009D2E2A" w:rsidP="00FA5648">
      <w:pPr>
        <w:pStyle w:val="Navadensplet"/>
        <w:spacing w:line="26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sectPr w:rsidR="009D2E2A" w:rsidRPr="004403C6" w:rsidSect="00F0025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E3" w:rsidRDefault="00551EE3">
      <w:pPr>
        <w:spacing w:line="240" w:lineRule="auto"/>
      </w:pPr>
      <w:r>
        <w:separator/>
      </w:r>
    </w:p>
  </w:endnote>
  <w:endnote w:type="continuationSeparator" w:id="0">
    <w:p w:rsidR="00551EE3" w:rsidRDefault="00551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A4CEF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91FB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91FB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A4CEF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91FB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91FB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E3" w:rsidRDefault="00551EE3">
      <w:pPr>
        <w:spacing w:line="240" w:lineRule="auto"/>
      </w:pPr>
      <w:r>
        <w:separator/>
      </w:r>
    </w:p>
  </w:footnote>
  <w:footnote w:type="continuationSeparator" w:id="0">
    <w:p w:rsidR="00551EE3" w:rsidRDefault="00551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62C37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6126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03176" w:tentative="1">
      <w:start w:val="1"/>
      <w:numFmt w:val="lowerLetter"/>
      <w:lvlText w:val="%2."/>
      <w:lvlJc w:val="left"/>
      <w:pPr>
        <w:ind w:left="1800" w:hanging="360"/>
      </w:pPr>
    </w:lvl>
    <w:lvl w:ilvl="2" w:tplc="E3EA0FD8" w:tentative="1">
      <w:start w:val="1"/>
      <w:numFmt w:val="lowerRoman"/>
      <w:lvlText w:val="%3."/>
      <w:lvlJc w:val="right"/>
      <w:pPr>
        <w:ind w:left="2520" w:hanging="180"/>
      </w:pPr>
    </w:lvl>
    <w:lvl w:ilvl="3" w:tplc="1018DCD4" w:tentative="1">
      <w:start w:val="1"/>
      <w:numFmt w:val="decimal"/>
      <w:lvlText w:val="%4."/>
      <w:lvlJc w:val="left"/>
      <w:pPr>
        <w:ind w:left="3240" w:hanging="360"/>
      </w:pPr>
    </w:lvl>
    <w:lvl w:ilvl="4" w:tplc="530EB63C" w:tentative="1">
      <w:start w:val="1"/>
      <w:numFmt w:val="lowerLetter"/>
      <w:lvlText w:val="%5."/>
      <w:lvlJc w:val="left"/>
      <w:pPr>
        <w:ind w:left="3960" w:hanging="360"/>
      </w:pPr>
    </w:lvl>
    <w:lvl w:ilvl="5" w:tplc="90E2AFDE" w:tentative="1">
      <w:start w:val="1"/>
      <w:numFmt w:val="lowerRoman"/>
      <w:lvlText w:val="%6."/>
      <w:lvlJc w:val="right"/>
      <w:pPr>
        <w:ind w:left="4680" w:hanging="180"/>
      </w:pPr>
    </w:lvl>
    <w:lvl w:ilvl="6" w:tplc="5F2ED89A" w:tentative="1">
      <w:start w:val="1"/>
      <w:numFmt w:val="decimal"/>
      <w:lvlText w:val="%7."/>
      <w:lvlJc w:val="left"/>
      <w:pPr>
        <w:ind w:left="5400" w:hanging="360"/>
      </w:pPr>
    </w:lvl>
    <w:lvl w:ilvl="7" w:tplc="17AC8374" w:tentative="1">
      <w:start w:val="1"/>
      <w:numFmt w:val="lowerLetter"/>
      <w:lvlText w:val="%8."/>
      <w:lvlJc w:val="left"/>
      <w:pPr>
        <w:ind w:left="6120" w:hanging="360"/>
      </w:pPr>
    </w:lvl>
    <w:lvl w:ilvl="8" w:tplc="9642FE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37EF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E8D4C6" w:tentative="1">
      <w:start w:val="1"/>
      <w:numFmt w:val="lowerLetter"/>
      <w:lvlText w:val="%2."/>
      <w:lvlJc w:val="left"/>
      <w:pPr>
        <w:ind w:left="1080" w:hanging="360"/>
      </w:pPr>
    </w:lvl>
    <w:lvl w:ilvl="2" w:tplc="51A23698" w:tentative="1">
      <w:start w:val="1"/>
      <w:numFmt w:val="lowerRoman"/>
      <w:lvlText w:val="%3."/>
      <w:lvlJc w:val="right"/>
      <w:pPr>
        <w:ind w:left="1800" w:hanging="180"/>
      </w:pPr>
    </w:lvl>
    <w:lvl w:ilvl="3" w:tplc="DED8A094" w:tentative="1">
      <w:start w:val="1"/>
      <w:numFmt w:val="decimal"/>
      <w:lvlText w:val="%4."/>
      <w:lvlJc w:val="left"/>
      <w:pPr>
        <w:ind w:left="2520" w:hanging="360"/>
      </w:pPr>
    </w:lvl>
    <w:lvl w:ilvl="4" w:tplc="F0745620" w:tentative="1">
      <w:start w:val="1"/>
      <w:numFmt w:val="lowerLetter"/>
      <w:lvlText w:val="%5."/>
      <w:lvlJc w:val="left"/>
      <w:pPr>
        <w:ind w:left="3240" w:hanging="360"/>
      </w:pPr>
    </w:lvl>
    <w:lvl w:ilvl="5" w:tplc="A464FA0E" w:tentative="1">
      <w:start w:val="1"/>
      <w:numFmt w:val="lowerRoman"/>
      <w:lvlText w:val="%6."/>
      <w:lvlJc w:val="right"/>
      <w:pPr>
        <w:ind w:left="3960" w:hanging="180"/>
      </w:pPr>
    </w:lvl>
    <w:lvl w:ilvl="6" w:tplc="6E0A0292" w:tentative="1">
      <w:start w:val="1"/>
      <w:numFmt w:val="decimal"/>
      <w:lvlText w:val="%7."/>
      <w:lvlJc w:val="left"/>
      <w:pPr>
        <w:ind w:left="4680" w:hanging="360"/>
      </w:pPr>
    </w:lvl>
    <w:lvl w:ilvl="7" w:tplc="0E0ACFF2" w:tentative="1">
      <w:start w:val="1"/>
      <w:numFmt w:val="lowerLetter"/>
      <w:lvlText w:val="%8."/>
      <w:lvlJc w:val="left"/>
      <w:pPr>
        <w:ind w:left="5400" w:hanging="360"/>
      </w:pPr>
    </w:lvl>
    <w:lvl w:ilvl="8" w:tplc="0DA6D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D60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4F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68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E4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04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87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40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1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43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8B887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88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29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0F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0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81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E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69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8B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57D0"/>
    <w:rsid w:val="000063FF"/>
    <w:rsid w:val="00020508"/>
    <w:rsid w:val="000206AE"/>
    <w:rsid w:val="00020CF0"/>
    <w:rsid w:val="00023A88"/>
    <w:rsid w:val="000636E1"/>
    <w:rsid w:val="0008352D"/>
    <w:rsid w:val="000A07CE"/>
    <w:rsid w:val="000A2C92"/>
    <w:rsid w:val="000A63EB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A3BA5"/>
    <w:rsid w:val="001A5604"/>
    <w:rsid w:val="001C0CDC"/>
    <w:rsid w:val="001C53FE"/>
    <w:rsid w:val="001F3B21"/>
    <w:rsid w:val="001F62F3"/>
    <w:rsid w:val="001F7BC0"/>
    <w:rsid w:val="00202A77"/>
    <w:rsid w:val="00213CE1"/>
    <w:rsid w:val="00232E47"/>
    <w:rsid w:val="00260D40"/>
    <w:rsid w:val="00262960"/>
    <w:rsid w:val="00271CE5"/>
    <w:rsid w:val="00282020"/>
    <w:rsid w:val="00285890"/>
    <w:rsid w:val="002934F1"/>
    <w:rsid w:val="002C7EEB"/>
    <w:rsid w:val="00304726"/>
    <w:rsid w:val="00312172"/>
    <w:rsid w:val="00315D82"/>
    <w:rsid w:val="00352109"/>
    <w:rsid w:val="003636BF"/>
    <w:rsid w:val="00370AA7"/>
    <w:rsid w:val="00371034"/>
    <w:rsid w:val="003719BD"/>
    <w:rsid w:val="0037479F"/>
    <w:rsid w:val="00377950"/>
    <w:rsid w:val="003828AD"/>
    <w:rsid w:val="003845B4"/>
    <w:rsid w:val="00387B1A"/>
    <w:rsid w:val="003A5ABC"/>
    <w:rsid w:val="003B5CF4"/>
    <w:rsid w:val="003C3B1D"/>
    <w:rsid w:val="003D0306"/>
    <w:rsid w:val="003E1C74"/>
    <w:rsid w:val="003F4966"/>
    <w:rsid w:val="00462C37"/>
    <w:rsid w:val="00464E97"/>
    <w:rsid w:val="0047497B"/>
    <w:rsid w:val="00484A06"/>
    <w:rsid w:val="004A4233"/>
    <w:rsid w:val="004A6A59"/>
    <w:rsid w:val="004B160E"/>
    <w:rsid w:val="004E3CE3"/>
    <w:rsid w:val="004E54A8"/>
    <w:rsid w:val="005149DF"/>
    <w:rsid w:val="00525C18"/>
    <w:rsid w:val="00526246"/>
    <w:rsid w:val="00551EE3"/>
    <w:rsid w:val="00565E4F"/>
    <w:rsid w:val="00567106"/>
    <w:rsid w:val="005709F2"/>
    <w:rsid w:val="005916E5"/>
    <w:rsid w:val="005A7C04"/>
    <w:rsid w:val="005B0438"/>
    <w:rsid w:val="005C21DB"/>
    <w:rsid w:val="005E1D3C"/>
    <w:rsid w:val="006268BE"/>
    <w:rsid w:val="00631CB9"/>
    <w:rsid w:val="00632253"/>
    <w:rsid w:val="00633FCD"/>
    <w:rsid w:val="00642714"/>
    <w:rsid w:val="00643C4E"/>
    <w:rsid w:val="006455CE"/>
    <w:rsid w:val="0066462C"/>
    <w:rsid w:val="00682892"/>
    <w:rsid w:val="006D42D9"/>
    <w:rsid w:val="006F142E"/>
    <w:rsid w:val="007124CB"/>
    <w:rsid w:val="00726463"/>
    <w:rsid w:val="00733017"/>
    <w:rsid w:val="00751D38"/>
    <w:rsid w:val="007533EB"/>
    <w:rsid w:val="00763FE6"/>
    <w:rsid w:val="00775FED"/>
    <w:rsid w:val="007778A0"/>
    <w:rsid w:val="00783310"/>
    <w:rsid w:val="00785148"/>
    <w:rsid w:val="00794E63"/>
    <w:rsid w:val="007A4A6D"/>
    <w:rsid w:val="007A4CEF"/>
    <w:rsid w:val="007A68A1"/>
    <w:rsid w:val="007D1BCF"/>
    <w:rsid w:val="007D75CF"/>
    <w:rsid w:val="007D7A8D"/>
    <w:rsid w:val="007E6DC5"/>
    <w:rsid w:val="008556E3"/>
    <w:rsid w:val="0088043C"/>
    <w:rsid w:val="0088640C"/>
    <w:rsid w:val="008906C9"/>
    <w:rsid w:val="008A5918"/>
    <w:rsid w:val="008B2E72"/>
    <w:rsid w:val="008C00F2"/>
    <w:rsid w:val="008C5738"/>
    <w:rsid w:val="008D04F0"/>
    <w:rsid w:val="008F3500"/>
    <w:rsid w:val="009022B3"/>
    <w:rsid w:val="009057E5"/>
    <w:rsid w:val="00924D0A"/>
    <w:rsid w:val="00924E3C"/>
    <w:rsid w:val="009612BB"/>
    <w:rsid w:val="00964E3F"/>
    <w:rsid w:val="009B0295"/>
    <w:rsid w:val="009C5003"/>
    <w:rsid w:val="009C5340"/>
    <w:rsid w:val="009D2E2A"/>
    <w:rsid w:val="009D60CF"/>
    <w:rsid w:val="009E42F2"/>
    <w:rsid w:val="009E5404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B0DAA"/>
    <w:rsid w:val="00AB61BA"/>
    <w:rsid w:val="00AC5C16"/>
    <w:rsid w:val="00AD5A5B"/>
    <w:rsid w:val="00B011EA"/>
    <w:rsid w:val="00B17141"/>
    <w:rsid w:val="00B31575"/>
    <w:rsid w:val="00B427A3"/>
    <w:rsid w:val="00B677B6"/>
    <w:rsid w:val="00B8547D"/>
    <w:rsid w:val="00BC61EF"/>
    <w:rsid w:val="00BE423F"/>
    <w:rsid w:val="00C20939"/>
    <w:rsid w:val="00C24111"/>
    <w:rsid w:val="00C250D5"/>
    <w:rsid w:val="00C40C3E"/>
    <w:rsid w:val="00C44B30"/>
    <w:rsid w:val="00C47F8D"/>
    <w:rsid w:val="00C52DAE"/>
    <w:rsid w:val="00C57EED"/>
    <w:rsid w:val="00C81391"/>
    <w:rsid w:val="00C85F8E"/>
    <w:rsid w:val="00C91FBC"/>
    <w:rsid w:val="00C92898"/>
    <w:rsid w:val="00C97222"/>
    <w:rsid w:val="00CA0CC8"/>
    <w:rsid w:val="00CE7514"/>
    <w:rsid w:val="00D248DE"/>
    <w:rsid w:val="00D25427"/>
    <w:rsid w:val="00D31B74"/>
    <w:rsid w:val="00D3564D"/>
    <w:rsid w:val="00D84070"/>
    <w:rsid w:val="00D8542D"/>
    <w:rsid w:val="00DA0F78"/>
    <w:rsid w:val="00DA6CA9"/>
    <w:rsid w:val="00DB11E1"/>
    <w:rsid w:val="00DC62F6"/>
    <w:rsid w:val="00DC6A71"/>
    <w:rsid w:val="00DD6CC3"/>
    <w:rsid w:val="00DE5B46"/>
    <w:rsid w:val="00E0357D"/>
    <w:rsid w:val="00E24EC2"/>
    <w:rsid w:val="00E34F5B"/>
    <w:rsid w:val="00E51C0F"/>
    <w:rsid w:val="00E61C5F"/>
    <w:rsid w:val="00E8201C"/>
    <w:rsid w:val="00E842EA"/>
    <w:rsid w:val="00E847DF"/>
    <w:rsid w:val="00EC5838"/>
    <w:rsid w:val="00ED00D1"/>
    <w:rsid w:val="00ED37A6"/>
    <w:rsid w:val="00ED7E82"/>
    <w:rsid w:val="00EF3280"/>
    <w:rsid w:val="00F0025B"/>
    <w:rsid w:val="00F02E53"/>
    <w:rsid w:val="00F136A6"/>
    <w:rsid w:val="00F240BB"/>
    <w:rsid w:val="00F42CE8"/>
    <w:rsid w:val="00F46724"/>
    <w:rsid w:val="00F47F58"/>
    <w:rsid w:val="00F50A22"/>
    <w:rsid w:val="00F51177"/>
    <w:rsid w:val="00F51776"/>
    <w:rsid w:val="00F57FED"/>
    <w:rsid w:val="00F870FE"/>
    <w:rsid w:val="00F907E8"/>
    <w:rsid w:val="00F929DD"/>
    <w:rsid w:val="00FA28F4"/>
    <w:rsid w:val="00FA5648"/>
    <w:rsid w:val="00FD131D"/>
    <w:rsid w:val="00FD746A"/>
    <w:rsid w:val="00FE2C65"/>
    <w:rsid w:val="00FF0AB1"/>
    <w:rsid w:val="00FF58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C1A9F1-29DA-4056-B99D-4F4BC80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9D2E2A"/>
    <w:pPr>
      <w:spacing w:line="240" w:lineRule="auto"/>
    </w:pPr>
    <w:rPr>
      <w:rFonts w:ascii="Verdana" w:hAnsi="Verdana"/>
      <w:color w:val="323232"/>
      <w:sz w:val="17"/>
      <w:szCs w:val="17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9D2E2A"/>
    <w:pPr>
      <w:spacing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D2E2A"/>
    <w:rPr>
      <w:rFonts w:ascii="Consolas" w:eastAsia="Calibri" w:hAnsi="Consolas"/>
      <w:sz w:val="21"/>
      <w:szCs w:val="21"/>
      <w:lang w:val="en-US" w:eastAsia="en-US"/>
    </w:rPr>
  </w:style>
  <w:style w:type="character" w:styleId="Krepko">
    <w:name w:val="Strong"/>
    <w:basedOn w:val="Privzetapisavaodstavka"/>
    <w:qFormat/>
    <w:rsid w:val="000A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taxation_customs/sites/taxation/files/cbr_info-notice-to-the-public_sl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1671-E39C-4E73-8092-B133F90F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FURS</cp:lastModifiedBy>
  <cp:revision>2</cp:revision>
  <cp:lastPrinted>2010-07-05T10:38:00Z</cp:lastPrinted>
  <dcterms:created xsi:type="dcterms:W3CDTF">2019-07-10T10:55:00Z</dcterms:created>
  <dcterms:modified xsi:type="dcterms:W3CDTF">2019-07-10T10:55:00Z</dcterms:modified>
</cp:coreProperties>
</file>