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CD4E54" w:rsidP="00E853E8">
      <w:pPr>
        <w:pStyle w:val="datumtevilka"/>
        <w:jc w:val="center"/>
        <w:rPr>
          <w:b/>
          <w:sz w:val="32"/>
          <w:szCs w:val="32"/>
        </w:rPr>
      </w:pPr>
      <w:r>
        <w:rPr>
          <w:b/>
          <w:sz w:val="32"/>
          <w:szCs w:val="32"/>
        </w:rPr>
        <w:t>VARNOST NEŽIVILSKIH PROIZVODOV</w:t>
      </w:r>
    </w:p>
    <w:p w:rsidR="00887E1E" w:rsidRDefault="00366607" w:rsidP="00E853E8">
      <w:pPr>
        <w:pStyle w:val="datumtevilka"/>
        <w:jc w:val="center"/>
      </w:pPr>
      <w:r w:rsidRPr="00366607">
        <w:rPr>
          <w:b/>
          <w:sz w:val="32"/>
          <w:szCs w:val="32"/>
        </w:rPr>
        <w:t xml:space="preserve">Postopek </w:t>
      </w:r>
      <w:r w:rsidR="00CD4E54">
        <w:rPr>
          <w:b/>
          <w:sz w:val="32"/>
          <w:szCs w:val="32"/>
        </w:rPr>
        <w:t xml:space="preserve">izvajanja nadzora </w:t>
      </w:r>
      <w:r w:rsidRPr="00366607">
        <w:rPr>
          <w:b/>
          <w:sz w:val="32"/>
          <w:szCs w:val="32"/>
        </w:rPr>
        <w:t>carinski</w:t>
      </w:r>
      <w:r w:rsidR="00CD4E54">
        <w:rPr>
          <w:b/>
          <w:sz w:val="32"/>
          <w:szCs w:val="32"/>
        </w:rPr>
        <w:t>h organov</w:t>
      </w: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675F47">
      <w:pPr>
        <w:pStyle w:val="podpisi"/>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D4E54" w:rsidRDefault="00E853E8" w:rsidP="00CD4E54">
      <w:pPr>
        <w:pStyle w:val="podpisi"/>
        <w:numPr>
          <w:ilvl w:val="0"/>
          <w:numId w:val="15"/>
        </w:numPr>
        <w:jc w:val="center"/>
        <w:rPr>
          <w:b/>
          <w:sz w:val="28"/>
          <w:lang w:val="sl-SI"/>
        </w:rPr>
      </w:pPr>
      <w:r>
        <w:rPr>
          <w:b/>
          <w:sz w:val="28"/>
          <w:lang w:val="sl-SI"/>
        </w:rPr>
        <w:t xml:space="preserve">izdaja, </w:t>
      </w:r>
      <w:r w:rsidR="00675F47">
        <w:rPr>
          <w:b/>
          <w:sz w:val="28"/>
          <w:lang w:val="sl-SI"/>
        </w:rPr>
        <w:t>MAREC 2015</w:t>
      </w:r>
    </w:p>
    <w:p w:rsidR="00CD4E54" w:rsidRDefault="00CD4E54" w:rsidP="00CD4E54">
      <w:pPr>
        <w:pStyle w:val="podpisi"/>
        <w:rPr>
          <w:b/>
          <w:sz w:val="28"/>
          <w:lang w:val="sl-SI"/>
        </w:rPr>
      </w:pPr>
      <w:r>
        <w:rPr>
          <w:b/>
          <w:sz w:val="28"/>
          <w:lang w:val="sl-SI"/>
        </w:rPr>
        <w:lastRenderedPageBreak/>
        <w:t>KA</w:t>
      </w:r>
      <w:bookmarkStart w:id="0" w:name="_GoBack"/>
      <w:bookmarkEnd w:id="0"/>
      <w:r>
        <w:rPr>
          <w:b/>
          <w:sz w:val="28"/>
          <w:lang w:val="sl-SI"/>
        </w:rPr>
        <w:t>ZALO</w:t>
      </w:r>
    </w:p>
    <w:p w:rsidR="00CD4E54" w:rsidRDefault="00CD4E54" w:rsidP="00CD4E54">
      <w:pPr>
        <w:pStyle w:val="podpisi"/>
        <w:rPr>
          <w:b/>
          <w:sz w:val="28"/>
          <w:lang w:val="sl-SI"/>
        </w:rPr>
      </w:pPr>
    </w:p>
    <w:p w:rsidR="00CD4E54" w:rsidRPr="00CD4E54" w:rsidRDefault="00CD4E54">
      <w:pPr>
        <w:pStyle w:val="Kazalovsebine1"/>
        <w:tabs>
          <w:tab w:val="left" w:pos="400"/>
          <w:tab w:val="right" w:leader="dot" w:pos="8488"/>
        </w:tabs>
        <w:rPr>
          <w:rFonts w:ascii="Arial" w:eastAsiaTheme="minorEastAsia" w:hAnsi="Arial" w:cs="Arial"/>
          <w:b w:val="0"/>
          <w:bCs w:val="0"/>
          <w:caps w:val="0"/>
          <w:noProof/>
          <w:sz w:val="24"/>
          <w:szCs w:val="24"/>
          <w:lang w:val="sl-SI" w:eastAsia="sl-SI"/>
        </w:rPr>
      </w:pPr>
      <w:r w:rsidRPr="00CD4E54">
        <w:rPr>
          <w:rFonts w:ascii="Arial" w:hAnsi="Arial" w:cs="Arial"/>
          <w:b w:val="0"/>
          <w:sz w:val="24"/>
          <w:szCs w:val="24"/>
          <w:lang w:val="sl-SI"/>
        </w:rPr>
        <w:fldChar w:fldCharType="begin"/>
      </w:r>
      <w:r w:rsidRPr="00CD4E54">
        <w:rPr>
          <w:rFonts w:ascii="Arial" w:hAnsi="Arial" w:cs="Arial"/>
          <w:b w:val="0"/>
          <w:sz w:val="24"/>
          <w:szCs w:val="24"/>
          <w:lang w:val="sl-SI"/>
        </w:rPr>
        <w:instrText xml:space="preserve"> TOC \o "1-3" \h \z \u </w:instrText>
      </w:r>
      <w:r w:rsidRPr="00CD4E54">
        <w:rPr>
          <w:rFonts w:ascii="Arial" w:hAnsi="Arial" w:cs="Arial"/>
          <w:b w:val="0"/>
          <w:sz w:val="24"/>
          <w:szCs w:val="24"/>
          <w:lang w:val="sl-SI"/>
        </w:rPr>
        <w:fldChar w:fldCharType="separate"/>
      </w:r>
      <w:hyperlink w:anchor="_Toc432079686" w:history="1">
        <w:r w:rsidRPr="00CD4E54">
          <w:rPr>
            <w:rStyle w:val="Hiperpovezava"/>
            <w:rFonts w:ascii="Arial" w:hAnsi="Arial" w:cs="Arial"/>
            <w:b w:val="0"/>
            <w:noProof/>
            <w:sz w:val="24"/>
            <w:szCs w:val="24"/>
            <w:lang w:val="sl-SI"/>
          </w:rPr>
          <w:t>1.</w:t>
        </w:r>
        <w:r w:rsidRPr="00CD4E54">
          <w:rPr>
            <w:rFonts w:ascii="Arial" w:eastAsiaTheme="minorEastAsia" w:hAnsi="Arial" w:cs="Arial"/>
            <w:b w:val="0"/>
            <w:bCs w:val="0"/>
            <w:caps w:val="0"/>
            <w:noProof/>
            <w:sz w:val="24"/>
            <w:szCs w:val="24"/>
            <w:lang w:val="sl-SI" w:eastAsia="sl-SI"/>
          </w:rPr>
          <w:tab/>
        </w:r>
        <w:r w:rsidRPr="00CD4E54">
          <w:rPr>
            <w:rStyle w:val="Hiperpovezava"/>
            <w:rFonts w:ascii="Arial" w:hAnsi="Arial" w:cs="Arial"/>
            <w:b w:val="0"/>
            <w:noProof/>
            <w:sz w:val="24"/>
            <w:szCs w:val="24"/>
            <w:lang w:val="sl-SI"/>
          </w:rPr>
          <w:t>SPLOŠNO</w:t>
        </w:r>
        <w:r w:rsidRPr="00CD4E54">
          <w:rPr>
            <w:rFonts w:ascii="Arial" w:hAnsi="Arial" w:cs="Arial"/>
            <w:b w:val="0"/>
            <w:noProof/>
            <w:webHidden/>
            <w:sz w:val="24"/>
            <w:szCs w:val="24"/>
          </w:rPr>
          <w:tab/>
        </w:r>
        <w:r w:rsidRPr="00CD4E54">
          <w:rPr>
            <w:rFonts w:ascii="Arial" w:hAnsi="Arial" w:cs="Arial"/>
            <w:b w:val="0"/>
            <w:noProof/>
            <w:webHidden/>
            <w:sz w:val="24"/>
            <w:szCs w:val="24"/>
          </w:rPr>
          <w:fldChar w:fldCharType="begin"/>
        </w:r>
        <w:r w:rsidRPr="00CD4E54">
          <w:rPr>
            <w:rFonts w:ascii="Arial" w:hAnsi="Arial" w:cs="Arial"/>
            <w:b w:val="0"/>
            <w:noProof/>
            <w:webHidden/>
            <w:sz w:val="24"/>
            <w:szCs w:val="24"/>
          </w:rPr>
          <w:instrText xml:space="preserve"> PAGEREF _Toc432079686 \h </w:instrText>
        </w:r>
        <w:r w:rsidRPr="00CD4E54">
          <w:rPr>
            <w:rFonts w:ascii="Arial" w:hAnsi="Arial" w:cs="Arial"/>
            <w:b w:val="0"/>
            <w:noProof/>
            <w:webHidden/>
            <w:sz w:val="24"/>
            <w:szCs w:val="24"/>
          </w:rPr>
        </w:r>
        <w:r w:rsidRPr="00CD4E54">
          <w:rPr>
            <w:rFonts w:ascii="Arial" w:hAnsi="Arial" w:cs="Arial"/>
            <w:b w:val="0"/>
            <w:noProof/>
            <w:webHidden/>
            <w:sz w:val="24"/>
            <w:szCs w:val="24"/>
          </w:rPr>
          <w:fldChar w:fldCharType="separate"/>
        </w:r>
        <w:r w:rsidRPr="00CD4E54">
          <w:rPr>
            <w:rFonts w:ascii="Arial" w:hAnsi="Arial" w:cs="Arial"/>
            <w:b w:val="0"/>
            <w:noProof/>
            <w:webHidden/>
            <w:sz w:val="24"/>
            <w:szCs w:val="24"/>
          </w:rPr>
          <w:t>3</w:t>
        </w:r>
        <w:r w:rsidRPr="00CD4E54">
          <w:rPr>
            <w:rFonts w:ascii="Arial" w:hAnsi="Arial" w:cs="Arial"/>
            <w:b w:val="0"/>
            <w:noProof/>
            <w:webHidden/>
            <w:sz w:val="24"/>
            <w:szCs w:val="24"/>
          </w:rPr>
          <w:fldChar w:fldCharType="end"/>
        </w:r>
      </w:hyperlink>
    </w:p>
    <w:p w:rsidR="00CD4E54" w:rsidRDefault="00CD4E54" w:rsidP="00CD4E54">
      <w:pPr>
        <w:pStyle w:val="podpisi"/>
        <w:rPr>
          <w:b/>
          <w:sz w:val="28"/>
          <w:lang w:val="sl-SI"/>
        </w:rPr>
      </w:pPr>
      <w:r w:rsidRPr="00CD4E54">
        <w:rPr>
          <w:rFonts w:cs="Arial"/>
          <w:sz w:val="24"/>
          <w:lang w:val="sl-SI"/>
        </w:rPr>
        <w:fldChar w:fldCharType="end"/>
      </w: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Default="00CD4E54" w:rsidP="00CD4E54">
      <w:pPr>
        <w:pStyle w:val="podpisi"/>
        <w:rPr>
          <w:b/>
          <w:sz w:val="28"/>
          <w:lang w:val="sl-SI"/>
        </w:rPr>
      </w:pPr>
    </w:p>
    <w:p w:rsidR="00CD4E54" w:rsidRPr="00CD4E54" w:rsidRDefault="00CD4E54" w:rsidP="00CD4E54">
      <w:pPr>
        <w:pStyle w:val="Naslov"/>
        <w:numPr>
          <w:ilvl w:val="0"/>
          <w:numId w:val="17"/>
        </w:numPr>
        <w:ind w:left="567" w:hanging="567"/>
        <w:jc w:val="left"/>
        <w:rPr>
          <w:rFonts w:ascii="Arial" w:hAnsi="Arial" w:cs="Arial"/>
          <w:sz w:val="24"/>
          <w:szCs w:val="24"/>
          <w:lang w:val="sl-SI"/>
        </w:rPr>
      </w:pPr>
      <w:bookmarkStart w:id="1" w:name="_Toc432079640"/>
      <w:bookmarkStart w:id="2" w:name="_Toc432079672"/>
      <w:bookmarkStart w:id="3" w:name="_Toc432079686"/>
      <w:r w:rsidRPr="00CD4E54">
        <w:rPr>
          <w:rFonts w:ascii="Arial" w:hAnsi="Arial" w:cs="Arial"/>
          <w:sz w:val="24"/>
          <w:szCs w:val="24"/>
          <w:lang w:val="sl-SI"/>
        </w:rPr>
        <w:lastRenderedPageBreak/>
        <w:t>SPLOŠNO</w:t>
      </w:r>
      <w:bookmarkEnd w:id="1"/>
      <w:bookmarkEnd w:id="2"/>
      <w:bookmarkEnd w:id="3"/>
    </w:p>
    <w:p w:rsidR="00CD4E54" w:rsidRDefault="00CD4E54" w:rsidP="00CD4E54">
      <w:pPr>
        <w:pStyle w:val="podpisi"/>
        <w:rPr>
          <w:b/>
          <w:sz w:val="24"/>
          <w:lang w:val="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 xml:space="preserve">Carinski organi v okviru običajnih kontrol preverijo, ali ima proizvod oziroma serija proizvodov lastnosti, ki vzbujajo utemeljen sum o obstoju resne nevarnosti za zdravje in varnost potrošnikov, če bi se proizvod uporabljal v predpisanih in predvidljivih pogojih. Poleg tega preverijo, ali proizvod oziroma serijo proizvodov spremljajo predpisani dokumenti, njihovo označenost z oznako CE in upravičenost do teh dokumentov in oznake. </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Kadar carinski organi pri preverjanju blaga, deklariranega za sprostitev v prost promet, ugotovijo, da ima proizvod značilnosti, ki vzbujajo verjetnost, da proizvod, kadar je pravilno vgrajen, vzdrževan in uporabljen, resno ogroža zdravje oz. varnost potrošnikov, varovanje okolja ali katerikoli drugi javni interes, oziroma da proizvodu ni priložena predpisana izjava o skladnosti ali ni označen s predpisano oznako CE oziroma je ta nameščena neupravičeno, preprečijo njegovo sprostitev v prost promet. O tem takoj obvestijo pristojni organ za nadzor trga in blago začasno zadržijo za tri delovne dni.</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Carinski organi obvestijo krajevno pristojno območno enoto Tržnega inšpektorata RS v primeru začasnega zadržanja naslednjih proizvodov:</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 xml:space="preserve">električne in elektronske opreme, </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strojev,</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 xml:space="preserve">plinskih naprav, </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 xml:space="preserve">osebne varovalne opreme, </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 xml:space="preserve">radijske in telekomunikacijske terminalske oprema, </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 xml:space="preserve">gradbenih proizvodov, </w:t>
      </w:r>
    </w:p>
    <w:p w:rsidR="00CD4E54" w:rsidRPr="00CD4E54" w:rsidRDefault="00CD4E54" w:rsidP="00CD4E54">
      <w:pPr>
        <w:numPr>
          <w:ilvl w:val="0"/>
          <w:numId w:val="16"/>
        </w:numPr>
        <w:spacing w:line="264" w:lineRule="auto"/>
        <w:ind w:left="357" w:hanging="357"/>
        <w:jc w:val="both"/>
        <w:rPr>
          <w:rFonts w:cs="Arial"/>
          <w:szCs w:val="20"/>
          <w:lang w:val="sl-SI" w:eastAsia="sl-SI"/>
        </w:rPr>
      </w:pPr>
      <w:r w:rsidRPr="00CD4E54">
        <w:rPr>
          <w:rFonts w:cs="Arial"/>
          <w:szCs w:val="20"/>
          <w:lang w:val="sl-SI" w:eastAsia="sl-SI"/>
        </w:rPr>
        <w:t>rekreacijskih plovil.</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Za navedene proizvode je bila sprejeta posebna usklajevalna zakonodaja, zato morajo biti označeni z oznako CE. Pristojno območno enoto TIRS obvestijo carinski organi tudi v primeru, ko izvajajo nadzor nad cigaretnimi vžigalniki in otroško opremo. Veljavna zakonodaja za ti dve kategoriji proizvodov ne predpisuje označevanja z oznako CE ali izdajanja listin o skladnosti. Kljub temu morajo biti ti proizvodi izdelani v skladu s splošnimi varnostnimi zahtevami.</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V primeru začasnega zadržanja igrač</w:t>
      </w:r>
      <w:r w:rsidRPr="00CD4E54">
        <w:rPr>
          <w:rFonts w:cs="Arial"/>
          <w:b/>
          <w:szCs w:val="20"/>
          <w:lang w:val="sl-SI" w:eastAsia="sl-SI"/>
        </w:rPr>
        <w:t xml:space="preserve"> </w:t>
      </w:r>
      <w:r w:rsidRPr="00CD4E54">
        <w:rPr>
          <w:rFonts w:cs="Arial"/>
          <w:szCs w:val="20"/>
          <w:lang w:val="sl-SI" w:eastAsia="sl-SI"/>
        </w:rPr>
        <w:t xml:space="preserve">carinski organi obvestijo krajevno pristojno območno enoto Zdravstvenega inšpektorata RS. Čeprav otroške dude ne sodijo med igrače, izvaja nadzor nad njimi ZIRS, ki izvaja nadzor tudi nad vsebnostjo različnih kemikalij v plastičnih masah iz katerih so proizvedene igrače, npr. lutke. </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b/>
          <w:szCs w:val="20"/>
          <w:lang w:val="sl-SI" w:eastAsia="sl-SI"/>
        </w:rPr>
      </w:pPr>
      <w:r w:rsidRPr="00CD4E54">
        <w:rPr>
          <w:rFonts w:cs="Arial"/>
          <w:szCs w:val="20"/>
          <w:lang w:val="sl-SI" w:eastAsia="sl-SI"/>
        </w:rPr>
        <w:t>Kadar so zaradi vsebnosti prepovedane oziroma nadzorovane kemikalije začasno zadržani drugi proizvodi, carinski organi obvestijo Urad RS za kemikalije.</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Kadar gre za začasno zadržanje medicinskih pripomočkov, carinski organi obvestijo Javno agencijo RS za zdravila in medicinske pripomočke. Pri izvajanju nadzora nad premično tlačno opremo in enostavnimi tlačnimi posodami s carinskimi organi sodeluje Inšpektorat RS za infrastrukturo, zato je o zadržanju teh proizvodov treba obvestiti njihovo krajevno pristojno inšpekcijsko pisarno.</w:t>
      </w:r>
    </w:p>
    <w:p w:rsidR="00CD4E54" w:rsidRP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t>Če carinski organi v treh delovnih dneh od začasnega zadržanja pošiljke niso uradno obveščeni o morebitnih ukrepih, ki so jih sprejeli organi za nadzor trga, sprostijo pošiljko v prost promet. Ob tem morajo biti izpolnjeni vsi ostali pogoji za sprostitev pošiljke. Pošiljka se sprosti v prost promet tudi v primeru, ko organi za nadzor trga ugotovijo, da proizvodi ne pomenijo resnega tveganja za zdravje in varnost potrošnikov ali varstvo okolja oziroma ne kršijo posebne usklajevalne zakonodaje Evropske unije.</w:t>
      </w:r>
    </w:p>
    <w:p w:rsidR="00CD4E54" w:rsidRDefault="00CD4E54" w:rsidP="00CD4E54">
      <w:pPr>
        <w:spacing w:line="264" w:lineRule="auto"/>
        <w:jc w:val="both"/>
        <w:rPr>
          <w:rFonts w:cs="Arial"/>
          <w:szCs w:val="20"/>
          <w:lang w:val="sl-SI" w:eastAsia="sl-SI"/>
        </w:rPr>
      </w:pPr>
    </w:p>
    <w:p w:rsidR="00CD4E54" w:rsidRPr="00CD4E54" w:rsidRDefault="00CD4E54" w:rsidP="00CD4E54">
      <w:pPr>
        <w:spacing w:line="264" w:lineRule="auto"/>
        <w:jc w:val="both"/>
        <w:rPr>
          <w:rFonts w:cs="Arial"/>
          <w:szCs w:val="20"/>
          <w:lang w:val="sl-SI" w:eastAsia="sl-SI"/>
        </w:rPr>
      </w:pPr>
      <w:r w:rsidRPr="00CD4E54">
        <w:rPr>
          <w:rFonts w:cs="Arial"/>
          <w:szCs w:val="20"/>
          <w:lang w:val="sl-SI" w:eastAsia="sl-SI"/>
        </w:rPr>
        <w:lastRenderedPageBreak/>
        <w:t xml:space="preserve">Kadar organi za nadzor trga ugotovijo, da proizvodi predstavljajo resno in neposredno nevarnost za potrošnike ali okolje oziroma niso skladni z usklajevalno zakonodajo, sprejmejo ustrezne ukrepe, med katerimi je tudi prepoved dajanja proizvodov na trg. V tem primeru carinski organi zavrnejo sprostitev proizvodov v prost promet, spremljajoče dokumente pa označijo s predpisanim zaznamkom; »Nevaren/neskladen proizvod – sprostitev v prost promet ni dovoljena – uredba 765/08«. </w:t>
      </w:r>
    </w:p>
    <w:p w:rsidR="00CD4E54" w:rsidRPr="00CD4E54" w:rsidRDefault="00CD4E54" w:rsidP="00CD4E54">
      <w:pPr>
        <w:pStyle w:val="podpisi"/>
        <w:rPr>
          <w:b/>
          <w:sz w:val="24"/>
          <w:lang w:val="sl-SI"/>
        </w:rPr>
      </w:pPr>
    </w:p>
    <w:sectPr w:rsidR="00CD4E54" w:rsidRPr="00CD4E54"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8" w:rsidRDefault="008857B8">
      <w:r>
        <w:separator/>
      </w:r>
    </w:p>
  </w:endnote>
  <w:endnote w:type="continuationSeparator" w:id="0">
    <w:p w:rsidR="008857B8" w:rsidRDefault="0088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9F30FB" w:rsidP="009F30FB">
    <w:pPr>
      <w:pStyle w:val="Noga"/>
      <w:jc w:val="right"/>
    </w:pPr>
    <w:r>
      <w:fldChar w:fldCharType="begin"/>
    </w:r>
    <w:r>
      <w:instrText>PAGE   \* MERGEFORMAT</w:instrText>
    </w:r>
    <w:r>
      <w:fldChar w:fldCharType="separate"/>
    </w:r>
    <w:r w:rsidR="00CD4E54" w:rsidRPr="00CD4E54">
      <w:rPr>
        <w:noProof/>
        <w:lang w:val="sl-SI"/>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8" w:rsidRDefault="008857B8">
      <w:r>
        <w:separator/>
      </w:r>
    </w:p>
  </w:footnote>
  <w:footnote w:type="continuationSeparator" w:id="0">
    <w:p w:rsidR="008857B8" w:rsidRDefault="0088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CE15D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2E0B8B8A" wp14:editId="0BF4ED8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F2E"/>
    <w:multiLevelType w:val="hybridMultilevel"/>
    <w:tmpl w:val="9998D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4106B9D"/>
    <w:multiLevelType w:val="hybridMultilevel"/>
    <w:tmpl w:val="CFDA8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B693965"/>
    <w:multiLevelType w:val="hybridMultilevel"/>
    <w:tmpl w:val="F0F0ED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BE1372"/>
    <w:multiLevelType w:val="multilevel"/>
    <w:tmpl w:val="40B265C8"/>
    <w:lvl w:ilvl="0">
      <w:start w:val="1"/>
      <w:numFmt w:val="decimal"/>
      <w:lvlText w:val="%1.0"/>
      <w:lvlJc w:val="left"/>
      <w:pPr>
        <w:ind w:left="1002" w:hanging="435"/>
      </w:pPr>
      <w:rPr>
        <w:rFonts w:asciiTheme="majorHAnsi" w:hAnsiTheme="majorHAnsi" w:cstheme="majorBidi" w:hint="default"/>
        <w:sz w:val="32"/>
      </w:rPr>
    </w:lvl>
    <w:lvl w:ilvl="1">
      <w:start w:val="1"/>
      <w:numFmt w:val="decimal"/>
      <w:lvlText w:val="%1.%2"/>
      <w:lvlJc w:val="left"/>
      <w:pPr>
        <w:ind w:left="1722" w:hanging="435"/>
      </w:pPr>
      <w:rPr>
        <w:rFonts w:asciiTheme="majorHAnsi" w:hAnsiTheme="majorHAnsi" w:cstheme="majorBidi" w:hint="default"/>
        <w:sz w:val="32"/>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FB3D5F"/>
    <w:multiLevelType w:val="hybridMultilevel"/>
    <w:tmpl w:val="3E362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8249D8"/>
    <w:multiLevelType w:val="hybridMultilevel"/>
    <w:tmpl w:val="79CE48C0"/>
    <w:lvl w:ilvl="0" w:tplc="30CC80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B22BC1"/>
    <w:multiLevelType w:val="multilevel"/>
    <w:tmpl w:val="403EDFBA"/>
    <w:lvl w:ilvl="0">
      <w:start w:val="1"/>
      <w:numFmt w:val="decimal"/>
      <w:lvlText w:val="%1.0"/>
      <w:lvlJc w:val="left"/>
      <w:pPr>
        <w:ind w:left="1002" w:hanging="435"/>
      </w:pPr>
      <w:rPr>
        <w:rFonts w:ascii="Arial" w:hAnsi="Arial" w:cs="Arial" w:hint="default"/>
        <w:sz w:val="24"/>
        <w:szCs w:val="24"/>
      </w:rPr>
    </w:lvl>
    <w:lvl w:ilvl="1">
      <w:start w:val="1"/>
      <w:numFmt w:val="decimal"/>
      <w:pStyle w:val="Naslov1"/>
      <w:lvlText w:val="%1.%2"/>
      <w:lvlJc w:val="left"/>
      <w:pPr>
        <w:ind w:left="1722" w:hanging="435"/>
      </w:pPr>
      <w:rPr>
        <w:rFonts w:ascii="Arial" w:hAnsi="Arial" w:cs="Arial" w:hint="default"/>
        <w:sz w:val="24"/>
        <w:szCs w:val="24"/>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12">
    <w:nsid w:val="56217454"/>
    <w:multiLevelType w:val="hybridMultilevel"/>
    <w:tmpl w:val="26CCD460"/>
    <w:lvl w:ilvl="0" w:tplc="85BC1FA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5B4C2F60"/>
    <w:multiLevelType w:val="hybridMultilevel"/>
    <w:tmpl w:val="7AAA3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13D2CFC"/>
    <w:multiLevelType w:val="hybridMultilevel"/>
    <w:tmpl w:val="EEEA3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B850150"/>
    <w:multiLevelType w:val="hybridMultilevel"/>
    <w:tmpl w:val="698C75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
  </w:num>
  <w:num w:numId="5">
    <w:abstractNumId w:val="3"/>
  </w:num>
  <w:num w:numId="6">
    <w:abstractNumId w:val="7"/>
  </w:num>
  <w:num w:numId="7">
    <w:abstractNumId w:val="13"/>
  </w:num>
  <w:num w:numId="8">
    <w:abstractNumId w:val="2"/>
  </w:num>
  <w:num w:numId="9">
    <w:abstractNumId w:val="4"/>
  </w:num>
  <w:num w:numId="10">
    <w:abstractNumId w:val="8"/>
  </w:num>
  <w:num w:numId="11">
    <w:abstractNumId w:val="14"/>
  </w:num>
  <w:num w:numId="12">
    <w:abstractNumId w:val="5"/>
  </w:num>
  <w:num w:numId="13">
    <w:abstractNumId w:val="11"/>
  </w:num>
  <w:num w:numId="14">
    <w:abstractNumId w:val="16"/>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039F"/>
    <w:rsid w:val="000063FF"/>
    <w:rsid w:val="00023A88"/>
    <w:rsid w:val="00030608"/>
    <w:rsid w:val="000517B6"/>
    <w:rsid w:val="000805EA"/>
    <w:rsid w:val="0008352D"/>
    <w:rsid w:val="000A488B"/>
    <w:rsid w:val="000A7238"/>
    <w:rsid w:val="000B0B21"/>
    <w:rsid w:val="000C203D"/>
    <w:rsid w:val="000C2273"/>
    <w:rsid w:val="000C7716"/>
    <w:rsid w:val="001357B2"/>
    <w:rsid w:val="00174D2E"/>
    <w:rsid w:val="001A3BA5"/>
    <w:rsid w:val="001C2D67"/>
    <w:rsid w:val="001F4287"/>
    <w:rsid w:val="001F7BC0"/>
    <w:rsid w:val="00202A77"/>
    <w:rsid w:val="00224B53"/>
    <w:rsid w:val="002302D9"/>
    <w:rsid w:val="00242143"/>
    <w:rsid w:val="00271CE5"/>
    <w:rsid w:val="00276637"/>
    <w:rsid w:val="00282020"/>
    <w:rsid w:val="002A5510"/>
    <w:rsid w:val="00342BA0"/>
    <w:rsid w:val="003636BF"/>
    <w:rsid w:val="00366607"/>
    <w:rsid w:val="00370AA7"/>
    <w:rsid w:val="0037479F"/>
    <w:rsid w:val="00382BA4"/>
    <w:rsid w:val="003845B4"/>
    <w:rsid w:val="00387B1A"/>
    <w:rsid w:val="003E1C74"/>
    <w:rsid w:val="004B112D"/>
    <w:rsid w:val="00526246"/>
    <w:rsid w:val="00567106"/>
    <w:rsid w:val="005D4DF6"/>
    <w:rsid w:val="005E1D3C"/>
    <w:rsid w:val="00632253"/>
    <w:rsid w:val="00632331"/>
    <w:rsid w:val="00642714"/>
    <w:rsid w:val="00643C4E"/>
    <w:rsid w:val="006455CE"/>
    <w:rsid w:val="00666FE7"/>
    <w:rsid w:val="00667BB9"/>
    <w:rsid w:val="00675F47"/>
    <w:rsid w:val="006D2FCD"/>
    <w:rsid w:val="006D42D9"/>
    <w:rsid w:val="00726463"/>
    <w:rsid w:val="00733017"/>
    <w:rsid w:val="00751D38"/>
    <w:rsid w:val="00783310"/>
    <w:rsid w:val="007A4A6D"/>
    <w:rsid w:val="007C6FB3"/>
    <w:rsid w:val="007D1BCF"/>
    <w:rsid w:val="007D75CF"/>
    <w:rsid w:val="007E6DC5"/>
    <w:rsid w:val="0088043C"/>
    <w:rsid w:val="008857B8"/>
    <w:rsid w:val="00887E1E"/>
    <w:rsid w:val="008906C9"/>
    <w:rsid w:val="008C5738"/>
    <w:rsid w:val="008D04F0"/>
    <w:rsid w:val="008D5F52"/>
    <w:rsid w:val="008E0ECC"/>
    <w:rsid w:val="008F026E"/>
    <w:rsid w:val="008F3500"/>
    <w:rsid w:val="00924E3C"/>
    <w:rsid w:val="009477FA"/>
    <w:rsid w:val="009541F3"/>
    <w:rsid w:val="009612BB"/>
    <w:rsid w:val="009E6AC6"/>
    <w:rsid w:val="009F30FB"/>
    <w:rsid w:val="00A000F2"/>
    <w:rsid w:val="00A125C5"/>
    <w:rsid w:val="00A12D5C"/>
    <w:rsid w:val="00A5039D"/>
    <w:rsid w:val="00A61123"/>
    <w:rsid w:val="00A65EE7"/>
    <w:rsid w:val="00A70133"/>
    <w:rsid w:val="00AC5C16"/>
    <w:rsid w:val="00B1337D"/>
    <w:rsid w:val="00B17141"/>
    <w:rsid w:val="00B27607"/>
    <w:rsid w:val="00B31575"/>
    <w:rsid w:val="00B47AF6"/>
    <w:rsid w:val="00B53904"/>
    <w:rsid w:val="00B8547D"/>
    <w:rsid w:val="00BE094A"/>
    <w:rsid w:val="00C250D5"/>
    <w:rsid w:val="00C47F8D"/>
    <w:rsid w:val="00C64874"/>
    <w:rsid w:val="00C81391"/>
    <w:rsid w:val="00C92898"/>
    <w:rsid w:val="00CA699D"/>
    <w:rsid w:val="00CC179C"/>
    <w:rsid w:val="00CD4E54"/>
    <w:rsid w:val="00CE15DF"/>
    <w:rsid w:val="00CE72B1"/>
    <w:rsid w:val="00CE7514"/>
    <w:rsid w:val="00D248DE"/>
    <w:rsid w:val="00D8542D"/>
    <w:rsid w:val="00DA2C9A"/>
    <w:rsid w:val="00DC6A71"/>
    <w:rsid w:val="00DE5B46"/>
    <w:rsid w:val="00E0357D"/>
    <w:rsid w:val="00E24EC2"/>
    <w:rsid w:val="00E57198"/>
    <w:rsid w:val="00E572FE"/>
    <w:rsid w:val="00E853E8"/>
    <w:rsid w:val="00EA5013"/>
    <w:rsid w:val="00ED7E82"/>
    <w:rsid w:val="00EE6836"/>
    <w:rsid w:val="00F079C5"/>
    <w:rsid w:val="00F11C41"/>
    <w:rsid w:val="00F240BB"/>
    <w:rsid w:val="00F46724"/>
    <w:rsid w:val="00F57FED"/>
    <w:rsid w:val="00F75F95"/>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qFormat/>
    <w:rsid w:val="00F079C5"/>
    <w:pPr>
      <w:ind w:left="200"/>
    </w:pPr>
    <w:rPr>
      <w:rFonts w:asciiTheme="minorHAnsi" w:hAnsiTheme="minorHAnsi"/>
      <w:smallCaps/>
      <w:szCs w:val="20"/>
    </w:rPr>
  </w:style>
  <w:style w:type="paragraph" w:styleId="Kazalovsebine3">
    <w:name w:val="toc 3"/>
    <w:basedOn w:val="Navaden"/>
    <w:next w:val="Navaden"/>
    <w:autoRedefine/>
    <w:uiPriority w:val="39"/>
    <w:unhideWhenUsed/>
    <w:qFormat/>
    <w:rsid w:val="00DA2C9A"/>
    <w:pPr>
      <w:ind w:left="400"/>
    </w:pPr>
    <w:rPr>
      <w:rFonts w:asciiTheme="minorHAnsi" w:hAnsiTheme="minorHAnsi"/>
      <w:i/>
      <w:iCs/>
      <w:szCs w:val="20"/>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 w:type="paragraph" w:styleId="Kazalovsebine4">
    <w:name w:val="toc 4"/>
    <w:basedOn w:val="Navaden"/>
    <w:next w:val="Navaden"/>
    <w:autoRedefine/>
    <w:rsid w:val="00366607"/>
    <w:pPr>
      <w:ind w:left="600"/>
    </w:pPr>
    <w:rPr>
      <w:rFonts w:asciiTheme="minorHAnsi" w:hAnsiTheme="minorHAnsi"/>
      <w:sz w:val="18"/>
      <w:szCs w:val="18"/>
    </w:rPr>
  </w:style>
  <w:style w:type="paragraph" w:styleId="Kazalovsebine5">
    <w:name w:val="toc 5"/>
    <w:basedOn w:val="Navaden"/>
    <w:next w:val="Navaden"/>
    <w:autoRedefine/>
    <w:rsid w:val="00366607"/>
    <w:pPr>
      <w:ind w:left="800"/>
    </w:pPr>
    <w:rPr>
      <w:rFonts w:asciiTheme="minorHAnsi" w:hAnsiTheme="minorHAnsi"/>
      <w:sz w:val="18"/>
      <w:szCs w:val="18"/>
    </w:rPr>
  </w:style>
  <w:style w:type="paragraph" w:styleId="Kazalovsebine6">
    <w:name w:val="toc 6"/>
    <w:basedOn w:val="Navaden"/>
    <w:next w:val="Navaden"/>
    <w:autoRedefine/>
    <w:rsid w:val="00366607"/>
    <w:pPr>
      <w:ind w:left="1000"/>
    </w:pPr>
    <w:rPr>
      <w:rFonts w:asciiTheme="minorHAnsi" w:hAnsiTheme="minorHAnsi"/>
      <w:sz w:val="18"/>
      <w:szCs w:val="18"/>
    </w:rPr>
  </w:style>
  <w:style w:type="paragraph" w:styleId="Kazalovsebine7">
    <w:name w:val="toc 7"/>
    <w:basedOn w:val="Navaden"/>
    <w:next w:val="Navaden"/>
    <w:autoRedefine/>
    <w:rsid w:val="00366607"/>
    <w:pPr>
      <w:ind w:left="1200"/>
    </w:pPr>
    <w:rPr>
      <w:rFonts w:asciiTheme="minorHAnsi" w:hAnsiTheme="minorHAnsi"/>
      <w:sz w:val="18"/>
      <w:szCs w:val="18"/>
    </w:rPr>
  </w:style>
  <w:style w:type="paragraph" w:styleId="Kazalovsebine8">
    <w:name w:val="toc 8"/>
    <w:basedOn w:val="Navaden"/>
    <w:next w:val="Navaden"/>
    <w:autoRedefine/>
    <w:rsid w:val="00366607"/>
    <w:pPr>
      <w:ind w:left="1400"/>
    </w:pPr>
    <w:rPr>
      <w:rFonts w:asciiTheme="minorHAnsi" w:hAnsiTheme="minorHAnsi"/>
      <w:sz w:val="18"/>
      <w:szCs w:val="18"/>
    </w:rPr>
  </w:style>
  <w:style w:type="paragraph" w:styleId="Kazalovsebine9">
    <w:name w:val="toc 9"/>
    <w:basedOn w:val="Navaden"/>
    <w:next w:val="Navaden"/>
    <w:autoRedefine/>
    <w:rsid w:val="00366607"/>
    <w:pPr>
      <w:ind w:left="160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qFormat/>
    <w:rsid w:val="00F079C5"/>
    <w:pPr>
      <w:ind w:left="200"/>
    </w:pPr>
    <w:rPr>
      <w:rFonts w:asciiTheme="minorHAnsi" w:hAnsiTheme="minorHAnsi"/>
      <w:smallCaps/>
      <w:szCs w:val="20"/>
    </w:rPr>
  </w:style>
  <w:style w:type="paragraph" w:styleId="Kazalovsebine3">
    <w:name w:val="toc 3"/>
    <w:basedOn w:val="Navaden"/>
    <w:next w:val="Navaden"/>
    <w:autoRedefine/>
    <w:uiPriority w:val="39"/>
    <w:unhideWhenUsed/>
    <w:qFormat/>
    <w:rsid w:val="00DA2C9A"/>
    <w:pPr>
      <w:ind w:left="400"/>
    </w:pPr>
    <w:rPr>
      <w:rFonts w:asciiTheme="minorHAnsi" w:hAnsiTheme="minorHAnsi"/>
      <w:i/>
      <w:iCs/>
      <w:szCs w:val="20"/>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 w:type="paragraph" w:styleId="Kazalovsebine4">
    <w:name w:val="toc 4"/>
    <w:basedOn w:val="Navaden"/>
    <w:next w:val="Navaden"/>
    <w:autoRedefine/>
    <w:rsid w:val="00366607"/>
    <w:pPr>
      <w:ind w:left="600"/>
    </w:pPr>
    <w:rPr>
      <w:rFonts w:asciiTheme="minorHAnsi" w:hAnsiTheme="minorHAnsi"/>
      <w:sz w:val="18"/>
      <w:szCs w:val="18"/>
    </w:rPr>
  </w:style>
  <w:style w:type="paragraph" w:styleId="Kazalovsebine5">
    <w:name w:val="toc 5"/>
    <w:basedOn w:val="Navaden"/>
    <w:next w:val="Navaden"/>
    <w:autoRedefine/>
    <w:rsid w:val="00366607"/>
    <w:pPr>
      <w:ind w:left="800"/>
    </w:pPr>
    <w:rPr>
      <w:rFonts w:asciiTheme="minorHAnsi" w:hAnsiTheme="minorHAnsi"/>
      <w:sz w:val="18"/>
      <w:szCs w:val="18"/>
    </w:rPr>
  </w:style>
  <w:style w:type="paragraph" w:styleId="Kazalovsebine6">
    <w:name w:val="toc 6"/>
    <w:basedOn w:val="Navaden"/>
    <w:next w:val="Navaden"/>
    <w:autoRedefine/>
    <w:rsid w:val="00366607"/>
    <w:pPr>
      <w:ind w:left="1000"/>
    </w:pPr>
    <w:rPr>
      <w:rFonts w:asciiTheme="minorHAnsi" w:hAnsiTheme="minorHAnsi"/>
      <w:sz w:val="18"/>
      <w:szCs w:val="18"/>
    </w:rPr>
  </w:style>
  <w:style w:type="paragraph" w:styleId="Kazalovsebine7">
    <w:name w:val="toc 7"/>
    <w:basedOn w:val="Navaden"/>
    <w:next w:val="Navaden"/>
    <w:autoRedefine/>
    <w:rsid w:val="00366607"/>
    <w:pPr>
      <w:ind w:left="1200"/>
    </w:pPr>
    <w:rPr>
      <w:rFonts w:asciiTheme="minorHAnsi" w:hAnsiTheme="minorHAnsi"/>
      <w:sz w:val="18"/>
      <w:szCs w:val="18"/>
    </w:rPr>
  </w:style>
  <w:style w:type="paragraph" w:styleId="Kazalovsebine8">
    <w:name w:val="toc 8"/>
    <w:basedOn w:val="Navaden"/>
    <w:next w:val="Navaden"/>
    <w:autoRedefine/>
    <w:rsid w:val="00366607"/>
    <w:pPr>
      <w:ind w:left="1400"/>
    </w:pPr>
    <w:rPr>
      <w:rFonts w:asciiTheme="minorHAnsi" w:hAnsiTheme="minorHAnsi"/>
      <w:sz w:val="18"/>
      <w:szCs w:val="18"/>
    </w:rPr>
  </w:style>
  <w:style w:type="paragraph" w:styleId="Kazalovsebine9">
    <w:name w:val="toc 9"/>
    <w:basedOn w:val="Navaden"/>
    <w:next w:val="Navaden"/>
    <w:autoRedefine/>
    <w:rsid w:val="00366607"/>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6CAD-BDB5-4821-AAC1-FD8C3E51F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377C94CE-01AD-44B0-9EC6-70341725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3395</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3983</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David Piščanec</cp:lastModifiedBy>
  <cp:revision>2</cp:revision>
  <cp:lastPrinted>2014-09-18T09:59:00Z</cp:lastPrinted>
  <dcterms:created xsi:type="dcterms:W3CDTF">2015-10-08T13:02:00Z</dcterms:created>
  <dcterms:modified xsi:type="dcterms:W3CDTF">2015-10-08T13:02:00Z</dcterms:modified>
</cp:coreProperties>
</file>